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7C9" w:rsidRPr="00F5765D" w:rsidRDefault="00F5765D" w:rsidP="00F5765D">
      <w:pPr>
        <w:spacing w:line="240" w:lineRule="auto"/>
        <w:jc w:val="left"/>
        <w:rPr>
          <w:rFonts w:hint="cs"/>
          <w:sz w:val="6"/>
          <w:szCs w:val="6"/>
          <w:rtl/>
        </w:rPr>
        <w:sectPr w:rsidR="008677C9" w:rsidRPr="00F5765D" w:rsidSect="008677C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p>
    <w:p w:rsidR="00CD3849" w:rsidRDefault="00627C55" w:rsidP="00627C5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LB"/>
        </w:rPr>
      </w:pPr>
      <w:r>
        <w:rPr>
          <w:rFonts w:hint="cs"/>
          <w:rtl/>
        </w:rPr>
        <w:tab/>
        <w:t>اللجنة المعنية بالقضاء على التمييز ضد المرأة</w:t>
      </w:r>
    </w:p>
    <w:p w:rsidR="006C4B1D" w:rsidRPr="006C4B1D" w:rsidRDefault="006C4B1D" w:rsidP="006C4B1D">
      <w:pPr>
        <w:pStyle w:val="SingleTxt"/>
        <w:spacing w:after="0" w:line="120" w:lineRule="exact"/>
        <w:rPr>
          <w:rFonts w:hint="cs"/>
          <w:sz w:val="10"/>
          <w:rtl/>
          <w:lang w:bidi="ar-LB"/>
        </w:rPr>
      </w:pPr>
    </w:p>
    <w:p w:rsidR="006C4B1D" w:rsidRPr="006C4B1D" w:rsidRDefault="006C4B1D" w:rsidP="006C4B1D">
      <w:pPr>
        <w:pStyle w:val="SingleTxt"/>
        <w:spacing w:after="0" w:line="120" w:lineRule="exact"/>
        <w:rPr>
          <w:rFonts w:hint="cs"/>
          <w:sz w:val="10"/>
          <w:rtl/>
          <w:lang w:bidi="ar-LB"/>
        </w:rPr>
      </w:pPr>
    </w:p>
    <w:p w:rsidR="00627C55" w:rsidRPr="007A623A" w:rsidRDefault="006C4B1D" w:rsidP="006C4B1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627C55" w:rsidRPr="007A623A">
        <w:rPr>
          <w:rFonts w:hint="cs"/>
          <w:rtl/>
        </w:rPr>
        <w:t>النظر في التقارير المقدمة من الدول الأطراف</w:t>
      </w:r>
      <w:r>
        <w:rPr>
          <w:rFonts w:hint="cs"/>
          <w:rtl/>
        </w:rPr>
        <w:t xml:space="preserve"> </w:t>
      </w:r>
      <w:r w:rsidR="00627C55" w:rsidRPr="007A623A">
        <w:rPr>
          <w:rFonts w:hint="cs"/>
          <w:rtl/>
        </w:rPr>
        <w:t>بموجب المادة 18 من اتفاقية القضاء على جميع أشكال التمييز ضد المرأة</w:t>
      </w:r>
    </w:p>
    <w:p w:rsidR="00627C55" w:rsidRPr="00627C55" w:rsidRDefault="00627C55" w:rsidP="00627C55">
      <w:pPr>
        <w:pStyle w:val="SingleTxt"/>
        <w:spacing w:after="0" w:line="120" w:lineRule="exact"/>
        <w:rPr>
          <w:rFonts w:hint="cs"/>
          <w:sz w:val="10"/>
          <w:rtl/>
        </w:rPr>
      </w:pPr>
    </w:p>
    <w:p w:rsidR="00627C55" w:rsidRDefault="00627C55" w:rsidP="00A33A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6C4B1D">
        <w:rPr>
          <w:rFonts w:hint="cs"/>
          <w:rtl/>
        </w:rPr>
        <w:tab/>
      </w:r>
      <w:r>
        <w:rPr>
          <w:rFonts w:hint="cs"/>
          <w:rtl/>
        </w:rPr>
        <w:t>التقرير الدوري السادس للدول الأطراف</w:t>
      </w:r>
    </w:p>
    <w:p w:rsidR="006C4B1D" w:rsidRPr="006C4B1D" w:rsidRDefault="006C4B1D" w:rsidP="006C4B1D">
      <w:pPr>
        <w:pStyle w:val="SingleTxt"/>
        <w:rPr>
          <w:rFonts w:hint="cs"/>
          <w:rtl/>
        </w:rPr>
      </w:pPr>
    </w:p>
    <w:p w:rsidR="00627C55" w:rsidRPr="00627C55" w:rsidRDefault="00627C55" w:rsidP="00627C55">
      <w:pPr>
        <w:framePr w:w="9792" w:h="432" w:hSpace="180" w:wrap="around" w:hAnchor="page" w:x="1196" w:yAlign="bottom"/>
        <w:spacing w:line="240" w:lineRule="auto"/>
        <w:jc w:val="lowKashida"/>
        <w:rPr>
          <w:szCs w:val="10"/>
          <w:rtl/>
        </w:rPr>
      </w:pPr>
    </w:p>
    <w:p w:rsidR="00627C55" w:rsidRPr="00627C55" w:rsidRDefault="00627C55" w:rsidP="00627C55">
      <w:pPr>
        <w:framePr w:w="9792" w:h="432" w:hSpace="180" w:wrap="around" w:hAnchor="page" w:x="1196" w:yAlign="bottom"/>
        <w:spacing w:line="240" w:lineRule="auto"/>
        <w:jc w:val="lowKashida"/>
        <w:rPr>
          <w:szCs w:val="6"/>
          <w:rtl/>
        </w:rPr>
      </w:pPr>
    </w:p>
    <w:p w:rsidR="00627C55" w:rsidRDefault="00627C55" w:rsidP="00953E92">
      <w:pPr>
        <w:framePr w:w="9792" w:h="432" w:hSpace="180" w:wrap="around" w:hAnchor="page" w:x="1196" w:yAlign="bottom"/>
        <w:tabs>
          <w:tab w:val="right" w:pos="1195"/>
          <w:tab w:val="left" w:pos="1267"/>
        </w:tabs>
        <w:spacing w:line="300" w:lineRule="exact"/>
        <w:ind w:left="1267" w:right="1267" w:hanging="547"/>
        <w:rPr>
          <w:rFonts w:hint="cs"/>
          <w:sz w:val="17"/>
          <w:szCs w:val="26"/>
          <w:rtl/>
        </w:rPr>
      </w:pPr>
      <w:r>
        <w:rPr>
          <w:noProof/>
          <w:w w:val="100"/>
        </w:rPr>
        <w:pict>
          <v:line id="_x0000_s2050" style="position:absolute;left:0;text-align:left;z-index:1" from="396pt,-1pt" to="468pt,-1pt">
            <w10:wrap anchorx="page"/>
          </v:line>
        </w:pict>
      </w:r>
      <w:r>
        <w:rPr>
          <w:rFonts w:hint="cs"/>
          <w:sz w:val="17"/>
          <w:szCs w:val="26"/>
          <w:rtl/>
        </w:rPr>
        <w:tab/>
        <w:t>*</w:t>
      </w:r>
      <w:r>
        <w:rPr>
          <w:rFonts w:hint="cs"/>
          <w:sz w:val="17"/>
          <w:szCs w:val="26"/>
          <w:rtl/>
        </w:rPr>
        <w:tab/>
      </w:r>
      <w:r w:rsidR="00953E92">
        <w:rPr>
          <w:rFonts w:hint="cs"/>
          <w:sz w:val="17"/>
          <w:szCs w:val="26"/>
          <w:rtl/>
        </w:rPr>
        <w:t xml:space="preserve">يتم إصدار هذه الوثيقة بدون تحرير رسمي. </w:t>
      </w:r>
    </w:p>
    <w:p w:rsidR="00627C55" w:rsidRPr="00627C55" w:rsidRDefault="00627C55" w:rsidP="0084311F">
      <w:pPr>
        <w:framePr w:w="9792" w:h="432" w:hSpace="180" w:wrap="around" w:hAnchor="page" w:x="1196" w:yAlign="bottom"/>
        <w:tabs>
          <w:tab w:val="right" w:pos="1195"/>
          <w:tab w:val="left" w:pos="1267"/>
        </w:tabs>
        <w:spacing w:line="300" w:lineRule="exact"/>
        <w:ind w:left="1267" w:right="1267" w:hanging="547"/>
        <w:rPr>
          <w:rFonts w:hint="cs"/>
          <w:sz w:val="17"/>
          <w:szCs w:val="26"/>
          <w:rtl/>
        </w:rPr>
      </w:pPr>
      <w:r>
        <w:rPr>
          <w:rFonts w:hint="cs"/>
          <w:sz w:val="17"/>
          <w:szCs w:val="26"/>
          <w:rtl/>
        </w:rPr>
        <w:tab/>
      </w:r>
      <w:r>
        <w:rPr>
          <w:rFonts w:hint="cs"/>
          <w:sz w:val="17"/>
          <w:szCs w:val="26"/>
          <w:rtl/>
        </w:rPr>
        <w:tab/>
        <w:t xml:space="preserve">للاطلاع على التقرير الأولي الذي قدمته حكومة النمسا، انظر الوثيقة </w:t>
      </w:r>
      <w:r>
        <w:rPr>
          <w:sz w:val="17"/>
          <w:szCs w:val="26"/>
        </w:rPr>
        <w:t>CEDAW/C/5/Add.17</w:t>
      </w:r>
      <w:r>
        <w:rPr>
          <w:rFonts w:hint="cs"/>
          <w:sz w:val="17"/>
          <w:szCs w:val="26"/>
          <w:rtl/>
        </w:rPr>
        <w:t xml:space="preserve">، </w:t>
      </w:r>
      <w:r w:rsidR="0084311F">
        <w:rPr>
          <w:rFonts w:hint="cs"/>
          <w:sz w:val="17"/>
          <w:szCs w:val="26"/>
          <w:rtl/>
          <w:lang w:bidi="ar-LB"/>
        </w:rPr>
        <w:t>وقد</w:t>
      </w:r>
      <w:r>
        <w:rPr>
          <w:rFonts w:hint="cs"/>
          <w:sz w:val="17"/>
          <w:szCs w:val="26"/>
          <w:rtl/>
        </w:rPr>
        <w:t xml:space="preserve"> نظرت فيه اللجنة في دورتها الرابعة. وللاطلاع على التقرير الدوري الثاني الذي قدمته حكومة النمسا، انظر </w:t>
      </w:r>
      <w:r>
        <w:rPr>
          <w:sz w:val="17"/>
          <w:szCs w:val="26"/>
        </w:rPr>
        <w:t>CEDAW/C/13/Add.27</w:t>
      </w:r>
      <w:r>
        <w:rPr>
          <w:rFonts w:hint="cs"/>
          <w:sz w:val="17"/>
          <w:szCs w:val="26"/>
          <w:rtl/>
        </w:rPr>
        <w:t xml:space="preserve">، </w:t>
      </w:r>
      <w:r w:rsidR="0084311F">
        <w:rPr>
          <w:rFonts w:hint="cs"/>
          <w:sz w:val="17"/>
          <w:szCs w:val="26"/>
          <w:rtl/>
          <w:lang w:bidi="ar-LB"/>
        </w:rPr>
        <w:t xml:space="preserve">وقد نظرت فيه </w:t>
      </w:r>
      <w:r>
        <w:rPr>
          <w:rFonts w:hint="cs"/>
          <w:sz w:val="17"/>
          <w:szCs w:val="26"/>
          <w:rtl/>
        </w:rPr>
        <w:t xml:space="preserve">اللجنة في دورتها العاشرة. وللاطلاع على التقريرين الدوريين الثالث والرابع اللذين قدمتهما حكومة النمسا </w:t>
      </w:r>
      <w:r w:rsidR="0084311F">
        <w:rPr>
          <w:rFonts w:hint="cs"/>
          <w:sz w:val="17"/>
          <w:szCs w:val="26"/>
          <w:rtl/>
          <w:lang w:bidi="ar-LB"/>
        </w:rPr>
        <w:t xml:space="preserve">معا </w:t>
      </w:r>
      <w:r>
        <w:rPr>
          <w:rFonts w:hint="cs"/>
          <w:sz w:val="17"/>
          <w:szCs w:val="26"/>
          <w:rtl/>
        </w:rPr>
        <w:t xml:space="preserve">انظر </w:t>
      </w:r>
      <w:r>
        <w:rPr>
          <w:sz w:val="17"/>
          <w:szCs w:val="26"/>
        </w:rPr>
        <w:t>CEDAW/C/AUT/3-4</w:t>
      </w:r>
      <w:r>
        <w:rPr>
          <w:rFonts w:hint="cs"/>
          <w:sz w:val="17"/>
          <w:szCs w:val="26"/>
          <w:rtl/>
        </w:rPr>
        <w:t xml:space="preserve">، </w:t>
      </w:r>
      <w:r w:rsidR="0084311F">
        <w:rPr>
          <w:rFonts w:hint="cs"/>
          <w:sz w:val="17"/>
          <w:szCs w:val="26"/>
          <w:rtl/>
          <w:lang w:bidi="ar-LB"/>
        </w:rPr>
        <w:t>وقد نظرت فيهما</w:t>
      </w:r>
      <w:r>
        <w:rPr>
          <w:rFonts w:hint="cs"/>
          <w:sz w:val="17"/>
          <w:szCs w:val="26"/>
          <w:rtl/>
        </w:rPr>
        <w:t xml:space="preserve"> اللجنة في دورتها الثالثة والعشرين. وللاطلاع على التقرير الدوري الخامس الذي قدمته حكومة النمسا انظر </w:t>
      </w:r>
      <w:r>
        <w:rPr>
          <w:sz w:val="17"/>
          <w:szCs w:val="26"/>
        </w:rPr>
        <w:t>CEDAW/C/AUT/5</w:t>
      </w:r>
      <w:r>
        <w:rPr>
          <w:rFonts w:hint="cs"/>
          <w:sz w:val="17"/>
          <w:szCs w:val="26"/>
          <w:rtl/>
        </w:rPr>
        <w:t xml:space="preserve"> </w:t>
      </w:r>
      <w:r w:rsidR="0084311F">
        <w:rPr>
          <w:rFonts w:hint="cs"/>
          <w:sz w:val="17"/>
          <w:szCs w:val="26"/>
          <w:rtl/>
          <w:lang w:bidi="ar-LB"/>
        </w:rPr>
        <w:t>وقد</w:t>
      </w:r>
      <w:r>
        <w:rPr>
          <w:rFonts w:hint="cs"/>
          <w:sz w:val="17"/>
          <w:szCs w:val="26"/>
          <w:rtl/>
        </w:rPr>
        <w:t xml:space="preserve"> نظرت فيه اللجنة في دورتها الثالثة والعشرين. </w:t>
      </w:r>
    </w:p>
    <w:p w:rsidR="00627C55" w:rsidRPr="007A623A" w:rsidRDefault="00A33A6E" w:rsidP="00A33A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627C55" w:rsidRPr="007A623A">
        <w:rPr>
          <w:rFonts w:hint="cs"/>
          <w:rtl/>
        </w:rPr>
        <w:t>النمسا*</w:t>
      </w:r>
    </w:p>
    <w:p w:rsidR="00627C55" w:rsidRDefault="00627C55" w:rsidP="00627C55">
      <w:pPr>
        <w:pStyle w:val="SingleTxt"/>
        <w:rPr>
          <w:rFonts w:hint="cs"/>
          <w:b/>
          <w:bCs/>
          <w:rtl/>
        </w:rPr>
      </w:pPr>
    </w:p>
    <w:p w:rsidR="007A623A" w:rsidRPr="00402DD7" w:rsidRDefault="00627C55" w:rsidP="007A623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7A623A">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7421"/>
        <w:gridCol w:w="311"/>
        <w:gridCol w:w="806"/>
      </w:tblGrid>
      <w:tr w:rsidR="007A623A" w:rsidRPr="00402DD7">
        <w:tblPrEx>
          <w:tblCellMar>
            <w:top w:w="0" w:type="dxa"/>
            <w:bottom w:w="0" w:type="dxa"/>
          </w:tblCellMar>
        </w:tblPrEx>
        <w:tc>
          <w:tcPr>
            <w:tcW w:w="1296" w:type="dxa"/>
            <w:shd w:val="clear" w:color="auto" w:fill="auto"/>
          </w:tcPr>
          <w:p w:rsidR="007A623A" w:rsidRPr="00402DD7" w:rsidRDefault="007A623A" w:rsidP="007E4BCD">
            <w:pPr>
              <w:spacing w:after="120" w:line="240" w:lineRule="auto"/>
              <w:jc w:val="center"/>
              <w:rPr>
                <w:rFonts w:hint="cs"/>
                <w:iCs/>
                <w:sz w:val="14"/>
                <w:rtl/>
              </w:rPr>
            </w:pPr>
            <w:r>
              <w:rPr>
                <w:rFonts w:hint="eastAsia"/>
                <w:iCs/>
                <w:sz w:val="14"/>
                <w:rtl/>
              </w:rPr>
              <w:t>الفصل</w:t>
            </w:r>
          </w:p>
        </w:tc>
        <w:tc>
          <w:tcPr>
            <w:tcW w:w="7421" w:type="dxa"/>
            <w:shd w:val="clear" w:color="auto" w:fill="auto"/>
          </w:tcPr>
          <w:p w:rsidR="007A623A" w:rsidRPr="00402DD7" w:rsidRDefault="007A623A" w:rsidP="003A141B">
            <w:pPr>
              <w:spacing w:after="120" w:line="240" w:lineRule="auto"/>
              <w:rPr>
                <w:rFonts w:hint="cs"/>
                <w:iCs/>
                <w:sz w:val="14"/>
                <w:rtl/>
              </w:rPr>
            </w:pPr>
          </w:p>
        </w:tc>
        <w:tc>
          <w:tcPr>
            <w:tcW w:w="311" w:type="dxa"/>
            <w:shd w:val="clear" w:color="auto" w:fill="auto"/>
          </w:tcPr>
          <w:p w:rsidR="007A623A" w:rsidRPr="00402DD7" w:rsidRDefault="007A623A" w:rsidP="003A141B">
            <w:pPr>
              <w:spacing w:after="120" w:line="240" w:lineRule="auto"/>
              <w:jc w:val="right"/>
              <w:rPr>
                <w:rFonts w:hint="cs"/>
                <w:iCs/>
                <w:sz w:val="14"/>
                <w:rtl/>
              </w:rPr>
            </w:pPr>
          </w:p>
        </w:tc>
        <w:tc>
          <w:tcPr>
            <w:tcW w:w="806" w:type="dxa"/>
            <w:shd w:val="clear" w:color="auto" w:fill="auto"/>
          </w:tcPr>
          <w:p w:rsidR="007A623A" w:rsidRPr="00402DD7" w:rsidRDefault="007A623A" w:rsidP="006C4B1D">
            <w:pPr>
              <w:spacing w:after="120" w:line="240" w:lineRule="auto"/>
              <w:jc w:val="left"/>
              <w:rPr>
                <w:rFonts w:hint="cs"/>
                <w:iCs/>
                <w:sz w:val="14"/>
                <w:rtl/>
              </w:rPr>
            </w:pPr>
            <w:r>
              <w:rPr>
                <w:rFonts w:hint="eastAsia"/>
                <w:iCs/>
                <w:sz w:val="14"/>
                <w:rtl/>
              </w:rPr>
              <w:t>الصفحة</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eastAsia"/>
                <w:rtl/>
              </w:rPr>
            </w:pPr>
          </w:p>
        </w:tc>
        <w:tc>
          <w:tcPr>
            <w:tcW w:w="7421" w:type="dxa"/>
            <w:shd w:val="clear" w:color="auto" w:fill="auto"/>
          </w:tcPr>
          <w:p w:rsidR="007A623A" w:rsidRPr="00402DD7" w:rsidRDefault="007A623A" w:rsidP="003A141B">
            <w:pPr>
              <w:rPr>
                <w:rFonts w:hint="cs"/>
                <w:rtl/>
              </w:rPr>
            </w:pPr>
            <w:r>
              <w:rPr>
                <w:rFonts w:hint="cs"/>
                <w:rtl/>
              </w:rPr>
              <w:t>المقدمة</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962E40" w:rsidP="003A141B">
            <w:pPr>
              <w:rPr>
                <w:rFonts w:hint="cs"/>
                <w:rtl/>
                <w:lang w:bidi="ar-LB"/>
              </w:rPr>
            </w:pPr>
            <w:r>
              <w:rPr>
                <w:rFonts w:hint="cs"/>
                <w:rtl/>
                <w:lang w:bidi="ar-LB"/>
              </w:rPr>
              <w:t>7</w:t>
            </w:r>
          </w:p>
        </w:tc>
      </w:tr>
      <w:tr w:rsidR="007A623A" w:rsidRPr="00402DD7">
        <w:tblPrEx>
          <w:tblCellMar>
            <w:top w:w="0" w:type="dxa"/>
            <w:bottom w:w="0" w:type="dxa"/>
          </w:tblCellMar>
        </w:tblPrEx>
        <w:tc>
          <w:tcPr>
            <w:tcW w:w="1296" w:type="dxa"/>
            <w:shd w:val="clear" w:color="auto" w:fill="auto"/>
          </w:tcPr>
          <w:p w:rsidR="007A623A" w:rsidRPr="00402DD7" w:rsidRDefault="00D16B1E" w:rsidP="003A141B">
            <w:pPr>
              <w:rPr>
                <w:rFonts w:hint="cs"/>
                <w:b/>
                <w:bCs/>
                <w:rtl/>
              </w:rPr>
            </w:pPr>
            <w:r>
              <w:rPr>
                <w:rFonts w:hint="cs"/>
                <w:b/>
                <w:bCs/>
                <w:rtl/>
              </w:rPr>
              <w:t>أولا</w:t>
            </w:r>
            <w:r w:rsidR="007A623A" w:rsidRPr="00402DD7">
              <w:rPr>
                <w:rFonts w:hint="cs"/>
                <w:b/>
                <w:bCs/>
                <w:rtl/>
              </w:rPr>
              <w:t xml:space="preserve"> </w:t>
            </w:r>
            <w:r w:rsidR="006C4B1D">
              <w:rPr>
                <w:rFonts w:hint="cs"/>
                <w:b/>
                <w:bCs/>
                <w:rtl/>
              </w:rPr>
              <w:t>-</w:t>
            </w:r>
          </w:p>
        </w:tc>
        <w:tc>
          <w:tcPr>
            <w:tcW w:w="7421" w:type="dxa"/>
            <w:shd w:val="clear" w:color="auto" w:fill="auto"/>
          </w:tcPr>
          <w:p w:rsidR="007A623A" w:rsidRPr="00402DD7" w:rsidRDefault="007A623A" w:rsidP="003A141B">
            <w:pPr>
              <w:rPr>
                <w:rFonts w:hint="cs"/>
                <w:b/>
                <w:bCs/>
                <w:rtl/>
              </w:rPr>
            </w:pPr>
            <w:r w:rsidRPr="00402DD7">
              <w:rPr>
                <w:rFonts w:hint="cs"/>
                <w:b/>
                <w:bCs/>
                <w:rtl/>
              </w:rPr>
              <w:t>تنفيذ التوصيات المتعلقة بالنمسا، التقارير الثالث والرابع والخامس المقدمة إلى اللجنة المعنية بالقضاء على جميع أشكال التمييز ضد المرأة</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8</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Pr="00402DD7" w:rsidRDefault="007A623A" w:rsidP="003A141B">
            <w:pPr>
              <w:rPr>
                <w:rFonts w:hint="cs"/>
                <w:rtl/>
              </w:rPr>
            </w:pPr>
            <w:r>
              <w:rPr>
                <w:rFonts w:hint="cs"/>
                <w:rtl/>
              </w:rPr>
              <w:t>التوصية 219</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8</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التوصية 224</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012F87" w:rsidP="003A141B">
            <w:pPr>
              <w:rPr>
                <w:rFonts w:hint="cs"/>
                <w:rtl/>
              </w:rPr>
            </w:pPr>
            <w:r>
              <w:rPr>
                <w:rFonts w:hint="cs"/>
                <w:rtl/>
              </w:rPr>
              <w:t>8</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 xml:space="preserve">التوصية </w:t>
            </w:r>
            <w:r w:rsidR="00012F87">
              <w:rPr>
                <w:rFonts w:hint="cs"/>
                <w:rtl/>
              </w:rPr>
              <w:t>225</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8</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التوصية 226</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8</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التوصية 227</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10</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التوصية 228</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12</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التوصية 229</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14</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التوصية 230</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15</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التوصية 231</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17</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التوصية 232</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17</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التوصيتان 233 و 234</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18</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التوصية 235</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25</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التوصية 236</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28</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التوصية 237</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29</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التوصية 238</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30</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التوصية 239</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30</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التوصية 240</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32</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التوصية 241</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32</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التوصية 243</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33</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b/>
                <w:bCs/>
                <w:rtl/>
              </w:rPr>
            </w:pPr>
            <w:r w:rsidRPr="00402DD7">
              <w:rPr>
                <w:rFonts w:hint="cs"/>
                <w:b/>
                <w:bCs/>
                <w:rtl/>
              </w:rPr>
              <w:t>ثانيا -</w:t>
            </w:r>
          </w:p>
        </w:tc>
        <w:tc>
          <w:tcPr>
            <w:tcW w:w="7421" w:type="dxa"/>
            <w:shd w:val="clear" w:color="auto" w:fill="auto"/>
          </w:tcPr>
          <w:p w:rsidR="007A623A" w:rsidRPr="00402DD7" w:rsidRDefault="007A623A" w:rsidP="003A141B">
            <w:pPr>
              <w:rPr>
                <w:rFonts w:hint="cs"/>
                <w:b/>
                <w:bCs/>
                <w:rtl/>
              </w:rPr>
            </w:pPr>
            <w:r w:rsidRPr="00402DD7">
              <w:rPr>
                <w:rFonts w:hint="cs"/>
                <w:b/>
                <w:bCs/>
                <w:rtl/>
              </w:rPr>
              <w:t>تنفيذ الاتفاقية</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33</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402DD7" w:rsidRDefault="007A623A" w:rsidP="003A141B">
            <w:pPr>
              <w:rPr>
                <w:rFonts w:hint="cs"/>
                <w:b/>
                <w:bCs/>
                <w:rtl/>
              </w:rPr>
            </w:pPr>
            <w:r>
              <w:rPr>
                <w:rFonts w:hint="cs"/>
                <w:b/>
                <w:bCs/>
                <w:rtl/>
              </w:rPr>
              <w:t>المادة 2</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33</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b/>
                <w:bCs/>
                <w:rtl/>
              </w:rPr>
            </w:pPr>
            <w:r>
              <w:rPr>
                <w:rFonts w:hint="cs"/>
                <w:b/>
                <w:bCs/>
                <w:rtl/>
              </w:rPr>
              <w:t>المادة 2، الحرف (أ)</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34</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402DD7" w:rsidRDefault="007A623A" w:rsidP="003A141B">
            <w:pPr>
              <w:rPr>
                <w:rFonts w:hint="cs"/>
                <w:rtl/>
              </w:rPr>
            </w:pPr>
            <w:r>
              <w:rPr>
                <w:rFonts w:hint="cs"/>
                <w:rtl/>
              </w:rPr>
              <w:t xml:space="preserve">إدخال تعديلات على التشريع المتعلق بالمساواة </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402DD7" w:rsidRDefault="007A623A" w:rsidP="003A141B">
            <w:pPr>
              <w:rPr>
                <w:rFonts w:hint="cs"/>
                <w:b/>
                <w:bCs/>
                <w:rtl/>
              </w:rPr>
            </w:pPr>
            <w:r w:rsidRPr="00402DD7">
              <w:rPr>
                <w:rFonts w:hint="cs"/>
                <w:b/>
                <w:bCs/>
                <w:rtl/>
              </w:rPr>
              <w:t>المادة 2، الحروف (ب) إلى (و)</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36</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تعديل قانون المساواة في المعاملة في الخدمة الاتحادية</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تنفيذ القانون الأوروبي</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402DD7" w:rsidRDefault="007A623A" w:rsidP="003A141B">
            <w:pPr>
              <w:rPr>
                <w:rFonts w:hint="cs"/>
                <w:b/>
                <w:bCs/>
                <w:rtl/>
              </w:rPr>
            </w:pPr>
            <w:r w:rsidRPr="00402DD7">
              <w:rPr>
                <w:rFonts w:hint="cs"/>
                <w:b/>
                <w:bCs/>
                <w:rtl/>
              </w:rPr>
              <w:t>المادة2، الحرف (هـ)</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38</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lang w:bidi="ar-LB"/>
              </w:rPr>
            </w:pPr>
            <w:r>
              <w:rPr>
                <w:rFonts w:hint="cs"/>
                <w:rtl/>
              </w:rPr>
              <w:t xml:space="preserve">القانون الاتحادي الذي ينظم </w:t>
            </w:r>
            <w:r w:rsidR="001408CC">
              <w:rPr>
                <w:rFonts w:hint="cs"/>
                <w:rtl/>
                <w:lang w:bidi="ar-LB"/>
              </w:rPr>
              <w:t>م</w:t>
            </w:r>
            <w:r w:rsidR="001408CC">
              <w:rPr>
                <w:rFonts w:hint="cs"/>
                <w:rtl/>
              </w:rPr>
              <w:t>ن</w:t>
            </w:r>
            <w:r w:rsidR="001408CC">
              <w:rPr>
                <w:rFonts w:hint="cs"/>
                <w:rtl/>
                <w:lang w:bidi="ar-LB"/>
              </w:rPr>
              <w:t>ح</w:t>
            </w:r>
            <w:r>
              <w:rPr>
                <w:rFonts w:hint="cs"/>
                <w:rtl/>
              </w:rPr>
              <w:t xml:space="preserve"> العقود</w:t>
            </w:r>
            <w:r w:rsidR="001408CC">
              <w:rPr>
                <w:rFonts w:hint="cs"/>
                <w:rtl/>
                <w:lang w:bidi="ar-LB"/>
              </w:rPr>
              <w:t xml:space="preserve"> لعام 2002</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402DD7" w:rsidRDefault="007A623A" w:rsidP="003A141B">
            <w:pPr>
              <w:rPr>
                <w:rFonts w:hint="cs"/>
                <w:b/>
                <w:bCs/>
                <w:rtl/>
              </w:rPr>
            </w:pPr>
            <w:r w:rsidRPr="00402DD7">
              <w:rPr>
                <w:rFonts w:hint="cs"/>
                <w:b/>
                <w:bCs/>
                <w:rtl/>
              </w:rPr>
              <w:t>المادة 2، الحرف (ز)</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38</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القانون الجنائي والإجراءات الجنائية المتصلة بالجرائم الجنسية</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1408CC" w:rsidP="003A141B">
            <w:pPr>
              <w:rPr>
                <w:rFonts w:hint="cs"/>
                <w:rtl/>
              </w:rPr>
            </w:pPr>
            <w:r>
              <w:rPr>
                <w:rFonts w:hint="cs"/>
                <w:rtl/>
                <w:lang w:bidi="ar-LB"/>
              </w:rPr>
              <w:t>مساندة</w:t>
            </w:r>
            <w:r w:rsidR="007A623A">
              <w:rPr>
                <w:rFonts w:hint="cs"/>
                <w:rtl/>
              </w:rPr>
              <w:t xml:space="preserve"> الضحايا أثناء المحاكمات</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القانون الاتحادي المعني بتوفير الحماية من العنف المنزلي</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تشويه الأعضاء التناسلية</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فرض عقوبات أشد على الجرائم الجنسية</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 xml:space="preserve">قانون تعديل القانون الجنائي لعام 2004 </w:t>
            </w:r>
            <w:r>
              <w:rPr>
                <w:rtl/>
              </w:rPr>
              <w:t>–</w:t>
            </w:r>
            <w:r>
              <w:rPr>
                <w:rFonts w:hint="cs"/>
                <w:rtl/>
              </w:rPr>
              <w:t xml:space="preserve"> الاغتصاب داخل الزواج</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402DD7" w:rsidRDefault="007A623A" w:rsidP="003A141B">
            <w:pPr>
              <w:rPr>
                <w:rFonts w:hint="cs"/>
                <w:b/>
                <w:bCs/>
                <w:rtl/>
              </w:rPr>
            </w:pPr>
            <w:r>
              <w:rPr>
                <w:rFonts w:hint="cs"/>
                <w:b/>
                <w:bCs/>
                <w:rtl/>
              </w:rPr>
              <w:t>المادة 3</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012F87" w:rsidP="003A141B">
            <w:pPr>
              <w:rPr>
                <w:rFonts w:hint="cs"/>
                <w:rtl/>
              </w:rPr>
            </w:pPr>
            <w:r>
              <w:rPr>
                <w:rFonts w:hint="cs"/>
                <w:rtl/>
              </w:rPr>
              <w:t>42</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402DD7" w:rsidRDefault="007A623A" w:rsidP="003A141B">
            <w:pPr>
              <w:rPr>
                <w:rFonts w:hint="cs"/>
                <w:rtl/>
              </w:rPr>
            </w:pPr>
            <w:r>
              <w:rPr>
                <w:rFonts w:hint="cs"/>
                <w:rtl/>
              </w:rPr>
              <w:t>التشريع</w:t>
            </w:r>
          </w:p>
        </w:tc>
        <w:tc>
          <w:tcPr>
            <w:tcW w:w="311" w:type="dxa"/>
            <w:shd w:val="clear" w:color="auto" w:fill="auto"/>
          </w:tcPr>
          <w:p w:rsidR="007A623A" w:rsidRPr="00402DD7" w:rsidRDefault="007A623A" w:rsidP="003A141B">
            <w:pPr>
              <w:rPr>
                <w:rFonts w:hint="eastAsia"/>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الفنون</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lang w:bidi="ar-LB"/>
              </w:rPr>
            </w:pPr>
            <w:r>
              <w:rPr>
                <w:rFonts w:hint="cs"/>
                <w:rtl/>
              </w:rPr>
              <w:t>التخطيط المكاني و</w:t>
            </w:r>
            <w:r w:rsidR="001408CC">
              <w:rPr>
                <w:rFonts w:hint="cs"/>
                <w:rtl/>
                <w:lang w:bidi="ar-LB"/>
              </w:rPr>
              <w:t xml:space="preserve">السياسات </w:t>
            </w:r>
            <w:r>
              <w:rPr>
                <w:rFonts w:hint="cs"/>
                <w:rtl/>
              </w:rPr>
              <w:t>الإقليمي</w:t>
            </w:r>
            <w:r w:rsidR="001408CC">
              <w:rPr>
                <w:rFonts w:hint="cs"/>
                <w:rtl/>
                <w:lang w:bidi="ar-LB"/>
              </w:rPr>
              <w:t>ة</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النهوض بالمرأة في إطار التعاون الإنمائي النمساوي</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 xml:space="preserve">النهوض بالفئات الإثنية </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7477B2" w:rsidRDefault="007A623A" w:rsidP="003A141B">
            <w:pPr>
              <w:rPr>
                <w:rFonts w:hint="cs"/>
                <w:b/>
                <w:bCs/>
                <w:rtl/>
              </w:rPr>
            </w:pPr>
            <w:r>
              <w:rPr>
                <w:rFonts w:hint="cs"/>
                <w:b/>
                <w:bCs/>
                <w:rtl/>
              </w:rPr>
              <w:t>المادة 4</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012F87" w:rsidP="003A141B">
            <w:pPr>
              <w:rPr>
                <w:rFonts w:hint="cs"/>
                <w:rtl/>
              </w:rPr>
            </w:pPr>
            <w:r>
              <w:rPr>
                <w:rFonts w:hint="cs"/>
                <w:rtl/>
              </w:rPr>
              <w:t>47</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b/>
                <w:bCs/>
                <w:rtl/>
              </w:rPr>
            </w:pPr>
            <w:r>
              <w:rPr>
                <w:rFonts w:hint="cs"/>
                <w:b/>
                <w:bCs/>
                <w:rtl/>
              </w:rPr>
              <w:t>المادة 4، الرقم 1</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012F87" w:rsidP="003A141B">
            <w:pPr>
              <w:rPr>
                <w:rFonts w:hint="cs"/>
                <w:rtl/>
              </w:rPr>
            </w:pPr>
            <w:r>
              <w:rPr>
                <w:rFonts w:hint="cs"/>
                <w:rtl/>
              </w:rPr>
              <w:t>47</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7477B2" w:rsidRDefault="007A623A" w:rsidP="003A141B">
            <w:pPr>
              <w:rPr>
                <w:rFonts w:hint="cs"/>
                <w:rtl/>
              </w:rPr>
            </w:pPr>
            <w:r>
              <w:rPr>
                <w:rFonts w:hint="cs"/>
                <w:rtl/>
              </w:rPr>
              <w:t xml:space="preserve">خطط النهوض بالمرأة </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التوفيق بين التزامات العمل والالتزامات المنزلية</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AB3F23" w:rsidRDefault="007A623A" w:rsidP="00AB3F23">
            <w:pPr>
              <w:rPr>
                <w:rFonts w:hint="cs"/>
                <w:rtl/>
                <w:lang w:bidi="ar-LB"/>
              </w:rPr>
            </w:pPr>
            <w:r>
              <w:rPr>
                <w:rFonts w:hint="cs"/>
                <w:rtl/>
              </w:rPr>
              <w:t>استراتيجيات تعميم مراعاة المنظور الجنساني</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7A623A" w:rsidP="003A141B">
            <w:pPr>
              <w:rPr>
                <w:rFonts w:hint="eastAsia"/>
                <w:rtl/>
              </w:rPr>
            </w:pPr>
          </w:p>
        </w:tc>
      </w:tr>
      <w:tr w:rsidR="00457A98" w:rsidRPr="00402DD7">
        <w:tblPrEx>
          <w:tblCellMar>
            <w:top w:w="0" w:type="dxa"/>
            <w:bottom w:w="0" w:type="dxa"/>
          </w:tblCellMar>
        </w:tblPrEx>
        <w:tc>
          <w:tcPr>
            <w:tcW w:w="1296" w:type="dxa"/>
            <w:shd w:val="clear" w:color="auto" w:fill="auto"/>
          </w:tcPr>
          <w:p w:rsidR="00457A98" w:rsidRPr="00402DD7" w:rsidRDefault="00457A98" w:rsidP="003A141B">
            <w:pPr>
              <w:rPr>
                <w:rFonts w:hint="cs"/>
                <w:rtl/>
              </w:rPr>
            </w:pPr>
          </w:p>
        </w:tc>
        <w:tc>
          <w:tcPr>
            <w:tcW w:w="7421" w:type="dxa"/>
            <w:shd w:val="clear" w:color="auto" w:fill="auto"/>
          </w:tcPr>
          <w:p w:rsidR="00457A98" w:rsidRDefault="00457A98" w:rsidP="003A141B">
            <w:pPr>
              <w:rPr>
                <w:rFonts w:hint="cs"/>
                <w:b/>
                <w:bCs/>
                <w:rtl/>
                <w:lang w:bidi="ar-LB"/>
              </w:rPr>
            </w:pPr>
            <w:r>
              <w:rPr>
                <w:rFonts w:hint="cs"/>
                <w:b/>
                <w:bCs/>
                <w:rtl/>
                <w:lang w:bidi="ar-LB"/>
              </w:rPr>
              <w:t>المادة 5</w:t>
            </w:r>
          </w:p>
        </w:tc>
        <w:tc>
          <w:tcPr>
            <w:tcW w:w="311" w:type="dxa"/>
            <w:shd w:val="clear" w:color="auto" w:fill="auto"/>
          </w:tcPr>
          <w:p w:rsidR="00457A98" w:rsidRPr="00402DD7" w:rsidRDefault="00457A98" w:rsidP="003A141B">
            <w:pPr>
              <w:rPr>
                <w:rFonts w:hint="cs"/>
                <w:rtl/>
              </w:rPr>
            </w:pPr>
          </w:p>
        </w:tc>
        <w:tc>
          <w:tcPr>
            <w:tcW w:w="806" w:type="dxa"/>
            <w:shd w:val="clear" w:color="auto" w:fill="auto"/>
          </w:tcPr>
          <w:p w:rsidR="00457A98" w:rsidRPr="00402DD7" w:rsidRDefault="00012F87" w:rsidP="003A141B">
            <w:pPr>
              <w:rPr>
                <w:rFonts w:hint="cs"/>
                <w:rtl/>
              </w:rPr>
            </w:pPr>
            <w:r>
              <w:rPr>
                <w:rFonts w:hint="cs"/>
                <w:rtl/>
              </w:rPr>
              <w:t>52</w:t>
            </w:r>
          </w:p>
        </w:tc>
      </w:tr>
      <w:tr w:rsidR="00457A98" w:rsidRPr="00402DD7">
        <w:tblPrEx>
          <w:tblCellMar>
            <w:top w:w="0" w:type="dxa"/>
            <w:bottom w:w="0" w:type="dxa"/>
          </w:tblCellMar>
        </w:tblPrEx>
        <w:tc>
          <w:tcPr>
            <w:tcW w:w="1296" w:type="dxa"/>
            <w:shd w:val="clear" w:color="auto" w:fill="auto"/>
          </w:tcPr>
          <w:p w:rsidR="00457A98" w:rsidRPr="00402DD7" w:rsidRDefault="00457A98" w:rsidP="003A141B">
            <w:pPr>
              <w:rPr>
                <w:rFonts w:hint="cs"/>
                <w:rtl/>
              </w:rPr>
            </w:pPr>
          </w:p>
        </w:tc>
        <w:tc>
          <w:tcPr>
            <w:tcW w:w="7421" w:type="dxa"/>
            <w:shd w:val="clear" w:color="auto" w:fill="auto"/>
          </w:tcPr>
          <w:p w:rsidR="00457A98" w:rsidRPr="00457A98" w:rsidRDefault="00457A98" w:rsidP="003A141B">
            <w:pPr>
              <w:rPr>
                <w:rFonts w:hint="cs"/>
                <w:b/>
                <w:bCs/>
                <w:rtl/>
                <w:lang w:bidi="ar-LB"/>
              </w:rPr>
            </w:pPr>
            <w:r>
              <w:rPr>
                <w:rFonts w:hint="cs"/>
                <w:b/>
                <w:bCs/>
                <w:rtl/>
                <w:lang w:bidi="ar-LB"/>
              </w:rPr>
              <w:t>المادة 5، الحرف (أ)</w:t>
            </w:r>
          </w:p>
        </w:tc>
        <w:tc>
          <w:tcPr>
            <w:tcW w:w="311" w:type="dxa"/>
            <w:shd w:val="clear" w:color="auto" w:fill="auto"/>
          </w:tcPr>
          <w:p w:rsidR="00457A98" w:rsidRPr="00402DD7" w:rsidRDefault="00457A98" w:rsidP="003A141B">
            <w:pPr>
              <w:rPr>
                <w:rFonts w:hint="cs"/>
                <w:rtl/>
              </w:rPr>
            </w:pPr>
          </w:p>
        </w:tc>
        <w:tc>
          <w:tcPr>
            <w:tcW w:w="806" w:type="dxa"/>
            <w:shd w:val="clear" w:color="auto" w:fill="auto"/>
          </w:tcPr>
          <w:p w:rsidR="00457A98" w:rsidRPr="00402DD7" w:rsidRDefault="00012F87" w:rsidP="003A141B">
            <w:pPr>
              <w:rPr>
                <w:rFonts w:hint="cs"/>
                <w:rtl/>
              </w:rPr>
            </w:pPr>
            <w:r>
              <w:rPr>
                <w:rFonts w:hint="cs"/>
                <w:rtl/>
              </w:rPr>
              <w:t>52</w:t>
            </w:r>
          </w:p>
        </w:tc>
      </w:tr>
      <w:tr w:rsidR="00457A98" w:rsidRPr="00402DD7">
        <w:tblPrEx>
          <w:tblCellMar>
            <w:top w:w="0" w:type="dxa"/>
            <w:bottom w:w="0" w:type="dxa"/>
          </w:tblCellMar>
        </w:tblPrEx>
        <w:tc>
          <w:tcPr>
            <w:tcW w:w="1296" w:type="dxa"/>
            <w:shd w:val="clear" w:color="auto" w:fill="auto"/>
          </w:tcPr>
          <w:p w:rsidR="00457A98" w:rsidRPr="00402DD7" w:rsidRDefault="00457A98" w:rsidP="003A141B">
            <w:pPr>
              <w:rPr>
                <w:rFonts w:hint="cs"/>
                <w:rtl/>
              </w:rPr>
            </w:pPr>
          </w:p>
        </w:tc>
        <w:tc>
          <w:tcPr>
            <w:tcW w:w="7421" w:type="dxa"/>
            <w:shd w:val="clear" w:color="auto" w:fill="auto"/>
          </w:tcPr>
          <w:p w:rsidR="00457A98" w:rsidRPr="00457A98" w:rsidRDefault="00457A98" w:rsidP="003A141B">
            <w:pPr>
              <w:rPr>
                <w:rFonts w:hint="cs"/>
                <w:rtl/>
                <w:lang w:bidi="ar-LB"/>
              </w:rPr>
            </w:pPr>
            <w:r>
              <w:rPr>
                <w:rFonts w:hint="cs"/>
                <w:rtl/>
                <w:lang w:bidi="ar-LB"/>
              </w:rPr>
              <w:t>التغلب على القولبة النمطية لدوري الرجل والمرأة</w:t>
            </w:r>
          </w:p>
        </w:tc>
        <w:tc>
          <w:tcPr>
            <w:tcW w:w="311" w:type="dxa"/>
            <w:shd w:val="clear" w:color="auto" w:fill="auto"/>
          </w:tcPr>
          <w:p w:rsidR="00457A98" w:rsidRPr="00402DD7" w:rsidRDefault="00457A98" w:rsidP="003A141B">
            <w:pPr>
              <w:rPr>
                <w:rFonts w:hint="cs"/>
                <w:rtl/>
              </w:rPr>
            </w:pPr>
          </w:p>
        </w:tc>
        <w:tc>
          <w:tcPr>
            <w:tcW w:w="806" w:type="dxa"/>
            <w:shd w:val="clear" w:color="auto" w:fill="auto"/>
          </w:tcPr>
          <w:p w:rsidR="00457A98" w:rsidRPr="00402DD7" w:rsidRDefault="00457A98" w:rsidP="003A141B">
            <w:pPr>
              <w:rPr>
                <w:rFonts w:hint="eastAsia"/>
                <w:rtl/>
              </w:rPr>
            </w:pPr>
          </w:p>
        </w:tc>
      </w:tr>
      <w:tr w:rsidR="00457A98" w:rsidRPr="00402DD7">
        <w:tblPrEx>
          <w:tblCellMar>
            <w:top w:w="0" w:type="dxa"/>
            <w:bottom w:w="0" w:type="dxa"/>
          </w:tblCellMar>
        </w:tblPrEx>
        <w:tc>
          <w:tcPr>
            <w:tcW w:w="1296" w:type="dxa"/>
            <w:shd w:val="clear" w:color="auto" w:fill="auto"/>
          </w:tcPr>
          <w:p w:rsidR="00457A98" w:rsidRPr="00402DD7" w:rsidRDefault="00457A98" w:rsidP="003A141B">
            <w:pPr>
              <w:rPr>
                <w:rFonts w:hint="cs"/>
                <w:rtl/>
              </w:rPr>
            </w:pPr>
          </w:p>
        </w:tc>
        <w:tc>
          <w:tcPr>
            <w:tcW w:w="7421" w:type="dxa"/>
            <w:shd w:val="clear" w:color="auto" w:fill="auto"/>
          </w:tcPr>
          <w:p w:rsidR="00457A98" w:rsidRPr="00457A98" w:rsidRDefault="00457A98" w:rsidP="003A141B">
            <w:pPr>
              <w:rPr>
                <w:rFonts w:hint="cs"/>
                <w:rtl/>
                <w:lang w:bidi="ar-LB"/>
              </w:rPr>
            </w:pPr>
            <w:r>
              <w:rPr>
                <w:rFonts w:hint="cs"/>
                <w:rtl/>
                <w:lang w:bidi="ar-LB"/>
              </w:rPr>
              <w:t>مكافحة العنف المنزلي</w:t>
            </w:r>
          </w:p>
        </w:tc>
        <w:tc>
          <w:tcPr>
            <w:tcW w:w="311" w:type="dxa"/>
            <w:shd w:val="clear" w:color="auto" w:fill="auto"/>
          </w:tcPr>
          <w:p w:rsidR="00457A98" w:rsidRPr="00402DD7" w:rsidRDefault="00457A98" w:rsidP="003A141B">
            <w:pPr>
              <w:rPr>
                <w:rFonts w:hint="cs"/>
                <w:rtl/>
              </w:rPr>
            </w:pPr>
          </w:p>
        </w:tc>
        <w:tc>
          <w:tcPr>
            <w:tcW w:w="806" w:type="dxa"/>
            <w:shd w:val="clear" w:color="auto" w:fill="auto"/>
          </w:tcPr>
          <w:p w:rsidR="00457A98" w:rsidRPr="00402DD7" w:rsidRDefault="00457A98"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7477B2" w:rsidRDefault="007A623A" w:rsidP="003A141B">
            <w:pPr>
              <w:rPr>
                <w:rFonts w:hint="cs"/>
                <w:b/>
                <w:bCs/>
                <w:rtl/>
              </w:rPr>
            </w:pPr>
            <w:r>
              <w:rPr>
                <w:rFonts w:hint="cs"/>
                <w:b/>
                <w:bCs/>
                <w:rtl/>
              </w:rPr>
              <w:t>المادة 5</w:t>
            </w:r>
            <w:r w:rsidR="00457A98">
              <w:rPr>
                <w:rFonts w:hint="cs"/>
                <w:b/>
                <w:bCs/>
                <w:rtl/>
                <w:lang w:bidi="ar-LB"/>
              </w:rPr>
              <w:t>،</w:t>
            </w:r>
            <w:r>
              <w:rPr>
                <w:rFonts w:hint="cs"/>
                <w:b/>
                <w:bCs/>
                <w:rtl/>
              </w:rPr>
              <w:t xml:space="preserve"> الحرف (ب)</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012F87" w:rsidP="003A141B">
            <w:pPr>
              <w:rPr>
                <w:rFonts w:hint="cs"/>
                <w:rtl/>
              </w:rPr>
            </w:pPr>
            <w:r>
              <w:rPr>
                <w:rFonts w:hint="cs"/>
                <w:rtl/>
              </w:rPr>
              <w:t>55</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7477B2" w:rsidRDefault="007A623A" w:rsidP="003A141B">
            <w:pPr>
              <w:rPr>
                <w:rFonts w:hint="cs"/>
                <w:rtl/>
              </w:rPr>
            </w:pPr>
            <w:r>
              <w:rPr>
                <w:rFonts w:hint="cs"/>
                <w:rtl/>
              </w:rPr>
              <w:t>حضانة ا</w:t>
            </w:r>
            <w:r w:rsidR="00457A98">
              <w:rPr>
                <w:rFonts w:hint="cs"/>
                <w:rtl/>
                <w:lang w:bidi="ar-LB"/>
              </w:rPr>
              <w:t>لأ</w:t>
            </w:r>
            <w:r>
              <w:rPr>
                <w:rFonts w:hint="cs"/>
                <w:rtl/>
              </w:rPr>
              <w:t>طفال المشتركة</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7477B2" w:rsidRDefault="007A623A" w:rsidP="003A141B">
            <w:pPr>
              <w:rPr>
                <w:rFonts w:hint="cs"/>
                <w:b/>
                <w:bCs/>
                <w:rtl/>
              </w:rPr>
            </w:pPr>
            <w:r>
              <w:rPr>
                <w:rFonts w:hint="cs"/>
                <w:b/>
                <w:bCs/>
                <w:rtl/>
              </w:rPr>
              <w:t>المادة 6</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012F87" w:rsidP="003A141B">
            <w:pPr>
              <w:rPr>
                <w:rFonts w:hint="cs"/>
                <w:rtl/>
              </w:rPr>
            </w:pPr>
            <w:r>
              <w:rPr>
                <w:rFonts w:hint="cs"/>
                <w:rtl/>
              </w:rPr>
              <w:t>55</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7477B2" w:rsidRDefault="007A623A" w:rsidP="003A141B">
            <w:pPr>
              <w:rPr>
                <w:rFonts w:hint="cs"/>
                <w:rtl/>
              </w:rPr>
            </w:pPr>
            <w:r>
              <w:rPr>
                <w:rFonts w:hint="cs"/>
                <w:rtl/>
              </w:rPr>
              <w:t>الاتجار بالنساء/الدعارة</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457A98" w:rsidP="003A141B">
            <w:pPr>
              <w:rPr>
                <w:rFonts w:hint="cs"/>
                <w:rtl/>
              </w:rPr>
            </w:pPr>
            <w:r>
              <w:rPr>
                <w:rFonts w:hint="cs"/>
                <w:rtl/>
              </w:rPr>
              <w:t>التدابير المتخذة لمنع استغلال ا</w:t>
            </w:r>
            <w:r>
              <w:rPr>
                <w:rFonts w:hint="cs"/>
                <w:rtl/>
                <w:lang w:bidi="ar-LB"/>
              </w:rPr>
              <w:t>لأ</w:t>
            </w:r>
            <w:r w:rsidR="007A623A">
              <w:rPr>
                <w:rFonts w:hint="cs"/>
                <w:rtl/>
              </w:rPr>
              <w:t>طفال جنسيا</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7477B2" w:rsidRDefault="007A623A" w:rsidP="003A141B">
            <w:pPr>
              <w:rPr>
                <w:rFonts w:hint="cs"/>
                <w:b/>
                <w:bCs/>
                <w:rtl/>
              </w:rPr>
            </w:pPr>
            <w:r>
              <w:rPr>
                <w:rFonts w:hint="cs"/>
                <w:b/>
                <w:bCs/>
                <w:rtl/>
              </w:rPr>
              <w:t>المادة 7</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012F87" w:rsidP="003A141B">
            <w:pPr>
              <w:rPr>
                <w:rFonts w:hint="cs"/>
                <w:rtl/>
              </w:rPr>
            </w:pPr>
            <w:r>
              <w:rPr>
                <w:rFonts w:hint="cs"/>
                <w:rtl/>
              </w:rPr>
              <w:t>56</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7477B2" w:rsidRDefault="007A623A" w:rsidP="003A141B">
            <w:pPr>
              <w:rPr>
                <w:rFonts w:hint="cs"/>
                <w:b/>
                <w:bCs/>
                <w:rtl/>
              </w:rPr>
            </w:pPr>
            <w:r w:rsidRPr="007477B2">
              <w:rPr>
                <w:rFonts w:hint="cs"/>
                <w:b/>
                <w:bCs/>
                <w:rtl/>
              </w:rPr>
              <w:t>المادة 7، الحرف (أ)</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012F87" w:rsidP="003A141B">
            <w:pPr>
              <w:rPr>
                <w:rFonts w:hint="cs"/>
                <w:rtl/>
              </w:rPr>
            </w:pPr>
            <w:r>
              <w:rPr>
                <w:rFonts w:hint="cs"/>
                <w:rtl/>
              </w:rPr>
              <w:t>56</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المرأة في المناصب السياسية والمناصب العامة</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7477B2" w:rsidRDefault="007A623A" w:rsidP="003A141B">
            <w:pPr>
              <w:rPr>
                <w:rFonts w:hint="cs"/>
                <w:b/>
                <w:bCs/>
                <w:rtl/>
              </w:rPr>
            </w:pPr>
            <w:r>
              <w:rPr>
                <w:rFonts w:hint="cs"/>
                <w:b/>
                <w:bCs/>
                <w:rtl/>
              </w:rPr>
              <w:t>المادة 7، الحرف (ب)</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012F87" w:rsidP="003A141B">
            <w:pPr>
              <w:rPr>
                <w:rFonts w:hint="cs"/>
                <w:rtl/>
              </w:rPr>
            </w:pPr>
            <w:r>
              <w:rPr>
                <w:rFonts w:hint="cs"/>
                <w:rtl/>
              </w:rPr>
              <w:t>58</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7477B2" w:rsidRDefault="007A623A" w:rsidP="003A141B">
            <w:pPr>
              <w:rPr>
                <w:rFonts w:hint="cs"/>
                <w:rtl/>
              </w:rPr>
            </w:pPr>
            <w:r w:rsidRPr="007477B2">
              <w:rPr>
                <w:rFonts w:hint="cs"/>
                <w:rtl/>
              </w:rPr>
              <w:t>المرأة في القوات المسلحة</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7477B2" w:rsidRDefault="007A623A" w:rsidP="003A141B">
            <w:pPr>
              <w:rPr>
                <w:rFonts w:hint="cs"/>
                <w:rtl/>
              </w:rPr>
            </w:pPr>
            <w:r w:rsidRPr="007477B2">
              <w:rPr>
                <w:rFonts w:hint="cs"/>
                <w:rtl/>
              </w:rPr>
              <w:t>تعميم مراعاة المنظور الجنساني والإدارة البلدية</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7477B2" w:rsidRDefault="007A623A" w:rsidP="003A141B">
            <w:pPr>
              <w:rPr>
                <w:rFonts w:hint="cs"/>
                <w:b/>
                <w:bCs/>
                <w:rtl/>
              </w:rPr>
            </w:pPr>
            <w:r>
              <w:rPr>
                <w:rFonts w:hint="cs"/>
                <w:b/>
                <w:bCs/>
                <w:rtl/>
              </w:rPr>
              <w:t>المادة 8</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012F87" w:rsidP="003A141B">
            <w:pPr>
              <w:rPr>
                <w:rFonts w:hint="cs"/>
                <w:rtl/>
              </w:rPr>
            </w:pPr>
            <w:r>
              <w:rPr>
                <w:rFonts w:hint="cs"/>
                <w:rtl/>
              </w:rPr>
              <w:t>60</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7477B2" w:rsidRDefault="007A623A" w:rsidP="003A141B">
            <w:pPr>
              <w:rPr>
                <w:rFonts w:hint="cs"/>
                <w:rtl/>
              </w:rPr>
            </w:pPr>
            <w:r>
              <w:rPr>
                <w:rFonts w:hint="cs"/>
                <w:rtl/>
              </w:rPr>
              <w:t>تمثيل المرأة على الصعيد الدولي وعملها في المنظمات الدولية</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FE379E" w:rsidRDefault="007A623A" w:rsidP="003A141B">
            <w:pPr>
              <w:rPr>
                <w:rFonts w:hint="cs"/>
                <w:rtl/>
              </w:rPr>
            </w:pPr>
            <w:r w:rsidRPr="00FE379E">
              <w:rPr>
                <w:rFonts w:hint="cs"/>
                <w:rtl/>
              </w:rPr>
              <w:t>الألعاب الرياضية الدولية</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7477B2" w:rsidRDefault="007A623A" w:rsidP="003A141B">
            <w:pPr>
              <w:rPr>
                <w:rFonts w:hint="cs"/>
                <w:b/>
                <w:bCs/>
                <w:rtl/>
              </w:rPr>
            </w:pPr>
            <w:r>
              <w:rPr>
                <w:rFonts w:hint="cs"/>
                <w:b/>
                <w:bCs/>
                <w:rtl/>
              </w:rPr>
              <w:t>المادة 10</w:t>
            </w:r>
          </w:p>
        </w:tc>
        <w:tc>
          <w:tcPr>
            <w:tcW w:w="311" w:type="dxa"/>
            <w:shd w:val="clear" w:color="auto" w:fill="auto"/>
          </w:tcPr>
          <w:p w:rsidR="007A623A" w:rsidRPr="00402DD7" w:rsidRDefault="007A623A" w:rsidP="003A141B">
            <w:pPr>
              <w:rPr>
                <w:rFonts w:hint="cs"/>
                <w:rtl/>
              </w:rPr>
            </w:pPr>
          </w:p>
        </w:tc>
        <w:tc>
          <w:tcPr>
            <w:tcW w:w="806" w:type="dxa"/>
            <w:shd w:val="clear" w:color="auto" w:fill="auto"/>
          </w:tcPr>
          <w:p w:rsidR="007A623A" w:rsidRPr="00402DD7" w:rsidRDefault="00012F87" w:rsidP="003A141B">
            <w:pPr>
              <w:rPr>
                <w:rFonts w:hint="cs"/>
                <w:rtl/>
              </w:rPr>
            </w:pPr>
            <w:r>
              <w:rPr>
                <w:rFonts w:hint="cs"/>
                <w:rtl/>
              </w:rPr>
              <w:t>61</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FE379E" w:rsidRDefault="007A623A" w:rsidP="003A141B">
            <w:pPr>
              <w:rPr>
                <w:rFonts w:hint="cs"/>
                <w:rtl/>
              </w:rPr>
            </w:pPr>
            <w:r w:rsidRPr="00FE379E">
              <w:rPr>
                <w:rFonts w:hint="cs"/>
                <w:rtl/>
              </w:rPr>
              <w:t>حصول المرأة على التعليم</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FE379E" w:rsidRDefault="007A623A" w:rsidP="003A141B">
            <w:pPr>
              <w:rPr>
                <w:rFonts w:hint="cs"/>
                <w:b/>
                <w:bCs/>
                <w:rtl/>
              </w:rPr>
            </w:pPr>
            <w:r w:rsidRPr="00FE379E">
              <w:rPr>
                <w:rFonts w:hint="cs"/>
                <w:b/>
                <w:bCs/>
                <w:rtl/>
              </w:rPr>
              <w:t>المادة 10، الحروف (أ) و (ب) و (د)</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63</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الشروط المسبقة القانونية</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FE379E" w:rsidRDefault="007A623A" w:rsidP="003A141B">
            <w:pPr>
              <w:rPr>
                <w:rFonts w:hint="cs"/>
                <w:b/>
                <w:bCs/>
                <w:rtl/>
              </w:rPr>
            </w:pPr>
            <w:r>
              <w:rPr>
                <w:rFonts w:hint="cs"/>
                <w:b/>
                <w:bCs/>
                <w:rtl/>
              </w:rPr>
              <w:t>المادة 10، الحرف (ج)</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63</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FE379E" w:rsidRDefault="007A623A" w:rsidP="003A141B">
            <w:pPr>
              <w:rPr>
                <w:rFonts w:hint="cs"/>
                <w:rtl/>
              </w:rPr>
            </w:pPr>
            <w:r>
              <w:rPr>
                <w:rFonts w:hint="cs"/>
                <w:rtl/>
              </w:rPr>
              <w:t xml:space="preserve">تعميم </w:t>
            </w:r>
            <w:r w:rsidR="00457A98">
              <w:rPr>
                <w:rFonts w:hint="cs"/>
                <w:rtl/>
                <w:lang w:bidi="ar-LB"/>
              </w:rPr>
              <w:t>مراعا</w:t>
            </w:r>
            <w:r>
              <w:rPr>
                <w:rFonts w:hint="cs"/>
                <w:rtl/>
              </w:rPr>
              <w:t>ة المنظور الجنساني في مجال التعليم</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eastAsia"/>
                <w:rtl/>
              </w:rPr>
            </w:pPr>
            <w:r>
              <w:rPr>
                <w:rFonts w:hint="cs"/>
                <w:rtl/>
              </w:rPr>
              <w:t xml:space="preserve">إعطاء الأولوية لـ </w:t>
            </w:r>
            <w:r>
              <w:rPr>
                <w:rFonts w:hint="eastAsia"/>
                <w:rtl/>
              </w:rPr>
              <w:t>”</w:t>
            </w:r>
            <w:r w:rsidR="00457A98">
              <w:rPr>
                <w:rFonts w:hint="cs"/>
                <w:rtl/>
                <w:lang w:bidi="ar-LB"/>
              </w:rPr>
              <w:t>توجيه المرأة مهنيا</w:t>
            </w:r>
            <w:r>
              <w:rPr>
                <w:rFonts w:hint="eastAsia"/>
                <w:rtl/>
              </w:rPr>
              <w:t xml:space="preserve">، </w:t>
            </w:r>
            <w:r>
              <w:rPr>
                <w:rFonts w:hint="cs"/>
                <w:rtl/>
              </w:rPr>
              <w:t>والبنات والتكنولوجيا</w:t>
            </w:r>
            <w:r>
              <w:rPr>
                <w:rFonts w:hint="eastAsia"/>
                <w:rtl/>
              </w:rPr>
              <w:t>“</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 xml:space="preserve">مبدأ </w:t>
            </w:r>
            <w:r>
              <w:rPr>
                <w:rFonts w:hint="eastAsia"/>
                <w:rtl/>
              </w:rPr>
              <w:t>”التعليم المختلط الهادف</w:t>
            </w:r>
            <w:r>
              <w:rPr>
                <w:rFonts w:hint="cs"/>
                <w:rtl/>
              </w:rPr>
              <w:t>“</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المرأة في مجال الأبحاث والتكنولوجيا</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الدراسات الخاصة بالمرأة</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النهوض بالمرأة في مجال العلوم والأبحاث</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التدابير القانونية المتخذة والرامية إلى تحقيق المساواة الفعلية بين الرجل والمرأة في الجامعات</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تعليم البالغين</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b/>
                <w:bCs/>
                <w:rtl/>
              </w:rPr>
            </w:pPr>
            <w:r>
              <w:rPr>
                <w:rFonts w:hint="cs"/>
                <w:b/>
                <w:bCs/>
                <w:rtl/>
              </w:rPr>
              <w:t>المادة 10، الحرف (هـ)</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74</w:t>
            </w:r>
          </w:p>
        </w:tc>
      </w:tr>
      <w:tr w:rsidR="00EB4EE9" w:rsidRPr="00402DD7">
        <w:tblPrEx>
          <w:tblCellMar>
            <w:top w:w="0" w:type="dxa"/>
            <w:bottom w:w="0" w:type="dxa"/>
          </w:tblCellMar>
        </w:tblPrEx>
        <w:tc>
          <w:tcPr>
            <w:tcW w:w="1296" w:type="dxa"/>
            <w:shd w:val="clear" w:color="auto" w:fill="auto"/>
          </w:tcPr>
          <w:p w:rsidR="00EB4EE9" w:rsidRPr="00402DD7" w:rsidRDefault="00EB4EE9" w:rsidP="003A141B">
            <w:pPr>
              <w:rPr>
                <w:rFonts w:hint="cs"/>
                <w:rtl/>
              </w:rPr>
            </w:pPr>
          </w:p>
        </w:tc>
        <w:tc>
          <w:tcPr>
            <w:tcW w:w="7421" w:type="dxa"/>
            <w:shd w:val="clear" w:color="auto" w:fill="auto"/>
          </w:tcPr>
          <w:p w:rsidR="00EB4EE9" w:rsidRDefault="00EB4EE9" w:rsidP="003A141B">
            <w:pPr>
              <w:rPr>
                <w:rFonts w:hint="cs"/>
                <w:rtl/>
                <w:lang w:bidi="ar-LB"/>
              </w:rPr>
            </w:pPr>
            <w:r>
              <w:rPr>
                <w:rFonts w:hint="cs"/>
                <w:rtl/>
                <w:lang w:bidi="ar-LB"/>
              </w:rPr>
              <w:t>التدابير التعليمية التي تستهدف المهاجرات</w:t>
            </w:r>
          </w:p>
        </w:tc>
        <w:tc>
          <w:tcPr>
            <w:tcW w:w="311" w:type="dxa"/>
            <w:shd w:val="clear" w:color="auto" w:fill="auto"/>
          </w:tcPr>
          <w:p w:rsidR="00EB4EE9" w:rsidRPr="007477B2" w:rsidRDefault="00EB4EE9" w:rsidP="003A141B">
            <w:pPr>
              <w:rPr>
                <w:rFonts w:hint="cs"/>
                <w:b/>
                <w:bCs/>
                <w:rtl/>
              </w:rPr>
            </w:pPr>
          </w:p>
        </w:tc>
        <w:tc>
          <w:tcPr>
            <w:tcW w:w="806" w:type="dxa"/>
            <w:shd w:val="clear" w:color="auto" w:fill="auto"/>
          </w:tcPr>
          <w:p w:rsidR="00EB4EE9" w:rsidRPr="00402DD7" w:rsidRDefault="00EB4EE9" w:rsidP="003A141B">
            <w:pPr>
              <w:rPr>
                <w:rFonts w:hint="eastAsia"/>
                <w:rtl/>
              </w:rPr>
            </w:pPr>
          </w:p>
        </w:tc>
      </w:tr>
      <w:tr w:rsidR="00EB4EE9" w:rsidRPr="00402DD7">
        <w:tblPrEx>
          <w:tblCellMar>
            <w:top w:w="0" w:type="dxa"/>
            <w:bottom w:w="0" w:type="dxa"/>
          </w:tblCellMar>
        </w:tblPrEx>
        <w:tc>
          <w:tcPr>
            <w:tcW w:w="1296" w:type="dxa"/>
            <w:shd w:val="clear" w:color="auto" w:fill="auto"/>
          </w:tcPr>
          <w:p w:rsidR="00EB4EE9" w:rsidRPr="00402DD7" w:rsidRDefault="00EB4EE9" w:rsidP="003A141B">
            <w:pPr>
              <w:rPr>
                <w:rFonts w:hint="cs"/>
                <w:rtl/>
              </w:rPr>
            </w:pPr>
          </w:p>
        </w:tc>
        <w:tc>
          <w:tcPr>
            <w:tcW w:w="7421" w:type="dxa"/>
            <w:shd w:val="clear" w:color="auto" w:fill="auto"/>
          </w:tcPr>
          <w:p w:rsidR="00EB4EE9" w:rsidRDefault="00EB4EE9" w:rsidP="003A141B">
            <w:pPr>
              <w:rPr>
                <w:rFonts w:hint="cs"/>
                <w:rtl/>
              </w:rPr>
            </w:pPr>
            <w:r>
              <w:rPr>
                <w:rFonts w:hint="cs"/>
                <w:b/>
                <w:bCs/>
                <w:rtl/>
              </w:rPr>
              <w:t>المادة 10، الحرف (</w:t>
            </w:r>
            <w:r>
              <w:rPr>
                <w:rFonts w:hint="cs"/>
                <w:b/>
                <w:bCs/>
                <w:rtl/>
                <w:lang w:bidi="ar-LB"/>
              </w:rPr>
              <w:t>و</w:t>
            </w:r>
            <w:r>
              <w:rPr>
                <w:rFonts w:hint="cs"/>
                <w:b/>
                <w:bCs/>
                <w:rtl/>
              </w:rPr>
              <w:t>)</w:t>
            </w:r>
          </w:p>
        </w:tc>
        <w:tc>
          <w:tcPr>
            <w:tcW w:w="311" w:type="dxa"/>
            <w:shd w:val="clear" w:color="auto" w:fill="auto"/>
          </w:tcPr>
          <w:p w:rsidR="00EB4EE9" w:rsidRPr="007477B2" w:rsidRDefault="00EB4EE9" w:rsidP="003A141B">
            <w:pPr>
              <w:rPr>
                <w:rFonts w:hint="cs"/>
                <w:b/>
                <w:bCs/>
                <w:rtl/>
              </w:rPr>
            </w:pPr>
          </w:p>
        </w:tc>
        <w:tc>
          <w:tcPr>
            <w:tcW w:w="806" w:type="dxa"/>
            <w:shd w:val="clear" w:color="auto" w:fill="auto"/>
          </w:tcPr>
          <w:p w:rsidR="00EB4EE9" w:rsidRPr="00402DD7" w:rsidRDefault="00012F87" w:rsidP="003A141B">
            <w:pPr>
              <w:rPr>
                <w:rFonts w:hint="cs"/>
                <w:rtl/>
              </w:rPr>
            </w:pPr>
            <w:r>
              <w:rPr>
                <w:rFonts w:hint="cs"/>
                <w:rtl/>
              </w:rPr>
              <w:t>75</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rtl/>
              </w:rPr>
            </w:pPr>
            <w:r>
              <w:rPr>
                <w:rFonts w:hint="cs"/>
                <w:rtl/>
              </w:rPr>
              <w:t>التأخر في استكمال الدراسة</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b/>
                <w:bCs/>
                <w:rtl/>
              </w:rPr>
            </w:pPr>
            <w:r>
              <w:rPr>
                <w:rFonts w:hint="cs"/>
                <w:b/>
                <w:bCs/>
                <w:rtl/>
              </w:rPr>
              <w:t>المادة 10، الحرف (ز)</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76</w:t>
            </w:r>
          </w:p>
        </w:tc>
      </w:tr>
      <w:tr w:rsidR="00EB4EE9" w:rsidRPr="00402DD7">
        <w:tblPrEx>
          <w:tblCellMar>
            <w:top w:w="0" w:type="dxa"/>
            <w:bottom w:w="0" w:type="dxa"/>
          </w:tblCellMar>
        </w:tblPrEx>
        <w:tc>
          <w:tcPr>
            <w:tcW w:w="1296" w:type="dxa"/>
            <w:shd w:val="clear" w:color="auto" w:fill="auto"/>
          </w:tcPr>
          <w:p w:rsidR="00EB4EE9" w:rsidRPr="00402DD7" w:rsidRDefault="00EB4EE9" w:rsidP="003A141B">
            <w:pPr>
              <w:rPr>
                <w:rFonts w:hint="cs"/>
                <w:rtl/>
              </w:rPr>
            </w:pPr>
          </w:p>
        </w:tc>
        <w:tc>
          <w:tcPr>
            <w:tcW w:w="7421" w:type="dxa"/>
            <w:shd w:val="clear" w:color="auto" w:fill="auto"/>
          </w:tcPr>
          <w:p w:rsidR="00EB4EE9" w:rsidRDefault="00B56B52" w:rsidP="003A141B">
            <w:pPr>
              <w:rPr>
                <w:rFonts w:hint="cs"/>
                <w:rtl/>
                <w:lang w:bidi="ar-LB"/>
              </w:rPr>
            </w:pPr>
            <w:r>
              <w:rPr>
                <w:rFonts w:hint="cs"/>
                <w:rtl/>
                <w:lang w:bidi="ar-LB"/>
              </w:rPr>
              <w:t>التدريبات البدنية والرياضة</w:t>
            </w:r>
          </w:p>
        </w:tc>
        <w:tc>
          <w:tcPr>
            <w:tcW w:w="311" w:type="dxa"/>
            <w:shd w:val="clear" w:color="auto" w:fill="auto"/>
          </w:tcPr>
          <w:p w:rsidR="00EB4EE9" w:rsidRPr="007477B2" w:rsidRDefault="00EB4EE9" w:rsidP="003A141B">
            <w:pPr>
              <w:rPr>
                <w:rFonts w:hint="cs"/>
                <w:b/>
                <w:bCs/>
                <w:rtl/>
              </w:rPr>
            </w:pPr>
          </w:p>
        </w:tc>
        <w:tc>
          <w:tcPr>
            <w:tcW w:w="806" w:type="dxa"/>
            <w:shd w:val="clear" w:color="auto" w:fill="auto"/>
          </w:tcPr>
          <w:p w:rsidR="00EB4EE9" w:rsidRPr="00402DD7" w:rsidRDefault="00EB4EE9" w:rsidP="003A141B">
            <w:pPr>
              <w:rPr>
                <w:rFonts w:hint="eastAsia"/>
                <w:rtl/>
              </w:rPr>
            </w:pPr>
          </w:p>
        </w:tc>
      </w:tr>
      <w:tr w:rsidR="00B56B52" w:rsidRPr="00402DD7">
        <w:tblPrEx>
          <w:tblCellMar>
            <w:top w:w="0" w:type="dxa"/>
            <w:bottom w:w="0" w:type="dxa"/>
          </w:tblCellMar>
        </w:tblPrEx>
        <w:tc>
          <w:tcPr>
            <w:tcW w:w="1296" w:type="dxa"/>
            <w:shd w:val="clear" w:color="auto" w:fill="auto"/>
          </w:tcPr>
          <w:p w:rsidR="00B56B52" w:rsidRPr="00402DD7" w:rsidRDefault="00B56B52" w:rsidP="003A141B">
            <w:pPr>
              <w:rPr>
                <w:rFonts w:hint="cs"/>
                <w:rtl/>
              </w:rPr>
            </w:pPr>
          </w:p>
        </w:tc>
        <w:tc>
          <w:tcPr>
            <w:tcW w:w="7421" w:type="dxa"/>
            <w:shd w:val="clear" w:color="auto" w:fill="auto"/>
          </w:tcPr>
          <w:p w:rsidR="00B56B52" w:rsidRDefault="00B56B52" w:rsidP="003A141B">
            <w:pPr>
              <w:rPr>
                <w:rFonts w:hint="cs"/>
                <w:rtl/>
              </w:rPr>
            </w:pPr>
            <w:r>
              <w:rPr>
                <w:rFonts w:hint="cs"/>
                <w:b/>
                <w:bCs/>
                <w:rtl/>
              </w:rPr>
              <w:t>المادة 10، الحرف (</w:t>
            </w:r>
            <w:r w:rsidR="00E501BE">
              <w:rPr>
                <w:rFonts w:hint="cs"/>
                <w:b/>
                <w:bCs/>
                <w:rtl/>
                <w:lang w:bidi="ar-LB"/>
              </w:rPr>
              <w:t>ح</w:t>
            </w:r>
            <w:r>
              <w:rPr>
                <w:rFonts w:hint="cs"/>
                <w:b/>
                <w:bCs/>
                <w:rtl/>
              </w:rPr>
              <w:t>)</w:t>
            </w:r>
          </w:p>
        </w:tc>
        <w:tc>
          <w:tcPr>
            <w:tcW w:w="311" w:type="dxa"/>
            <w:shd w:val="clear" w:color="auto" w:fill="auto"/>
          </w:tcPr>
          <w:p w:rsidR="00B56B52" w:rsidRPr="007477B2" w:rsidRDefault="00B56B52" w:rsidP="003A141B">
            <w:pPr>
              <w:rPr>
                <w:rFonts w:hint="cs"/>
                <w:b/>
                <w:bCs/>
                <w:rtl/>
              </w:rPr>
            </w:pPr>
          </w:p>
        </w:tc>
        <w:tc>
          <w:tcPr>
            <w:tcW w:w="806" w:type="dxa"/>
            <w:shd w:val="clear" w:color="auto" w:fill="auto"/>
          </w:tcPr>
          <w:p w:rsidR="00B56B52" w:rsidRPr="00402DD7" w:rsidRDefault="00012F87" w:rsidP="003A141B">
            <w:pPr>
              <w:rPr>
                <w:rFonts w:hint="cs"/>
                <w:rtl/>
              </w:rPr>
            </w:pPr>
            <w:r>
              <w:rPr>
                <w:rFonts w:hint="cs"/>
                <w:rtl/>
              </w:rPr>
              <w:t>76</w:t>
            </w:r>
          </w:p>
        </w:tc>
      </w:tr>
      <w:tr w:rsidR="00E501BE" w:rsidRPr="00402DD7">
        <w:tblPrEx>
          <w:tblCellMar>
            <w:top w:w="0" w:type="dxa"/>
            <w:bottom w:w="0" w:type="dxa"/>
          </w:tblCellMar>
        </w:tblPrEx>
        <w:tc>
          <w:tcPr>
            <w:tcW w:w="1296" w:type="dxa"/>
            <w:shd w:val="clear" w:color="auto" w:fill="auto"/>
          </w:tcPr>
          <w:p w:rsidR="00E501BE" w:rsidRPr="00402DD7" w:rsidRDefault="00E501BE" w:rsidP="003A141B">
            <w:pPr>
              <w:rPr>
                <w:rFonts w:hint="cs"/>
                <w:rtl/>
              </w:rPr>
            </w:pPr>
          </w:p>
        </w:tc>
        <w:tc>
          <w:tcPr>
            <w:tcW w:w="7421" w:type="dxa"/>
            <w:shd w:val="clear" w:color="auto" w:fill="auto"/>
          </w:tcPr>
          <w:p w:rsidR="00E501BE" w:rsidRDefault="00E501BE" w:rsidP="003A141B">
            <w:pPr>
              <w:rPr>
                <w:rFonts w:hint="cs"/>
                <w:rtl/>
                <w:lang w:bidi="ar-LB"/>
              </w:rPr>
            </w:pPr>
            <w:r>
              <w:rPr>
                <w:rFonts w:hint="cs"/>
                <w:rtl/>
                <w:lang w:bidi="ar-LB"/>
              </w:rPr>
              <w:t xml:space="preserve">الصحة </w:t>
            </w:r>
            <w:r w:rsidR="00D71234">
              <w:rPr>
                <w:rFonts w:hint="cs"/>
                <w:rtl/>
                <w:lang w:bidi="ar-LB"/>
              </w:rPr>
              <w:t xml:space="preserve">والتثقيف </w:t>
            </w:r>
            <w:r>
              <w:rPr>
                <w:rFonts w:hint="cs"/>
                <w:rtl/>
                <w:lang w:bidi="ar-LB"/>
              </w:rPr>
              <w:t>الجنسي</w:t>
            </w:r>
          </w:p>
        </w:tc>
        <w:tc>
          <w:tcPr>
            <w:tcW w:w="311" w:type="dxa"/>
            <w:shd w:val="clear" w:color="auto" w:fill="auto"/>
          </w:tcPr>
          <w:p w:rsidR="00E501BE" w:rsidRPr="007477B2" w:rsidRDefault="00E501BE" w:rsidP="003A141B">
            <w:pPr>
              <w:rPr>
                <w:rFonts w:hint="cs"/>
                <w:b/>
                <w:bCs/>
                <w:rtl/>
              </w:rPr>
            </w:pPr>
          </w:p>
        </w:tc>
        <w:tc>
          <w:tcPr>
            <w:tcW w:w="806" w:type="dxa"/>
            <w:shd w:val="clear" w:color="auto" w:fill="auto"/>
          </w:tcPr>
          <w:p w:rsidR="00E501BE" w:rsidRPr="00402DD7" w:rsidRDefault="00E501BE" w:rsidP="003A141B">
            <w:pPr>
              <w:rPr>
                <w:rFonts w:hint="eastAsia"/>
                <w:rtl/>
              </w:rPr>
            </w:pPr>
          </w:p>
        </w:tc>
      </w:tr>
      <w:tr w:rsidR="00E501BE" w:rsidRPr="00402DD7">
        <w:tblPrEx>
          <w:tblCellMar>
            <w:top w:w="0" w:type="dxa"/>
            <w:bottom w:w="0" w:type="dxa"/>
          </w:tblCellMar>
        </w:tblPrEx>
        <w:tc>
          <w:tcPr>
            <w:tcW w:w="1296" w:type="dxa"/>
            <w:shd w:val="clear" w:color="auto" w:fill="auto"/>
          </w:tcPr>
          <w:p w:rsidR="00E501BE" w:rsidRPr="00402DD7" w:rsidRDefault="00E501BE" w:rsidP="003A141B">
            <w:pPr>
              <w:rPr>
                <w:rFonts w:hint="cs"/>
                <w:rtl/>
              </w:rPr>
            </w:pPr>
          </w:p>
        </w:tc>
        <w:tc>
          <w:tcPr>
            <w:tcW w:w="7421" w:type="dxa"/>
            <w:shd w:val="clear" w:color="auto" w:fill="auto"/>
          </w:tcPr>
          <w:p w:rsidR="00E501BE" w:rsidRPr="00E501BE" w:rsidRDefault="00E501BE" w:rsidP="003A141B">
            <w:pPr>
              <w:rPr>
                <w:rFonts w:hint="cs"/>
                <w:b/>
                <w:bCs/>
                <w:rtl/>
                <w:lang w:bidi="ar-LB"/>
              </w:rPr>
            </w:pPr>
            <w:r>
              <w:rPr>
                <w:rFonts w:hint="cs"/>
                <w:b/>
                <w:bCs/>
                <w:rtl/>
                <w:lang w:bidi="ar-LB"/>
              </w:rPr>
              <w:t>المادة 11</w:t>
            </w:r>
          </w:p>
        </w:tc>
        <w:tc>
          <w:tcPr>
            <w:tcW w:w="311" w:type="dxa"/>
            <w:shd w:val="clear" w:color="auto" w:fill="auto"/>
          </w:tcPr>
          <w:p w:rsidR="00E501BE" w:rsidRPr="007477B2" w:rsidRDefault="00E501BE" w:rsidP="003A141B">
            <w:pPr>
              <w:rPr>
                <w:rFonts w:hint="cs"/>
                <w:b/>
                <w:bCs/>
                <w:rtl/>
              </w:rPr>
            </w:pPr>
          </w:p>
        </w:tc>
        <w:tc>
          <w:tcPr>
            <w:tcW w:w="806" w:type="dxa"/>
            <w:shd w:val="clear" w:color="auto" w:fill="auto"/>
          </w:tcPr>
          <w:p w:rsidR="00E501BE" w:rsidRPr="00402DD7" w:rsidRDefault="00012F87" w:rsidP="003A141B">
            <w:pPr>
              <w:rPr>
                <w:rFonts w:hint="cs"/>
                <w:rtl/>
              </w:rPr>
            </w:pPr>
            <w:r>
              <w:rPr>
                <w:rFonts w:hint="cs"/>
                <w:rtl/>
              </w:rPr>
              <w:t>76</w:t>
            </w:r>
          </w:p>
        </w:tc>
      </w:tr>
      <w:tr w:rsidR="00E501BE" w:rsidRPr="00402DD7">
        <w:tblPrEx>
          <w:tblCellMar>
            <w:top w:w="0" w:type="dxa"/>
            <w:bottom w:w="0" w:type="dxa"/>
          </w:tblCellMar>
        </w:tblPrEx>
        <w:tc>
          <w:tcPr>
            <w:tcW w:w="1296" w:type="dxa"/>
            <w:shd w:val="clear" w:color="auto" w:fill="auto"/>
          </w:tcPr>
          <w:p w:rsidR="00E501BE" w:rsidRPr="00402DD7" w:rsidRDefault="00E501BE" w:rsidP="003A141B">
            <w:pPr>
              <w:rPr>
                <w:rFonts w:hint="cs"/>
                <w:rtl/>
              </w:rPr>
            </w:pPr>
          </w:p>
        </w:tc>
        <w:tc>
          <w:tcPr>
            <w:tcW w:w="7421" w:type="dxa"/>
            <w:shd w:val="clear" w:color="auto" w:fill="auto"/>
          </w:tcPr>
          <w:p w:rsidR="00E501BE" w:rsidRPr="00E501BE" w:rsidRDefault="00E501BE" w:rsidP="003A141B">
            <w:pPr>
              <w:rPr>
                <w:rFonts w:hint="cs"/>
                <w:b/>
                <w:bCs/>
                <w:rtl/>
                <w:lang w:bidi="ar-LB"/>
              </w:rPr>
            </w:pPr>
            <w:r>
              <w:rPr>
                <w:rFonts w:hint="cs"/>
                <w:rtl/>
                <w:lang w:bidi="ar-LB"/>
              </w:rPr>
              <w:t>ا</w:t>
            </w:r>
            <w:r>
              <w:rPr>
                <w:rFonts w:hint="cs"/>
                <w:b/>
                <w:bCs/>
                <w:rtl/>
                <w:lang w:bidi="ar-LB"/>
              </w:rPr>
              <w:t>المادة 11، الرقم 1، الحرف (أ)</w:t>
            </w:r>
          </w:p>
        </w:tc>
        <w:tc>
          <w:tcPr>
            <w:tcW w:w="311" w:type="dxa"/>
            <w:shd w:val="clear" w:color="auto" w:fill="auto"/>
          </w:tcPr>
          <w:p w:rsidR="00E501BE" w:rsidRPr="007477B2" w:rsidRDefault="00E501BE" w:rsidP="003A141B">
            <w:pPr>
              <w:rPr>
                <w:rFonts w:hint="cs"/>
                <w:b/>
                <w:bCs/>
                <w:rtl/>
              </w:rPr>
            </w:pPr>
          </w:p>
        </w:tc>
        <w:tc>
          <w:tcPr>
            <w:tcW w:w="806" w:type="dxa"/>
            <w:shd w:val="clear" w:color="auto" w:fill="auto"/>
          </w:tcPr>
          <w:p w:rsidR="00E501BE" w:rsidRPr="00402DD7" w:rsidRDefault="00012F87" w:rsidP="003A141B">
            <w:pPr>
              <w:rPr>
                <w:rFonts w:hint="cs"/>
                <w:rtl/>
              </w:rPr>
            </w:pPr>
            <w:r>
              <w:rPr>
                <w:rFonts w:hint="cs"/>
                <w:rtl/>
              </w:rPr>
              <w:t>77</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rtl/>
              </w:rPr>
            </w:pPr>
            <w:r>
              <w:rPr>
                <w:rFonts w:hint="cs"/>
                <w:rtl/>
              </w:rPr>
              <w:t>ضمان حق المرأة في العمل</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المرأة في مجال التكنولوجيا والأبحاث</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تعديل المادة 50 (ب) من قانون الخدمة العامة</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 xml:space="preserve">مشروع </w:t>
            </w:r>
            <w:r>
              <w:rPr>
                <w:rFonts w:hint="eastAsia"/>
                <w:rtl/>
              </w:rPr>
              <w:t>”مساعدو الأفرقة</w:t>
            </w:r>
            <w:r>
              <w:rPr>
                <w:rFonts w:hint="cs"/>
                <w:rtl/>
              </w:rPr>
              <w:t>“</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المعوقون من النساء في سوق العمل</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المشاركة في مشاريع الاتحاد الأوروبي</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b/>
                <w:bCs/>
                <w:rtl/>
              </w:rPr>
            </w:pPr>
            <w:r>
              <w:rPr>
                <w:rFonts w:hint="cs"/>
                <w:b/>
                <w:bCs/>
                <w:rtl/>
              </w:rPr>
              <w:t>المادة 11، الرقم 1، الحرف (ب)</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81</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rtl/>
              </w:rPr>
            </w:pPr>
            <w:r>
              <w:rPr>
                <w:rFonts w:hint="cs"/>
                <w:rtl/>
              </w:rPr>
              <w:t>قانون المساواة في المعاملة بصيغته المعدلة في عام 2001</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b/>
                <w:bCs/>
                <w:rtl/>
              </w:rPr>
            </w:pPr>
            <w:r>
              <w:rPr>
                <w:rFonts w:hint="cs"/>
                <w:b/>
                <w:bCs/>
                <w:rtl/>
              </w:rPr>
              <w:t>المادة 11، الرقم 1، الحرف (ج)</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81</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rtl/>
              </w:rPr>
            </w:pPr>
            <w:r>
              <w:rPr>
                <w:rFonts w:hint="cs"/>
                <w:rtl/>
              </w:rPr>
              <w:t>العطلة الدراسية</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b/>
                <w:bCs/>
                <w:rtl/>
              </w:rPr>
            </w:pPr>
            <w:r>
              <w:rPr>
                <w:rFonts w:hint="cs"/>
                <w:b/>
                <w:bCs/>
                <w:rtl/>
              </w:rPr>
              <w:t>المادة 11، الرقم 1، الحرف (د)</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82</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b/>
                <w:bCs/>
                <w:rtl/>
              </w:rPr>
            </w:pPr>
            <w:r>
              <w:rPr>
                <w:rFonts w:hint="cs"/>
                <w:b/>
                <w:bCs/>
                <w:rtl/>
              </w:rPr>
              <w:t>المادة 11، الرقم 1، الحرف (هـ)</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82</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rtl/>
              </w:rPr>
            </w:pPr>
            <w:r>
              <w:rPr>
                <w:rFonts w:hint="cs"/>
                <w:rtl/>
              </w:rPr>
              <w:t>المعاشات التقاعدية</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b/>
                <w:bCs/>
                <w:rtl/>
              </w:rPr>
            </w:pPr>
            <w:r>
              <w:rPr>
                <w:rFonts w:hint="cs"/>
                <w:b/>
                <w:bCs/>
                <w:rtl/>
              </w:rPr>
              <w:t>المادة 11، الرقم 1، الحرف (و)</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83</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rtl/>
              </w:rPr>
            </w:pPr>
            <w:r>
              <w:rPr>
                <w:rFonts w:hint="cs"/>
                <w:rtl/>
              </w:rPr>
              <w:t>أنواع الحظر والقيود المفروضة على العمالة</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b/>
                <w:bCs/>
                <w:rtl/>
              </w:rPr>
            </w:pPr>
            <w:r>
              <w:rPr>
                <w:rFonts w:hint="cs"/>
                <w:b/>
                <w:bCs/>
                <w:rtl/>
              </w:rPr>
              <w:t>المادة 11، الرقم 2</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83</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rtl/>
              </w:rPr>
            </w:pPr>
            <w:r>
              <w:rPr>
                <w:rFonts w:hint="cs"/>
                <w:rtl/>
              </w:rPr>
              <w:t>قانون حماية الأمومة وقانون إجازة الأبوة/الأمومة</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الاستحقاقات المتعلقة برعاية الأطفال</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عمل الوالدين بصورة غير متفرغة</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إجازة تمكين الأهل من زيارة مرضاهم في المستشفيات</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ترتيبات جديدة لدفع بدل الانفصال عن الخدمة</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b/>
                <w:bCs/>
                <w:rtl/>
              </w:rPr>
            </w:pPr>
            <w:r>
              <w:rPr>
                <w:rFonts w:hint="cs"/>
                <w:b/>
                <w:bCs/>
                <w:rtl/>
              </w:rPr>
              <w:t>المادة 11، الرقم 2، الحرف (ج)</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87</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rtl/>
              </w:rPr>
            </w:pPr>
            <w:r>
              <w:rPr>
                <w:rFonts w:hint="cs"/>
                <w:rtl/>
              </w:rPr>
              <w:t>الخدمات الاجتماعية ومرافق رعاية الأطفال</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b/>
                <w:bCs/>
                <w:rtl/>
              </w:rPr>
            </w:pPr>
            <w:r>
              <w:rPr>
                <w:rFonts w:hint="cs"/>
                <w:b/>
                <w:bCs/>
                <w:rtl/>
              </w:rPr>
              <w:t>المادة 12</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88</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9772D8" w:rsidRDefault="007A623A" w:rsidP="003A141B">
            <w:pPr>
              <w:rPr>
                <w:rFonts w:hint="cs"/>
                <w:rtl/>
              </w:rPr>
            </w:pPr>
            <w:r>
              <w:rPr>
                <w:rFonts w:hint="cs"/>
                <w:rtl/>
              </w:rPr>
              <w:t>التوفيق بين التزامات العمل والالتزامات العائلية في المهن الطبية وشبه الطبية</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اللوائح التي تنظم ترتيب المهن</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 xml:space="preserve">رعاية الأم </w:t>
            </w:r>
            <w:r>
              <w:rPr>
                <w:rtl/>
              </w:rPr>
              <w:t>–</w:t>
            </w:r>
            <w:r>
              <w:rPr>
                <w:rFonts w:hint="cs"/>
                <w:rtl/>
              </w:rPr>
              <w:t xml:space="preserve"> الطفل</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الإخصاب الأنبوبي</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المبادرات المتعلقة بصحة المرأة</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B16E9C" w:rsidRDefault="007A623A" w:rsidP="003A141B">
            <w:pPr>
              <w:rPr>
                <w:rFonts w:hint="cs"/>
                <w:b/>
                <w:bCs/>
                <w:rtl/>
              </w:rPr>
            </w:pPr>
            <w:r>
              <w:rPr>
                <w:rFonts w:hint="cs"/>
                <w:b/>
                <w:bCs/>
                <w:rtl/>
              </w:rPr>
              <w:t>المادة 13</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92</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b/>
                <w:bCs/>
                <w:rtl/>
              </w:rPr>
            </w:pPr>
            <w:r>
              <w:rPr>
                <w:rFonts w:hint="cs"/>
                <w:b/>
                <w:bCs/>
                <w:rtl/>
              </w:rPr>
              <w:t>المادة 13، الحرف (أ)</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92</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B16E9C" w:rsidRDefault="007A623A" w:rsidP="003A141B">
            <w:pPr>
              <w:rPr>
                <w:rFonts w:hint="cs"/>
                <w:rtl/>
              </w:rPr>
            </w:pPr>
            <w:r>
              <w:rPr>
                <w:rFonts w:hint="cs"/>
                <w:rtl/>
              </w:rPr>
              <w:t>ال</w:t>
            </w:r>
            <w:r w:rsidR="00EB7AE0">
              <w:rPr>
                <w:rFonts w:hint="cs"/>
                <w:rtl/>
                <w:lang w:bidi="ar-LB"/>
              </w:rPr>
              <w:t>تعويضا</w:t>
            </w:r>
            <w:r>
              <w:rPr>
                <w:rFonts w:hint="cs"/>
                <w:rtl/>
              </w:rPr>
              <w:t>ت العائلية</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الاستحقاقات المتعلقة برعاية الأطفال</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B16E9C" w:rsidRDefault="007A623A" w:rsidP="003A141B">
            <w:pPr>
              <w:rPr>
                <w:rFonts w:hint="cs"/>
                <w:b/>
                <w:bCs/>
                <w:rtl/>
              </w:rPr>
            </w:pPr>
            <w:r>
              <w:rPr>
                <w:rFonts w:hint="cs"/>
                <w:b/>
                <w:bCs/>
                <w:rtl/>
              </w:rPr>
              <w:t>المادة 13، الحرف (ج)</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95</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B16E9C" w:rsidRDefault="007A623A" w:rsidP="003A141B">
            <w:pPr>
              <w:rPr>
                <w:rFonts w:hint="cs"/>
                <w:rtl/>
              </w:rPr>
            </w:pPr>
            <w:r>
              <w:rPr>
                <w:rFonts w:hint="cs"/>
                <w:rtl/>
              </w:rPr>
              <w:t>الرياضة/النهوض بالمرأة</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B16E9C" w:rsidRDefault="007A623A" w:rsidP="003A141B">
            <w:pPr>
              <w:rPr>
                <w:rFonts w:hint="cs"/>
                <w:b/>
                <w:bCs/>
                <w:rtl/>
              </w:rPr>
            </w:pPr>
            <w:r>
              <w:rPr>
                <w:rFonts w:hint="cs"/>
                <w:b/>
                <w:bCs/>
                <w:rtl/>
              </w:rPr>
              <w:t>المادة 14</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97</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b/>
                <w:bCs/>
                <w:rtl/>
              </w:rPr>
            </w:pPr>
            <w:r>
              <w:rPr>
                <w:rFonts w:hint="cs"/>
                <w:b/>
                <w:bCs/>
                <w:rtl/>
              </w:rPr>
              <w:t>المادة 14، الرقم 2، الحرف (أ)</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97</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B16E9C" w:rsidRDefault="007A623A" w:rsidP="003A141B">
            <w:pPr>
              <w:rPr>
                <w:rFonts w:hint="cs"/>
                <w:rtl/>
              </w:rPr>
            </w:pPr>
            <w:r>
              <w:rPr>
                <w:rFonts w:hint="cs"/>
                <w:rtl/>
              </w:rPr>
              <w:t>الأنشطة الرامية إلى القضاء على التمييز ضد المرأة في المناطق الريفية</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B16E9C" w:rsidRDefault="007A623A" w:rsidP="003A141B">
            <w:pPr>
              <w:rPr>
                <w:rFonts w:hint="cs"/>
                <w:b/>
                <w:bCs/>
                <w:rtl/>
              </w:rPr>
            </w:pPr>
            <w:r>
              <w:rPr>
                <w:rFonts w:hint="cs"/>
                <w:b/>
                <w:bCs/>
                <w:rtl/>
              </w:rPr>
              <w:t>المادة 14، الرقم 2، الحرف (ج)</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98</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B16E9C" w:rsidRDefault="007A623A" w:rsidP="003A141B">
            <w:pPr>
              <w:rPr>
                <w:rFonts w:hint="cs"/>
                <w:b/>
                <w:bCs/>
                <w:rtl/>
              </w:rPr>
            </w:pPr>
            <w:r w:rsidRPr="00B16E9C">
              <w:rPr>
                <w:rFonts w:hint="cs"/>
                <w:b/>
                <w:bCs/>
                <w:rtl/>
              </w:rPr>
              <w:t>المادة 14، الرقم 2، الحرف (د)</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98</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B16E9C" w:rsidRDefault="007A623A" w:rsidP="003A141B">
            <w:pPr>
              <w:rPr>
                <w:rFonts w:hint="cs"/>
                <w:rtl/>
              </w:rPr>
            </w:pPr>
            <w:r>
              <w:rPr>
                <w:rFonts w:hint="cs"/>
                <w:rtl/>
              </w:rPr>
              <w:t>الخيارات التعليمية المتاحة للمرأة في المناطق الريفية</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B16E9C" w:rsidRDefault="007A623A" w:rsidP="003A141B">
            <w:pPr>
              <w:rPr>
                <w:rFonts w:hint="cs"/>
                <w:b/>
                <w:bCs/>
                <w:rtl/>
              </w:rPr>
            </w:pPr>
            <w:r>
              <w:rPr>
                <w:rFonts w:hint="cs"/>
                <w:b/>
                <w:bCs/>
                <w:rtl/>
              </w:rPr>
              <w:t>المادة 14، الرقم 2، الحرف (هـ)</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99</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b/>
                <w:bCs/>
                <w:rtl/>
              </w:rPr>
            </w:pPr>
            <w:r>
              <w:rPr>
                <w:rFonts w:hint="cs"/>
                <w:b/>
                <w:bCs/>
                <w:rtl/>
              </w:rPr>
              <w:t>المادة 14، الرقم 2، الحرف (ز)</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99</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B16E9C" w:rsidRDefault="007A623A" w:rsidP="003A141B">
            <w:pPr>
              <w:rPr>
                <w:rFonts w:hint="cs"/>
                <w:rtl/>
              </w:rPr>
            </w:pPr>
            <w:r>
              <w:rPr>
                <w:rFonts w:hint="cs"/>
                <w:rtl/>
              </w:rPr>
              <w:t>الإعانات المالية العامة لغرض الاستثمارات</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B16E9C" w:rsidRDefault="007A623A" w:rsidP="003A141B">
            <w:pPr>
              <w:rPr>
                <w:rFonts w:hint="cs"/>
                <w:b/>
                <w:bCs/>
                <w:rtl/>
              </w:rPr>
            </w:pPr>
            <w:r>
              <w:rPr>
                <w:rFonts w:hint="cs"/>
                <w:b/>
                <w:bCs/>
                <w:rtl/>
              </w:rPr>
              <w:t>المادة 14، الرقم 2، الحرف (ح)</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100</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B16E9C" w:rsidRDefault="007A623A" w:rsidP="003A141B">
            <w:pPr>
              <w:rPr>
                <w:rFonts w:hint="cs"/>
                <w:rtl/>
                <w:lang w:bidi="ar-LB"/>
              </w:rPr>
            </w:pPr>
            <w:r>
              <w:rPr>
                <w:rFonts w:hint="cs"/>
                <w:rtl/>
              </w:rPr>
              <w:t xml:space="preserve">مشروع </w:t>
            </w:r>
            <w:r>
              <w:t>P</w:t>
            </w:r>
            <w:r w:rsidR="00EB7AE0">
              <w:rPr>
                <w:rFonts w:cs="Times New Roman"/>
              </w:rPr>
              <w:t>ö</w:t>
            </w:r>
            <w:r>
              <w:t>tsching</w:t>
            </w:r>
            <w:r w:rsidR="00EB7AE0">
              <w:rPr>
                <w:rFonts w:hint="cs"/>
                <w:rtl/>
                <w:lang w:bidi="ar-LB"/>
              </w:rPr>
              <w:t xml:space="preserve"> للنقل بالحافلات</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rtl/>
              </w:rPr>
            </w:pPr>
            <w:r>
              <w:rPr>
                <w:rFonts w:hint="cs"/>
                <w:rtl/>
              </w:rPr>
              <w:t>المجلس الاستشاري التقني المعني بشؤون المرأة في سياسات النقل</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B16E9C" w:rsidRDefault="007A623A" w:rsidP="003A141B">
            <w:pPr>
              <w:rPr>
                <w:rFonts w:hint="cs"/>
                <w:b/>
                <w:bCs/>
                <w:rtl/>
              </w:rPr>
            </w:pPr>
            <w:r>
              <w:rPr>
                <w:rFonts w:hint="cs"/>
                <w:b/>
                <w:bCs/>
                <w:rtl/>
              </w:rPr>
              <w:t>المادة 15</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101</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Default="007A623A" w:rsidP="003A141B">
            <w:pPr>
              <w:rPr>
                <w:rFonts w:hint="cs"/>
                <w:b/>
                <w:bCs/>
                <w:rtl/>
              </w:rPr>
            </w:pPr>
            <w:r>
              <w:rPr>
                <w:rFonts w:hint="cs"/>
                <w:b/>
                <w:bCs/>
                <w:rtl/>
              </w:rPr>
              <w:t>المادة 16</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101</w:t>
            </w:r>
          </w:p>
        </w:tc>
      </w:tr>
      <w:tr w:rsidR="007A623A" w:rsidRPr="00402DD7">
        <w:tblPrEx>
          <w:tblCellMar>
            <w:top w:w="0" w:type="dxa"/>
            <w:bottom w:w="0" w:type="dxa"/>
          </w:tblCellMar>
        </w:tblPrEx>
        <w:tc>
          <w:tcPr>
            <w:tcW w:w="1296" w:type="dxa"/>
            <w:shd w:val="clear" w:color="auto" w:fill="auto"/>
          </w:tcPr>
          <w:p w:rsidR="007A623A" w:rsidRPr="00402DD7" w:rsidRDefault="007A623A" w:rsidP="003A141B">
            <w:pPr>
              <w:rPr>
                <w:rFonts w:hint="cs"/>
                <w:rtl/>
              </w:rPr>
            </w:pPr>
          </w:p>
        </w:tc>
        <w:tc>
          <w:tcPr>
            <w:tcW w:w="7421" w:type="dxa"/>
            <w:shd w:val="clear" w:color="auto" w:fill="auto"/>
          </w:tcPr>
          <w:p w:rsidR="007A623A" w:rsidRPr="00B16E9C" w:rsidRDefault="007A623A" w:rsidP="003A141B">
            <w:pPr>
              <w:rPr>
                <w:rFonts w:hint="cs"/>
                <w:rtl/>
              </w:rPr>
            </w:pPr>
            <w:r>
              <w:rPr>
                <w:rFonts w:hint="cs"/>
                <w:rtl/>
              </w:rPr>
              <w:t>قوانين الزواج والأسرة</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B16E9C" w:rsidRDefault="007A623A" w:rsidP="003A141B">
            <w:pPr>
              <w:rPr>
                <w:rFonts w:hint="cs"/>
                <w:b/>
                <w:bCs/>
                <w:rtl/>
              </w:rPr>
            </w:pPr>
          </w:p>
        </w:tc>
        <w:tc>
          <w:tcPr>
            <w:tcW w:w="7421" w:type="dxa"/>
            <w:shd w:val="clear" w:color="auto" w:fill="auto"/>
          </w:tcPr>
          <w:p w:rsidR="007A623A" w:rsidRPr="00B16E9C" w:rsidRDefault="007A623A" w:rsidP="003A141B">
            <w:pPr>
              <w:rPr>
                <w:rFonts w:hint="cs"/>
                <w:b/>
                <w:bCs/>
                <w:rtl/>
              </w:rPr>
            </w:pPr>
            <w:r>
              <w:rPr>
                <w:rFonts w:hint="cs"/>
                <w:b/>
                <w:bCs/>
                <w:rtl/>
              </w:rPr>
              <w:t>المرفق 1</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102</w:t>
            </w:r>
          </w:p>
        </w:tc>
      </w:tr>
      <w:tr w:rsidR="007A623A" w:rsidRPr="00402DD7">
        <w:tblPrEx>
          <w:tblCellMar>
            <w:top w:w="0" w:type="dxa"/>
            <w:bottom w:w="0" w:type="dxa"/>
          </w:tblCellMar>
        </w:tblPrEx>
        <w:tc>
          <w:tcPr>
            <w:tcW w:w="1296" w:type="dxa"/>
            <w:shd w:val="clear" w:color="auto" w:fill="auto"/>
          </w:tcPr>
          <w:p w:rsidR="007A623A" w:rsidRPr="00B16E9C" w:rsidRDefault="007A623A" w:rsidP="003A141B">
            <w:pPr>
              <w:rPr>
                <w:rFonts w:hint="cs"/>
                <w:b/>
                <w:bCs/>
                <w:rtl/>
              </w:rPr>
            </w:pPr>
          </w:p>
        </w:tc>
        <w:tc>
          <w:tcPr>
            <w:tcW w:w="7421" w:type="dxa"/>
            <w:shd w:val="clear" w:color="auto" w:fill="auto"/>
          </w:tcPr>
          <w:p w:rsidR="007A623A" w:rsidRPr="00B16E9C" w:rsidRDefault="007A623A" w:rsidP="003A141B">
            <w:pPr>
              <w:rPr>
                <w:rFonts w:hint="cs"/>
                <w:rtl/>
              </w:rPr>
            </w:pPr>
            <w:r>
              <w:rPr>
                <w:rFonts w:hint="cs"/>
                <w:rtl/>
              </w:rPr>
              <w:t>المشاريع/البرامج/الدراسات/المنشورات</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B16E9C" w:rsidRDefault="007A623A" w:rsidP="003A141B">
            <w:pPr>
              <w:rPr>
                <w:rFonts w:hint="cs"/>
                <w:b/>
                <w:bCs/>
                <w:rtl/>
              </w:rPr>
            </w:pPr>
          </w:p>
        </w:tc>
        <w:tc>
          <w:tcPr>
            <w:tcW w:w="7421" w:type="dxa"/>
            <w:shd w:val="clear" w:color="auto" w:fill="auto"/>
          </w:tcPr>
          <w:p w:rsidR="007A623A" w:rsidRDefault="007A623A" w:rsidP="003A141B">
            <w:pPr>
              <w:rPr>
                <w:rFonts w:hint="cs"/>
                <w:rtl/>
              </w:rPr>
            </w:pPr>
            <w:r>
              <w:rPr>
                <w:rFonts w:hint="cs"/>
                <w:rtl/>
              </w:rPr>
              <w:t xml:space="preserve">ملاحظة: يستطيع أعضاء اللجنة الحصول على المرفق </w:t>
            </w:r>
            <w:r w:rsidR="00EB7AE0">
              <w:rPr>
                <w:rFonts w:hint="cs"/>
                <w:rtl/>
                <w:lang w:bidi="ar-LB"/>
              </w:rPr>
              <w:t xml:space="preserve"> 1 </w:t>
            </w:r>
            <w:r>
              <w:rPr>
                <w:rFonts w:hint="cs"/>
                <w:rtl/>
              </w:rPr>
              <w:t>باللغة التي ورد بها</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r w:rsidR="007A623A" w:rsidRPr="00402DD7">
        <w:tblPrEx>
          <w:tblCellMar>
            <w:top w:w="0" w:type="dxa"/>
            <w:bottom w:w="0" w:type="dxa"/>
          </w:tblCellMar>
        </w:tblPrEx>
        <w:tc>
          <w:tcPr>
            <w:tcW w:w="1296" w:type="dxa"/>
            <w:shd w:val="clear" w:color="auto" w:fill="auto"/>
          </w:tcPr>
          <w:p w:rsidR="007A623A" w:rsidRPr="00B16E9C" w:rsidRDefault="007A623A" w:rsidP="003A141B">
            <w:pPr>
              <w:rPr>
                <w:rFonts w:hint="cs"/>
                <w:b/>
                <w:bCs/>
                <w:rtl/>
              </w:rPr>
            </w:pPr>
          </w:p>
        </w:tc>
        <w:tc>
          <w:tcPr>
            <w:tcW w:w="7421" w:type="dxa"/>
            <w:shd w:val="clear" w:color="auto" w:fill="auto"/>
          </w:tcPr>
          <w:p w:rsidR="007A623A" w:rsidRPr="00B16E9C" w:rsidRDefault="007A623A" w:rsidP="003A141B">
            <w:pPr>
              <w:rPr>
                <w:rFonts w:hint="cs"/>
                <w:b/>
                <w:bCs/>
                <w:rtl/>
              </w:rPr>
            </w:pPr>
            <w:r>
              <w:rPr>
                <w:rFonts w:hint="cs"/>
                <w:b/>
                <w:bCs/>
                <w:rtl/>
              </w:rPr>
              <w:t>المرفق 2</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012F87" w:rsidP="003A141B">
            <w:pPr>
              <w:rPr>
                <w:rFonts w:hint="cs"/>
                <w:rtl/>
              </w:rPr>
            </w:pPr>
            <w:r>
              <w:rPr>
                <w:rFonts w:hint="cs"/>
                <w:rtl/>
              </w:rPr>
              <w:t>103</w:t>
            </w:r>
          </w:p>
        </w:tc>
      </w:tr>
      <w:tr w:rsidR="007A623A" w:rsidRPr="00402DD7">
        <w:tblPrEx>
          <w:tblCellMar>
            <w:top w:w="0" w:type="dxa"/>
            <w:bottom w:w="0" w:type="dxa"/>
          </w:tblCellMar>
        </w:tblPrEx>
        <w:tc>
          <w:tcPr>
            <w:tcW w:w="1296" w:type="dxa"/>
            <w:shd w:val="clear" w:color="auto" w:fill="auto"/>
          </w:tcPr>
          <w:p w:rsidR="007A623A" w:rsidRPr="00B16E9C" w:rsidRDefault="007A623A" w:rsidP="003A141B">
            <w:pPr>
              <w:rPr>
                <w:rFonts w:hint="cs"/>
                <w:b/>
                <w:bCs/>
                <w:rtl/>
              </w:rPr>
            </w:pPr>
          </w:p>
        </w:tc>
        <w:tc>
          <w:tcPr>
            <w:tcW w:w="7421" w:type="dxa"/>
            <w:shd w:val="clear" w:color="auto" w:fill="auto"/>
          </w:tcPr>
          <w:p w:rsidR="007A623A" w:rsidRPr="00B16E9C" w:rsidRDefault="007A623A" w:rsidP="003A141B">
            <w:pPr>
              <w:rPr>
                <w:rFonts w:hint="cs"/>
                <w:rtl/>
              </w:rPr>
            </w:pPr>
            <w:r>
              <w:rPr>
                <w:rFonts w:hint="cs"/>
                <w:rtl/>
              </w:rPr>
              <w:t>الإحصاءات</w:t>
            </w:r>
          </w:p>
        </w:tc>
        <w:tc>
          <w:tcPr>
            <w:tcW w:w="311" w:type="dxa"/>
            <w:shd w:val="clear" w:color="auto" w:fill="auto"/>
          </w:tcPr>
          <w:p w:rsidR="007A623A" w:rsidRPr="007477B2" w:rsidRDefault="007A623A" w:rsidP="003A141B">
            <w:pPr>
              <w:rPr>
                <w:rFonts w:hint="cs"/>
                <w:b/>
                <w:bCs/>
                <w:rtl/>
              </w:rPr>
            </w:pPr>
          </w:p>
        </w:tc>
        <w:tc>
          <w:tcPr>
            <w:tcW w:w="806" w:type="dxa"/>
            <w:shd w:val="clear" w:color="auto" w:fill="auto"/>
          </w:tcPr>
          <w:p w:rsidR="007A623A" w:rsidRPr="00402DD7" w:rsidRDefault="007A623A" w:rsidP="003A141B">
            <w:pPr>
              <w:rPr>
                <w:rFonts w:hint="eastAsia"/>
                <w:rtl/>
              </w:rPr>
            </w:pPr>
          </w:p>
        </w:tc>
      </w:tr>
    </w:tbl>
    <w:p w:rsidR="007A623A" w:rsidRPr="00402DD7" w:rsidRDefault="007A623A" w:rsidP="007A623A">
      <w:pPr>
        <w:rPr>
          <w:rFonts w:hint="cs"/>
          <w:rtl/>
        </w:rPr>
      </w:pPr>
    </w:p>
    <w:p w:rsidR="00627C55" w:rsidRDefault="007A623A" w:rsidP="001C2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right="1267"/>
        <w:rPr>
          <w:rFonts w:hint="cs"/>
          <w:rtl/>
        </w:rPr>
      </w:pPr>
      <w:r>
        <w:rPr>
          <w:rtl/>
        </w:rPr>
        <w:br w:type="page"/>
      </w:r>
      <w:r w:rsidR="00627C55">
        <w:rPr>
          <w:rFonts w:hint="cs"/>
          <w:rtl/>
        </w:rPr>
        <w:tab/>
      </w:r>
      <w:r w:rsidR="00627C55">
        <w:rPr>
          <w:rFonts w:hint="cs"/>
          <w:rtl/>
        </w:rPr>
        <w:tab/>
        <w:t>المقدمة</w:t>
      </w:r>
    </w:p>
    <w:p w:rsidR="00627C55" w:rsidRDefault="00627C55" w:rsidP="001C29D4">
      <w:pPr>
        <w:pStyle w:val="SingleTxt"/>
        <w:rPr>
          <w:rFonts w:hint="cs"/>
          <w:rtl/>
        </w:rPr>
      </w:pPr>
      <w:r>
        <w:rPr>
          <w:rFonts w:hint="cs"/>
          <w:rtl/>
        </w:rPr>
        <w:tab/>
        <w:t xml:space="preserve">صدقت النمسا على اتفاقية القضاء على جميع أشكال التمييز ضد المرأة في عام 1982 والتزمت، بموجب المادة 18 من هذه الاتفاقية، بتقديم تقارير دورية، مرة كل أربع سنوات كحد أقصى، </w:t>
      </w:r>
      <w:r w:rsidR="00784E31">
        <w:rPr>
          <w:rFonts w:hint="cs"/>
          <w:rtl/>
          <w:lang w:bidi="ar-LB"/>
        </w:rPr>
        <w:t>عن ما صادفته</w:t>
      </w:r>
      <w:r>
        <w:rPr>
          <w:rFonts w:hint="cs"/>
          <w:rtl/>
        </w:rPr>
        <w:t xml:space="preserve"> من عقبات وما اتخذت</w:t>
      </w:r>
      <w:r w:rsidR="00784E31">
        <w:rPr>
          <w:rFonts w:hint="cs"/>
          <w:rtl/>
          <w:lang w:bidi="ar-LB"/>
        </w:rPr>
        <w:t>ه</w:t>
      </w:r>
      <w:r>
        <w:rPr>
          <w:rFonts w:hint="cs"/>
          <w:rtl/>
        </w:rPr>
        <w:t xml:space="preserve"> من تدابير وما أحرز</w:t>
      </w:r>
      <w:r w:rsidR="00784E31">
        <w:rPr>
          <w:rFonts w:hint="cs"/>
          <w:rtl/>
          <w:lang w:bidi="ar-LB"/>
        </w:rPr>
        <w:t>ته</w:t>
      </w:r>
      <w:r>
        <w:rPr>
          <w:rFonts w:hint="cs"/>
          <w:rtl/>
        </w:rPr>
        <w:t xml:space="preserve"> من تقدم في ت</w:t>
      </w:r>
      <w:r w:rsidR="00A91B04">
        <w:rPr>
          <w:rFonts w:hint="cs"/>
          <w:rtl/>
        </w:rPr>
        <w:t>نف</w:t>
      </w:r>
      <w:r>
        <w:rPr>
          <w:rFonts w:hint="cs"/>
          <w:rtl/>
        </w:rPr>
        <w:t>يذ الاتفاقية. وبناء عليه، وضعت النمسا تقريرها الأول في عام 1988 (</w:t>
      </w:r>
      <w:r>
        <w:t>CEDAW/C/</w:t>
      </w:r>
      <w:r w:rsidR="00784E31">
        <w:t>5</w:t>
      </w:r>
      <w:r>
        <w:t>/Add.17</w:t>
      </w:r>
      <w:r>
        <w:rPr>
          <w:rFonts w:hint="cs"/>
          <w:rtl/>
        </w:rPr>
        <w:t>، المؤرخ 1 تشرين الثاني/نوفمبر 1983). ونوقش هذا التقرير، بما</w:t>
      </w:r>
      <w:r w:rsidR="001C29D4">
        <w:rPr>
          <w:rFonts w:hint="eastAsia"/>
          <w:rtl/>
        </w:rPr>
        <w:t> </w:t>
      </w:r>
      <w:r>
        <w:rPr>
          <w:rFonts w:hint="cs"/>
          <w:rtl/>
        </w:rPr>
        <w:t>في ذلك مرفقاته، في الاجتماع الرابع للجنة المنعقد في فيينا في الفترة من 21 كانون الثاني/ يناير إلى 2 شباط/فبراير من عام 1985 (</w:t>
      </w:r>
      <w:r>
        <w:t>CEDAW/C/SR.51</w:t>
      </w:r>
      <w:r>
        <w:rPr>
          <w:rFonts w:hint="cs"/>
          <w:rtl/>
        </w:rPr>
        <w:t xml:space="preserve"> و </w:t>
      </w:r>
      <w:r>
        <w:t>55</w:t>
      </w:r>
      <w:r>
        <w:rPr>
          <w:rFonts w:hint="cs"/>
          <w:rtl/>
        </w:rPr>
        <w:t xml:space="preserve"> و </w:t>
      </w:r>
      <w:r>
        <w:t>56</w:t>
      </w:r>
      <w:r>
        <w:rPr>
          <w:rFonts w:hint="cs"/>
          <w:rtl/>
        </w:rPr>
        <w:t xml:space="preserve"> و </w:t>
      </w:r>
      <w:r>
        <w:t>62</w:t>
      </w:r>
      <w:r>
        <w:rPr>
          <w:rFonts w:hint="cs"/>
          <w:rtl/>
        </w:rPr>
        <w:t>). وتناول التقرير الثاني الفترة من عام 1983 إلى عام 1988 (النسخة النهائية التفصيلية في شباط/ فبراير 1989) وناقشته اللجنة ووافقت عليه في اجتماعها المعقود في شباط/فبراير 1991 (</w:t>
      </w:r>
      <w:r>
        <w:t>CEDAW/C/13/Add.27</w:t>
      </w:r>
      <w:r>
        <w:rPr>
          <w:rFonts w:hint="cs"/>
          <w:rtl/>
        </w:rPr>
        <w:t xml:space="preserve">؛ و </w:t>
      </w:r>
      <w:r>
        <w:t>CEDAW/C/SR.184</w:t>
      </w:r>
      <w:r>
        <w:rPr>
          <w:rFonts w:hint="cs"/>
          <w:rtl/>
        </w:rPr>
        <w:t>).</w:t>
      </w:r>
    </w:p>
    <w:p w:rsidR="00627C55" w:rsidRDefault="00627C55" w:rsidP="00627C55">
      <w:pPr>
        <w:pStyle w:val="SingleTxt"/>
        <w:rPr>
          <w:rFonts w:hint="cs"/>
          <w:rtl/>
        </w:rPr>
      </w:pPr>
      <w:r>
        <w:rPr>
          <w:rFonts w:hint="cs"/>
          <w:rtl/>
        </w:rPr>
        <w:tab/>
        <w:t>أما التقريران الثالث والرابع المشتركان فتضمنا دراسة استقصائية شاملة للفترة الممتدة من كانون الثاني/يناير 1989 إلى كانون الأول/ديسمبر 1995، وتم تقديم هذا التقرير في عام 1996 (</w:t>
      </w:r>
      <w:r>
        <w:t>CEDAW/C/AUT/3-4</w:t>
      </w:r>
      <w:r>
        <w:rPr>
          <w:rFonts w:hint="cs"/>
          <w:rtl/>
        </w:rPr>
        <w:t xml:space="preserve">). </w:t>
      </w:r>
    </w:p>
    <w:p w:rsidR="00627C55" w:rsidRDefault="00627C55" w:rsidP="00627C55">
      <w:pPr>
        <w:pStyle w:val="SingleTxt"/>
        <w:rPr>
          <w:rFonts w:hint="cs"/>
          <w:rtl/>
        </w:rPr>
      </w:pPr>
      <w:r>
        <w:rPr>
          <w:rFonts w:hint="cs"/>
          <w:rtl/>
        </w:rPr>
        <w:tab/>
        <w:t>ووصف التقرير الخامس الفترة الممتدة من عام 1996 إلى منتصف عام 1999 وقدمته النمسا إلى اللجنة في عام 2000 (</w:t>
      </w:r>
      <w:r>
        <w:t>CEDAW/C/AUT/5</w:t>
      </w:r>
      <w:r>
        <w:rPr>
          <w:rFonts w:hint="cs"/>
          <w:rtl/>
        </w:rPr>
        <w:t xml:space="preserve">؛ و </w:t>
      </w:r>
      <w:r>
        <w:t>CEDAW/C/SR.471</w:t>
      </w:r>
      <w:r>
        <w:rPr>
          <w:rFonts w:hint="cs"/>
          <w:rtl/>
        </w:rPr>
        <w:t>).</w:t>
      </w:r>
    </w:p>
    <w:p w:rsidR="00627C55" w:rsidRDefault="00627C55" w:rsidP="00F21E81">
      <w:pPr>
        <w:pStyle w:val="SingleTxt"/>
        <w:rPr>
          <w:rFonts w:hint="cs"/>
          <w:rtl/>
        </w:rPr>
      </w:pPr>
      <w:r>
        <w:rPr>
          <w:rFonts w:hint="cs"/>
          <w:rtl/>
        </w:rPr>
        <w:tab/>
        <w:t xml:space="preserve">ويستعرض التقرير السادس الأنشطة التي اضطلعت بها النمسا لمكافحة التمييز </w:t>
      </w:r>
      <w:r w:rsidR="00784E31">
        <w:rPr>
          <w:rFonts w:hint="cs"/>
          <w:rtl/>
          <w:lang w:bidi="ar-LB"/>
        </w:rPr>
        <w:t>الذي تتعرض له</w:t>
      </w:r>
      <w:r>
        <w:rPr>
          <w:rFonts w:hint="cs"/>
          <w:rtl/>
        </w:rPr>
        <w:t xml:space="preserve"> المرأة، ويصف الحالة السائدة في الفترة الممتدة من منتصف عام 1999 إلى نهاية عام 2003. وتمشيا مع المبادئ التوجيهية الجديدة لتقديم التقارير (</w:t>
      </w:r>
      <w:r>
        <w:t>A/57/38</w:t>
      </w:r>
      <w:r>
        <w:rPr>
          <w:rFonts w:hint="cs"/>
          <w:rtl/>
        </w:rPr>
        <w:t xml:space="preserve"> (</w:t>
      </w:r>
      <w:r>
        <w:t>Part II</w:t>
      </w:r>
      <w:r>
        <w:rPr>
          <w:rFonts w:hint="cs"/>
          <w:rtl/>
        </w:rPr>
        <w:t>))، عملا بالمادة 18 من الاتفاقية</w:t>
      </w:r>
      <w:r w:rsidR="00784E31">
        <w:rPr>
          <w:rFonts w:hint="cs"/>
          <w:rtl/>
          <w:lang w:bidi="ar-LB"/>
        </w:rPr>
        <w:t xml:space="preserve">، </w:t>
      </w:r>
      <w:r>
        <w:rPr>
          <w:rFonts w:hint="cs"/>
          <w:rtl/>
        </w:rPr>
        <w:t xml:space="preserve">تنطبق هذه المبادئ التوجيهية على جميع التقارير المقدمة اعتبارا من 31 كانون الأول/ديسمبر 2002، </w:t>
      </w:r>
      <w:r w:rsidR="00784E31">
        <w:rPr>
          <w:rFonts w:hint="cs"/>
          <w:rtl/>
          <w:lang w:bidi="ar-LB"/>
        </w:rPr>
        <w:t xml:space="preserve">وبناء على ذلك، </w:t>
      </w:r>
      <w:r>
        <w:rPr>
          <w:rFonts w:hint="cs"/>
          <w:rtl/>
        </w:rPr>
        <w:t>تم تقصير طول هذا التقرير بحيث لا</w:t>
      </w:r>
      <w:r w:rsidR="00F21E81">
        <w:rPr>
          <w:rFonts w:hint="eastAsia"/>
          <w:rtl/>
        </w:rPr>
        <w:t> </w:t>
      </w:r>
      <w:r>
        <w:rPr>
          <w:rFonts w:hint="cs"/>
          <w:rtl/>
        </w:rPr>
        <w:t>يتجاوز 70 صفحة. و</w:t>
      </w:r>
      <w:r w:rsidR="00784E31">
        <w:rPr>
          <w:rFonts w:hint="cs"/>
          <w:rtl/>
          <w:lang w:bidi="ar-LB"/>
        </w:rPr>
        <w:t xml:space="preserve">يعلق </w:t>
      </w:r>
      <w:r>
        <w:rPr>
          <w:rFonts w:hint="cs"/>
          <w:rtl/>
        </w:rPr>
        <w:t xml:space="preserve">الجزء الأول من التقرير على توصيات اللجنة، ويصف الجزء الثاني التدابير التي تم اتخاذها للقضاء على التمييز الموجه ضد المرأة وفقا لكل مادة من مواد الاتفاقية. أما المرفقان الأول والثاني فيتضمنان معلومات تكميلية عن المشاريع والبرامج والدراسات والمنشورات والإحصاءات ذات الصلة. </w:t>
      </w:r>
    </w:p>
    <w:p w:rsidR="001A1EA1" w:rsidRDefault="001A1EA1" w:rsidP="00784E31">
      <w:pPr>
        <w:pStyle w:val="SingleTxt"/>
        <w:rPr>
          <w:rFonts w:hint="cs"/>
          <w:rtl/>
        </w:rPr>
      </w:pPr>
    </w:p>
    <w:p w:rsidR="001A1EA1" w:rsidRDefault="001A1EA1" w:rsidP="00784E31">
      <w:pPr>
        <w:pStyle w:val="SingleTxt"/>
        <w:rPr>
          <w:rFonts w:hint="cs"/>
          <w:rtl/>
        </w:rPr>
      </w:pPr>
    </w:p>
    <w:p w:rsidR="001A1EA1" w:rsidRDefault="001A1EA1" w:rsidP="00784E31">
      <w:pPr>
        <w:pStyle w:val="SingleTxt"/>
        <w:rPr>
          <w:rFonts w:hint="cs"/>
          <w:rtl/>
        </w:rPr>
      </w:pPr>
    </w:p>
    <w:p w:rsidR="00627C55" w:rsidRPr="00627C55" w:rsidRDefault="00627C55" w:rsidP="00627C55">
      <w:pPr>
        <w:pStyle w:val="SingleTxt"/>
        <w:rPr>
          <w:rFonts w:hint="cs"/>
          <w:b/>
          <w:bCs/>
          <w:rtl/>
        </w:rPr>
      </w:pPr>
      <w:r>
        <w:rPr>
          <w:rFonts w:hint="cs"/>
          <w:rtl/>
        </w:rPr>
        <w:t>1</w:t>
      </w:r>
      <w:r w:rsidRPr="00627C55">
        <w:rPr>
          <w:rFonts w:hint="cs"/>
          <w:b/>
          <w:bCs/>
          <w:rtl/>
        </w:rPr>
        <w:t xml:space="preserve"> -</w:t>
      </w:r>
      <w:r w:rsidRPr="00627C55">
        <w:rPr>
          <w:rFonts w:hint="cs"/>
          <w:b/>
          <w:bCs/>
          <w:rtl/>
        </w:rPr>
        <w:tab/>
        <w:t>تنفيذ التوصيات الواردة في تقارير النمسا الدورية الثالث والرابع والخامس</w:t>
      </w:r>
    </w:p>
    <w:p w:rsidR="00627C55" w:rsidRPr="00627C55" w:rsidRDefault="00627C55" w:rsidP="00627C55">
      <w:pPr>
        <w:pStyle w:val="SingleTxt"/>
        <w:rPr>
          <w:rFonts w:hint="cs"/>
          <w:b/>
          <w:bCs/>
          <w:rtl/>
        </w:rPr>
      </w:pPr>
      <w:r w:rsidRPr="00627C55">
        <w:rPr>
          <w:rFonts w:hint="cs"/>
          <w:b/>
          <w:bCs/>
          <w:rtl/>
        </w:rPr>
        <w:t xml:space="preserve">التوصية 219 </w:t>
      </w:r>
    </w:p>
    <w:p w:rsidR="00627C55" w:rsidRDefault="00627C55" w:rsidP="00627C55">
      <w:pPr>
        <w:pStyle w:val="SingleTxt"/>
        <w:rPr>
          <w:rFonts w:hint="cs"/>
          <w:rtl/>
        </w:rPr>
      </w:pPr>
      <w:r>
        <w:rPr>
          <w:rFonts w:hint="cs"/>
          <w:rtl/>
        </w:rPr>
        <w:tab/>
        <w:t>اعتبارا من 1 آب/أغسطس 2002، بدأ نفاذ قانون الاتحاد الأوروبي المتعلق بتعديل العمل الليلي (نشرة القانون الاتحادي الأولى، رقم 122/2002) وقد حل هذا القانون محل قانون تنظيم عمل المرأة الليلي. وبموجب القانون الجديد، تم إدخال أحكام محايدة جنسانيا تنطبق على المرأة والرجل بالتساوي في التشريع النمساوي المتعلق بساعات العمل.</w:t>
      </w:r>
    </w:p>
    <w:p w:rsidR="00627C55" w:rsidRDefault="00627C55" w:rsidP="00627C55">
      <w:pPr>
        <w:pStyle w:val="SingleTxt"/>
        <w:rPr>
          <w:rFonts w:hint="cs"/>
          <w:b/>
          <w:bCs/>
          <w:rtl/>
        </w:rPr>
      </w:pPr>
      <w:r w:rsidRPr="00627C55">
        <w:rPr>
          <w:rFonts w:hint="cs"/>
          <w:b/>
          <w:bCs/>
          <w:rtl/>
        </w:rPr>
        <w:t>فيما يلي وصف للنقاط الرئيسية للقانون الجديد</w:t>
      </w:r>
      <w:r>
        <w:rPr>
          <w:rFonts w:hint="cs"/>
          <w:b/>
          <w:bCs/>
          <w:rtl/>
        </w:rPr>
        <w:tab/>
      </w:r>
    </w:p>
    <w:p w:rsidR="00627C55" w:rsidRDefault="00627C55" w:rsidP="00627C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b/>
          <w:bCs/>
          <w:rtl/>
        </w:rPr>
        <w:tab/>
      </w:r>
      <w:r>
        <w:rPr>
          <w:rFonts w:hint="cs"/>
          <w:rtl/>
        </w:rPr>
        <w:t>•</w:t>
      </w:r>
      <w:r>
        <w:rPr>
          <w:rFonts w:hint="cs"/>
          <w:rtl/>
        </w:rPr>
        <w:tab/>
      </w:r>
      <w:r w:rsidR="00021501">
        <w:rPr>
          <w:rFonts w:hint="cs"/>
          <w:rtl/>
          <w:lang w:bidi="ar-LB"/>
        </w:rPr>
        <w:t xml:space="preserve">تقديم </w:t>
      </w:r>
      <w:r>
        <w:rPr>
          <w:rFonts w:hint="cs"/>
          <w:rtl/>
        </w:rPr>
        <w:t>تعريف قانوني للعمل الليلي: العمل بين الساعة 00/22 والساعة 00/5</w:t>
      </w:r>
    </w:p>
    <w:p w:rsidR="00627C55" w:rsidRDefault="00627C55" w:rsidP="00784E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تعريف وضع العاملين ليلا (رجالا ونساء). يتمتع العاملون ليلا بالحق في الانتقال إلى مكان عمل </w:t>
      </w:r>
      <w:r w:rsidR="00784E31">
        <w:rPr>
          <w:rFonts w:hint="cs"/>
          <w:rtl/>
          <w:lang w:bidi="ar-LB"/>
        </w:rPr>
        <w:t xml:space="preserve">يسمح لهم للعمل </w:t>
      </w:r>
      <w:r>
        <w:rPr>
          <w:rFonts w:hint="cs"/>
          <w:rtl/>
        </w:rPr>
        <w:t>خلال النهار إذا ما تعرضوا لمخاطر صحية، أو كانت لديهم التزامات تتعلق برعاية الأطفال.</w:t>
      </w:r>
    </w:p>
    <w:p w:rsidR="00627C55" w:rsidRDefault="00627C55" w:rsidP="00627C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الحق القانوني في إجراء كشف طبي مجاني كل سنتين من أجل تحديد الحالة الصحية للعاملين ليلا؛ وبالنسبة للعاملين من المسنين يكون هذا الكشف الطبي كل سنة.</w:t>
      </w:r>
    </w:p>
    <w:p w:rsidR="00627C55" w:rsidRDefault="00627C55" w:rsidP="00627C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الحق في الحصول على المعلومات الضرورية.</w:t>
      </w:r>
    </w:p>
    <w:p w:rsidR="00627C55" w:rsidRPr="00627C55" w:rsidRDefault="00627C55" w:rsidP="00627C55">
      <w:pPr>
        <w:pStyle w:val="SingleTxt"/>
        <w:rPr>
          <w:rFonts w:hint="cs"/>
          <w:b/>
          <w:bCs/>
          <w:rtl/>
        </w:rPr>
      </w:pPr>
      <w:r w:rsidRPr="00627C55">
        <w:rPr>
          <w:rFonts w:hint="cs"/>
          <w:b/>
          <w:bCs/>
          <w:rtl/>
        </w:rPr>
        <w:t xml:space="preserve">التوصية 224 </w:t>
      </w:r>
    </w:p>
    <w:p w:rsidR="00627C55" w:rsidRDefault="00627C55" w:rsidP="00627C55">
      <w:pPr>
        <w:pStyle w:val="SingleTxt"/>
        <w:rPr>
          <w:rFonts w:hint="cs"/>
          <w:rtl/>
        </w:rPr>
      </w:pPr>
      <w:r>
        <w:rPr>
          <w:rFonts w:hint="cs"/>
          <w:rtl/>
        </w:rPr>
        <w:tab/>
        <w:t>انظر الفرع ثانيا، المادة الخامسة وغيرها.</w:t>
      </w:r>
    </w:p>
    <w:p w:rsidR="00627C55" w:rsidRDefault="00627C55" w:rsidP="00627C55">
      <w:pPr>
        <w:pStyle w:val="SingleTxt"/>
        <w:rPr>
          <w:rFonts w:hint="cs"/>
          <w:b/>
          <w:bCs/>
          <w:rtl/>
        </w:rPr>
      </w:pPr>
      <w:r>
        <w:rPr>
          <w:rFonts w:hint="cs"/>
          <w:b/>
          <w:bCs/>
          <w:rtl/>
        </w:rPr>
        <w:t>التوصية 225</w:t>
      </w:r>
    </w:p>
    <w:p w:rsidR="00627C55" w:rsidRDefault="00627C55" w:rsidP="00C97753">
      <w:pPr>
        <w:pStyle w:val="SingleTxt"/>
        <w:rPr>
          <w:rFonts w:hint="cs"/>
          <w:rtl/>
        </w:rPr>
      </w:pPr>
      <w:r>
        <w:rPr>
          <w:rFonts w:hint="cs"/>
          <w:rtl/>
        </w:rPr>
        <w:tab/>
        <w:t>بموجب تعديل قانون الوزارات الاتحادي لعام 2003 (نشرة القانون الاتحادي الأولى، رقم 17/2003) تم إنشاء وزارة الصحة الاتحادية و</w:t>
      </w:r>
      <w:r w:rsidR="003C6A68">
        <w:rPr>
          <w:rFonts w:hint="cs"/>
          <w:rtl/>
          <w:lang w:bidi="ar-LB"/>
        </w:rPr>
        <w:t xml:space="preserve">شؤون </w:t>
      </w:r>
      <w:r>
        <w:rPr>
          <w:rFonts w:hint="cs"/>
          <w:rtl/>
        </w:rPr>
        <w:t xml:space="preserve">المرأة، </w:t>
      </w:r>
      <w:r w:rsidR="00C97753">
        <w:rPr>
          <w:rFonts w:hint="cs"/>
          <w:rtl/>
          <w:lang w:bidi="ar-LB"/>
        </w:rPr>
        <w:t>و</w:t>
      </w:r>
      <w:r>
        <w:rPr>
          <w:rFonts w:hint="cs"/>
          <w:rtl/>
        </w:rPr>
        <w:t xml:space="preserve">من بين مهامها القيام بمهمة تنسيق المسائل المتعلقة بسياسات المرأة والمساواة بين المرأة والرجل في سوق العمل. ويمكن الاطلاع على معلومات مفصلة </w:t>
      </w:r>
      <w:r w:rsidR="00C97753">
        <w:rPr>
          <w:rFonts w:hint="cs"/>
          <w:rtl/>
          <w:lang w:bidi="ar-LB"/>
        </w:rPr>
        <w:t>عن</w:t>
      </w:r>
      <w:r>
        <w:rPr>
          <w:rFonts w:hint="cs"/>
          <w:rtl/>
        </w:rPr>
        <w:t xml:space="preserve"> اللجنة التنسيقية المشتركة بين الوزارات </w:t>
      </w:r>
      <w:r w:rsidR="00C97753">
        <w:rPr>
          <w:rFonts w:hint="cs"/>
          <w:rtl/>
          <w:lang w:bidi="ar-LB"/>
        </w:rPr>
        <w:t>و</w:t>
      </w:r>
      <w:r>
        <w:rPr>
          <w:rFonts w:hint="cs"/>
          <w:rtl/>
        </w:rPr>
        <w:t>الم</w:t>
      </w:r>
      <w:r w:rsidR="00C97753">
        <w:rPr>
          <w:rFonts w:hint="cs"/>
          <w:rtl/>
          <w:lang w:bidi="ar-LB"/>
        </w:rPr>
        <w:t>عنية</w:t>
      </w:r>
      <w:r>
        <w:rPr>
          <w:rFonts w:hint="cs"/>
          <w:rtl/>
        </w:rPr>
        <w:t xml:space="preserve"> بتعميم مراعاة المنظور الجنساني في المادة 4، رقم 1. </w:t>
      </w:r>
    </w:p>
    <w:p w:rsidR="00627C55" w:rsidRDefault="00627C55" w:rsidP="00627C55">
      <w:pPr>
        <w:pStyle w:val="SingleTxt"/>
        <w:rPr>
          <w:rFonts w:hint="cs"/>
          <w:b/>
          <w:bCs/>
          <w:rtl/>
        </w:rPr>
      </w:pPr>
      <w:r>
        <w:rPr>
          <w:rFonts w:hint="cs"/>
          <w:b/>
          <w:bCs/>
          <w:rtl/>
        </w:rPr>
        <w:t>التوصية 226</w:t>
      </w:r>
    </w:p>
    <w:p w:rsidR="00627C55" w:rsidRPr="00627C55" w:rsidRDefault="00627C55" w:rsidP="00627C55">
      <w:pPr>
        <w:pStyle w:val="SingleTxt"/>
        <w:rPr>
          <w:rFonts w:hint="cs"/>
          <w:b/>
          <w:bCs/>
          <w:rtl/>
        </w:rPr>
      </w:pPr>
      <w:r w:rsidRPr="00627C55">
        <w:rPr>
          <w:rFonts w:hint="cs"/>
          <w:b/>
          <w:bCs/>
          <w:rtl/>
        </w:rPr>
        <w:t>تعميم مراعاة المنظور الجنساني في وزارة المالية الاتحادية</w:t>
      </w:r>
    </w:p>
    <w:p w:rsidR="00627C55" w:rsidRDefault="00627C55" w:rsidP="00D263BA">
      <w:pPr>
        <w:pStyle w:val="SingleTxt"/>
        <w:rPr>
          <w:rFonts w:hint="cs"/>
          <w:rtl/>
        </w:rPr>
      </w:pPr>
      <w:r>
        <w:rPr>
          <w:rFonts w:hint="cs"/>
          <w:rtl/>
        </w:rPr>
        <w:tab/>
      </w:r>
      <w:r w:rsidR="00D263BA">
        <w:rPr>
          <w:rFonts w:hint="cs"/>
          <w:rtl/>
          <w:lang w:bidi="ar-LB"/>
        </w:rPr>
        <w:t xml:space="preserve">تم </w:t>
      </w:r>
      <w:r w:rsidR="00D263BA">
        <w:rPr>
          <w:rFonts w:hint="cs"/>
          <w:rtl/>
        </w:rPr>
        <w:t>في عام 2001</w:t>
      </w:r>
      <w:r w:rsidR="00D263BA">
        <w:rPr>
          <w:rFonts w:hint="cs"/>
          <w:rtl/>
          <w:lang w:bidi="ar-LB"/>
        </w:rPr>
        <w:t xml:space="preserve">، </w:t>
      </w:r>
      <w:r>
        <w:rPr>
          <w:rFonts w:hint="cs"/>
          <w:rtl/>
        </w:rPr>
        <w:t>في وزارة المالية الاتحادية</w:t>
      </w:r>
      <w:r w:rsidR="00D263BA">
        <w:rPr>
          <w:rFonts w:hint="cs"/>
          <w:rtl/>
          <w:lang w:bidi="ar-LB"/>
        </w:rPr>
        <w:t>،</w:t>
      </w:r>
      <w:r>
        <w:rPr>
          <w:rFonts w:hint="cs"/>
          <w:rtl/>
        </w:rPr>
        <w:t xml:space="preserve"> إنشاء فريق عامل داخلي معني بتعميم مراعاة المنظور الجنساني</w:t>
      </w:r>
      <w:r w:rsidR="00D263BA">
        <w:rPr>
          <w:rFonts w:hint="cs"/>
          <w:rtl/>
          <w:lang w:bidi="ar-LB"/>
        </w:rPr>
        <w:t>،</w:t>
      </w:r>
      <w:r>
        <w:rPr>
          <w:rFonts w:hint="cs"/>
          <w:rtl/>
        </w:rPr>
        <w:t xml:space="preserve"> </w:t>
      </w:r>
      <w:r w:rsidR="00D263BA">
        <w:rPr>
          <w:rFonts w:hint="cs"/>
          <w:rtl/>
          <w:lang w:bidi="ar-LB"/>
        </w:rPr>
        <w:t>و</w:t>
      </w:r>
      <w:r>
        <w:rPr>
          <w:rFonts w:hint="cs"/>
          <w:rtl/>
        </w:rPr>
        <w:t xml:space="preserve">يتألف </w:t>
      </w:r>
      <w:r w:rsidR="00D263BA">
        <w:rPr>
          <w:rFonts w:hint="cs"/>
          <w:rtl/>
          <w:lang w:bidi="ar-LB"/>
        </w:rPr>
        <w:t xml:space="preserve">الفريق </w:t>
      </w:r>
      <w:r>
        <w:rPr>
          <w:rFonts w:hint="cs"/>
          <w:rtl/>
        </w:rPr>
        <w:t>من خبراء رفيعي المستوى من الإناث والذكور يعملون في الوزارة. وبموافقة وزير المالية، أدرج هذا الفريق العامل</w:t>
      </w:r>
      <w:r w:rsidR="009D56D0">
        <w:rPr>
          <w:rFonts w:hint="cs"/>
          <w:rtl/>
          <w:lang w:bidi="ar-LB"/>
        </w:rPr>
        <w:t>،</w:t>
      </w:r>
      <w:r>
        <w:rPr>
          <w:rFonts w:hint="cs"/>
          <w:rtl/>
        </w:rPr>
        <w:t xml:space="preserve"> الذي يدرس الخيارات المتعلقة بتنفيذ استراتيجية تعميم مراعاة المنظور الجنساني في وزارة المالية، مشروع الإصلاح الضريبي في برنامج عمله.</w:t>
      </w:r>
    </w:p>
    <w:p w:rsidR="00627C55" w:rsidRDefault="00627C55" w:rsidP="009D56D0">
      <w:pPr>
        <w:pStyle w:val="SingleTxt"/>
        <w:rPr>
          <w:rFonts w:hint="eastAsia"/>
          <w:rtl/>
        </w:rPr>
      </w:pPr>
      <w:r>
        <w:rPr>
          <w:rFonts w:hint="cs"/>
          <w:rtl/>
        </w:rPr>
        <w:tab/>
        <w:t xml:space="preserve">وسوف يتم تقييم تأثير التدابير التشريعية على تعميم مراعاة المنظور الجنساني بالاستعانة بقائمة مرجعية. وتم </w:t>
      </w:r>
      <w:r w:rsidR="009D56D0">
        <w:rPr>
          <w:rFonts w:hint="cs"/>
          <w:rtl/>
          <w:lang w:bidi="ar-LB"/>
        </w:rPr>
        <w:t xml:space="preserve">التوصل إلى طريقة </w:t>
      </w:r>
      <w:r>
        <w:rPr>
          <w:rFonts w:hint="cs"/>
          <w:rtl/>
        </w:rPr>
        <w:t xml:space="preserve">لرصد </w:t>
      </w:r>
      <w:r w:rsidR="009D56D0">
        <w:rPr>
          <w:rFonts w:hint="cs"/>
          <w:rtl/>
          <w:lang w:bidi="ar-LB"/>
        </w:rPr>
        <w:t xml:space="preserve">هذا التأثير على أساس </w:t>
      </w:r>
      <w:r>
        <w:rPr>
          <w:rFonts w:hint="cs"/>
          <w:rtl/>
        </w:rPr>
        <w:t xml:space="preserve">دراسة معنونة </w:t>
      </w:r>
      <w:r>
        <w:rPr>
          <w:rFonts w:hint="eastAsia"/>
          <w:rtl/>
        </w:rPr>
        <w:t>”هل النظام الض</w:t>
      </w:r>
      <w:r>
        <w:rPr>
          <w:rFonts w:hint="cs"/>
          <w:rtl/>
        </w:rPr>
        <w:t>ريبي النمساوي محايد جنسانيا حقا؟</w:t>
      </w:r>
      <w:r>
        <w:rPr>
          <w:rFonts w:hint="eastAsia"/>
          <w:rtl/>
        </w:rPr>
        <w:t>“</w:t>
      </w:r>
    </w:p>
    <w:p w:rsidR="00627C55" w:rsidRDefault="00627C55" w:rsidP="00173C77">
      <w:pPr>
        <w:pStyle w:val="SingleTxt"/>
        <w:rPr>
          <w:rFonts w:hint="cs"/>
          <w:rtl/>
        </w:rPr>
      </w:pPr>
      <w:r>
        <w:rPr>
          <w:rFonts w:hint="cs"/>
          <w:rtl/>
        </w:rPr>
        <w:tab/>
        <w:t xml:space="preserve">حللت هذه الدراسة </w:t>
      </w:r>
      <w:r w:rsidR="009F09B3">
        <w:rPr>
          <w:rFonts w:hint="cs"/>
          <w:rtl/>
          <w:lang w:bidi="ar-LB"/>
        </w:rPr>
        <w:t>ما ل</w:t>
      </w:r>
      <w:r>
        <w:rPr>
          <w:rFonts w:hint="cs"/>
          <w:rtl/>
        </w:rPr>
        <w:t>لأجور</w:t>
      </w:r>
      <w:r w:rsidR="00DC2CE8">
        <w:rPr>
          <w:rFonts w:hint="cs"/>
          <w:rtl/>
        </w:rPr>
        <w:t xml:space="preserve"> و</w:t>
      </w:r>
      <w:r w:rsidR="009F09B3">
        <w:rPr>
          <w:rFonts w:hint="cs"/>
          <w:rtl/>
          <w:lang w:bidi="ar-LB"/>
        </w:rPr>
        <w:t>ل</w:t>
      </w:r>
      <w:r w:rsidR="00DC2CE8">
        <w:rPr>
          <w:rFonts w:hint="cs"/>
          <w:rtl/>
        </w:rPr>
        <w:t>نظام الضريبة على الدخل</w:t>
      </w:r>
      <w:r w:rsidR="009F09B3">
        <w:rPr>
          <w:rFonts w:hint="cs"/>
          <w:rtl/>
          <w:lang w:bidi="ar-LB"/>
        </w:rPr>
        <w:t xml:space="preserve"> من </w:t>
      </w:r>
      <w:r w:rsidR="009F09B3">
        <w:rPr>
          <w:rFonts w:hint="cs"/>
          <w:rtl/>
        </w:rPr>
        <w:t>أثر توزيع</w:t>
      </w:r>
      <w:r w:rsidR="009F09B3">
        <w:rPr>
          <w:rFonts w:hint="cs"/>
          <w:rtl/>
          <w:lang w:bidi="ar-LB"/>
        </w:rPr>
        <w:t>ي</w:t>
      </w:r>
      <w:r w:rsidR="009D56D0">
        <w:rPr>
          <w:rFonts w:hint="cs"/>
          <w:rtl/>
          <w:lang w:bidi="ar-LB"/>
        </w:rPr>
        <w:t>.</w:t>
      </w:r>
      <w:r w:rsidR="00DC2CE8">
        <w:rPr>
          <w:rFonts w:hint="cs"/>
          <w:rtl/>
        </w:rPr>
        <w:t xml:space="preserve"> و</w:t>
      </w:r>
      <w:r w:rsidR="009D56D0">
        <w:rPr>
          <w:rFonts w:hint="cs"/>
          <w:rtl/>
          <w:lang w:bidi="ar-LB"/>
        </w:rPr>
        <w:t xml:space="preserve">إن </w:t>
      </w:r>
      <w:r w:rsidR="00DC2CE8">
        <w:rPr>
          <w:rFonts w:hint="cs"/>
          <w:rtl/>
        </w:rPr>
        <w:t xml:space="preserve">قانون </w:t>
      </w:r>
      <w:r>
        <w:rPr>
          <w:rFonts w:hint="cs"/>
          <w:rtl/>
        </w:rPr>
        <w:t>الضريبة على الدخل</w:t>
      </w:r>
      <w:r w:rsidR="009D56D0">
        <w:rPr>
          <w:rFonts w:hint="cs"/>
          <w:rtl/>
          <w:lang w:bidi="ar-LB"/>
        </w:rPr>
        <w:t>،</w:t>
      </w:r>
      <w:r>
        <w:rPr>
          <w:rFonts w:hint="cs"/>
          <w:rtl/>
        </w:rPr>
        <w:t xml:space="preserve"> الذي يشكل أساس الن</w:t>
      </w:r>
      <w:r w:rsidR="00DC2CE8">
        <w:rPr>
          <w:rFonts w:hint="cs"/>
          <w:rtl/>
        </w:rPr>
        <w:t>ظام</w:t>
      </w:r>
      <w:r w:rsidR="009D56D0">
        <w:rPr>
          <w:rFonts w:hint="cs"/>
          <w:rtl/>
          <w:lang w:bidi="ar-LB"/>
        </w:rPr>
        <w:t>،</w:t>
      </w:r>
      <w:r w:rsidR="00DC2CE8">
        <w:rPr>
          <w:rFonts w:hint="cs"/>
          <w:rtl/>
        </w:rPr>
        <w:t xml:space="preserve"> مكتوب بصيغة محايدة جنسانيا؛ ومع ذلك، فإن لكل من الأجور والضرائب على الدخل، في نهاية المطاف</w:t>
      </w:r>
      <w:r w:rsidR="009D56D0">
        <w:rPr>
          <w:rFonts w:hint="cs"/>
          <w:rtl/>
          <w:lang w:bidi="ar-LB"/>
        </w:rPr>
        <w:t>،</w:t>
      </w:r>
      <w:r w:rsidR="00DC2CE8">
        <w:rPr>
          <w:rFonts w:hint="cs"/>
          <w:rtl/>
        </w:rPr>
        <w:t xml:space="preserve"> آثار</w:t>
      </w:r>
      <w:r w:rsidR="009D56D0">
        <w:rPr>
          <w:rFonts w:hint="cs"/>
          <w:rtl/>
          <w:lang w:bidi="ar-LB"/>
        </w:rPr>
        <w:t>ا</w:t>
      </w:r>
      <w:r w:rsidR="00DC2CE8">
        <w:rPr>
          <w:rFonts w:hint="cs"/>
          <w:rtl/>
        </w:rPr>
        <w:t xml:space="preserve"> متفاوتة على النساء والرجال. ولا يشكل </w:t>
      </w:r>
      <w:r w:rsidR="009F09B3">
        <w:rPr>
          <w:rFonts w:hint="cs"/>
          <w:rtl/>
          <w:lang w:bidi="ar-LB"/>
        </w:rPr>
        <w:t xml:space="preserve">في المتوسط </w:t>
      </w:r>
      <w:r w:rsidR="00DC2CE8">
        <w:rPr>
          <w:rFonts w:hint="cs"/>
          <w:rtl/>
        </w:rPr>
        <w:t>دخل المرأة</w:t>
      </w:r>
      <w:r w:rsidR="009F09B3">
        <w:rPr>
          <w:rFonts w:hint="cs"/>
          <w:rtl/>
          <w:lang w:bidi="ar-LB"/>
        </w:rPr>
        <w:t>،</w:t>
      </w:r>
      <w:r w:rsidR="00DC2CE8">
        <w:rPr>
          <w:rFonts w:hint="cs"/>
          <w:rtl/>
        </w:rPr>
        <w:t xml:space="preserve"> على أساس العمالة التابعة</w:t>
      </w:r>
      <w:r w:rsidR="009F09B3">
        <w:rPr>
          <w:rFonts w:hint="cs"/>
          <w:rtl/>
          <w:lang w:bidi="ar-LB"/>
        </w:rPr>
        <w:t xml:space="preserve"> ،</w:t>
      </w:r>
      <w:r w:rsidR="00DC2CE8">
        <w:rPr>
          <w:rFonts w:hint="cs"/>
          <w:rtl/>
        </w:rPr>
        <w:t xml:space="preserve"> إلا أكثر بقليل من 60 في المائة من دخل الرجل.</w:t>
      </w:r>
    </w:p>
    <w:p w:rsidR="00DC2CE8" w:rsidRDefault="00DC2CE8" w:rsidP="00E94202">
      <w:pPr>
        <w:pStyle w:val="SingleTxt"/>
        <w:rPr>
          <w:rFonts w:hint="cs"/>
          <w:rtl/>
        </w:rPr>
      </w:pPr>
      <w:r>
        <w:rPr>
          <w:rFonts w:hint="cs"/>
          <w:rtl/>
        </w:rPr>
        <w:tab/>
        <w:t xml:space="preserve">وخلاصة القول، </w:t>
      </w:r>
      <w:r w:rsidR="00173C77">
        <w:rPr>
          <w:rFonts w:hint="cs"/>
          <w:rtl/>
          <w:lang w:bidi="ar-LB"/>
        </w:rPr>
        <w:t xml:space="preserve">إن </w:t>
      </w:r>
      <w:r>
        <w:rPr>
          <w:rFonts w:hint="cs"/>
          <w:rtl/>
        </w:rPr>
        <w:t xml:space="preserve">الدراسة </w:t>
      </w:r>
      <w:r w:rsidR="00173C77">
        <w:rPr>
          <w:rFonts w:hint="cs"/>
          <w:rtl/>
        </w:rPr>
        <w:t xml:space="preserve">تكشف </w:t>
      </w:r>
      <w:r>
        <w:rPr>
          <w:rFonts w:hint="cs"/>
          <w:rtl/>
        </w:rPr>
        <w:t>ما يلي: للنظام الضريبي النمساوي</w:t>
      </w:r>
      <w:r w:rsidR="00173C77">
        <w:rPr>
          <w:rFonts w:hint="cs"/>
          <w:rtl/>
          <w:lang w:bidi="ar-LB"/>
        </w:rPr>
        <w:t>،</w:t>
      </w:r>
      <w:r>
        <w:rPr>
          <w:rFonts w:hint="cs"/>
          <w:rtl/>
        </w:rPr>
        <w:t xml:space="preserve"> </w:t>
      </w:r>
      <w:r w:rsidR="00173C77">
        <w:rPr>
          <w:rFonts w:hint="cs"/>
          <w:rtl/>
        </w:rPr>
        <w:t xml:space="preserve">بصورة عامة، </w:t>
      </w:r>
      <w:r>
        <w:rPr>
          <w:rFonts w:hint="cs"/>
          <w:rtl/>
        </w:rPr>
        <w:t>أثر تعويضي على الدخول الصافية. و</w:t>
      </w:r>
      <w:r w:rsidR="00713099">
        <w:rPr>
          <w:rFonts w:hint="cs"/>
          <w:rtl/>
          <w:lang w:bidi="ar-LB"/>
        </w:rPr>
        <w:t>نسبة</w:t>
      </w:r>
      <w:r w:rsidR="00713099">
        <w:rPr>
          <w:rFonts w:hint="cs"/>
          <w:rtl/>
        </w:rPr>
        <w:t xml:space="preserve"> الدخل الإجمالي للرج</w:t>
      </w:r>
      <w:r>
        <w:rPr>
          <w:rFonts w:hint="cs"/>
          <w:rtl/>
        </w:rPr>
        <w:t>ل</w:t>
      </w:r>
      <w:r w:rsidR="00713099">
        <w:rPr>
          <w:rFonts w:hint="cs"/>
          <w:rtl/>
          <w:lang w:bidi="ar-LB"/>
        </w:rPr>
        <w:t>، في المتوسط، تعادل</w:t>
      </w:r>
      <w:r w:rsidR="00713099">
        <w:rPr>
          <w:rFonts w:hint="cs"/>
          <w:rtl/>
        </w:rPr>
        <w:t xml:space="preserve"> 160 في المائة من متوسط الدخل الإجمالي</w:t>
      </w:r>
      <w:r>
        <w:rPr>
          <w:rFonts w:hint="cs"/>
          <w:rtl/>
        </w:rPr>
        <w:t xml:space="preserve"> لل</w:t>
      </w:r>
      <w:r w:rsidR="00713099">
        <w:rPr>
          <w:rFonts w:hint="cs"/>
          <w:rtl/>
          <w:lang w:bidi="ar-LB"/>
        </w:rPr>
        <w:t>مرأة</w:t>
      </w:r>
      <w:r>
        <w:rPr>
          <w:rFonts w:hint="cs"/>
          <w:rtl/>
        </w:rPr>
        <w:t xml:space="preserve">. وبسبب النظام الضريبي، </w:t>
      </w:r>
      <w:r w:rsidR="00E94202">
        <w:rPr>
          <w:rFonts w:hint="cs"/>
          <w:rtl/>
          <w:lang w:bidi="ar-LB"/>
        </w:rPr>
        <w:t xml:space="preserve">يتناقص </w:t>
      </w:r>
      <w:r w:rsidR="00713099">
        <w:rPr>
          <w:rFonts w:hint="cs"/>
          <w:rtl/>
          <w:lang w:bidi="ar-LB"/>
        </w:rPr>
        <w:t xml:space="preserve">أعلى </w:t>
      </w:r>
      <w:r w:rsidR="00713099">
        <w:rPr>
          <w:rFonts w:hint="cs"/>
          <w:rtl/>
        </w:rPr>
        <w:t>دخل صافي</w:t>
      </w:r>
      <w:r>
        <w:rPr>
          <w:rFonts w:hint="cs"/>
          <w:rtl/>
        </w:rPr>
        <w:t xml:space="preserve"> </w:t>
      </w:r>
      <w:r w:rsidR="00713099">
        <w:rPr>
          <w:rFonts w:hint="cs"/>
          <w:rtl/>
          <w:lang w:bidi="ar-LB"/>
        </w:rPr>
        <w:t xml:space="preserve">للرجل </w:t>
      </w:r>
      <w:r w:rsidR="00E94202">
        <w:rPr>
          <w:rFonts w:hint="cs"/>
          <w:rtl/>
          <w:lang w:bidi="ar-LB"/>
        </w:rPr>
        <w:t>ب</w:t>
      </w:r>
      <w:r w:rsidR="00713099">
        <w:rPr>
          <w:rFonts w:hint="cs"/>
          <w:rtl/>
        </w:rPr>
        <w:t>نسب</w:t>
      </w:r>
      <w:r w:rsidR="00E94202">
        <w:rPr>
          <w:rFonts w:hint="cs"/>
          <w:rtl/>
          <w:lang w:bidi="ar-LB"/>
        </w:rPr>
        <w:t>ة</w:t>
      </w:r>
      <w:r w:rsidR="00713099">
        <w:rPr>
          <w:rFonts w:hint="cs"/>
          <w:rtl/>
          <w:lang w:bidi="ar-LB"/>
        </w:rPr>
        <w:t xml:space="preserve"> </w:t>
      </w:r>
      <w:r w:rsidR="00713099">
        <w:rPr>
          <w:rFonts w:hint="cs"/>
          <w:rtl/>
        </w:rPr>
        <w:t>152 في المائة من متوسط الدخل الصافي</w:t>
      </w:r>
      <w:r>
        <w:rPr>
          <w:rFonts w:hint="cs"/>
          <w:rtl/>
        </w:rPr>
        <w:t xml:space="preserve"> لل</w:t>
      </w:r>
      <w:r w:rsidR="00713099">
        <w:rPr>
          <w:rFonts w:hint="cs"/>
          <w:rtl/>
          <w:lang w:bidi="ar-LB"/>
        </w:rPr>
        <w:t>مرأة</w:t>
      </w:r>
      <w:r>
        <w:rPr>
          <w:rFonts w:hint="cs"/>
          <w:rtl/>
        </w:rPr>
        <w:t>. ويمكن عزو هذه النتيجة بصو</w:t>
      </w:r>
      <w:r w:rsidR="00713099">
        <w:rPr>
          <w:rFonts w:hint="cs"/>
          <w:rtl/>
        </w:rPr>
        <w:t>رة حصرية إلى الطبيعة التصاعدية لنظام الضريب</w:t>
      </w:r>
      <w:r w:rsidR="00713099">
        <w:rPr>
          <w:rFonts w:hint="cs"/>
          <w:rtl/>
          <w:lang w:bidi="ar-LB"/>
        </w:rPr>
        <w:t>ة</w:t>
      </w:r>
      <w:r>
        <w:rPr>
          <w:rFonts w:hint="cs"/>
          <w:rtl/>
        </w:rPr>
        <w:t xml:space="preserve"> على الدخل. وبال</w:t>
      </w:r>
      <w:r w:rsidR="00E94202">
        <w:rPr>
          <w:rFonts w:hint="cs"/>
          <w:rtl/>
          <w:lang w:bidi="ar-LB"/>
        </w:rPr>
        <w:t>عكس</w:t>
      </w:r>
      <w:r>
        <w:rPr>
          <w:rFonts w:hint="cs"/>
          <w:rtl/>
        </w:rPr>
        <w:t xml:space="preserve">، للاشتراكات </w:t>
      </w:r>
      <w:r w:rsidR="00713099">
        <w:rPr>
          <w:rFonts w:hint="cs"/>
          <w:rtl/>
          <w:lang w:bidi="ar-LB"/>
        </w:rPr>
        <w:t>المدفوعة للتأمينات ا</w:t>
      </w:r>
      <w:r>
        <w:rPr>
          <w:rFonts w:hint="cs"/>
          <w:rtl/>
        </w:rPr>
        <w:t>لاجتماعي</w:t>
      </w:r>
      <w:r w:rsidR="00713099">
        <w:rPr>
          <w:rFonts w:hint="cs"/>
          <w:rtl/>
          <w:lang w:bidi="ar-LB"/>
        </w:rPr>
        <w:t>ة</w:t>
      </w:r>
      <w:r>
        <w:rPr>
          <w:rFonts w:hint="cs"/>
          <w:rtl/>
        </w:rPr>
        <w:t xml:space="preserve"> أثر تنازلي، أي </w:t>
      </w:r>
      <w:r w:rsidR="00713099">
        <w:rPr>
          <w:rFonts w:hint="cs"/>
          <w:rtl/>
          <w:lang w:bidi="ar-LB"/>
        </w:rPr>
        <w:t xml:space="preserve">أنها </w:t>
      </w:r>
      <w:r>
        <w:rPr>
          <w:rFonts w:hint="cs"/>
          <w:rtl/>
        </w:rPr>
        <w:t>ت</w:t>
      </w:r>
      <w:r w:rsidR="00713099">
        <w:rPr>
          <w:rFonts w:hint="cs"/>
          <w:rtl/>
          <w:lang w:bidi="ar-LB"/>
        </w:rPr>
        <w:t>ؤدي إلى</w:t>
      </w:r>
      <w:r>
        <w:rPr>
          <w:rFonts w:hint="cs"/>
          <w:rtl/>
        </w:rPr>
        <w:t xml:space="preserve"> اتساع </w:t>
      </w:r>
      <w:r w:rsidR="00713099">
        <w:rPr>
          <w:rFonts w:hint="cs"/>
          <w:rtl/>
          <w:lang w:bidi="ar-LB"/>
        </w:rPr>
        <w:t>ال</w:t>
      </w:r>
      <w:r>
        <w:rPr>
          <w:rFonts w:hint="cs"/>
          <w:rtl/>
        </w:rPr>
        <w:t xml:space="preserve">فجوة </w:t>
      </w:r>
      <w:r w:rsidR="00713099">
        <w:rPr>
          <w:rFonts w:hint="cs"/>
          <w:rtl/>
          <w:lang w:bidi="ar-LB"/>
        </w:rPr>
        <w:t xml:space="preserve">بين </w:t>
      </w:r>
      <w:r>
        <w:rPr>
          <w:rFonts w:hint="cs"/>
          <w:rtl/>
        </w:rPr>
        <w:t>دخل الرجل والمرأة.</w:t>
      </w:r>
    </w:p>
    <w:p w:rsidR="00DC2CE8" w:rsidRDefault="00DC2CE8" w:rsidP="00E94202">
      <w:pPr>
        <w:pStyle w:val="SingleTxt"/>
        <w:rPr>
          <w:rFonts w:hint="cs"/>
          <w:rtl/>
        </w:rPr>
      </w:pPr>
      <w:r>
        <w:rPr>
          <w:rFonts w:hint="cs"/>
          <w:rtl/>
        </w:rPr>
        <w:tab/>
        <w:t xml:space="preserve">فيما عدا استثناءات قليلة، </w:t>
      </w:r>
      <w:r w:rsidR="00713099">
        <w:rPr>
          <w:rFonts w:hint="cs"/>
          <w:rtl/>
          <w:lang w:bidi="ar-LB"/>
        </w:rPr>
        <w:t xml:space="preserve">ينتفع بصفة رئيسية </w:t>
      </w:r>
      <w:r>
        <w:rPr>
          <w:rFonts w:hint="cs"/>
          <w:rtl/>
        </w:rPr>
        <w:t xml:space="preserve">دافعو الضرائب من الرجال من الإعفاءات الممنوحة في قانون الضريبة على الدخل، الأمر الذي يؤدي إلى تخفيض </w:t>
      </w:r>
      <w:r w:rsidR="00A662B1">
        <w:rPr>
          <w:rFonts w:hint="cs"/>
          <w:rtl/>
        </w:rPr>
        <w:t>ضريب</w:t>
      </w:r>
      <w:r w:rsidR="00A662B1">
        <w:rPr>
          <w:rFonts w:hint="cs"/>
          <w:rtl/>
          <w:lang w:bidi="ar-LB"/>
        </w:rPr>
        <w:t>تهم</w:t>
      </w:r>
      <w:r>
        <w:rPr>
          <w:rFonts w:hint="cs"/>
          <w:rtl/>
        </w:rPr>
        <w:t xml:space="preserve"> (مثال على </w:t>
      </w:r>
      <w:r w:rsidR="00A662B1">
        <w:rPr>
          <w:rFonts w:hint="cs"/>
          <w:rtl/>
          <w:lang w:bidi="ar-LB"/>
        </w:rPr>
        <w:t>الإعفاءات</w:t>
      </w:r>
      <w:r w:rsidR="00E94202">
        <w:rPr>
          <w:rFonts w:hint="cs"/>
          <w:rtl/>
          <w:lang w:bidi="ar-LB"/>
        </w:rPr>
        <w:t>:</w:t>
      </w:r>
      <w:r>
        <w:rPr>
          <w:rFonts w:hint="cs"/>
          <w:rtl/>
        </w:rPr>
        <w:t xml:space="preserve"> الخصم الضريبي للمعيل الواحد، والمعاملة الضري</w:t>
      </w:r>
      <w:r w:rsidR="00021501">
        <w:rPr>
          <w:rFonts w:hint="cs"/>
          <w:rtl/>
        </w:rPr>
        <w:t xml:space="preserve">بية المتميزة فيما يتعلق بتعويض </w:t>
      </w:r>
      <w:r w:rsidR="00021501">
        <w:rPr>
          <w:rFonts w:hint="cs"/>
          <w:rtl/>
          <w:lang w:bidi="ar-LB"/>
        </w:rPr>
        <w:t>ا</w:t>
      </w:r>
      <w:r>
        <w:rPr>
          <w:rFonts w:hint="cs"/>
          <w:rtl/>
        </w:rPr>
        <w:t>ن</w:t>
      </w:r>
      <w:r w:rsidR="00021501">
        <w:rPr>
          <w:rFonts w:hint="cs"/>
          <w:rtl/>
          <w:lang w:bidi="ar-LB"/>
        </w:rPr>
        <w:t>ت</w:t>
      </w:r>
      <w:r>
        <w:rPr>
          <w:rFonts w:hint="cs"/>
          <w:rtl/>
        </w:rPr>
        <w:t xml:space="preserve">هاء الخدمة، وبدل المواصلات في شكل مبلغ مقطوع). </w:t>
      </w:r>
    </w:p>
    <w:p w:rsidR="00DC2CE8" w:rsidRDefault="00DC2CE8" w:rsidP="00A662B1">
      <w:pPr>
        <w:pStyle w:val="SingleTxt"/>
        <w:rPr>
          <w:rFonts w:hint="cs"/>
          <w:rtl/>
        </w:rPr>
      </w:pPr>
      <w:r>
        <w:rPr>
          <w:rFonts w:hint="cs"/>
          <w:rtl/>
        </w:rPr>
        <w:tab/>
        <w:t>ل</w:t>
      </w:r>
      <w:r w:rsidR="00A662B1">
        <w:rPr>
          <w:rFonts w:hint="cs"/>
          <w:rtl/>
          <w:lang w:bidi="ar-LB"/>
        </w:rPr>
        <w:t>ن</w:t>
      </w:r>
      <w:r>
        <w:rPr>
          <w:rFonts w:hint="cs"/>
          <w:rtl/>
        </w:rPr>
        <w:t xml:space="preserve"> ي</w:t>
      </w:r>
      <w:r w:rsidR="00A662B1">
        <w:rPr>
          <w:rFonts w:hint="cs"/>
          <w:rtl/>
          <w:lang w:bidi="ar-LB"/>
        </w:rPr>
        <w:t>ؤدي</w:t>
      </w:r>
      <w:r>
        <w:rPr>
          <w:rFonts w:hint="cs"/>
          <w:rtl/>
        </w:rPr>
        <w:t xml:space="preserve"> تخفيض معدلات الضريبة </w:t>
      </w:r>
      <w:r w:rsidR="00A662B1">
        <w:rPr>
          <w:rFonts w:hint="cs"/>
          <w:rtl/>
          <w:lang w:bidi="ar-LB"/>
        </w:rPr>
        <w:t xml:space="preserve">إلى </w:t>
      </w:r>
      <w:r w:rsidR="00A662B1">
        <w:rPr>
          <w:rFonts w:hint="cs"/>
          <w:rtl/>
        </w:rPr>
        <w:t>اتساع الف</w:t>
      </w:r>
      <w:r w:rsidR="00A662B1">
        <w:rPr>
          <w:rFonts w:hint="cs"/>
          <w:rtl/>
          <w:lang w:bidi="ar-LB"/>
        </w:rPr>
        <w:t>جوة</w:t>
      </w:r>
      <w:r>
        <w:rPr>
          <w:rFonts w:hint="cs"/>
          <w:rtl/>
        </w:rPr>
        <w:t xml:space="preserve"> في الدخل بين الرجل والمرأة</w:t>
      </w:r>
      <w:r w:rsidR="00A662B1">
        <w:rPr>
          <w:rFonts w:hint="cs"/>
          <w:rtl/>
          <w:lang w:bidi="ar-LB"/>
        </w:rPr>
        <w:t>،</w:t>
      </w:r>
      <w:r>
        <w:rPr>
          <w:rFonts w:hint="cs"/>
          <w:rtl/>
        </w:rPr>
        <w:t xml:space="preserve"> إذا اقتصر </w:t>
      </w:r>
      <w:r w:rsidR="00A662B1">
        <w:rPr>
          <w:rFonts w:hint="cs"/>
          <w:rtl/>
          <w:lang w:bidi="ar-LB"/>
        </w:rPr>
        <w:t>التخفيض</w:t>
      </w:r>
      <w:r>
        <w:rPr>
          <w:rFonts w:hint="cs"/>
          <w:rtl/>
        </w:rPr>
        <w:t xml:space="preserve"> على </w:t>
      </w:r>
      <w:r w:rsidR="00A662B1">
        <w:rPr>
          <w:rFonts w:hint="cs"/>
          <w:rtl/>
          <w:lang w:bidi="ar-LB"/>
        </w:rPr>
        <w:t xml:space="preserve">أدنى </w:t>
      </w:r>
      <w:r>
        <w:rPr>
          <w:rFonts w:hint="cs"/>
          <w:rtl/>
        </w:rPr>
        <w:t>المعدلات</w:t>
      </w:r>
      <w:r w:rsidR="00A662B1">
        <w:rPr>
          <w:rFonts w:hint="cs"/>
          <w:rtl/>
          <w:lang w:bidi="ar-LB"/>
        </w:rPr>
        <w:t>،</w:t>
      </w:r>
      <w:r>
        <w:rPr>
          <w:rFonts w:hint="cs"/>
          <w:rtl/>
        </w:rPr>
        <w:t xml:space="preserve"> وواكب ذلك خصم ضريبي متزايد. ولا يمكن للنظام الضريبي أن يعوض بشكل كامل </w:t>
      </w:r>
      <w:r w:rsidR="00A662B1">
        <w:rPr>
          <w:rFonts w:hint="cs"/>
          <w:rtl/>
          <w:lang w:bidi="ar-LB"/>
        </w:rPr>
        <w:t xml:space="preserve">عن </w:t>
      </w:r>
      <w:r>
        <w:rPr>
          <w:rFonts w:hint="cs"/>
          <w:rtl/>
        </w:rPr>
        <w:t>الفرق في الدخل. غير أن تعميم مراعاة المنظور الجنساني يركز على مسألة الاتجاه الذي ستتخذه الضريبة على الد</w:t>
      </w:r>
      <w:r w:rsidR="00A662B1">
        <w:rPr>
          <w:rFonts w:hint="cs"/>
          <w:rtl/>
        </w:rPr>
        <w:t>خل: هل هذا من شأنه أن يزيد الف</w:t>
      </w:r>
      <w:r>
        <w:rPr>
          <w:rFonts w:hint="cs"/>
          <w:rtl/>
        </w:rPr>
        <w:t xml:space="preserve">رق </w:t>
      </w:r>
      <w:r w:rsidR="00A662B1">
        <w:rPr>
          <w:rFonts w:hint="cs"/>
          <w:rtl/>
        </w:rPr>
        <w:t>بين دخل الرجل والمرأة أو هل ل</w:t>
      </w:r>
      <w:r w:rsidR="00A662B1">
        <w:rPr>
          <w:rFonts w:hint="cs"/>
          <w:rtl/>
          <w:lang w:bidi="ar-LB"/>
        </w:rPr>
        <w:t>ه</w:t>
      </w:r>
      <w:r>
        <w:rPr>
          <w:rFonts w:hint="cs"/>
          <w:rtl/>
        </w:rPr>
        <w:t xml:space="preserve"> أثر تعويضي؟ ويجب أيضا طرح نفس السؤال عندما يتعلق الأمر بتعديل النظام الضريبي. هل من شأن بعض التدابي</w:t>
      </w:r>
      <w:r w:rsidR="00A662B1">
        <w:rPr>
          <w:rFonts w:hint="cs"/>
          <w:rtl/>
        </w:rPr>
        <w:t>ر أن تزيد أو تقلل الفجوة بين دخ</w:t>
      </w:r>
      <w:r>
        <w:rPr>
          <w:rFonts w:hint="cs"/>
          <w:rtl/>
        </w:rPr>
        <w:t xml:space="preserve">ل الرجل والمرأة؟ </w:t>
      </w:r>
    </w:p>
    <w:p w:rsidR="00DC2CE8" w:rsidRDefault="00DC2CE8" w:rsidP="00627C55">
      <w:pPr>
        <w:pStyle w:val="SingleTxt"/>
        <w:rPr>
          <w:rFonts w:hint="cs"/>
          <w:rtl/>
        </w:rPr>
      </w:pPr>
      <w:r>
        <w:rPr>
          <w:rFonts w:hint="cs"/>
          <w:rtl/>
        </w:rPr>
        <w:tab/>
        <w:t>يتعين تحليل هذه الأسئلة بالاستعانة بالقائمة المرجعية المذكورة أعلاه عندما يتم التخطيط لإجراء إصلاحات ضريبية في المستقبل.</w:t>
      </w:r>
    </w:p>
    <w:p w:rsidR="00624A59" w:rsidRDefault="00DC2CE8" w:rsidP="00A662B1">
      <w:pPr>
        <w:pStyle w:val="SingleTxt"/>
        <w:rPr>
          <w:rFonts w:hint="cs"/>
          <w:rtl/>
          <w:lang w:bidi="ar-LB"/>
        </w:rPr>
      </w:pPr>
      <w:r>
        <w:rPr>
          <w:rFonts w:hint="cs"/>
          <w:rtl/>
        </w:rPr>
        <w:tab/>
        <w:t xml:space="preserve">والملاحظات الواردة في </w:t>
      </w:r>
      <w:r>
        <w:rPr>
          <w:rFonts w:hint="eastAsia"/>
          <w:rtl/>
        </w:rPr>
        <w:t>”القسم العام</w:t>
      </w:r>
      <w:r>
        <w:rPr>
          <w:rFonts w:hint="cs"/>
          <w:rtl/>
        </w:rPr>
        <w:t>“ من قانون تنفيذ الميزانية لعام 2003 - أي القسم الوارد في القانون الحكومي المتعلق بالمسائل الضريبية - يتضمن البيانات التالية المتصلة بتنفيذ مشروع تعميم مراعاة المنظور الجنساني حتى هذا التاريخ</w:t>
      </w:r>
      <w:r w:rsidR="00A662B1">
        <w:rPr>
          <w:rFonts w:hint="cs"/>
          <w:rtl/>
          <w:lang w:bidi="ar-LB"/>
        </w:rPr>
        <w:t>.</w:t>
      </w:r>
    </w:p>
    <w:p w:rsidR="00DC2CE8" w:rsidRPr="00A662B1" w:rsidRDefault="00DC2CE8" w:rsidP="00C303FF">
      <w:pPr>
        <w:pStyle w:val="SingleTxt"/>
        <w:rPr>
          <w:rFonts w:hint="eastAsia"/>
          <w:b/>
          <w:bCs/>
          <w:rtl/>
        </w:rPr>
      </w:pPr>
      <w:r w:rsidRPr="00A662B1">
        <w:rPr>
          <w:rFonts w:hint="eastAsia"/>
          <w:b/>
          <w:bCs/>
          <w:rtl/>
        </w:rPr>
        <w:t xml:space="preserve">”تعميم مراعاة المنظور الجنساني </w:t>
      </w:r>
      <w:r w:rsidRPr="00A662B1">
        <w:rPr>
          <w:rFonts w:hint="cs"/>
          <w:b/>
          <w:bCs/>
          <w:rtl/>
        </w:rPr>
        <w:t>-</w:t>
      </w:r>
      <w:r w:rsidRPr="00A662B1">
        <w:rPr>
          <w:rFonts w:hint="eastAsia"/>
          <w:b/>
          <w:bCs/>
          <w:rtl/>
        </w:rPr>
        <w:t xml:space="preserve"> أثر </w:t>
      </w:r>
      <w:r w:rsidRPr="00A662B1">
        <w:rPr>
          <w:rFonts w:hint="cs"/>
          <w:b/>
          <w:bCs/>
          <w:rtl/>
        </w:rPr>
        <w:t>ذلك على المرأة والرجل</w:t>
      </w:r>
    </w:p>
    <w:p w:rsidR="00DC2CE8" w:rsidRDefault="00DC2CE8" w:rsidP="00880823">
      <w:pPr>
        <w:pStyle w:val="SingleTxt"/>
        <w:rPr>
          <w:rFonts w:hint="cs"/>
          <w:rtl/>
        </w:rPr>
      </w:pPr>
      <w:r>
        <w:rPr>
          <w:rFonts w:hint="cs"/>
          <w:rtl/>
        </w:rPr>
        <w:tab/>
      </w:r>
      <w:r w:rsidR="004A13B4">
        <w:rPr>
          <w:rFonts w:hint="cs"/>
          <w:rtl/>
        </w:rPr>
        <w:t>سيتم بصورة مستمرة</w:t>
      </w:r>
      <w:r w:rsidR="004A13B4">
        <w:rPr>
          <w:rFonts w:hint="cs"/>
          <w:rtl/>
          <w:lang w:bidi="ar-LB"/>
        </w:rPr>
        <w:t xml:space="preserve">، </w:t>
      </w:r>
      <w:r>
        <w:rPr>
          <w:rFonts w:hint="cs"/>
          <w:rtl/>
        </w:rPr>
        <w:t>أثناء عملية الإصلاح الضريبي، رصد آثار التدابير الإصلاحية على دخل الرجل والمرأة. و</w:t>
      </w:r>
      <w:r w:rsidR="004A13B4">
        <w:rPr>
          <w:rFonts w:hint="cs"/>
          <w:rtl/>
          <w:lang w:bidi="ar-LB"/>
        </w:rPr>
        <w:t>لقد أثبت</w:t>
      </w:r>
      <w:r>
        <w:rPr>
          <w:rFonts w:hint="cs"/>
          <w:rtl/>
        </w:rPr>
        <w:t xml:space="preserve"> هذا الرصد أنه يمكن أن يكون </w:t>
      </w:r>
      <w:r w:rsidR="004A13B4">
        <w:rPr>
          <w:rFonts w:hint="cs"/>
          <w:rtl/>
          <w:lang w:bidi="ar-LB"/>
        </w:rPr>
        <w:t>ل</w:t>
      </w:r>
      <w:r w:rsidR="004A13B4">
        <w:rPr>
          <w:rFonts w:hint="cs"/>
          <w:rtl/>
        </w:rPr>
        <w:t xml:space="preserve">تخفيض معدل الضريبة المفروضة على الدخل </w:t>
      </w:r>
      <w:r>
        <w:rPr>
          <w:rFonts w:hint="cs"/>
          <w:rtl/>
        </w:rPr>
        <w:t>أثر ملموس. وسيستفيد بصف</w:t>
      </w:r>
      <w:r w:rsidR="00880823">
        <w:rPr>
          <w:rFonts w:hint="cs"/>
          <w:rtl/>
        </w:rPr>
        <w:t xml:space="preserve">ة خاصة أصحاب الدخل المنخفض من </w:t>
      </w:r>
      <w:r>
        <w:rPr>
          <w:rFonts w:hint="cs"/>
          <w:rtl/>
        </w:rPr>
        <w:t xml:space="preserve">تخفيض </w:t>
      </w:r>
      <w:r w:rsidR="00880823">
        <w:rPr>
          <w:rFonts w:hint="cs"/>
          <w:rtl/>
          <w:lang w:bidi="ar-LB"/>
        </w:rPr>
        <w:t xml:space="preserve">معدل الضريبة </w:t>
      </w:r>
      <w:r>
        <w:rPr>
          <w:rFonts w:hint="cs"/>
          <w:rtl/>
        </w:rPr>
        <w:t xml:space="preserve">الذي </w:t>
      </w:r>
      <w:r w:rsidR="00880823">
        <w:rPr>
          <w:rFonts w:hint="cs"/>
          <w:rtl/>
          <w:lang w:bidi="ar-LB"/>
        </w:rPr>
        <w:t>س</w:t>
      </w:r>
      <w:r>
        <w:rPr>
          <w:rFonts w:hint="cs"/>
          <w:rtl/>
        </w:rPr>
        <w:t xml:space="preserve">يأخذ شكل خصومات ضريبية </w:t>
      </w:r>
      <w:r w:rsidR="00880823">
        <w:rPr>
          <w:rFonts w:hint="cs"/>
          <w:rtl/>
          <w:lang w:bidi="ar-LB"/>
        </w:rPr>
        <w:t>بموجب</w:t>
      </w:r>
      <w:r>
        <w:rPr>
          <w:rFonts w:hint="cs"/>
          <w:rtl/>
        </w:rPr>
        <w:t xml:space="preserve"> أحكام انتقالية معدلة،</w:t>
      </w:r>
      <w:r w:rsidR="00880823">
        <w:rPr>
          <w:rFonts w:hint="cs"/>
          <w:rtl/>
          <w:lang w:bidi="ar-LB"/>
        </w:rPr>
        <w:t xml:space="preserve"> كما سيستفيد أصحاب ا</w:t>
      </w:r>
      <w:r w:rsidR="00880823">
        <w:rPr>
          <w:rFonts w:hint="cs"/>
          <w:rtl/>
        </w:rPr>
        <w:t>لمرتبات الثال</w:t>
      </w:r>
      <w:r w:rsidR="00880823">
        <w:rPr>
          <w:rFonts w:hint="cs"/>
          <w:rtl/>
          <w:lang w:bidi="ar-LB"/>
        </w:rPr>
        <w:t>ث</w:t>
      </w:r>
      <w:r w:rsidR="00880823">
        <w:rPr>
          <w:rFonts w:hint="cs"/>
          <w:rtl/>
        </w:rPr>
        <w:t xml:space="preserve"> عشر والرابع عشر</w:t>
      </w:r>
      <w:r w:rsidR="00880823">
        <w:rPr>
          <w:rFonts w:hint="cs"/>
          <w:rtl/>
          <w:lang w:bidi="ar-LB"/>
        </w:rPr>
        <w:t xml:space="preserve"> من</w:t>
      </w:r>
      <w:r>
        <w:rPr>
          <w:rFonts w:hint="cs"/>
          <w:rtl/>
        </w:rPr>
        <w:t xml:space="preserve"> حدود قصوى أعلى للإعفاءات الضريبية. وبناء عليه، ستستفيد المرأة من هذه الترتيبات أكثر </w:t>
      </w:r>
      <w:r w:rsidR="00880823">
        <w:rPr>
          <w:rFonts w:hint="cs"/>
          <w:rtl/>
          <w:lang w:bidi="ar-LB"/>
        </w:rPr>
        <w:t>من</w:t>
      </w:r>
      <w:r>
        <w:rPr>
          <w:rFonts w:hint="cs"/>
          <w:rtl/>
        </w:rPr>
        <w:t xml:space="preserve"> الرجل. وسوف تتراوح الخسائر المتكبدة من تحصيل الضرائب من أصحاب الأجور والمرتبات من النساء بين 175 مليون يورو و</w:t>
      </w:r>
      <w:r w:rsidR="00880823">
        <w:rPr>
          <w:rFonts w:hint="cs"/>
          <w:rtl/>
        </w:rPr>
        <w:t>180 مليون يورو م</w:t>
      </w:r>
      <w:r w:rsidR="00880823">
        <w:rPr>
          <w:rFonts w:hint="cs"/>
          <w:rtl/>
          <w:lang w:bidi="ar-LB"/>
        </w:rPr>
        <w:t xml:space="preserve">ما مجموعه </w:t>
      </w:r>
      <w:r>
        <w:rPr>
          <w:rFonts w:hint="cs"/>
          <w:rtl/>
        </w:rPr>
        <w:t xml:space="preserve">حوالي 380 مليون يورو </w:t>
      </w:r>
      <w:r w:rsidR="00880823">
        <w:rPr>
          <w:rFonts w:hint="cs"/>
          <w:rtl/>
          <w:lang w:bidi="ar-LB"/>
        </w:rPr>
        <w:t xml:space="preserve">من الخسائر. </w:t>
      </w:r>
      <w:r>
        <w:rPr>
          <w:rFonts w:hint="cs"/>
          <w:rtl/>
        </w:rPr>
        <w:t>ويفترض ذلك أن نصيب الفرد من تخفيف الضريبة سيتراوح بين 55 يورو إلى 60 يورو بالنسبة للرجل</w:t>
      </w:r>
      <w:r w:rsidR="00095A67">
        <w:rPr>
          <w:rFonts w:hint="cs"/>
          <w:rtl/>
          <w:lang w:bidi="ar-LB"/>
        </w:rPr>
        <w:t>،</w:t>
      </w:r>
      <w:r>
        <w:rPr>
          <w:rFonts w:hint="cs"/>
          <w:rtl/>
        </w:rPr>
        <w:t xml:space="preserve"> وحوالي 70 يورو بالنسبة للمرأة</w:t>
      </w:r>
      <w:r>
        <w:rPr>
          <w:rFonts w:hint="eastAsia"/>
          <w:rtl/>
        </w:rPr>
        <w:t>“.</w:t>
      </w:r>
    </w:p>
    <w:p w:rsidR="00C303FF" w:rsidRDefault="00C303FF" w:rsidP="006069EF">
      <w:pPr>
        <w:pStyle w:val="SingleTxt"/>
        <w:rPr>
          <w:rFonts w:hint="cs"/>
          <w:rtl/>
        </w:rPr>
      </w:pPr>
      <w:r>
        <w:rPr>
          <w:rFonts w:hint="cs"/>
          <w:rtl/>
        </w:rPr>
        <w:tab/>
        <w:t>وتتعاون الوزارات الاتحادية، والمجالس الاستشارية، وغير</w:t>
      </w:r>
      <w:r w:rsidR="00095A67">
        <w:rPr>
          <w:rFonts w:hint="cs"/>
          <w:rtl/>
          <w:lang w:bidi="ar-LB"/>
        </w:rPr>
        <w:t>ها</w:t>
      </w:r>
      <w:r>
        <w:rPr>
          <w:rFonts w:hint="cs"/>
          <w:rtl/>
        </w:rPr>
        <w:t xml:space="preserve"> من الهيئات مع المنظمات غير الحكومية بأشكال مختلفة، لا سيما من خلال تقديم الدعم المالي إلى المؤسسات والمشاريع (مراكز التدخل الإنساني، وملاجئ </w:t>
      </w:r>
      <w:r w:rsidR="00095A67">
        <w:rPr>
          <w:rFonts w:hint="cs"/>
          <w:rtl/>
          <w:lang w:bidi="ar-LB"/>
        </w:rPr>
        <w:t>ا</w:t>
      </w:r>
      <w:r>
        <w:rPr>
          <w:rFonts w:hint="cs"/>
          <w:rtl/>
        </w:rPr>
        <w:t>لنساء اللاتي يتعرض</w:t>
      </w:r>
      <w:r w:rsidR="00095A67">
        <w:rPr>
          <w:rFonts w:hint="cs"/>
          <w:rtl/>
          <w:lang w:bidi="ar-LB"/>
        </w:rPr>
        <w:t>ن</w:t>
      </w:r>
      <w:r>
        <w:rPr>
          <w:rFonts w:hint="cs"/>
          <w:rtl/>
        </w:rPr>
        <w:t xml:space="preserve"> للضرب، والمراكز الاستشارية، والمناسبات). وتتعاون المستشارية الاتحادية مع الفريق العامل المسمى </w:t>
      </w:r>
      <w:r>
        <w:rPr>
          <w:rFonts w:hint="eastAsia"/>
          <w:rtl/>
        </w:rPr>
        <w:t xml:space="preserve">”المرأة في المنظمة الاتحادية </w:t>
      </w:r>
      <w:r w:rsidR="00095A67">
        <w:rPr>
          <w:rFonts w:hint="cs"/>
          <w:rtl/>
          <w:lang w:bidi="ar-LB"/>
        </w:rPr>
        <w:t>المعنية با</w:t>
      </w:r>
      <w:r>
        <w:rPr>
          <w:rFonts w:hint="eastAsia"/>
          <w:rtl/>
        </w:rPr>
        <w:t>لألعاب الرياضية</w:t>
      </w:r>
      <w:r>
        <w:rPr>
          <w:rFonts w:hint="cs"/>
          <w:rtl/>
        </w:rPr>
        <w:t>“</w:t>
      </w:r>
      <w:r w:rsidR="006069EF" w:rsidRPr="006069EF">
        <w:rPr>
          <w:vertAlign w:val="superscript"/>
          <w:rtl/>
        </w:rPr>
        <w:t>(</w:t>
      </w:r>
      <w:r w:rsidR="006069EF">
        <w:rPr>
          <w:rStyle w:val="FootnoteReference"/>
          <w:rtl/>
        </w:rPr>
        <w:footnoteReference w:id="1"/>
      </w:r>
      <w:r w:rsidR="006069EF" w:rsidRPr="006069EF">
        <w:rPr>
          <w:vertAlign w:val="superscript"/>
          <w:rtl/>
        </w:rPr>
        <w:t>)</w:t>
      </w:r>
      <w:r w:rsidR="006069EF">
        <w:rPr>
          <w:rFonts w:hint="cs"/>
          <w:rtl/>
        </w:rPr>
        <w:t xml:space="preserve"> </w:t>
      </w:r>
      <w:r>
        <w:rPr>
          <w:rFonts w:hint="cs"/>
          <w:rtl/>
        </w:rPr>
        <w:t>بهدف زيادة ن</w:t>
      </w:r>
      <w:r w:rsidR="009C58EA">
        <w:rPr>
          <w:rFonts w:hint="cs"/>
          <w:rtl/>
          <w:lang w:bidi="ar-LB"/>
        </w:rPr>
        <w:t>سبة النساء</w:t>
      </w:r>
      <w:r>
        <w:rPr>
          <w:rFonts w:hint="cs"/>
          <w:rtl/>
        </w:rPr>
        <w:t xml:space="preserve"> في جميع </w:t>
      </w:r>
      <w:r w:rsidR="009C58EA">
        <w:rPr>
          <w:rFonts w:hint="cs"/>
          <w:rtl/>
          <w:lang w:bidi="ar-LB"/>
        </w:rPr>
        <w:t>مجالس</w:t>
      </w:r>
      <w:r>
        <w:rPr>
          <w:rFonts w:hint="cs"/>
          <w:rtl/>
        </w:rPr>
        <w:t xml:space="preserve"> الرابطات التقنية التابعة لمنظمة الألعاب الرياضية.</w:t>
      </w:r>
    </w:p>
    <w:p w:rsidR="00C303FF" w:rsidRDefault="00C303FF" w:rsidP="00DC2CE8">
      <w:pPr>
        <w:pStyle w:val="SingleTxt"/>
        <w:rPr>
          <w:rFonts w:hint="cs"/>
          <w:b/>
          <w:bCs/>
          <w:rtl/>
        </w:rPr>
      </w:pPr>
      <w:r>
        <w:rPr>
          <w:rFonts w:hint="cs"/>
          <w:b/>
          <w:bCs/>
          <w:rtl/>
        </w:rPr>
        <w:t>التوصية 227</w:t>
      </w:r>
    </w:p>
    <w:p w:rsidR="00C303FF" w:rsidRDefault="00C303FF" w:rsidP="00835F43">
      <w:pPr>
        <w:pStyle w:val="SingleTxt"/>
        <w:rPr>
          <w:rFonts w:hint="cs"/>
          <w:rtl/>
        </w:rPr>
      </w:pPr>
      <w:r>
        <w:rPr>
          <w:rFonts w:hint="cs"/>
          <w:rtl/>
        </w:rPr>
        <w:tab/>
      </w:r>
      <w:r w:rsidR="005C78DC">
        <w:rPr>
          <w:rFonts w:hint="cs"/>
          <w:rtl/>
        </w:rPr>
        <w:t xml:space="preserve">لا تدل </w:t>
      </w:r>
      <w:r>
        <w:rPr>
          <w:rFonts w:hint="cs"/>
          <w:rtl/>
        </w:rPr>
        <w:t>قواعد القبول</w:t>
      </w:r>
      <w:r w:rsidR="00835F43">
        <w:rPr>
          <w:rFonts w:hint="cs"/>
          <w:rtl/>
          <w:lang w:bidi="ar-LB"/>
        </w:rPr>
        <w:t>،</w:t>
      </w:r>
      <w:r>
        <w:rPr>
          <w:rFonts w:hint="cs"/>
          <w:rtl/>
        </w:rPr>
        <w:t xml:space="preserve"> المنطبقة في الوقت الراهن</w:t>
      </w:r>
      <w:r w:rsidR="00835F43">
        <w:rPr>
          <w:rFonts w:hint="cs"/>
          <w:rtl/>
          <w:lang w:bidi="ar-LB"/>
        </w:rPr>
        <w:t>،</w:t>
      </w:r>
      <w:r>
        <w:rPr>
          <w:rFonts w:hint="cs"/>
          <w:rtl/>
        </w:rPr>
        <w:t xml:space="preserve"> على وجود أي تمييز ضد طالبات اللجوء أو اللاجئات. وبموجب التشريع الحالي، </w:t>
      </w:r>
      <w:r w:rsidR="00387FDC">
        <w:rPr>
          <w:rFonts w:hint="cs"/>
          <w:rtl/>
        </w:rPr>
        <w:t xml:space="preserve">ورهنا بقانون عمالة الرعايا الأجانب، يحق لجميع طالبات اللجوء دخول سوق العمل. غير أن منح إذن العمل يتوقف على تقييم الطلب على أساس متطلبات سوق العمل، وخلال </w:t>
      </w:r>
      <w:r w:rsidR="009873A3">
        <w:rPr>
          <w:rFonts w:hint="cs"/>
          <w:rtl/>
          <w:lang w:bidi="ar-LB"/>
        </w:rPr>
        <w:t>ت</w:t>
      </w:r>
      <w:r w:rsidR="00835F43">
        <w:rPr>
          <w:rFonts w:hint="cs"/>
          <w:rtl/>
          <w:lang w:bidi="ar-LB"/>
        </w:rPr>
        <w:t>لك الفترة</w:t>
      </w:r>
      <w:r w:rsidR="00387FDC">
        <w:rPr>
          <w:rFonts w:hint="cs"/>
          <w:rtl/>
        </w:rPr>
        <w:t xml:space="preserve"> ستعطى الأفضلية لرعايا دول ثالثة مقيمين بصورة قانونية ولمواطني الاتحاد الأوروبي/المنطقة الاقتصادية الأوروبية (بغض النظر عن الجنس الذي ينتمون إليه).</w:t>
      </w:r>
    </w:p>
    <w:p w:rsidR="00387FDC" w:rsidRDefault="00387FDC" w:rsidP="00835F43">
      <w:pPr>
        <w:pStyle w:val="SingleTxt"/>
        <w:rPr>
          <w:rFonts w:hint="cs"/>
          <w:rtl/>
        </w:rPr>
      </w:pPr>
      <w:r>
        <w:rPr>
          <w:rFonts w:hint="cs"/>
          <w:rtl/>
        </w:rPr>
        <w:tab/>
        <w:t xml:space="preserve">وبموجب القانون الذي ينظم عمل الرعايا الأجانب وقانون الأجانب، يعامل الرجال والنساء معاملة متساوية فيما يتعلق بدخول البلد والإقامة فيه ودخول سوق العمل. وبسبب جهود الاندماج الجارية، فضلا عن التغييرات التشريعية والإدارية (أحدث هذه التغييرات هو تعديل قانون الأجانب لعام 2002)، تتحسن باستمرار فرص المهاجرات المقيمات </w:t>
      </w:r>
      <w:r w:rsidR="00835F43">
        <w:rPr>
          <w:rFonts w:hint="cs"/>
          <w:rtl/>
          <w:lang w:bidi="ar-LB"/>
        </w:rPr>
        <w:t>ل</w:t>
      </w:r>
      <w:r>
        <w:rPr>
          <w:rFonts w:hint="cs"/>
          <w:rtl/>
        </w:rPr>
        <w:t xml:space="preserve">دخول سوق العمل. ومنذ شهر حزيران/يونيه 2002، عندما أصدرت الوزارة الاتحادية للشؤون الاقتصادية والعمالة مرسوم الاندماج، </w:t>
      </w:r>
      <w:r w:rsidR="00835F43">
        <w:rPr>
          <w:rFonts w:hint="cs"/>
          <w:rtl/>
          <w:lang w:bidi="ar-LB"/>
        </w:rPr>
        <w:t>استفاد</w:t>
      </w:r>
      <w:r>
        <w:rPr>
          <w:rFonts w:hint="cs"/>
          <w:rtl/>
        </w:rPr>
        <w:t xml:space="preserve"> المهاجرون من النساء والرجال الذين انتقلوا إلى النمسا للانضمام إل</w:t>
      </w:r>
      <w:r w:rsidR="00835F43">
        <w:rPr>
          <w:rFonts w:hint="cs"/>
          <w:rtl/>
        </w:rPr>
        <w:t xml:space="preserve">ى أزواجهم/أزواجهن وأسرهم/أسرهن </w:t>
      </w:r>
      <w:r w:rsidR="00835F43">
        <w:rPr>
          <w:rFonts w:hint="cs"/>
          <w:rtl/>
          <w:lang w:bidi="ar-LB"/>
        </w:rPr>
        <w:t xml:space="preserve">من </w:t>
      </w:r>
      <w:r>
        <w:rPr>
          <w:rFonts w:hint="cs"/>
          <w:rtl/>
        </w:rPr>
        <w:t xml:space="preserve">الأولوية </w:t>
      </w:r>
      <w:r w:rsidR="00835F43">
        <w:rPr>
          <w:rFonts w:hint="cs"/>
          <w:rtl/>
          <w:lang w:bidi="ar-LB"/>
        </w:rPr>
        <w:t xml:space="preserve">المعطاة لهم </w:t>
      </w:r>
      <w:r>
        <w:rPr>
          <w:rFonts w:hint="cs"/>
          <w:rtl/>
        </w:rPr>
        <w:t>فيما يتعلق بمنح إذن العمل.</w:t>
      </w:r>
    </w:p>
    <w:p w:rsidR="00387FDC" w:rsidRDefault="00387FDC" w:rsidP="009E79EC">
      <w:pPr>
        <w:pStyle w:val="SingleTxt"/>
        <w:rPr>
          <w:rFonts w:hint="cs"/>
          <w:rtl/>
        </w:rPr>
      </w:pPr>
      <w:r>
        <w:rPr>
          <w:rFonts w:hint="cs"/>
          <w:rtl/>
        </w:rPr>
        <w:tab/>
        <w:t>ومنذ أوائل عام 2003، استطاع المهاجرون وأزواجهم أن يحصلوا على شهادة إقامة بعد مضي خمس سنوات على إقامتهم بصورة قانونية في النمسا. وتمنح هذه الوثيقة للمهاجرين الحق في الدخول بدون قيد أو شرط إلى سوق العمل و</w:t>
      </w:r>
      <w:r w:rsidR="00835F43">
        <w:rPr>
          <w:rFonts w:hint="cs"/>
          <w:rtl/>
          <w:lang w:bidi="ar-LB"/>
        </w:rPr>
        <w:t>ت</w:t>
      </w:r>
      <w:r>
        <w:rPr>
          <w:rFonts w:hint="cs"/>
          <w:rtl/>
        </w:rPr>
        <w:t>سهّل عليهم إيجاد عمل،</w:t>
      </w:r>
      <w:r w:rsidR="009E79EC">
        <w:rPr>
          <w:rFonts w:hint="cs"/>
          <w:rtl/>
          <w:lang w:bidi="ar-LB"/>
        </w:rPr>
        <w:t xml:space="preserve"> وهذا صحيح بصورة خاصة </w:t>
      </w:r>
      <w:r>
        <w:rPr>
          <w:rFonts w:hint="cs"/>
          <w:rtl/>
        </w:rPr>
        <w:t xml:space="preserve">بالنسبة لهؤلاء الذين عاشوا في النمسا </w:t>
      </w:r>
      <w:r w:rsidR="009E79EC">
        <w:rPr>
          <w:rFonts w:hint="cs"/>
          <w:rtl/>
          <w:lang w:bidi="ar-LB"/>
        </w:rPr>
        <w:t xml:space="preserve">فترة طويلة </w:t>
      </w:r>
      <w:r>
        <w:rPr>
          <w:rFonts w:hint="cs"/>
          <w:rtl/>
        </w:rPr>
        <w:t xml:space="preserve">ولم يستطيعوا إيجاد </w:t>
      </w:r>
      <w:r w:rsidR="009E79EC">
        <w:rPr>
          <w:rFonts w:hint="cs"/>
          <w:rtl/>
          <w:lang w:bidi="ar-LB"/>
        </w:rPr>
        <w:t>وظيفة</w:t>
      </w:r>
      <w:r>
        <w:rPr>
          <w:rFonts w:hint="cs"/>
          <w:rtl/>
        </w:rPr>
        <w:t>. وبالإضافة إلى ذلك، تشكل شهادة الإقامة خطوة هامة أيضا نحو جعل الإقامة تنسجم مع التشريع المتعلق بالعمالة.</w:t>
      </w:r>
    </w:p>
    <w:p w:rsidR="00387FDC" w:rsidRDefault="00387FDC" w:rsidP="009873A3">
      <w:pPr>
        <w:pStyle w:val="SingleTxt"/>
        <w:rPr>
          <w:rFonts w:hint="cs"/>
          <w:rtl/>
        </w:rPr>
      </w:pPr>
      <w:r>
        <w:rPr>
          <w:rFonts w:hint="cs"/>
          <w:rtl/>
        </w:rPr>
        <w:tab/>
        <w:t xml:space="preserve">وبموجب القانون الذي ينظم عدد </w:t>
      </w:r>
      <w:r w:rsidR="009E79EC">
        <w:rPr>
          <w:rFonts w:hint="cs"/>
          <w:rtl/>
          <w:lang w:bidi="ar-LB"/>
        </w:rPr>
        <w:t>تصاريح</w:t>
      </w:r>
      <w:r>
        <w:rPr>
          <w:rFonts w:hint="cs"/>
          <w:rtl/>
        </w:rPr>
        <w:t xml:space="preserve"> العمل القصوى التي يمكن تجاوزها، يجوز في بعض الحالات تجاوز عدد </w:t>
      </w:r>
      <w:r w:rsidR="009E79EC">
        <w:rPr>
          <w:rFonts w:hint="cs"/>
          <w:rtl/>
          <w:lang w:bidi="ar-LB"/>
        </w:rPr>
        <w:t>تصاريح</w:t>
      </w:r>
      <w:r>
        <w:rPr>
          <w:rFonts w:hint="cs"/>
          <w:rtl/>
        </w:rPr>
        <w:t xml:space="preserve"> العمل القصوى الممنوحة للأجانب الذين يتقدمون بطلبات في كل أنحاء النمسا</w:t>
      </w:r>
      <w:r w:rsidR="009873A3">
        <w:rPr>
          <w:rFonts w:hint="cs"/>
          <w:rtl/>
          <w:lang w:bidi="ar-LB"/>
        </w:rPr>
        <w:t>،</w:t>
      </w:r>
      <w:r>
        <w:rPr>
          <w:rFonts w:hint="cs"/>
          <w:rtl/>
        </w:rPr>
        <w:t xml:space="preserve"> ومن بين هذه الحالات العنف المنزلي. ففي عام 1997 (نشرة القانون الاتحادي الثانية، رقم 256)، تم إدخال هذا الحكم في القانون الذي يحدد عدد </w:t>
      </w:r>
      <w:r w:rsidR="009E79EC">
        <w:rPr>
          <w:rFonts w:hint="cs"/>
          <w:rtl/>
          <w:lang w:bidi="ar-LB"/>
        </w:rPr>
        <w:t>تصاريح</w:t>
      </w:r>
      <w:r>
        <w:rPr>
          <w:rFonts w:hint="cs"/>
          <w:rtl/>
        </w:rPr>
        <w:t xml:space="preserve"> العمل القصوى. وقد تبين أن الأحكام السابقة الرامية إلى </w:t>
      </w:r>
      <w:r w:rsidR="009E79EC">
        <w:rPr>
          <w:rFonts w:hint="cs"/>
          <w:rtl/>
        </w:rPr>
        <w:t>ضمان وجود عمل ب</w:t>
      </w:r>
      <w:r w:rsidR="009E79EC">
        <w:rPr>
          <w:rFonts w:hint="cs"/>
          <w:rtl/>
          <w:lang w:bidi="ar-LB"/>
        </w:rPr>
        <w:t>أجر</w:t>
      </w:r>
      <w:r>
        <w:rPr>
          <w:rFonts w:hint="cs"/>
          <w:rtl/>
        </w:rPr>
        <w:t xml:space="preserve"> للمهاجرين من النساء والرجال المعرضين للعنف المنزلي صارمة أكثر من اللازم. وعليه، تم في عام 2003 استكمال هذا القانون (نشرة القانون الاتحادي الثانية، رقم 249) بحيث ي</w:t>
      </w:r>
      <w:r w:rsidR="009E79EC">
        <w:rPr>
          <w:rFonts w:hint="cs"/>
          <w:rtl/>
          <w:lang w:bidi="ar-LB"/>
        </w:rPr>
        <w:t xml:space="preserve">كفي </w:t>
      </w:r>
      <w:r>
        <w:rPr>
          <w:rFonts w:hint="cs"/>
          <w:rtl/>
        </w:rPr>
        <w:t xml:space="preserve"> الآن </w:t>
      </w:r>
      <w:r w:rsidR="009E79EC">
        <w:rPr>
          <w:rFonts w:hint="cs"/>
          <w:rtl/>
          <w:lang w:bidi="ar-LB"/>
        </w:rPr>
        <w:t xml:space="preserve">أن تقدم سلطة إنفاذ القانون تقريرا </w:t>
      </w:r>
      <w:r>
        <w:rPr>
          <w:rFonts w:hint="cs"/>
          <w:rtl/>
        </w:rPr>
        <w:t xml:space="preserve">عن زوج يلجأ إلى العنف (وكان </w:t>
      </w:r>
      <w:r w:rsidR="009E79EC">
        <w:rPr>
          <w:rFonts w:hint="cs"/>
          <w:rtl/>
          <w:lang w:bidi="ar-LB"/>
        </w:rPr>
        <w:t xml:space="preserve">يتحتم في </w:t>
      </w:r>
      <w:r>
        <w:rPr>
          <w:rFonts w:hint="cs"/>
          <w:rtl/>
        </w:rPr>
        <w:t xml:space="preserve">السابق على محكمة جنائية أن تصدر حكما غير قابل للاستئناف بهذا الشأن) أو </w:t>
      </w:r>
      <w:r w:rsidR="009E79EC">
        <w:rPr>
          <w:rFonts w:hint="cs"/>
          <w:rtl/>
          <w:lang w:bidi="ar-LB"/>
        </w:rPr>
        <w:t xml:space="preserve">أن يحدث </w:t>
      </w:r>
      <w:r>
        <w:rPr>
          <w:rFonts w:hint="cs"/>
          <w:rtl/>
        </w:rPr>
        <w:t xml:space="preserve">طلاق بموجب قانون أجنبي (وكان </w:t>
      </w:r>
      <w:r w:rsidR="009E79EC">
        <w:rPr>
          <w:rFonts w:hint="cs"/>
          <w:rtl/>
          <w:lang w:bidi="ar-LB"/>
        </w:rPr>
        <w:t xml:space="preserve">يتحتم في </w:t>
      </w:r>
      <w:r>
        <w:rPr>
          <w:rFonts w:hint="cs"/>
          <w:rtl/>
        </w:rPr>
        <w:t xml:space="preserve">السابق على محكمة عائلية إصدار مرسوم طلاق بالذنب) أو </w:t>
      </w:r>
      <w:r w:rsidR="00AC2846">
        <w:rPr>
          <w:rFonts w:hint="cs"/>
          <w:rtl/>
          <w:lang w:bidi="ar-LB"/>
        </w:rPr>
        <w:t xml:space="preserve">أن يتم تقديم </w:t>
      </w:r>
      <w:r>
        <w:rPr>
          <w:rFonts w:hint="cs"/>
          <w:rtl/>
        </w:rPr>
        <w:t>تقرير أو تأكيد عن وجود عنف منزلي مشتبه به من جانب أشخاص أو مؤسسات مختصة، مثل طبيب أو مستشفى أو مركز تدخ</w:t>
      </w:r>
      <w:r w:rsidR="009E79EC">
        <w:rPr>
          <w:rFonts w:hint="cs"/>
          <w:rtl/>
          <w:lang w:bidi="ar-LB"/>
        </w:rPr>
        <w:t>ّ</w:t>
      </w:r>
      <w:r>
        <w:rPr>
          <w:rFonts w:hint="cs"/>
          <w:rtl/>
        </w:rPr>
        <w:t>ل أو ملجأ للنساء اللاتي يتعرضن للضرب أو مكتب لرعاية الشباب.</w:t>
      </w:r>
    </w:p>
    <w:p w:rsidR="00387FDC" w:rsidRDefault="00387FDC" w:rsidP="003C6A68">
      <w:pPr>
        <w:pStyle w:val="SingleTxt"/>
        <w:rPr>
          <w:rFonts w:hint="cs"/>
          <w:rtl/>
        </w:rPr>
      </w:pPr>
      <w:r>
        <w:rPr>
          <w:rFonts w:hint="cs"/>
          <w:rtl/>
        </w:rPr>
        <w:tab/>
        <w:t>وأنشأت وزارة الصحة الاتحادية و</w:t>
      </w:r>
      <w:r w:rsidR="003C6A68">
        <w:rPr>
          <w:rFonts w:hint="cs"/>
          <w:rtl/>
          <w:lang w:bidi="ar-LB"/>
        </w:rPr>
        <w:t>شؤون</w:t>
      </w:r>
      <w:r>
        <w:rPr>
          <w:rFonts w:hint="cs"/>
          <w:rtl/>
        </w:rPr>
        <w:t xml:space="preserve"> المرأة إدارة منفصلة أطلق عليها اسم </w:t>
      </w:r>
      <w:r>
        <w:rPr>
          <w:rFonts w:hint="eastAsia"/>
          <w:rtl/>
        </w:rPr>
        <w:t>”خدمة المرأة وإدماج المهاجرات في المجتمع</w:t>
      </w:r>
      <w:r>
        <w:rPr>
          <w:rFonts w:hint="cs"/>
          <w:rtl/>
        </w:rPr>
        <w:t xml:space="preserve">“. وتكرس هذه الإدارة نفسها لأعمال أساسية في مجال الأبحاث والمشاريع </w:t>
      </w:r>
      <w:r w:rsidR="00AC2846">
        <w:rPr>
          <w:rFonts w:hint="cs"/>
          <w:rtl/>
          <w:lang w:bidi="ar-LB"/>
        </w:rPr>
        <w:t xml:space="preserve">التي </w:t>
      </w:r>
      <w:r>
        <w:rPr>
          <w:rFonts w:hint="cs"/>
          <w:rtl/>
        </w:rPr>
        <w:t>تفيد المرأة في البلد المضيف</w:t>
      </w:r>
      <w:r w:rsidR="00AC2846">
        <w:rPr>
          <w:rFonts w:hint="cs"/>
          <w:rtl/>
          <w:lang w:bidi="ar-LB"/>
        </w:rPr>
        <w:t>،</w:t>
      </w:r>
      <w:r>
        <w:rPr>
          <w:rFonts w:hint="cs"/>
          <w:rtl/>
        </w:rPr>
        <w:t xml:space="preserve"> النمسا. ويتم تركيز الاهتمام على الاندماج الاجتماعي - الاقتصادي والثقافي للمهاجرات في المجتمع. وفي الوقت نفسه، نشأت اهتمامات ذات أولوية عليا من بينها: المعاملة المتساوية فيما يتعلق بدخول سوق العمل، والتعليم (لا سيما تعليم اللغة فضلا عن الاعتراف بالشهادات التي تم الحصول عليها في بلد المنشأ) والصحة. </w:t>
      </w:r>
    </w:p>
    <w:p w:rsidR="00387FDC" w:rsidRDefault="001408CD" w:rsidP="00AC2846">
      <w:pPr>
        <w:pStyle w:val="SingleTxt"/>
        <w:rPr>
          <w:rFonts w:hint="cs"/>
          <w:rtl/>
        </w:rPr>
      </w:pPr>
      <w:r>
        <w:rPr>
          <w:rFonts w:hint="cs"/>
          <w:rtl/>
        </w:rPr>
        <w:tab/>
        <w:t xml:space="preserve">وقامت الأقاليم أيضا بمبادرات، مثل إنشاء مكاتب للاندماج في المجتمع، والشروع في برامج للغات، والتدريب، وإسداء المشورة </w:t>
      </w:r>
      <w:r w:rsidR="00AC2846">
        <w:rPr>
          <w:rFonts w:hint="cs"/>
          <w:rtl/>
        </w:rPr>
        <w:t>لموظفي المنظمات غير الحكومية</w:t>
      </w:r>
      <w:r w:rsidR="00AC2846">
        <w:rPr>
          <w:rFonts w:hint="cs"/>
          <w:rtl/>
          <w:lang w:bidi="ar-LB"/>
        </w:rPr>
        <w:t xml:space="preserve"> في</w:t>
      </w:r>
      <w:r>
        <w:rPr>
          <w:rFonts w:hint="cs"/>
          <w:rtl/>
        </w:rPr>
        <w:t xml:space="preserve"> المسائل المتصلة بقانون الأجانب ، وتسهيل حصول المهاجرات على خدمات رعاية صحية محددة. </w:t>
      </w:r>
    </w:p>
    <w:p w:rsidR="001408CD" w:rsidRPr="001408CD" w:rsidRDefault="001408CD" w:rsidP="001408CD">
      <w:pPr>
        <w:pStyle w:val="SingleTxt"/>
        <w:rPr>
          <w:rFonts w:hint="cs"/>
          <w:b/>
          <w:bCs/>
          <w:rtl/>
        </w:rPr>
      </w:pPr>
      <w:r w:rsidRPr="001408CD">
        <w:rPr>
          <w:rFonts w:hint="cs"/>
          <w:b/>
          <w:bCs/>
          <w:rtl/>
        </w:rPr>
        <w:t xml:space="preserve">التوصية 228 </w:t>
      </w:r>
    </w:p>
    <w:p w:rsidR="001408CD" w:rsidRDefault="001408CD" w:rsidP="00EF6275">
      <w:pPr>
        <w:pStyle w:val="SingleTxt"/>
        <w:rPr>
          <w:rFonts w:hint="cs"/>
          <w:rtl/>
        </w:rPr>
      </w:pPr>
      <w:r>
        <w:rPr>
          <w:rFonts w:hint="cs"/>
          <w:rtl/>
        </w:rPr>
        <w:tab/>
        <w:t>من أجل تسهيل المحاكمة الجنائية للاتجار بالأشخاص/الاتجار بالمرأة، تم إدخال تعديلات وإضافة أحكام جديدة على قانون العقوبات النمساوي وقانون الأجانب النمساوي خلال الفترة ال</w:t>
      </w:r>
      <w:r w:rsidR="00EF6275">
        <w:rPr>
          <w:rFonts w:hint="cs"/>
          <w:rtl/>
          <w:lang w:bidi="ar-LB"/>
        </w:rPr>
        <w:t xml:space="preserve">تي يغطيها </w:t>
      </w:r>
      <w:r>
        <w:rPr>
          <w:rFonts w:hint="cs"/>
          <w:rtl/>
        </w:rPr>
        <w:t>هذا التقرير.</w:t>
      </w:r>
    </w:p>
    <w:p w:rsidR="001408CD" w:rsidRDefault="001408CD" w:rsidP="00EF6275">
      <w:pPr>
        <w:pStyle w:val="SingleTxt"/>
        <w:rPr>
          <w:rFonts w:hint="cs"/>
          <w:rtl/>
        </w:rPr>
      </w:pPr>
      <w:r>
        <w:rPr>
          <w:rFonts w:hint="cs"/>
          <w:rtl/>
        </w:rPr>
        <w:tab/>
        <w:t>المادة 104 من قانون الأجانب تعر</w:t>
      </w:r>
      <w:r w:rsidR="00EF6275">
        <w:rPr>
          <w:rFonts w:hint="cs"/>
          <w:rtl/>
          <w:lang w:bidi="ar-LB"/>
        </w:rPr>
        <w:t>ّ</w:t>
      </w:r>
      <w:r>
        <w:rPr>
          <w:rFonts w:hint="cs"/>
          <w:rtl/>
        </w:rPr>
        <w:t xml:space="preserve">ف </w:t>
      </w:r>
      <w:r>
        <w:rPr>
          <w:rFonts w:hint="eastAsia"/>
          <w:rtl/>
        </w:rPr>
        <w:t>”تهريب الأشخاص</w:t>
      </w:r>
      <w:r w:rsidR="00EF6275">
        <w:rPr>
          <w:rFonts w:hint="cs"/>
          <w:rtl/>
        </w:rPr>
        <w:t xml:space="preserve">“ على أنه تسهيل </w:t>
      </w:r>
      <w:r w:rsidR="00EF6275">
        <w:rPr>
          <w:rFonts w:hint="cs"/>
          <w:rtl/>
          <w:lang w:bidi="ar-LB"/>
        </w:rPr>
        <w:t>ا</w:t>
      </w:r>
      <w:r>
        <w:rPr>
          <w:rFonts w:hint="cs"/>
          <w:rtl/>
        </w:rPr>
        <w:t xml:space="preserve">لدخول غير القانوني للأجانب في دولة عضو في الاتحاد الأوروبي أو في إحدى الدول المجاورة للنمسا، مما يجعل هذه الجريمة جريمة يعاقب عليها إذا كان تهريب الأشخاص يتم لغرض كسب المال للشخص المهرب أو لآخرين. ويعاقب على هذه الجريمة </w:t>
      </w:r>
      <w:r w:rsidR="00EF6275">
        <w:rPr>
          <w:rFonts w:hint="cs"/>
          <w:rtl/>
          <w:lang w:bidi="ar-LB"/>
        </w:rPr>
        <w:t xml:space="preserve">بالسجن </w:t>
      </w:r>
      <w:r>
        <w:rPr>
          <w:rFonts w:hint="cs"/>
          <w:rtl/>
        </w:rPr>
        <w:t xml:space="preserve">لفترة تصل إلى عشر سنوات. أما الأجانب الذين تم تسهيل دخولهم عن طريق تهريبهم </w:t>
      </w:r>
      <w:r w:rsidR="00EF6275">
        <w:rPr>
          <w:rFonts w:hint="cs"/>
          <w:rtl/>
          <w:lang w:bidi="ar-LB"/>
        </w:rPr>
        <w:t>ف</w:t>
      </w:r>
      <w:r>
        <w:rPr>
          <w:rFonts w:hint="cs"/>
          <w:rtl/>
        </w:rPr>
        <w:t xml:space="preserve">لا يخضعون للعقاب بوصفهم مساعدين على ارتكاب الجريمة. </w:t>
      </w:r>
    </w:p>
    <w:p w:rsidR="001408CD" w:rsidRDefault="001408CD" w:rsidP="009A34CF">
      <w:pPr>
        <w:pStyle w:val="SingleTxt"/>
        <w:rPr>
          <w:rFonts w:hint="cs"/>
          <w:rtl/>
        </w:rPr>
      </w:pPr>
      <w:r>
        <w:rPr>
          <w:rFonts w:hint="cs"/>
          <w:rtl/>
        </w:rPr>
        <w:tab/>
        <w:t xml:space="preserve">المادة 105 من قانون الأجانب يجعل استغلال الأجانب الذين يقيمون بصورة غير قانونية في الأراضي النمساوية ويجدون أنفسهم في وضع </w:t>
      </w:r>
      <w:r w:rsidR="00EF6275">
        <w:rPr>
          <w:rFonts w:hint="cs"/>
          <w:rtl/>
          <w:lang w:bidi="ar-LB"/>
        </w:rPr>
        <w:t>ال</w:t>
      </w:r>
      <w:r>
        <w:rPr>
          <w:rFonts w:hint="cs"/>
          <w:rtl/>
        </w:rPr>
        <w:t>تبعية جريمة يعاقب عليها. وفي هذا السياق، يتم تعريف الاستغلال على أنه الحصول على دخل مستمر من نشاط يقوم به أجنبي. ويعاقب على هذه الجريمة بالسجن لفترة تصل إلى 10 سنوات. وبموجب</w:t>
      </w:r>
      <w:r w:rsidR="001C4385">
        <w:rPr>
          <w:rFonts w:hint="cs"/>
          <w:rtl/>
        </w:rPr>
        <w:t xml:space="preserve"> هذا الحكم، يمكن اتخاذ إجراء قانوني ضد السلوك الاستغلالي حتى إذا لم يتسن </w:t>
      </w:r>
      <w:r w:rsidR="009A34CF">
        <w:rPr>
          <w:rFonts w:hint="cs"/>
          <w:rtl/>
          <w:lang w:bidi="ar-LB"/>
        </w:rPr>
        <w:t>إدانة ا</w:t>
      </w:r>
      <w:r w:rsidR="001C4385">
        <w:rPr>
          <w:rFonts w:hint="cs"/>
          <w:rtl/>
        </w:rPr>
        <w:t>لاتجار بالأشخاص وفقا لقانون العقوبات النمساوي.</w:t>
      </w:r>
    </w:p>
    <w:p w:rsidR="001C4385" w:rsidRDefault="001C4385" w:rsidP="00EF6275">
      <w:pPr>
        <w:pStyle w:val="SingleTxt"/>
        <w:rPr>
          <w:rFonts w:hint="cs"/>
          <w:rtl/>
        </w:rPr>
      </w:pPr>
      <w:r>
        <w:rPr>
          <w:rFonts w:hint="cs"/>
          <w:rtl/>
        </w:rPr>
        <w:tab/>
        <w:t>قام مركز التدخل ل</w:t>
      </w:r>
      <w:r w:rsidR="00EF6275">
        <w:rPr>
          <w:rFonts w:hint="cs"/>
          <w:rtl/>
          <w:lang w:bidi="ar-LB"/>
        </w:rPr>
        <w:t xml:space="preserve">صالح </w:t>
      </w:r>
      <w:r>
        <w:rPr>
          <w:rFonts w:hint="cs"/>
          <w:rtl/>
        </w:rPr>
        <w:t>ضحايا الاتجار بالمرأة</w:t>
      </w:r>
      <w:r w:rsidR="00EF6275">
        <w:rPr>
          <w:rFonts w:hint="cs"/>
          <w:rtl/>
          <w:lang w:bidi="ar-LB"/>
        </w:rPr>
        <w:t>،</w:t>
      </w:r>
      <w:r w:rsidR="00EF6275">
        <w:rPr>
          <w:rFonts w:hint="cs"/>
          <w:rtl/>
        </w:rPr>
        <w:t xml:space="preserve"> خلال الفترة قيد الاستعراض</w:t>
      </w:r>
      <w:r w:rsidR="00EF6275">
        <w:rPr>
          <w:rFonts w:hint="cs"/>
          <w:rtl/>
          <w:lang w:bidi="ar-LB"/>
        </w:rPr>
        <w:t>،</w:t>
      </w:r>
      <w:r>
        <w:rPr>
          <w:rFonts w:hint="cs"/>
          <w:rtl/>
        </w:rPr>
        <w:t xml:space="preserve"> بالعمليات التي تم وصفها في التقرير الخامس المقدم إلى اللجنة. وبالإضافة إلى ذلك، تقدم وزارة الصحة الاتحادية </w:t>
      </w:r>
      <w:r w:rsidR="003C6A68">
        <w:rPr>
          <w:rFonts w:hint="cs"/>
          <w:rtl/>
          <w:lang w:bidi="ar-LB"/>
        </w:rPr>
        <w:t>وشؤون</w:t>
      </w:r>
      <w:r>
        <w:rPr>
          <w:rFonts w:hint="cs"/>
          <w:rtl/>
        </w:rPr>
        <w:t xml:space="preserve"> المرأة الدعم المالي لرابطة المهاجرات من أمريكا اللاتينية في النمسا التي تتعاون مع مشروع الوقاية من الإيدز عبر الحدود/ومن الأمراض المنقولة عن طريق الاتصال الجنسي بين الباغيات. والشبكة التي تعمل على مستوى الاتحاد الأوروبي ملتزمة بحماية حقوق الإنسان للمهاجرات اللاتي يتم استغلالهن كمشتغلات في الجنس.</w:t>
      </w:r>
    </w:p>
    <w:p w:rsidR="001C4385" w:rsidRDefault="001C4385" w:rsidP="001408CD">
      <w:pPr>
        <w:pStyle w:val="SingleTxt"/>
        <w:rPr>
          <w:rFonts w:hint="cs"/>
          <w:rtl/>
        </w:rPr>
      </w:pPr>
      <w:r>
        <w:rPr>
          <w:rFonts w:hint="cs"/>
          <w:rtl/>
        </w:rPr>
        <w:tab/>
        <w:t xml:space="preserve">وفي كانون الأول/ديسمبر 2000، وقّعت النمسا على اتفاقية الأمم المتحدة لمكافحة الجريمة المنظمة عبر الحدود، وهي الاتفاقية التي كملت بروتوكول منع وقمع الاتجار بالأشخاص ولا سيما النساء والأطفال. </w:t>
      </w:r>
    </w:p>
    <w:p w:rsidR="001C4385" w:rsidRDefault="001C4385" w:rsidP="00D6772C">
      <w:pPr>
        <w:pStyle w:val="SingleTxt"/>
        <w:rPr>
          <w:rFonts w:hint="cs"/>
          <w:rtl/>
        </w:rPr>
      </w:pPr>
      <w:r>
        <w:rPr>
          <w:rFonts w:hint="cs"/>
          <w:rtl/>
        </w:rPr>
        <w:tab/>
        <w:t>و</w:t>
      </w:r>
      <w:r w:rsidR="00EF6275">
        <w:rPr>
          <w:rFonts w:hint="cs"/>
          <w:rtl/>
          <w:lang w:bidi="ar-LB"/>
        </w:rPr>
        <w:t>ي</w:t>
      </w:r>
      <w:r>
        <w:rPr>
          <w:rFonts w:hint="cs"/>
          <w:rtl/>
        </w:rPr>
        <w:t xml:space="preserve">تضمن قانون العقوبات النمساوي بصيغته المعدلة في عام 2004 (النشرة القانونية الاتحادية الأولى، رقم 15/2004، التي بدأ نفاذها منذ 1 أيار/مايو 2004) المادة 104، </w:t>
      </w:r>
      <w:r w:rsidR="00EF6275">
        <w:rPr>
          <w:rFonts w:hint="cs"/>
          <w:rtl/>
          <w:lang w:bidi="ar-LB"/>
        </w:rPr>
        <w:t>الحرف (</w:t>
      </w:r>
      <w:r>
        <w:rPr>
          <w:rFonts w:hint="cs"/>
          <w:rtl/>
        </w:rPr>
        <w:t>أ</w:t>
      </w:r>
      <w:r w:rsidR="00EF6275">
        <w:rPr>
          <w:rFonts w:hint="cs"/>
          <w:rtl/>
          <w:lang w:bidi="ar-LB"/>
        </w:rPr>
        <w:t>)</w:t>
      </w:r>
      <w:r>
        <w:rPr>
          <w:rFonts w:hint="cs"/>
          <w:rtl/>
        </w:rPr>
        <w:t xml:space="preserve"> التي أضافت أحكاما جديدة ضد الاتجار بالأشخاص لا تقتصر على الاتجار بالأشخاص عبر الحدود لأغراض البغاء. والتعريف القانون</w:t>
      </w:r>
      <w:r w:rsidR="00EF6275">
        <w:rPr>
          <w:rFonts w:hint="cs"/>
          <w:rtl/>
        </w:rPr>
        <w:t>ي ال</w:t>
      </w:r>
      <w:r w:rsidR="00EF6275">
        <w:rPr>
          <w:rFonts w:hint="cs"/>
          <w:rtl/>
          <w:lang w:bidi="ar-LB"/>
        </w:rPr>
        <w:t>ج</w:t>
      </w:r>
      <w:r>
        <w:rPr>
          <w:rFonts w:hint="cs"/>
          <w:rtl/>
        </w:rPr>
        <w:t>ديد لهذه الجريمة يشمل الاتجار بالأشخاص لأغراض الاستغلال الجنسي، واستغلال الأشخاص من خلال الإزالة غير القانونية لأعضائهم، فضلا عن استغلالهم في العمل. ويتيح هذا الحكم تنفيذ بروتوكول الأمم المتحدة لمنع وقمع الاتجار بالأشخاص ولا سيما النساء والأطفال، والبروتوكول الاختياري لاتفاقية الأم</w:t>
      </w:r>
      <w:r w:rsidR="00EF6275">
        <w:rPr>
          <w:rFonts w:hint="cs"/>
          <w:rtl/>
        </w:rPr>
        <w:t xml:space="preserve">م المتحدة المتعلقة بحقوق الطفل </w:t>
      </w:r>
      <w:r>
        <w:rPr>
          <w:rFonts w:hint="cs"/>
          <w:rtl/>
        </w:rPr>
        <w:t xml:space="preserve">التي تناولت موضوع الاتجار بالأطفال، وبغاء الأطفال، واستغلال الأطفال في المطبوعات الخليعة، فضلا عن المقرر الإطاري لمكافحة الاتجار بالأشخاص. وعنوان المادة 217 من قانون العقوبات النمساوي الذي جعل حتى هذا الحين الاتجار بالنساء والأطفال جريمة يعاقب عليها هو </w:t>
      </w:r>
      <w:r>
        <w:rPr>
          <w:rFonts w:hint="eastAsia"/>
          <w:rtl/>
        </w:rPr>
        <w:t>”</w:t>
      </w:r>
      <w:r>
        <w:rPr>
          <w:rFonts w:hint="cs"/>
          <w:rtl/>
        </w:rPr>
        <w:t>الاتجار بالأشخاص</w:t>
      </w:r>
      <w:r>
        <w:rPr>
          <w:rFonts w:hint="eastAsia"/>
          <w:rtl/>
        </w:rPr>
        <w:t xml:space="preserve">“ وقد ظلت هذه المادة بدون تغيير فيما يتعلق بمحتوياتها، غير أن عنوانها قد تغير فأصبح </w:t>
      </w:r>
      <w:r>
        <w:rPr>
          <w:rFonts w:hint="cs"/>
          <w:rtl/>
        </w:rPr>
        <w:t>”الاتجار عبر الحدود لأغراض البغاء</w:t>
      </w:r>
      <w:r>
        <w:rPr>
          <w:rFonts w:hint="eastAsia"/>
          <w:rtl/>
        </w:rPr>
        <w:t xml:space="preserve">“. </w:t>
      </w:r>
      <w:r>
        <w:rPr>
          <w:rFonts w:hint="cs"/>
          <w:rtl/>
        </w:rPr>
        <w:t xml:space="preserve">وتكثف النمسا تعاونها مع مؤسسات إنفاذ القانون ومع تلك المؤسسات الموجودة في البلدان المجاورة في أوروبا الشرقية والجنوبية الشرقية، </w:t>
      </w:r>
      <w:r w:rsidR="00EF6275">
        <w:rPr>
          <w:rFonts w:hint="cs"/>
          <w:rtl/>
          <w:lang w:bidi="ar-LB"/>
        </w:rPr>
        <w:t xml:space="preserve">إذ </w:t>
      </w:r>
      <w:r>
        <w:rPr>
          <w:rFonts w:hint="cs"/>
          <w:rtl/>
        </w:rPr>
        <w:t xml:space="preserve">يأتي من كثير من هذه البلدان ضحايا الاتجار. وتم في النمسا وفي بلدان أخرى تنظيم دورات تدريبية ترمي إلى توعية الموظفين العاملين في وحدات إنفاذ القانون في الدول المشاركة. وإحدى النقاط التي تم التركيز عليها بصفة خاصة في هذه الدورات التدريبية هي الجهود المبذولة لإدماج عملية التوعية بالاتجار بالأشخاص في البرامج التدريبية للعاملين في الشرطة والقضاء في المنطقة برمتها. وبالإضافة إلى ذلك، تدعم وزارة الخارجية النمساوية بصورة نشطة مرافق حماية الضحايا، مثل الملاجئ المخصصة للنساء اللاتي يتعرضن للضرب في بلغراد (صربيا والجبل الأسود) (انظر المادة 6). </w:t>
      </w:r>
    </w:p>
    <w:p w:rsidR="001A1EA1" w:rsidRDefault="001A1EA1" w:rsidP="00D6772C">
      <w:pPr>
        <w:pStyle w:val="SingleTxt"/>
        <w:rPr>
          <w:rFonts w:hint="cs"/>
          <w:rtl/>
        </w:rPr>
      </w:pPr>
    </w:p>
    <w:p w:rsidR="001A1EA1" w:rsidRDefault="001A1EA1" w:rsidP="00D6772C">
      <w:pPr>
        <w:pStyle w:val="SingleTxt"/>
        <w:rPr>
          <w:rFonts w:hint="cs"/>
          <w:rtl/>
        </w:rPr>
      </w:pPr>
    </w:p>
    <w:p w:rsidR="001C4385" w:rsidRPr="00711E31" w:rsidRDefault="00711E31" w:rsidP="001408CD">
      <w:pPr>
        <w:pStyle w:val="SingleTxt"/>
        <w:rPr>
          <w:rFonts w:hint="cs"/>
          <w:b/>
          <w:bCs/>
          <w:rtl/>
        </w:rPr>
      </w:pPr>
      <w:r w:rsidRPr="00711E31">
        <w:rPr>
          <w:rFonts w:hint="cs"/>
          <w:b/>
          <w:bCs/>
          <w:rtl/>
        </w:rPr>
        <w:t>التوصية 229</w:t>
      </w:r>
    </w:p>
    <w:p w:rsidR="00711E31" w:rsidRDefault="00711E31" w:rsidP="002075C0">
      <w:pPr>
        <w:pStyle w:val="SingleTxt"/>
        <w:rPr>
          <w:rFonts w:hint="cs"/>
          <w:rtl/>
        </w:rPr>
      </w:pPr>
      <w:r>
        <w:rPr>
          <w:rFonts w:hint="cs"/>
          <w:rtl/>
        </w:rPr>
        <w:tab/>
        <w:t>نود أن نؤكد بصراحة أنه ليست هناك أي حوا</w:t>
      </w:r>
      <w:r w:rsidR="00D466E2">
        <w:rPr>
          <w:rFonts w:hint="cs"/>
          <w:rtl/>
          <w:lang w:bidi="ar-LB"/>
        </w:rPr>
        <w:t>جز</w:t>
      </w:r>
      <w:r w:rsidR="00D466E2">
        <w:rPr>
          <w:rFonts w:hint="cs"/>
          <w:rtl/>
        </w:rPr>
        <w:t xml:space="preserve"> قانونية أو فعلية ت</w:t>
      </w:r>
      <w:r w:rsidR="00D466E2">
        <w:rPr>
          <w:rFonts w:hint="cs"/>
          <w:rtl/>
          <w:lang w:bidi="ar-LB"/>
        </w:rPr>
        <w:t xml:space="preserve">منعنا من الاعتراف </w:t>
      </w:r>
      <w:r w:rsidR="000227DC">
        <w:rPr>
          <w:rFonts w:hint="cs"/>
          <w:rtl/>
        </w:rPr>
        <w:t>ب</w:t>
      </w:r>
      <w:r w:rsidR="002075C0">
        <w:rPr>
          <w:rFonts w:hint="cs"/>
          <w:rtl/>
          <w:lang w:bidi="ar-LB"/>
        </w:rPr>
        <w:t xml:space="preserve">أن للمرأة </w:t>
      </w:r>
      <w:r w:rsidR="000227DC">
        <w:rPr>
          <w:rFonts w:hint="cs"/>
          <w:rtl/>
        </w:rPr>
        <w:t>أسباب</w:t>
      </w:r>
      <w:r w:rsidR="002075C0">
        <w:rPr>
          <w:rFonts w:hint="cs"/>
          <w:rtl/>
          <w:lang w:bidi="ar-LB"/>
        </w:rPr>
        <w:t>ها</w:t>
      </w:r>
      <w:r w:rsidR="000227DC">
        <w:rPr>
          <w:rFonts w:hint="cs"/>
          <w:rtl/>
        </w:rPr>
        <w:t xml:space="preserve"> </w:t>
      </w:r>
      <w:r w:rsidR="002075C0">
        <w:rPr>
          <w:rFonts w:hint="cs"/>
          <w:rtl/>
          <w:lang w:bidi="ar-LB"/>
        </w:rPr>
        <w:t>ال</w:t>
      </w:r>
      <w:r w:rsidR="000227DC">
        <w:rPr>
          <w:rFonts w:hint="cs"/>
          <w:rtl/>
        </w:rPr>
        <w:t xml:space="preserve">خاصة </w:t>
      </w:r>
      <w:r>
        <w:rPr>
          <w:rFonts w:hint="cs"/>
          <w:rtl/>
        </w:rPr>
        <w:t>تجعل</w:t>
      </w:r>
      <w:r w:rsidR="002075C0">
        <w:rPr>
          <w:rFonts w:hint="cs"/>
          <w:rtl/>
          <w:lang w:bidi="ar-LB"/>
        </w:rPr>
        <w:t>ها ت</w:t>
      </w:r>
      <w:r w:rsidR="002075C0">
        <w:rPr>
          <w:rFonts w:hint="cs"/>
          <w:rtl/>
        </w:rPr>
        <w:t>طلب</w:t>
      </w:r>
      <w:r>
        <w:rPr>
          <w:rFonts w:hint="cs"/>
          <w:rtl/>
        </w:rPr>
        <w:t xml:space="preserve"> اللجوء في النمسا. ومن الناحية القانونية ووفقا للرأي القانوني السائد (بما في ذلك رأي مفوضية الأمم المتحدة لشؤون اللاجئين) يقع اضطهاد المرأة (أو الرجل) في فئة الاضطهاد بسبب ا</w:t>
      </w:r>
      <w:r w:rsidR="002075C0">
        <w:rPr>
          <w:rFonts w:hint="cs"/>
          <w:rtl/>
        </w:rPr>
        <w:t>نت</w:t>
      </w:r>
      <w:r w:rsidR="002075C0">
        <w:rPr>
          <w:rFonts w:hint="cs"/>
          <w:rtl/>
          <w:lang w:bidi="ar-LB"/>
        </w:rPr>
        <w:t>مائها</w:t>
      </w:r>
      <w:r>
        <w:rPr>
          <w:rFonts w:hint="cs"/>
          <w:rtl/>
        </w:rPr>
        <w:t xml:space="preserve"> إلى فئة اجتماعية معينة.</w:t>
      </w:r>
    </w:p>
    <w:p w:rsidR="00711E31" w:rsidRDefault="00711E31" w:rsidP="001408CD">
      <w:pPr>
        <w:pStyle w:val="SingleTxt"/>
        <w:rPr>
          <w:rFonts w:hint="cs"/>
          <w:rtl/>
        </w:rPr>
      </w:pPr>
      <w:r>
        <w:rPr>
          <w:rFonts w:hint="cs"/>
          <w:rtl/>
        </w:rPr>
        <w:tab/>
        <w:t>واعتبارا من 1 أيار/مايو 2004، بدأ نفاذ تعديل أدخل على قانون اللجوء وهذا التعديل يبسط إجراءات اللجوء، لا سيما بالنسبة للإجراءات المطلوبة من المرأة.</w:t>
      </w:r>
    </w:p>
    <w:p w:rsidR="00711E31" w:rsidRDefault="00711E31" w:rsidP="00B57B2D">
      <w:pPr>
        <w:pStyle w:val="SingleTxt"/>
        <w:rPr>
          <w:rFonts w:hint="cs"/>
          <w:rtl/>
        </w:rPr>
      </w:pPr>
      <w:r>
        <w:rPr>
          <w:rFonts w:hint="cs"/>
          <w:rtl/>
        </w:rPr>
        <w:tab/>
        <w:t>تم استحداث إجراء</w:t>
      </w:r>
      <w:r w:rsidR="00B57B2D">
        <w:rPr>
          <w:rFonts w:hint="cs"/>
          <w:rtl/>
          <w:lang w:bidi="ar-LB"/>
        </w:rPr>
        <w:t>ات</w:t>
      </w:r>
      <w:r>
        <w:rPr>
          <w:rFonts w:hint="cs"/>
          <w:rtl/>
        </w:rPr>
        <w:t xml:space="preserve"> جديد</w:t>
      </w:r>
      <w:r w:rsidR="00B57B2D">
        <w:rPr>
          <w:rFonts w:hint="cs"/>
          <w:rtl/>
          <w:lang w:bidi="ar-LB"/>
        </w:rPr>
        <w:t xml:space="preserve">ة </w:t>
      </w:r>
      <w:r w:rsidR="00D466E2">
        <w:rPr>
          <w:rFonts w:hint="cs"/>
          <w:rtl/>
          <w:lang w:bidi="ar-LB"/>
        </w:rPr>
        <w:t>ه</w:t>
      </w:r>
      <w:r w:rsidR="00B57B2D">
        <w:rPr>
          <w:rFonts w:hint="cs"/>
          <w:rtl/>
          <w:lang w:bidi="ar-LB"/>
        </w:rPr>
        <w:t>ي</w:t>
      </w:r>
      <w:r>
        <w:rPr>
          <w:rFonts w:hint="cs"/>
          <w:rtl/>
        </w:rPr>
        <w:t xml:space="preserve"> </w:t>
      </w:r>
      <w:r w:rsidR="002075C0">
        <w:rPr>
          <w:rFonts w:hint="eastAsia"/>
          <w:rtl/>
        </w:rPr>
        <w:t>”</w:t>
      </w:r>
      <w:r w:rsidR="002075C0">
        <w:rPr>
          <w:rFonts w:hint="cs"/>
          <w:rtl/>
          <w:lang w:bidi="ar-LB"/>
        </w:rPr>
        <w:t>إ</w:t>
      </w:r>
      <w:r w:rsidR="002075C0">
        <w:rPr>
          <w:rFonts w:hint="eastAsia"/>
          <w:rtl/>
        </w:rPr>
        <w:t>جراء</w:t>
      </w:r>
      <w:r w:rsidR="00B57B2D">
        <w:rPr>
          <w:rFonts w:hint="cs"/>
          <w:rtl/>
          <w:lang w:bidi="ar-LB"/>
        </w:rPr>
        <w:t>ات اللجوء</w:t>
      </w:r>
      <w:r w:rsidR="002075C0">
        <w:rPr>
          <w:rFonts w:hint="eastAsia"/>
          <w:rtl/>
        </w:rPr>
        <w:t xml:space="preserve"> المطلوب</w:t>
      </w:r>
      <w:r w:rsidR="00B57B2D">
        <w:rPr>
          <w:rFonts w:hint="cs"/>
          <w:rtl/>
          <w:lang w:bidi="ar-LB"/>
        </w:rPr>
        <w:t>ة</w:t>
      </w:r>
      <w:r>
        <w:rPr>
          <w:rFonts w:hint="eastAsia"/>
          <w:rtl/>
        </w:rPr>
        <w:t xml:space="preserve"> من الأسرة</w:t>
      </w:r>
      <w:r w:rsidR="00B57B2D">
        <w:rPr>
          <w:rFonts w:hint="cs"/>
          <w:rtl/>
        </w:rPr>
        <w:t xml:space="preserve"> </w:t>
      </w:r>
      <w:r w:rsidR="00D466E2">
        <w:rPr>
          <w:rFonts w:hint="cs"/>
          <w:rtl/>
        </w:rPr>
        <w:t>“</w:t>
      </w:r>
      <w:r w:rsidR="00D466E2">
        <w:rPr>
          <w:rFonts w:hint="cs"/>
          <w:rtl/>
          <w:lang w:bidi="ar-LB"/>
        </w:rPr>
        <w:t>.</w:t>
      </w:r>
      <w:r w:rsidR="00D466E2">
        <w:rPr>
          <w:rFonts w:hint="cs"/>
          <w:rtl/>
        </w:rPr>
        <w:t xml:space="preserve"> و</w:t>
      </w:r>
      <w:r w:rsidR="00D466E2">
        <w:rPr>
          <w:rFonts w:hint="cs"/>
          <w:rtl/>
          <w:lang w:bidi="ar-LB"/>
        </w:rPr>
        <w:t>من شأن</w:t>
      </w:r>
      <w:r w:rsidR="00B57B2D">
        <w:rPr>
          <w:rFonts w:hint="cs"/>
          <w:rtl/>
        </w:rPr>
        <w:t xml:space="preserve"> هذ</w:t>
      </w:r>
      <w:r w:rsidR="00B57B2D">
        <w:rPr>
          <w:rFonts w:hint="cs"/>
          <w:rtl/>
          <w:lang w:bidi="ar-LB"/>
        </w:rPr>
        <w:t>ه</w:t>
      </w:r>
      <w:r>
        <w:rPr>
          <w:rFonts w:hint="cs"/>
          <w:rtl/>
        </w:rPr>
        <w:t xml:space="preserve"> الإجراء</w:t>
      </w:r>
      <w:r w:rsidR="00B57B2D">
        <w:rPr>
          <w:rFonts w:hint="cs"/>
          <w:rtl/>
          <w:lang w:bidi="ar-LB"/>
        </w:rPr>
        <w:t>ات</w:t>
      </w:r>
      <w:r>
        <w:rPr>
          <w:rFonts w:hint="cs"/>
          <w:rtl/>
        </w:rPr>
        <w:t xml:space="preserve">، </w:t>
      </w:r>
      <w:r w:rsidR="00D466E2">
        <w:rPr>
          <w:rFonts w:hint="cs"/>
          <w:rtl/>
          <w:lang w:bidi="ar-LB"/>
        </w:rPr>
        <w:t>بناء على</w:t>
      </w:r>
      <w:r>
        <w:rPr>
          <w:rFonts w:hint="cs"/>
          <w:rtl/>
        </w:rPr>
        <w:t xml:space="preserve"> الطلب، </w:t>
      </w:r>
      <w:r w:rsidR="00D466E2">
        <w:rPr>
          <w:rFonts w:hint="cs"/>
          <w:rtl/>
          <w:lang w:bidi="ar-LB"/>
        </w:rPr>
        <w:t xml:space="preserve">أن </w:t>
      </w:r>
      <w:r w:rsidR="00B57B2D">
        <w:rPr>
          <w:rFonts w:hint="cs"/>
          <w:rtl/>
          <w:lang w:bidi="ar-LB"/>
        </w:rPr>
        <w:t xml:space="preserve">تجعل </w:t>
      </w:r>
      <w:r>
        <w:rPr>
          <w:rFonts w:hint="cs"/>
          <w:rtl/>
        </w:rPr>
        <w:t xml:space="preserve">الحماية التي يتمتع بها فرد من أفراد الأسرة في النمسا، بموجب قانون اللجوء، يشمل أفراد الأسرة الموجودين بالفعل في النمسا، بدون إجراء مزيد من التحقيقات. وهكذا فإن أعلى </w:t>
      </w:r>
      <w:r w:rsidR="002075C0">
        <w:rPr>
          <w:rFonts w:hint="cs"/>
          <w:rtl/>
          <w:lang w:bidi="ar-LB"/>
        </w:rPr>
        <w:t>درجة</w:t>
      </w:r>
      <w:r>
        <w:rPr>
          <w:rFonts w:hint="cs"/>
          <w:rtl/>
        </w:rPr>
        <w:t xml:space="preserve"> من </w:t>
      </w:r>
      <w:r w:rsidR="002075C0">
        <w:rPr>
          <w:rFonts w:hint="cs"/>
          <w:rtl/>
          <w:lang w:bidi="ar-LB"/>
        </w:rPr>
        <w:t xml:space="preserve">درجات </w:t>
      </w:r>
      <w:r>
        <w:rPr>
          <w:rFonts w:hint="cs"/>
          <w:rtl/>
        </w:rPr>
        <w:t>الحماية الممنوحة لأحد أفراد الأسرة ممنوح</w:t>
      </w:r>
      <w:r w:rsidR="002075C0">
        <w:rPr>
          <w:rFonts w:hint="cs"/>
          <w:rtl/>
          <w:lang w:bidi="ar-LB"/>
        </w:rPr>
        <w:t>ة</w:t>
      </w:r>
      <w:r>
        <w:rPr>
          <w:rFonts w:hint="cs"/>
          <w:rtl/>
        </w:rPr>
        <w:t xml:space="preserve"> أيضا لسائر الأسرة. وتت</w:t>
      </w:r>
      <w:r w:rsidR="00D466E2">
        <w:rPr>
          <w:rFonts w:hint="cs"/>
          <w:rtl/>
          <w:lang w:bidi="ar-LB"/>
        </w:rPr>
        <w:t>طبق</w:t>
      </w:r>
      <w:r>
        <w:rPr>
          <w:rFonts w:hint="cs"/>
          <w:rtl/>
        </w:rPr>
        <w:t xml:space="preserve"> هذه القاعدة (ابتداء من أعلى </w:t>
      </w:r>
      <w:r w:rsidR="002075C0">
        <w:rPr>
          <w:rFonts w:hint="cs"/>
          <w:rtl/>
          <w:lang w:bidi="ar-LB"/>
        </w:rPr>
        <w:t>درجة</w:t>
      </w:r>
      <w:r>
        <w:rPr>
          <w:rFonts w:hint="cs"/>
          <w:rtl/>
        </w:rPr>
        <w:t xml:space="preserve"> حماية) </w:t>
      </w:r>
      <w:r w:rsidR="00D466E2">
        <w:rPr>
          <w:rFonts w:hint="cs"/>
          <w:rtl/>
          <w:lang w:bidi="ar-LB"/>
        </w:rPr>
        <w:t xml:space="preserve">على </w:t>
      </w:r>
      <w:r>
        <w:rPr>
          <w:rFonts w:hint="cs"/>
          <w:rtl/>
        </w:rPr>
        <w:t xml:space="preserve">منح اللجوء، والحماية المؤقتة، والحقوق القانونية التي يتمتع بها أصحاب طلبات اللجوء. وبموجب هذا الحكم، يتسنى </w:t>
      </w:r>
      <w:r w:rsidR="000C4B0B">
        <w:rPr>
          <w:rFonts w:hint="cs"/>
          <w:rtl/>
          <w:lang w:bidi="ar-LB"/>
        </w:rPr>
        <w:t>لم</w:t>
      </w:r>
      <w:r w:rsidR="002075C0">
        <w:rPr>
          <w:rFonts w:hint="cs"/>
          <w:rtl/>
          <w:lang w:bidi="ar-LB"/>
        </w:rPr>
        <w:t>ّ</w:t>
      </w:r>
      <w:r w:rsidR="000C4B0B">
        <w:rPr>
          <w:rFonts w:hint="cs"/>
          <w:rtl/>
          <w:lang w:bidi="ar-LB"/>
        </w:rPr>
        <w:t xml:space="preserve"> شمل ا</w:t>
      </w:r>
      <w:r>
        <w:rPr>
          <w:rFonts w:hint="cs"/>
          <w:rtl/>
        </w:rPr>
        <w:t>لأسر</w:t>
      </w:r>
      <w:r w:rsidR="000C4B0B">
        <w:rPr>
          <w:rFonts w:hint="cs"/>
          <w:rtl/>
          <w:lang w:bidi="ar-LB"/>
        </w:rPr>
        <w:t>،</w:t>
      </w:r>
      <w:r>
        <w:rPr>
          <w:rFonts w:hint="cs"/>
          <w:rtl/>
        </w:rPr>
        <w:t xml:space="preserve"> وهو أمر يفيد بصفة رئيسية المرأة. </w:t>
      </w:r>
    </w:p>
    <w:p w:rsidR="00711E31" w:rsidRDefault="00711E31" w:rsidP="000C4B0B">
      <w:pPr>
        <w:pStyle w:val="SingleTxt"/>
        <w:rPr>
          <w:rFonts w:hint="cs"/>
          <w:rtl/>
        </w:rPr>
      </w:pPr>
      <w:r>
        <w:rPr>
          <w:rFonts w:hint="cs"/>
          <w:rtl/>
        </w:rPr>
        <w:tab/>
        <w:t xml:space="preserve">وبالإضافة إلى ذلك، </w:t>
      </w:r>
      <w:r w:rsidR="000C4B0B">
        <w:rPr>
          <w:rFonts w:hint="cs"/>
          <w:rtl/>
        </w:rPr>
        <w:t>ت</w:t>
      </w:r>
      <w:r w:rsidR="002075C0">
        <w:rPr>
          <w:rFonts w:hint="cs"/>
          <w:rtl/>
          <w:lang w:bidi="ar-LB"/>
        </w:rPr>
        <w:t>ُ</w:t>
      </w:r>
      <w:r w:rsidR="000C4B0B">
        <w:rPr>
          <w:rFonts w:hint="cs"/>
          <w:rtl/>
        </w:rPr>
        <w:t xml:space="preserve">درس الآن معا </w:t>
      </w:r>
      <w:r>
        <w:rPr>
          <w:rFonts w:hint="cs"/>
          <w:rtl/>
        </w:rPr>
        <w:t xml:space="preserve">طلبات اللجوء الواردة من أفراد الأسرة ، علما بأن كل طلب يُنظر فيه على نحو منفصل. ويترتب على ذلك شيء هام، لا سيما بالنسبة للمرأة، </w:t>
      </w:r>
      <w:r w:rsidR="000C4B0B">
        <w:rPr>
          <w:rFonts w:hint="cs"/>
          <w:rtl/>
          <w:lang w:bidi="ar-LB"/>
        </w:rPr>
        <w:t>وهو</w:t>
      </w:r>
      <w:r>
        <w:rPr>
          <w:rFonts w:hint="cs"/>
          <w:rtl/>
        </w:rPr>
        <w:t xml:space="preserve"> أن جميع أصحاب الطلبات يجب أن ي</w:t>
      </w:r>
      <w:r w:rsidR="002075C0">
        <w:rPr>
          <w:rFonts w:hint="cs"/>
          <w:rtl/>
          <w:lang w:bidi="ar-LB"/>
        </w:rPr>
        <w:t>ُ</w:t>
      </w:r>
      <w:r>
        <w:rPr>
          <w:rFonts w:hint="cs"/>
          <w:rtl/>
        </w:rPr>
        <w:t>ستجوبوا على نحو منفصل. وكما هو الحال بالنسبة لمختلف الثقافات، فإن اغتصاب المرأة (أو الإساءة إليها</w:t>
      </w:r>
      <w:r w:rsidR="000C4B0B">
        <w:rPr>
          <w:rFonts w:hint="cs"/>
          <w:rtl/>
          <w:lang w:bidi="ar-LB"/>
        </w:rPr>
        <w:t>)</w:t>
      </w:r>
      <w:r>
        <w:rPr>
          <w:rFonts w:hint="cs"/>
          <w:rtl/>
        </w:rPr>
        <w:t xml:space="preserve">، يعتبر انتهاكا لشرف الأسرة، وفي معظم الحالات تتحمل المرأة لا مرتكب </w:t>
      </w:r>
      <w:r w:rsidR="000C4B0B">
        <w:rPr>
          <w:rFonts w:hint="cs"/>
          <w:rtl/>
          <w:lang w:bidi="ar-LB"/>
        </w:rPr>
        <w:t>الإساءة</w:t>
      </w:r>
      <w:r>
        <w:rPr>
          <w:rFonts w:hint="cs"/>
          <w:rtl/>
        </w:rPr>
        <w:t xml:space="preserve"> المسؤولية عن انتهاك الشرف، وعليه فإن استجواب المرأة على نحو منفصل يسهّل عليها في مثل هذه الحالات التحدث بحرية عن الصدمة النفسية التي </w:t>
      </w:r>
      <w:r w:rsidR="000C4B0B">
        <w:rPr>
          <w:rFonts w:hint="cs"/>
          <w:rtl/>
          <w:lang w:bidi="ar-LB"/>
        </w:rPr>
        <w:t>انتا</w:t>
      </w:r>
      <w:r>
        <w:rPr>
          <w:rFonts w:hint="cs"/>
          <w:rtl/>
        </w:rPr>
        <w:t>بتها من جراء هذه التجربة.</w:t>
      </w:r>
    </w:p>
    <w:p w:rsidR="00711E31" w:rsidRDefault="00711E31" w:rsidP="001408CD">
      <w:pPr>
        <w:pStyle w:val="SingleTxt"/>
        <w:rPr>
          <w:rFonts w:hint="cs"/>
          <w:rtl/>
        </w:rPr>
      </w:pPr>
      <w:r>
        <w:rPr>
          <w:rFonts w:hint="cs"/>
          <w:rtl/>
        </w:rPr>
        <w:tab/>
        <w:t xml:space="preserve">وبالإضافة إلى ذلك، ينتظر في المستقبل أن يستطيع أفراد الأسرة الذين منحوا اللجوء في النمسا أن يتقدموا بطلبات اللجوء لدى السفارة النمساوية في إطار </w:t>
      </w:r>
      <w:r>
        <w:rPr>
          <w:rFonts w:hint="eastAsia"/>
          <w:rtl/>
        </w:rPr>
        <w:t>”إجراءات اللجوء المطلوبة من الأسرة</w:t>
      </w:r>
      <w:r>
        <w:rPr>
          <w:rFonts w:hint="cs"/>
          <w:rtl/>
        </w:rPr>
        <w:t>“. وبعد دراسة موجزة للبيانات يقوم بها مكتب اللجوء الاتحادي، يتم إصدار تأشيرة دخول إلى صاحب طلب اللجوء ويتم الشروع في إجراءات اللجوء المطلوبة من الأسرة في النمسا.</w:t>
      </w:r>
    </w:p>
    <w:p w:rsidR="00711E31" w:rsidRDefault="00711E31" w:rsidP="00B57B2D">
      <w:pPr>
        <w:pStyle w:val="SingleTxt"/>
        <w:rPr>
          <w:rFonts w:hint="cs"/>
          <w:rtl/>
        </w:rPr>
      </w:pPr>
      <w:r>
        <w:rPr>
          <w:rFonts w:hint="cs"/>
          <w:rtl/>
        </w:rPr>
        <w:tab/>
        <w:t xml:space="preserve">ويجوز لأفراد الأسرة التي يتمتع أحد أفرادها بحماية مؤقتة وفقا لقانون اللجوء أن يتقدم بطلب لجوء لدى السفارة النمساوية في بلده. </w:t>
      </w:r>
      <w:r w:rsidR="008617CA">
        <w:rPr>
          <w:rFonts w:hint="cs"/>
          <w:rtl/>
        </w:rPr>
        <w:t xml:space="preserve">غير أنه لا يمكن تقديم مثل هذا الطلب إلا بعد مرور ثلاث سنوات، كحد أدنى، </w:t>
      </w:r>
      <w:r w:rsidR="00B57B2D">
        <w:rPr>
          <w:rFonts w:hint="cs"/>
          <w:rtl/>
          <w:lang w:bidi="ar-LB"/>
        </w:rPr>
        <w:t>من</w:t>
      </w:r>
      <w:r w:rsidR="008617CA">
        <w:rPr>
          <w:rFonts w:hint="cs"/>
          <w:rtl/>
        </w:rPr>
        <w:t xml:space="preserve"> منح الحماية المؤقتة.</w:t>
      </w:r>
    </w:p>
    <w:p w:rsidR="008617CA" w:rsidRDefault="008617CA" w:rsidP="00B57B2D">
      <w:pPr>
        <w:pStyle w:val="SingleTxt"/>
        <w:rPr>
          <w:rFonts w:hint="cs"/>
          <w:rtl/>
        </w:rPr>
      </w:pPr>
      <w:r>
        <w:rPr>
          <w:rFonts w:hint="cs"/>
          <w:rtl/>
        </w:rPr>
        <w:tab/>
        <w:t>وبالإضافة إلى ذلك، تم تمديد فترة تطبيق القانون المطبق حتى الآن، ومفاده أن أصحاب اللجوء الذين يدعون بأنهم تعرضوا لانتهاك حقهم في تقرير مصيرهم الجنسي سوف يستجوب</w:t>
      </w:r>
      <w:r w:rsidR="003F132B">
        <w:rPr>
          <w:rFonts w:hint="cs"/>
          <w:rtl/>
          <w:lang w:bidi="ar-LB"/>
        </w:rPr>
        <w:t>هم</w:t>
      </w:r>
      <w:r>
        <w:rPr>
          <w:rFonts w:hint="cs"/>
          <w:rtl/>
        </w:rPr>
        <w:t xml:space="preserve"> موظف ينتمي إلى نفس الجنس. ويجوز لأصحاب اللجوء هؤلاء أن يستجوبهم أشخاص آخرون</w:t>
      </w:r>
      <w:r w:rsidR="00B57B2D">
        <w:rPr>
          <w:rFonts w:hint="cs"/>
          <w:rtl/>
          <w:lang w:bidi="ar-LB"/>
        </w:rPr>
        <w:t xml:space="preserve"> إذا كانت هذه هي رغتبهم</w:t>
      </w:r>
      <w:r>
        <w:rPr>
          <w:rFonts w:hint="cs"/>
          <w:rtl/>
        </w:rPr>
        <w:t xml:space="preserve">، </w:t>
      </w:r>
      <w:r w:rsidR="007258A9">
        <w:rPr>
          <w:rFonts w:hint="cs"/>
          <w:rtl/>
        </w:rPr>
        <w:t>وي</w:t>
      </w:r>
      <w:r w:rsidR="00B57B2D">
        <w:rPr>
          <w:rFonts w:hint="cs"/>
          <w:rtl/>
          <w:lang w:bidi="ar-LB"/>
        </w:rPr>
        <w:t>جب</w:t>
      </w:r>
      <w:r w:rsidR="003F132B">
        <w:rPr>
          <w:rFonts w:hint="cs"/>
          <w:rtl/>
          <w:lang w:bidi="ar-LB"/>
        </w:rPr>
        <w:t xml:space="preserve"> </w:t>
      </w:r>
      <w:r w:rsidR="007258A9">
        <w:rPr>
          <w:rFonts w:hint="cs"/>
          <w:rtl/>
        </w:rPr>
        <w:t xml:space="preserve">إطلاعهم </w:t>
      </w:r>
      <w:r w:rsidR="003F132B">
        <w:rPr>
          <w:rFonts w:hint="cs"/>
          <w:rtl/>
          <w:lang w:bidi="ar-LB"/>
        </w:rPr>
        <w:t>على أن</w:t>
      </w:r>
      <w:r w:rsidR="007258A9">
        <w:rPr>
          <w:rFonts w:hint="cs"/>
          <w:rtl/>
        </w:rPr>
        <w:t xml:space="preserve"> هذا الاختيار </w:t>
      </w:r>
      <w:r w:rsidR="003F132B">
        <w:rPr>
          <w:rFonts w:hint="cs"/>
          <w:rtl/>
          <w:lang w:bidi="ar-LB"/>
        </w:rPr>
        <w:t xml:space="preserve">متاح لهم </w:t>
      </w:r>
      <w:r w:rsidR="007258A9">
        <w:rPr>
          <w:rFonts w:hint="cs"/>
          <w:rtl/>
        </w:rPr>
        <w:t xml:space="preserve">(ويجب الإعراب عن هذه الرغبة في إجراءات الاستئناف، </w:t>
      </w:r>
      <w:r w:rsidR="003F132B">
        <w:rPr>
          <w:rFonts w:hint="cs"/>
          <w:rtl/>
          <w:lang w:bidi="ar-LB"/>
        </w:rPr>
        <w:t>وآخر فرصة لذلك</w:t>
      </w:r>
      <w:r w:rsidR="007258A9">
        <w:rPr>
          <w:rFonts w:hint="cs"/>
          <w:rtl/>
        </w:rPr>
        <w:t xml:space="preserve"> </w:t>
      </w:r>
      <w:r w:rsidR="003F132B">
        <w:rPr>
          <w:rFonts w:hint="cs"/>
          <w:rtl/>
          <w:lang w:bidi="ar-LB"/>
        </w:rPr>
        <w:t xml:space="preserve">هو </w:t>
      </w:r>
      <w:r w:rsidR="007258A9">
        <w:rPr>
          <w:rFonts w:hint="cs"/>
          <w:rtl/>
        </w:rPr>
        <w:t>عندما يتم تقديم الاستئناف). وبالإضافة إلى ذلك، سيكون لأصحاب اللجوء الحق في أن يطلبوا تطبيق هذه الإجراءات بصورة غير علنية.</w:t>
      </w:r>
    </w:p>
    <w:p w:rsidR="007258A9" w:rsidRDefault="007258A9" w:rsidP="006C7E86">
      <w:pPr>
        <w:pStyle w:val="SingleTxt"/>
        <w:rPr>
          <w:rFonts w:hint="cs"/>
          <w:rtl/>
        </w:rPr>
      </w:pPr>
      <w:r>
        <w:rPr>
          <w:rFonts w:hint="cs"/>
          <w:rtl/>
        </w:rPr>
        <w:tab/>
        <w:t>وفيما يتعلق ببتر جزء من عضو المرأة التناسلي (وهو أمر معرّف باستمرار على أنه إصابة جسدية وفقا لقانون العقوبات النمساوي</w:t>
      </w:r>
      <w:r w:rsidR="006C7E86">
        <w:rPr>
          <w:rFonts w:hint="cs"/>
          <w:rtl/>
          <w:lang w:bidi="ar-LB"/>
        </w:rPr>
        <w:t>)</w:t>
      </w:r>
      <w:r>
        <w:rPr>
          <w:rFonts w:hint="cs"/>
          <w:rtl/>
        </w:rPr>
        <w:t xml:space="preserve">، </w:t>
      </w:r>
      <w:r w:rsidR="006C7E86">
        <w:rPr>
          <w:rFonts w:hint="cs"/>
          <w:rtl/>
          <w:lang w:bidi="ar-LB"/>
        </w:rPr>
        <w:t xml:space="preserve">ينص بوضوح </w:t>
      </w:r>
      <w:r>
        <w:rPr>
          <w:rFonts w:hint="cs"/>
          <w:rtl/>
        </w:rPr>
        <w:t xml:space="preserve">قانون تعديل القانون الجنائي لعام 2001 </w:t>
      </w:r>
      <w:r w:rsidR="00B57B2D">
        <w:rPr>
          <w:rFonts w:hint="cs"/>
          <w:rtl/>
          <w:lang w:bidi="ar-LB"/>
        </w:rPr>
        <w:t>(</w:t>
      </w:r>
      <w:r>
        <w:rPr>
          <w:rFonts w:hint="cs"/>
          <w:rtl/>
        </w:rPr>
        <w:t>الذي بدأ نفاذه منذ 1 كانون الثاني/يناير 2002)</w:t>
      </w:r>
      <w:r w:rsidR="006C7E86">
        <w:rPr>
          <w:rFonts w:hint="cs"/>
          <w:rtl/>
          <w:lang w:bidi="ar-LB"/>
        </w:rPr>
        <w:t>،</w:t>
      </w:r>
      <w:r>
        <w:rPr>
          <w:rFonts w:hint="cs"/>
          <w:rtl/>
        </w:rPr>
        <w:t xml:space="preserve"> </w:t>
      </w:r>
      <w:r w:rsidR="006C7E86">
        <w:rPr>
          <w:rFonts w:hint="cs"/>
          <w:rtl/>
          <w:lang w:bidi="ar-LB"/>
        </w:rPr>
        <w:t xml:space="preserve">على </w:t>
      </w:r>
      <w:r>
        <w:rPr>
          <w:rFonts w:hint="cs"/>
          <w:rtl/>
        </w:rPr>
        <w:t>أنه لا يمكن بأي حال من الأحوال الموافقة على هذه الإصابة الجسدية، وإن بتر جزء من عضو المرأة التناسلي يشكل على كل حال جريمة يعاقب عليها (انظر أيضا التعليقات على المادة الثانية).</w:t>
      </w:r>
    </w:p>
    <w:p w:rsidR="007258A9" w:rsidRDefault="007258A9" w:rsidP="007258A9">
      <w:pPr>
        <w:pStyle w:val="SingleTxt"/>
        <w:rPr>
          <w:rFonts w:hint="cs"/>
          <w:rtl/>
        </w:rPr>
      </w:pPr>
      <w:r>
        <w:rPr>
          <w:rFonts w:hint="cs"/>
          <w:rtl/>
        </w:rPr>
        <w:tab/>
        <w:t>وفي حالة الاشتباه بأن أصحاب اللجوء تعرضوا لأي شكل من التجاوزات على يد الموظفين، سوف يتم تقديم شكوى بغض النظر عن الإجراءات التأديبية المنصوص عليها في قوانين الخدمة المدنية للقطاع العام. وسو</w:t>
      </w:r>
      <w:r w:rsidR="00ED784C">
        <w:rPr>
          <w:rFonts w:hint="cs"/>
          <w:rtl/>
        </w:rPr>
        <w:t>ف تقوم الهيئات المختصة في إدار</w:t>
      </w:r>
      <w:r w:rsidR="00ED784C">
        <w:rPr>
          <w:rFonts w:hint="cs"/>
          <w:rtl/>
          <w:lang w:bidi="ar-LB"/>
        </w:rPr>
        <w:t>ة</w:t>
      </w:r>
      <w:r>
        <w:rPr>
          <w:rFonts w:hint="cs"/>
          <w:rtl/>
        </w:rPr>
        <w:t xml:space="preserve"> التحقيقات الجنائية وإدارة إقامة العدل (المدعون العامون والمحاكم المستقلة) بدراسة أي حالة مشتبه بها دراسة شاملة. ولن يكون لوزارة الداخلية الاتحادية بالطبع أي تأثير على النتائج المنبثقة عن هذه الدراسات، التي تقع ضمن اختصاص القضاء. </w:t>
      </w:r>
    </w:p>
    <w:p w:rsidR="007258A9" w:rsidRDefault="007258A9" w:rsidP="007258A9">
      <w:pPr>
        <w:pStyle w:val="SingleTxt"/>
        <w:rPr>
          <w:rFonts w:hint="cs"/>
          <w:b/>
          <w:bCs/>
          <w:rtl/>
        </w:rPr>
      </w:pPr>
      <w:r>
        <w:rPr>
          <w:rFonts w:hint="cs"/>
          <w:b/>
          <w:bCs/>
          <w:rtl/>
        </w:rPr>
        <w:t>التوصية 230</w:t>
      </w:r>
    </w:p>
    <w:p w:rsidR="007258A9" w:rsidRPr="007258A9" w:rsidRDefault="007258A9" w:rsidP="007258A9">
      <w:pPr>
        <w:pStyle w:val="SingleTxt"/>
        <w:rPr>
          <w:rFonts w:hint="cs"/>
          <w:b/>
          <w:bCs/>
          <w:rtl/>
        </w:rPr>
      </w:pPr>
      <w:r w:rsidRPr="007258A9">
        <w:rPr>
          <w:rFonts w:hint="cs"/>
          <w:b/>
          <w:bCs/>
          <w:rtl/>
        </w:rPr>
        <w:t>العمل مع مرتكب</w:t>
      </w:r>
      <w:r w:rsidR="006C7E86">
        <w:rPr>
          <w:rFonts w:hint="cs"/>
          <w:b/>
          <w:bCs/>
          <w:rtl/>
          <w:lang w:bidi="ar-LB"/>
        </w:rPr>
        <w:t>ي</w:t>
      </w:r>
      <w:r w:rsidRPr="007258A9">
        <w:rPr>
          <w:rFonts w:hint="cs"/>
          <w:b/>
          <w:bCs/>
          <w:rtl/>
        </w:rPr>
        <w:t xml:space="preserve"> الجرائم</w:t>
      </w:r>
    </w:p>
    <w:p w:rsidR="007258A9" w:rsidRDefault="007258A9" w:rsidP="00A60B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2002: إنجاز العمل مع أصحاب الإساءات الجنسية من الذكور ونشر النتائج في النشرة المعنونة </w:t>
      </w:r>
      <w:r>
        <w:rPr>
          <w:rFonts w:hint="eastAsia"/>
          <w:rtl/>
        </w:rPr>
        <w:t>”برنامج فيينا للعلاج الاجتماعي الموجه لأصحاب الإساءات الجنسية من الذكور</w:t>
      </w:r>
      <w:r>
        <w:rPr>
          <w:rFonts w:hint="cs"/>
          <w:rtl/>
        </w:rPr>
        <w:t>“. ولم ي</w:t>
      </w:r>
      <w:r w:rsidR="00A60B0E">
        <w:rPr>
          <w:rFonts w:hint="cs"/>
          <w:rtl/>
          <w:lang w:bidi="ar-LB"/>
        </w:rPr>
        <w:t>عد</w:t>
      </w:r>
      <w:r>
        <w:rPr>
          <w:rFonts w:hint="cs"/>
          <w:rtl/>
        </w:rPr>
        <w:t xml:space="preserve"> أي رجل من الرجال الـ 48 الذين اشتركوا في هذا المشروع النموذجي</w:t>
      </w:r>
      <w:r w:rsidR="00A60B0E">
        <w:rPr>
          <w:rFonts w:hint="cs"/>
          <w:rtl/>
          <w:lang w:bidi="ar-LB"/>
        </w:rPr>
        <w:t xml:space="preserve"> إلى ارتكاب جريمته</w:t>
      </w:r>
      <w:r>
        <w:rPr>
          <w:rFonts w:hint="cs"/>
          <w:rtl/>
        </w:rPr>
        <w:t>.</w:t>
      </w:r>
    </w:p>
    <w:p w:rsidR="007258A9" w:rsidRDefault="007258A9" w:rsidP="00F16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2002 إلى 2004: تم تكليف كلية علم النفس في جامعة فيينا بمهمة إجراء أبحاث من أجل وضع </w:t>
      </w:r>
      <w:r w:rsidR="00A60B0E">
        <w:rPr>
          <w:rFonts w:hint="cs"/>
          <w:rtl/>
          <w:lang w:bidi="ar-LB"/>
        </w:rPr>
        <w:t>خطة لت</w:t>
      </w:r>
      <w:r>
        <w:rPr>
          <w:rFonts w:hint="cs"/>
          <w:rtl/>
        </w:rPr>
        <w:t>شخيص هؤلاء الذين يعودون إلى ارتكاب نفس الجرائم (إعداد معايير ومقاييس تشخيصية للحصول على آراء الخبراء).</w:t>
      </w:r>
    </w:p>
    <w:p w:rsidR="007258A9" w:rsidRDefault="007258A9" w:rsidP="00F16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2003: تكليف إدارة فيينا </w:t>
      </w:r>
      <w:r w:rsidR="00F16391">
        <w:rPr>
          <w:rFonts w:hint="cs"/>
          <w:rtl/>
          <w:lang w:bidi="ar-LB"/>
        </w:rPr>
        <w:t>المعنية ب</w:t>
      </w:r>
      <w:r>
        <w:rPr>
          <w:rFonts w:hint="cs"/>
          <w:rtl/>
        </w:rPr>
        <w:t>إسداء المشورة إلى الرجال من أجل وضع كُتيب لاستخدامه في العمل مع الضحايا خارج المستشفيات، وأصحاب الإساءات الجنسية الذين يدخلون المستشفيات في النمسا (يجري الآن إعداد هذا الكتيب).</w:t>
      </w:r>
    </w:p>
    <w:p w:rsidR="007258A9" w:rsidRDefault="007258A9" w:rsidP="00F16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تشرين الأول/أكتوبر 2004: </w:t>
      </w:r>
      <w:r w:rsidR="00F16391">
        <w:rPr>
          <w:rFonts w:hint="cs"/>
          <w:rtl/>
          <w:lang w:bidi="ar-LB"/>
        </w:rPr>
        <w:t>القيام ب</w:t>
      </w:r>
      <w:r>
        <w:rPr>
          <w:rFonts w:hint="cs"/>
          <w:rtl/>
        </w:rPr>
        <w:t xml:space="preserve">دراسة استقصائية دولية عن </w:t>
      </w:r>
      <w:r>
        <w:rPr>
          <w:rFonts w:hint="eastAsia"/>
          <w:rtl/>
        </w:rPr>
        <w:t>”العمل مع الذكور والإناث من المراهقين والبالغين الذين ي</w:t>
      </w:r>
      <w:r w:rsidR="00F16391">
        <w:rPr>
          <w:rFonts w:hint="cs"/>
          <w:rtl/>
          <w:lang w:bidi="ar-LB"/>
        </w:rPr>
        <w:t>رتكب</w:t>
      </w:r>
      <w:r>
        <w:rPr>
          <w:rFonts w:hint="eastAsia"/>
          <w:rtl/>
        </w:rPr>
        <w:t>ون إساءات جنسية</w:t>
      </w:r>
      <w:r>
        <w:rPr>
          <w:rFonts w:hint="cs"/>
          <w:rtl/>
        </w:rPr>
        <w:t>“.</w:t>
      </w:r>
    </w:p>
    <w:p w:rsidR="007258A9" w:rsidRDefault="007258A9" w:rsidP="007258A9">
      <w:pPr>
        <w:pStyle w:val="SingleTxt"/>
        <w:rPr>
          <w:rFonts w:hint="cs"/>
          <w:b/>
          <w:bCs/>
          <w:rtl/>
        </w:rPr>
      </w:pPr>
      <w:r w:rsidRPr="007258A9">
        <w:rPr>
          <w:rFonts w:hint="cs"/>
          <w:b/>
          <w:bCs/>
          <w:rtl/>
        </w:rPr>
        <w:t>تدابير تدريبية لحراس السجون ترمي إلى مكافحة العنف الموجه ضد المرأة</w:t>
      </w:r>
    </w:p>
    <w:p w:rsidR="007258A9" w:rsidRDefault="007258A9" w:rsidP="00F16391">
      <w:pPr>
        <w:pStyle w:val="SingleTxt"/>
        <w:rPr>
          <w:rFonts w:hint="cs"/>
          <w:rtl/>
        </w:rPr>
      </w:pPr>
      <w:r>
        <w:rPr>
          <w:rFonts w:hint="cs"/>
          <w:b/>
          <w:bCs/>
          <w:rtl/>
        </w:rPr>
        <w:tab/>
      </w:r>
      <w:r>
        <w:rPr>
          <w:rFonts w:hint="cs"/>
          <w:rtl/>
        </w:rPr>
        <w:t xml:space="preserve">تشمل البرامج التدريبية </w:t>
      </w:r>
      <w:r w:rsidR="00F16391">
        <w:rPr>
          <w:rFonts w:hint="cs"/>
          <w:rtl/>
          <w:lang w:bidi="ar-LB"/>
        </w:rPr>
        <w:t xml:space="preserve">إعطاء </w:t>
      </w:r>
      <w:r>
        <w:rPr>
          <w:rFonts w:hint="cs"/>
          <w:rtl/>
        </w:rPr>
        <w:t xml:space="preserve">تعليمات لحراس السجون وتقديم الدعم لهم فيما يتعلق بطريقة التعامل مع السجينات بهدف منع التجاوزات من جانب الحراس من الذكور والإناث ضد السجناء. </w:t>
      </w:r>
    </w:p>
    <w:p w:rsidR="007258A9" w:rsidRDefault="007258A9" w:rsidP="007258A9">
      <w:pPr>
        <w:pStyle w:val="SingleTxt"/>
        <w:rPr>
          <w:rFonts w:hint="cs"/>
          <w:b/>
          <w:bCs/>
          <w:rtl/>
        </w:rPr>
      </w:pPr>
      <w:r>
        <w:rPr>
          <w:rFonts w:hint="cs"/>
          <w:b/>
          <w:bCs/>
          <w:rtl/>
        </w:rPr>
        <w:t>التدابير العلاجية</w:t>
      </w:r>
    </w:p>
    <w:p w:rsidR="007258A9" w:rsidRDefault="007258A9" w:rsidP="00F16391">
      <w:pPr>
        <w:pStyle w:val="SingleTxt"/>
        <w:rPr>
          <w:rFonts w:hint="cs"/>
          <w:rtl/>
        </w:rPr>
      </w:pPr>
      <w:r>
        <w:rPr>
          <w:rFonts w:hint="cs"/>
          <w:rtl/>
        </w:rPr>
        <w:tab/>
        <w:t xml:space="preserve">يسمح </w:t>
      </w:r>
      <w:r>
        <w:rPr>
          <w:rFonts w:hint="eastAsia"/>
          <w:rtl/>
        </w:rPr>
        <w:t>”مركز تقييم مرتكبي الإساءات الجنسية</w:t>
      </w:r>
      <w:r>
        <w:rPr>
          <w:rFonts w:hint="cs"/>
          <w:rtl/>
        </w:rPr>
        <w:t xml:space="preserve">“ بتطبيق التدابير العلاجية المناسبة على مرتكبي الجرائم الجنسية المحكوم عليهم. ويمكن أيضا تطبيق علاجات معينة تهدف إلى </w:t>
      </w:r>
      <w:r w:rsidR="00F16391">
        <w:rPr>
          <w:rFonts w:hint="cs"/>
          <w:rtl/>
          <w:lang w:bidi="ar-LB"/>
        </w:rPr>
        <w:t>التصدي لـ</w:t>
      </w:r>
      <w:r>
        <w:rPr>
          <w:rFonts w:hint="cs"/>
          <w:rtl/>
        </w:rPr>
        <w:t xml:space="preserve"> </w:t>
      </w:r>
      <w:r>
        <w:rPr>
          <w:rFonts w:hint="eastAsia"/>
          <w:rtl/>
        </w:rPr>
        <w:t>”السلوك المضطرب</w:t>
      </w:r>
      <w:r>
        <w:rPr>
          <w:rFonts w:hint="cs"/>
          <w:rtl/>
        </w:rPr>
        <w:t xml:space="preserve">“ </w:t>
      </w:r>
      <w:r w:rsidR="00F16391">
        <w:rPr>
          <w:rFonts w:hint="cs"/>
          <w:rtl/>
          <w:lang w:bidi="ar-LB"/>
        </w:rPr>
        <w:t>تجاه</w:t>
      </w:r>
      <w:r>
        <w:rPr>
          <w:rFonts w:hint="cs"/>
          <w:rtl/>
        </w:rPr>
        <w:t xml:space="preserve"> النساء.</w:t>
      </w:r>
    </w:p>
    <w:p w:rsidR="007258A9" w:rsidRDefault="007258A9" w:rsidP="000C43FD">
      <w:pPr>
        <w:pStyle w:val="SingleTxt"/>
        <w:rPr>
          <w:rFonts w:hint="cs"/>
          <w:rtl/>
        </w:rPr>
      </w:pPr>
      <w:r>
        <w:rPr>
          <w:rFonts w:hint="cs"/>
          <w:rtl/>
        </w:rPr>
        <w:tab/>
        <w:t xml:space="preserve">وأثناء المشروع المسمى </w:t>
      </w:r>
      <w:r>
        <w:rPr>
          <w:rFonts w:hint="eastAsia"/>
          <w:rtl/>
        </w:rPr>
        <w:t>”مزيد من التدريب لموظفي المؤسسات التي تقدم الحماية إلى النساء اللاتي وقعن ضحية للعنف</w:t>
      </w:r>
      <w:r>
        <w:rPr>
          <w:rFonts w:hint="cs"/>
          <w:rtl/>
        </w:rPr>
        <w:t xml:space="preserve">“ </w:t>
      </w:r>
      <w:r w:rsidR="00F16391">
        <w:rPr>
          <w:rFonts w:hint="cs"/>
          <w:rtl/>
          <w:lang w:bidi="ar-LB"/>
        </w:rPr>
        <w:t xml:space="preserve">وهو المشروع </w:t>
      </w:r>
      <w:r>
        <w:rPr>
          <w:rFonts w:hint="cs"/>
          <w:rtl/>
        </w:rPr>
        <w:t xml:space="preserve">الذي شرعت فيه </w:t>
      </w:r>
      <w:r w:rsidR="003C6A68">
        <w:rPr>
          <w:rFonts w:hint="cs"/>
          <w:rtl/>
        </w:rPr>
        <w:t>وزارة الصحة الاتحادية وشؤون المرأة</w:t>
      </w:r>
      <w:r>
        <w:rPr>
          <w:rFonts w:hint="cs"/>
          <w:rtl/>
        </w:rPr>
        <w:t xml:space="preserve"> ويتناول الفترة من تموز/يوليه 2002 إلى تشرين الثاني</w:t>
      </w:r>
      <w:r w:rsidR="00986841">
        <w:rPr>
          <w:rFonts w:hint="cs"/>
          <w:rtl/>
        </w:rPr>
        <w:t>/نوفمبر 2003، تم إعداد 18 مدربا لتدريب أفراد يعملون في المهن النفسية/الاجتماعية والطبية ويتعاملون مع المرضى الذين وقعوا ضحايا للعنف.</w:t>
      </w:r>
    </w:p>
    <w:p w:rsidR="00986841" w:rsidRDefault="00986841" w:rsidP="000C43FD">
      <w:pPr>
        <w:pStyle w:val="SingleTxt"/>
        <w:rPr>
          <w:rFonts w:hint="cs"/>
          <w:rtl/>
        </w:rPr>
      </w:pPr>
      <w:r>
        <w:rPr>
          <w:rFonts w:hint="cs"/>
          <w:rtl/>
        </w:rPr>
        <w:tab/>
        <w:t xml:space="preserve">لدى موظفي عدة مراكز </w:t>
      </w:r>
      <w:r w:rsidR="00767C44">
        <w:rPr>
          <w:rFonts w:hint="cs"/>
          <w:rtl/>
          <w:lang w:bidi="ar-LB"/>
        </w:rPr>
        <w:t>تقوم ب</w:t>
      </w:r>
      <w:r>
        <w:rPr>
          <w:rFonts w:hint="cs"/>
          <w:rtl/>
        </w:rPr>
        <w:t xml:space="preserve">إسداء المشورة إلى النساء </w:t>
      </w:r>
      <w:r w:rsidR="00767C44">
        <w:rPr>
          <w:rFonts w:hint="cs"/>
          <w:rtl/>
          <w:lang w:bidi="ar-LB"/>
        </w:rPr>
        <w:t>و</w:t>
      </w:r>
      <w:r>
        <w:rPr>
          <w:rFonts w:hint="cs"/>
          <w:rtl/>
        </w:rPr>
        <w:t xml:space="preserve">تدعمها </w:t>
      </w:r>
      <w:r w:rsidR="003C6A68">
        <w:rPr>
          <w:rFonts w:hint="cs"/>
          <w:rtl/>
        </w:rPr>
        <w:t>وزارة الصحة الاتحادية وشؤون المرأة</w:t>
      </w:r>
      <w:r>
        <w:rPr>
          <w:rFonts w:hint="cs"/>
          <w:rtl/>
        </w:rPr>
        <w:t xml:space="preserve"> ثقافات متعددة، مما يسمح لهم بتقديم مساعدة وعناية أفضل للمهاجرات. وبالإضافة إلى ذلك، فإن بعض المؤسسات التي تدعمها الدولة ماليا متخصصة في المسائل المتصلة بالمهاجرات، ومعظم هذه المؤسسات تسدي المشورة إلى ضحايا العنف. وبالإضافة إلى ذلك، تم تنظيم ندوة لمدة يومين في شباط/فبراير 2002 موضوعها </w:t>
      </w:r>
      <w:r>
        <w:rPr>
          <w:rFonts w:hint="eastAsia"/>
          <w:rtl/>
        </w:rPr>
        <w:t>”هجرة المرأة والعنف الهيكلي</w:t>
      </w:r>
      <w:r>
        <w:rPr>
          <w:rFonts w:hint="cs"/>
          <w:rtl/>
        </w:rPr>
        <w:t xml:space="preserve">“ وقد مولتها جزئيا الوزارة الاتحادية </w:t>
      </w:r>
      <w:r w:rsidR="008B2F82">
        <w:rPr>
          <w:rFonts w:hint="cs"/>
          <w:rtl/>
          <w:lang w:bidi="ar-LB"/>
        </w:rPr>
        <w:t>لل</w:t>
      </w:r>
      <w:r w:rsidR="00767C44">
        <w:rPr>
          <w:rFonts w:hint="cs"/>
          <w:rtl/>
          <w:lang w:bidi="ar-LB"/>
        </w:rPr>
        <w:t>ت</w:t>
      </w:r>
      <w:r w:rsidR="008B2F82">
        <w:rPr>
          <w:rFonts w:hint="cs"/>
          <w:rtl/>
          <w:lang w:bidi="ar-LB"/>
        </w:rPr>
        <w:t>أمينات</w:t>
      </w:r>
      <w:r>
        <w:rPr>
          <w:rFonts w:hint="cs"/>
          <w:rtl/>
        </w:rPr>
        <w:t xml:space="preserve"> الاجتماعية والأجيال. </w:t>
      </w:r>
    </w:p>
    <w:p w:rsidR="00986841" w:rsidRDefault="00986841" w:rsidP="00767C44">
      <w:pPr>
        <w:pStyle w:val="SingleTxt"/>
        <w:rPr>
          <w:rFonts w:hint="cs"/>
          <w:rtl/>
        </w:rPr>
      </w:pPr>
      <w:r>
        <w:rPr>
          <w:rFonts w:hint="cs"/>
          <w:rtl/>
        </w:rPr>
        <w:tab/>
        <w:t xml:space="preserve">وفيما يتعلق بمسألة العنف الموجه إلى </w:t>
      </w:r>
      <w:r w:rsidR="00767C44">
        <w:rPr>
          <w:rFonts w:hint="cs"/>
          <w:rtl/>
          <w:lang w:bidi="ar-LB"/>
        </w:rPr>
        <w:t xml:space="preserve">النساء </w:t>
      </w:r>
      <w:r>
        <w:rPr>
          <w:rFonts w:hint="cs"/>
          <w:rtl/>
        </w:rPr>
        <w:t xml:space="preserve">المسنات، نستطيع أن نقول إن عددا من المنظمات المتخصصة في العنف الموجه ضد المسنين على اتصال فيما بينها </w:t>
      </w:r>
      <w:r w:rsidR="00767C44">
        <w:rPr>
          <w:rFonts w:hint="cs"/>
          <w:rtl/>
          <w:lang w:bidi="ar-LB"/>
        </w:rPr>
        <w:t>بموجب</w:t>
      </w:r>
      <w:r>
        <w:rPr>
          <w:rFonts w:hint="cs"/>
          <w:rtl/>
        </w:rPr>
        <w:t xml:space="preserve"> </w:t>
      </w:r>
      <w:r>
        <w:rPr>
          <w:rFonts w:hint="eastAsia"/>
          <w:rtl/>
        </w:rPr>
        <w:t>”برنامج مناهضة العنف المنزلي</w:t>
      </w:r>
      <w:r>
        <w:rPr>
          <w:rFonts w:hint="cs"/>
          <w:rtl/>
        </w:rPr>
        <w:t>“. وفي عام 2002، نظم برنامج مناهضة العنف المنزلي مؤتمر</w:t>
      </w:r>
      <w:r w:rsidR="00767C44">
        <w:rPr>
          <w:rFonts w:hint="cs"/>
          <w:rtl/>
          <w:lang w:bidi="ar-LB"/>
        </w:rPr>
        <w:t>ا</w:t>
      </w:r>
      <w:r>
        <w:rPr>
          <w:rFonts w:hint="cs"/>
          <w:rtl/>
        </w:rPr>
        <w:t xml:space="preserve"> موضوعه </w:t>
      </w:r>
      <w:r>
        <w:rPr>
          <w:rFonts w:hint="eastAsia"/>
          <w:rtl/>
        </w:rPr>
        <w:t>”العنف في السياق المنزلي، والمعاشرة بين الأجيال</w:t>
      </w:r>
      <w:r>
        <w:rPr>
          <w:rFonts w:hint="cs"/>
          <w:rtl/>
        </w:rPr>
        <w:t>“.</w:t>
      </w:r>
    </w:p>
    <w:p w:rsidR="00986841" w:rsidRDefault="00986841" w:rsidP="007258A9">
      <w:pPr>
        <w:pStyle w:val="SingleTxt"/>
        <w:rPr>
          <w:rFonts w:hint="cs"/>
          <w:rtl/>
        </w:rPr>
      </w:pPr>
      <w:r>
        <w:rPr>
          <w:rFonts w:hint="cs"/>
          <w:rtl/>
        </w:rPr>
        <w:tab/>
        <w:t>وفي إقليمي فيينا والنمسا السفلى، نظمت المستشفيات مشاريع لمنع العنف. ويمكن الاطلاع على وصف مفصل لمحتويات هذه المشاريع في المرفق الأول.</w:t>
      </w:r>
    </w:p>
    <w:p w:rsidR="00986841" w:rsidRPr="00986841" w:rsidRDefault="00986841" w:rsidP="00986841">
      <w:pPr>
        <w:pStyle w:val="SingleTxt"/>
        <w:spacing w:after="0" w:line="120" w:lineRule="exact"/>
        <w:rPr>
          <w:rFonts w:hint="cs"/>
          <w:sz w:val="10"/>
          <w:rtl/>
        </w:rPr>
      </w:pPr>
    </w:p>
    <w:p w:rsidR="00986841" w:rsidRDefault="00986841" w:rsidP="00767C44">
      <w:pPr>
        <w:pStyle w:val="SingleTxt"/>
        <w:rPr>
          <w:rFonts w:hint="cs"/>
          <w:b/>
          <w:bCs/>
          <w:rtl/>
        </w:rPr>
      </w:pPr>
      <w:r w:rsidRPr="00986841">
        <w:rPr>
          <w:rFonts w:hint="cs"/>
          <w:b/>
          <w:bCs/>
          <w:rtl/>
        </w:rPr>
        <w:t xml:space="preserve">تقديم </w:t>
      </w:r>
      <w:r w:rsidR="00767C44">
        <w:rPr>
          <w:rFonts w:hint="cs"/>
          <w:b/>
          <w:bCs/>
          <w:rtl/>
          <w:lang w:bidi="ar-LB"/>
        </w:rPr>
        <w:t xml:space="preserve">الخبراء في </w:t>
      </w:r>
      <w:r w:rsidRPr="00986841">
        <w:rPr>
          <w:rFonts w:hint="cs"/>
          <w:b/>
          <w:bCs/>
          <w:rtl/>
        </w:rPr>
        <w:t>علم النفس وعلم الاجتماع المشورة القانونية أثناء المحاكمات</w:t>
      </w:r>
    </w:p>
    <w:p w:rsidR="00986841" w:rsidRDefault="00986841" w:rsidP="000C43FD">
      <w:pPr>
        <w:pStyle w:val="SingleTxt"/>
        <w:rPr>
          <w:rFonts w:hint="cs"/>
          <w:rtl/>
        </w:rPr>
      </w:pPr>
      <w:r>
        <w:rPr>
          <w:rFonts w:hint="cs"/>
          <w:b/>
          <w:bCs/>
          <w:rtl/>
        </w:rPr>
        <w:tab/>
      </w:r>
      <w:r>
        <w:rPr>
          <w:rFonts w:hint="cs"/>
          <w:rtl/>
        </w:rPr>
        <w:t xml:space="preserve">بهدف تحسين حالة ضحايا العنف المنزلي، قدم </w:t>
      </w:r>
      <w:r w:rsidR="00920E6E">
        <w:rPr>
          <w:rFonts w:hint="cs"/>
          <w:rtl/>
          <w:lang w:bidi="ar-LB"/>
        </w:rPr>
        <w:t xml:space="preserve">الخبراء في </w:t>
      </w:r>
      <w:r>
        <w:rPr>
          <w:rFonts w:hint="cs"/>
          <w:rtl/>
        </w:rPr>
        <w:t>علم النفس وعلم الاجتماع المشورة القانونية أثناء المحاكمات منذ عام 2002. و</w:t>
      </w:r>
      <w:r w:rsidR="00920E6E">
        <w:rPr>
          <w:rFonts w:hint="cs"/>
          <w:rtl/>
          <w:lang w:bidi="ar-LB"/>
        </w:rPr>
        <w:t>يعمل هؤلا</w:t>
      </w:r>
      <w:r w:rsidR="000C43FD">
        <w:rPr>
          <w:rFonts w:hint="cs"/>
          <w:rtl/>
          <w:lang w:bidi="ar-LB"/>
        </w:rPr>
        <w:t>ء</w:t>
      </w:r>
      <w:r w:rsidR="00920E6E">
        <w:rPr>
          <w:rFonts w:hint="cs"/>
          <w:rtl/>
          <w:lang w:bidi="ar-LB"/>
        </w:rPr>
        <w:t xml:space="preserve"> الخبراء في </w:t>
      </w:r>
      <w:r>
        <w:rPr>
          <w:rFonts w:hint="cs"/>
          <w:rtl/>
        </w:rPr>
        <w:t>الهيئات المتخصصة في مجال إسداء المشورة، مثل مراكز حماية الأطفال. وللحصول على مزيد من التفاصيل، يرجى الرجوع إلى الملاحظات الواردة في المادة 2.</w:t>
      </w:r>
    </w:p>
    <w:p w:rsidR="00986841" w:rsidRDefault="00986841" w:rsidP="00920E6E">
      <w:pPr>
        <w:pStyle w:val="SingleTxt"/>
        <w:rPr>
          <w:rFonts w:hint="cs"/>
          <w:rtl/>
        </w:rPr>
      </w:pPr>
      <w:r>
        <w:rPr>
          <w:rFonts w:hint="cs"/>
          <w:rtl/>
        </w:rPr>
        <w:tab/>
        <w:t>انخفض انخفاضا طفيفا في الآونة الأخيرة عدد الحالات المبلغ عنها فيما يتعلق بالإساءات الجنسية (المادة 206 من قانون العقوبات النمساوي التي تتناول موضوع الإساءات الجنسية الخطيرة الموجهة ضد القصّر والمادة 207 من قانون العقوبات النمساوي التي تتناول موضوع الإساءات الجنسية الموجهة ضد القصّر)</w:t>
      </w:r>
      <w:r w:rsidR="00920E6E">
        <w:rPr>
          <w:rFonts w:hint="cs"/>
          <w:rtl/>
          <w:lang w:bidi="ar-LB"/>
        </w:rPr>
        <w:t xml:space="preserve">، فبعد أن كان عدد الحالات التي تم الإبلاغ عنها </w:t>
      </w:r>
      <w:r>
        <w:rPr>
          <w:rFonts w:hint="cs"/>
          <w:rtl/>
        </w:rPr>
        <w:t xml:space="preserve">722 حالة في عام 2000 </w:t>
      </w:r>
      <w:r w:rsidR="00920E6E">
        <w:rPr>
          <w:rFonts w:hint="cs"/>
          <w:rtl/>
          <w:lang w:bidi="ar-LB"/>
        </w:rPr>
        <w:t xml:space="preserve">انخفضت </w:t>
      </w:r>
      <w:r>
        <w:rPr>
          <w:rFonts w:hint="cs"/>
          <w:rtl/>
        </w:rPr>
        <w:t>إلى 576 حالة تم الإبلاغ عنها في عام 2001 و 558 حالة في عام 2002. ومن بين الحالات الـ 55</w:t>
      </w:r>
      <w:r w:rsidR="00920E6E">
        <w:rPr>
          <w:rFonts w:hint="cs"/>
          <w:rtl/>
          <w:lang w:bidi="ar-LB"/>
        </w:rPr>
        <w:t>8</w:t>
      </w:r>
      <w:r>
        <w:rPr>
          <w:rFonts w:hint="cs"/>
          <w:rtl/>
        </w:rPr>
        <w:t xml:space="preserve"> المبلغ عنها في عام 2002، كان</w:t>
      </w:r>
      <w:r w:rsidR="00920E6E">
        <w:rPr>
          <w:rFonts w:hint="cs"/>
          <w:rtl/>
          <w:lang w:bidi="ar-LB"/>
        </w:rPr>
        <w:t>ت</w:t>
      </w:r>
      <w:r>
        <w:rPr>
          <w:rFonts w:hint="cs"/>
          <w:rtl/>
        </w:rPr>
        <w:t xml:space="preserve"> 540</w:t>
      </w:r>
      <w:r w:rsidR="00920E6E">
        <w:rPr>
          <w:rFonts w:hint="cs"/>
          <w:rtl/>
          <w:lang w:bidi="ar-LB"/>
        </w:rPr>
        <w:t xml:space="preserve"> حالة تتعلق ب</w:t>
      </w:r>
      <w:r>
        <w:rPr>
          <w:rFonts w:hint="cs"/>
          <w:rtl/>
        </w:rPr>
        <w:t>ضحايا تحت سن الـ 14 و 422 حالة منها تتعلق بالفتيات (المصدر: إحصاءات وزارة الداخلية الاتحادية).</w:t>
      </w:r>
    </w:p>
    <w:p w:rsidR="00986841" w:rsidRDefault="00986841" w:rsidP="007258A9">
      <w:pPr>
        <w:pStyle w:val="SingleTxt"/>
        <w:rPr>
          <w:rFonts w:hint="cs"/>
          <w:b/>
          <w:bCs/>
          <w:rtl/>
        </w:rPr>
      </w:pPr>
      <w:r>
        <w:rPr>
          <w:rFonts w:hint="cs"/>
          <w:b/>
          <w:bCs/>
          <w:rtl/>
        </w:rPr>
        <w:t>التوصية 231</w:t>
      </w:r>
    </w:p>
    <w:p w:rsidR="00986841" w:rsidRDefault="00986841" w:rsidP="00986841">
      <w:pPr>
        <w:pStyle w:val="SingleTxt"/>
        <w:rPr>
          <w:rFonts w:hint="cs"/>
          <w:rtl/>
        </w:rPr>
      </w:pPr>
      <w:r>
        <w:rPr>
          <w:rFonts w:hint="cs"/>
          <w:rtl/>
        </w:rPr>
        <w:tab/>
        <w:t>يرجى الرجوع إلى الملاحظات المستفيضة والأرقام المذكورة في إطار المادتين 10 و</w:t>
      </w:r>
      <w:r>
        <w:rPr>
          <w:rFonts w:hint="eastAsia"/>
          <w:rtl/>
        </w:rPr>
        <w:t> </w:t>
      </w:r>
      <w:r>
        <w:rPr>
          <w:rFonts w:hint="cs"/>
          <w:rtl/>
        </w:rPr>
        <w:t>5.</w:t>
      </w:r>
    </w:p>
    <w:p w:rsidR="00986841" w:rsidRPr="00986841" w:rsidRDefault="00986841" w:rsidP="00986841">
      <w:pPr>
        <w:pStyle w:val="SingleTxt"/>
        <w:rPr>
          <w:rFonts w:hint="cs"/>
          <w:b/>
          <w:bCs/>
          <w:rtl/>
        </w:rPr>
      </w:pPr>
      <w:r w:rsidRPr="00986841">
        <w:rPr>
          <w:rFonts w:hint="cs"/>
          <w:b/>
          <w:bCs/>
          <w:rtl/>
        </w:rPr>
        <w:t>التوصية 232</w:t>
      </w:r>
    </w:p>
    <w:p w:rsidR="00986841" w:rsidRDefault="00986841" w:rsidP="00986841">
      <w:pPr>
        <w:pStyle w:val="SingleTxt"/>
        <w:rPr>
          <w:rFonts w:hint="cs"/>
          <w:rtl/>
        </w:rPr>
      </w:pPr>
      <w:r>
        <w:rPr>
          <w:rFonts w:hint="cs"/>
          <w:rtl/>
        </w:rPr>
        <w:tab/>
        <w:t>يرجى الرجوع إلى التعليقات الواردة في المادة 10.</w:t>
      </w:r>
    </w:p>
    <w:p w:rsidR="00986841" w:rsidRDefault="00986841" w:rsidP="00C42B06">
      <w:pPr>
        <w:pStyle w:val="SingleTxt"/>
        <w:rPr>
          <w:rFonts w:hint="cs"/>
          <w:rtl/>
        </w:rPr>
      </w:pPr>
      <w:r>
        <w:rPr>
          <w:rFonts w:hint="cs"/>
          <w:rtl/>
        </w:rPr>
        <w:tab/>
        <w:t xml:space="preserve">وبالإضافة إلى ذلك، الجدير بالذكر أن مكتب أمين المظالم المعني بالمساواة في المعاملة هو عضو في الهيئة المكلفة باختيار الفائز بجائزة </w:t>
      </w:r>
      <w:r>
        <w:rPr>
          <w:rFonts w:hint="eastAsia"/>
          <w:rtl/>
        </w:rPr>
        <w:t>”أمازون</w:t>
      </w:r>
      <w:r>
        <w:rPr>
          <w:rFonts w:hint="cs"/>
          <w:rtl/>
        </w:rPr>
        <w:t xml:space="preserve">“ السنوية، التي يقدمها مركز استشاري للفتيات اسمه </w:t>
      </w:r>
      <w:r>
        <w:rPr>
          <w:rFonts w:hint="eastAsia"/>
          <w:rtl/>
        </w:rPr>
        <w:t>”</w:t>
      </w:r>
      <w:r w:rsidR="00C42B06">
        <w:rPr>
          <w:rFonts w:hint="cs"/>
          <w:rtl/>
          <w:lang w:bidi="ar-LB"/>
        </w:rPr>
        <w:t>الانطلاق</w:t>
      </w:r>
      <w:r>
        <w:rPr>
          <w:rFonts w:hint="cs"/>
          <w:rtl/>
        </w:rPr>
        <w:t xml:space="preserve">“، إلى الشركات التي </w:t>
      </w:r>
      <w:r w:rsidR="00CD5B6D">
        <w:rPr>
          <w:rFonts w:hint="cs"/>
          <w:rtl/>
          <w:lang w:bidi="ar-LB"/>
        </w:rPr>
        <w:t>تكون قدوة</w:t>
      </w:r>
      <w:r>
        <w:rPr>
          <w:rFonts w:hint="cs"/>
          <w:rtl/>
        </w:rPr>
        <w:t xml:space="preserve"> للفتيات اللاتي يتم تدريبهن في مجال الحرف اليدوية أو في القطاعات الموجهة </w:t>
      </w:r>
      <w:r w:rsidR="00032E8D">
        <w:rPr>
          <w:rFonts w:hint="cs"/>
          <w:rtl/>
        </w:rPr>
        <w:t xml:space="preserve">نحو التكنولوجيا. </w:t>
      </w:r>
      <w:r w:rsidR="007B21CE">
        <w:rPr>
          <w:rFonts w:hint="cs"/>
          <w:rtl/>
        </w:rPr>
        <w:t>وشاركت أيضا الوحدة الإقليمية لمكتب أمين المظالم في كارينثيا في الحملة</w:t>
      </w:r>
      <w:r w:rsidR="00CD5B6D">
        <w:rPr>
          <w:rFonts w:hint="cs"/>
          <w:rtl/>
          <w:lang w:bidi="ar-LB"/>
        </w:rPr>
        <w:t xml:space="preserve"> المسماة</w:t>
      </w:r>
      <w:r w:rsidR="007B21CE">
        <w:rPr>
          <w:rFonts w:hint="cs"/>
          <w:rtl/>
        </w:rPr>
        <w:t xml:space="preserve"> </w:t>
      </w:r>
      <w:r w:rsidR="007B21CE">
        <w:rPr>
          <w:rFonts w:hint="eastAsia"/>
          <w:rtl/>
        </w:rPr>
        <w:t xml:space="preserve">”القدوة </w:t>
      </w:r>
      <w:r w:rsidR="007B21CE">
        <w:rPr>
          <w:rFonts w:hint="cs"/>
          <w:rtl/>
        </w:rPr>
        <w:t>-</w:t>
      </w:r>
      <w:r w:rsidR="007B21CE">
        <w:rPr>
          <w:rFonts w:hint="eastAsia"/>
          <w:rtl/>
        </w:rPr>
        <w:t xml:space="preserve"> </w:t>
      </w:r>
      <w:r w:rsidR="00CD5B6D">
        <w:rPr>
          <w:rFonts w:hint="cs"/>
          <w:rtl/>
          <w:lang w:bidi="ar-LB"/>
        </w:rPr>
        <w:t>أيتها</w:t>
      </w:r>
      <w:r w:rsidR="007B21CE">
        <w:rPr>
          <w:rFonts w:hint="eastAsia"/>
          <w:rtl/>
        </w:rPr>
        <w:t xml:space="preserve"> </w:t>
      </w:r>
      <w:r w:rsidR="007B21CE">
        <w:rPr>
          <w:rFonts w:hint="cs"/>
          <w:rtl/>
        </w:rPr>
        <w:t xml:space="preserve">الفتيات </w:t>
      </w:r>
      <w:r w:rsidR="00CD5B6D">
        <w:rPr>
          <w:rFonts w:hint="cs"/>
          <w:rtl/>
        </w:rPr>
        <w:t>اغتن</w:t>
      </w:r>
      <w:r w:rsidR="007B21CE">
        <w:rPr>
          <w:rFonts w:hint="cs"/>
          <w:rtl/>
        </w:rPr>
        <w:t>م</w:t>
      </w:r>
      <w:r w:rsidR="00CD5B6D">
        <w:rPr>
          <w:rFonts w:hint="cs"/>
          <w:rtl/>
          <w:lang w:bidi="ar-LB"/>
        </w:rPr>
        <w:t>ن</w:t>
      </w:r>
      <w:r w:rsidR="007B21CE">
        <w:rPr>
          <w:rFonts w:hint="cs"/>
          <w:rtl/>
        </w:rPr>
        <w:t xml:space="preserve"> الفرص</w:t>
      </w:r>
      <w:r w:rsidR="00CD5B6D">
        <w:rPr>
          <w:rFonts w:hint="eastAsia"/>
          <w:rtl/>
        </w:rPr>
        <w:t>“ التي بدأتها حكومة إقليم</w:t>
      </w:r>
      <w:r w:rsidR="007B21CE">
        <w:rPr>
          <w:rFonts w:hint="eastAsia"/>
          <w:rtl/>
        </w:rPr>
        <w:t xml:space="preserve"> كارينثيا. </w:t>
      </w:r>
      <w:r w:rsidR="007B21CE">
        <w:rPr>
          <w:rFonts w:hint="cs"/>
          <w:rtl/>
        </w:rPr>
        <w:t>وفي هذه الحملة، تم منح أوسمة تفوق للمتدربات في المهن المبتكرة التي كان يهيمن عليها حتى الآن الذكور.</w:t>
      </w:r>
    </w:p>
    <w:p w:rsidR="007B21CE" w:rsidRDefault="007B21CE" w:rsidP="00CD5B6D">
      <w:pPr>
        <w:pStyle w:val="SingleTxt"/>
        <w:rPr>
          <w:rFonts w:hint="cs"/>
          <w:rtl/>
        </w:rPr>
      </w:pPr>
      <w:r>
        <w:rPr>
          <w:rFonts w:hint="cs"/>
          <w:rtl/>
        </w:rPr>
        <w:tab/>
        <w:t xml:space="preserve">ويقدم الخبراء </w:t>
      </w:r>
      <w:r w:rsidR="00CD5B6D">
        <w:rPr>
          <w:rFonts w:hint="cs"/>
          <w:rtl/>
          <w:lang w:bidi="ar-LB"/>
        </w:rPr>
        <w:t>في</w:t>
      </w:r>
      <w:r>
        <w:rPr>
          <w:rFonts w:hint="cs"/>
          <w:rtl/>
        </w:rPr>
        <w:t xml:space="preserve"> المقر و</w:t>
      </w:r>
      <w:r w:rsidR="00CD5B6D">
        <w:rPr>
          <w:rFonts w:hint="cs"/>
          <w:rtl/>
          <w:lang w:bidi="ar-LB"/>
        </w:rPr>
        <w:t xml:space="preserve">في </w:t>
      </w:r>
      <w:r>
        <w:rPr>
          <w:rFonts w:hint="cs"/>
          <w:rtl/>
        </w:rPr>
        <w:t xml:space="preserve">الوحدات الإقليمية التابعة لمكتب أمين المظالم معلومات منتظمة إلى المدارس المهنية والأكاديمية ومراكز إسداء المشورة </w:t>
      </w:r>
      <w:r w:rsidR="00CD5B6D">
        <w:rPr>
          <w:rFonts w:hint="cs"/>
          <w:rtl/>
          <w:lang w:bidi="ar-LB"/>
        </w:rPr>
        <w:t>ل</w:t>
      </w:r>
      <w:r>
        <w:rPr>
          <w:rFonts w:hint="cs"/>
          <w:rtl/>
        </w:rPr>
        <w:t>لفتيات، مثل مركز مافالدا في غرا</w:t>
      </w:r>
      <w:r w:rsidR="00CD5B6D">
        <w:rPr>
          <w:rFonts w:hint="cs"/>
          <w:rtl/>
          <w:lang w:bidi="ar-LB"/>
        </w:rPr>
        <w:t>تس</w:t>
      </w:r>
      <w:r>
        <w:rPr>
          <w:rFonts w:hint="cs"/>
          <w:rtl/>
        </w:rPr>
        <w:t xml:space="preserve">، حول فرص العمل المتساوية في سوق العمل، وقانون المساواة في المعاملة وتطبيقاته المحتملة، والاختيارات المتوفرة للفتيات لاختيار عمل أو مهنة في ميدان غير تقليدي. </w:t>
      </w:r>
    </w:p>
    <w:p w:rsidR="007B21CE" w:rsidRDefault="0054685D" w:rsidP="007B21CE">
      <w:pPr>
        <w:pStyle w:val="SingleTxt"/>
        <w:rPr>
          <w:rFonts w:hint="cs"/>
          <w:b/>
          <w:bCs/>
          <w:rtl/>
        </w:rPr>
      </w:pPr>
      <w:r w:rsidRPr="0054685D">
        <w:rPr>
          <w:rFonts w:hint="cs"/>
          <w:b/>
          <w:bCs/>
          <w:rtl/>
        </w:rPr>
        <w:t>التمييز الإيجابي من أجل زيادة عدد النساء في الوظائف الأكاديمية على جميع المستويات</w:t>
      </w:r>
    </w:p>
    <w:p w:rsidR="0054685D" w:rsidRDefault="0054685D" w:rsidP="00872332">
      <w:pPr>
        <w:pStyle w:val="SingleTxt"/>
        <w:rPr>
          <w:rFonts w:hint="cs"/>
          <w:rtl/>
        </w:rPr>
      </w:pPr>
      <w:r>
        <w:rPr>
          <w:rFonts w:hint="cs"/>
          <w:rtl/>
        </w:rPr>
        <w:tab/>
      </w:r>
      <w:r w:rsidR="00872332">
        <w:rPr>
          <w:rFonts w:hint="cs"/>
          <w:rtl/>
          <w:lang w:bidi="ar-LB"/>
        </w:rPr>
        <w:t>ينص</w:t>
      </w:r>
      <w:r>
        <w:rPr>
          <w:rFonts w:hint="cs"/>
          <w:rtl/>
        </w:rPr>
        <w:t xml:space="preserve"> قانون المساواة في المعاملة في الخدمة الاتحادية </w:t>
      </w:r>
      <w:r w:rsidR="004E3A73">
        <w:rPr>
          <w:rFonts w:hint="cs"/>
          <w:rtl/>
        </w:rPr>
        <w:t xml:space="preserve">لعام 1993 أن </w:t>
      </w:r>
      <w:r w:rsidR="00CD5B6D">
        <w:rPr>
          <w:rFonts w:hint="cs"/>
          <w:rtl/>
          <w:lang w:bidi="ar-LB"/>
        </w:rPr>
        <w:t xml:space="preserve">تعطى </w:t>
      </w:r>
      <w:r w:rsidR="00872332">
        <w:rPr>
          <w:rFonts w:hint="cs"/>
          <w:rtl/>
          <w:lang w:bidi="ar-LB"/>
        </w:rPr>
        <w:t xml:space="preserve">الأولوية في التعيين </w:t>
      </w:r>
      <w:r w:rsidR="00CD5B6D">
        <w:rPr>
          <w:rFonts w:hint="cs"/>
          <w:rtl/>
          <w:lang w:bidi="ar-LB"/>
        </w:rPr>
        <w:t>ل</w:t>
      </w:r>
      <w:r w:rsidR="004E3A73">
        <w:rPr>
          <w:rFonts w:hint="cs"/>
          <w:rtl/>
        </w:rPr>
        <w:t>لمرأة التي تتقدم بطلب لشغل منصب أو وظيفة رفيعة المستوى وتتمتع بنفس المؤهلات التي يتمتع بها رجل ينافسها</w:t>
      </w:r>
      <w:r w:rsidR="00872332">
        <w:rPr>
          <w:rFonts w:hint="cs"/>
          <w:rtl/>
          <w:lang w:bidi="ar-LB"/>
        </w:rPr>
        <w:t>،</w:t>
      </w:r>
      <w:r w:rsidR="004E3A73">
        <w:rPr>
          <w:rFonts w:hint="cs"/>
          <w:rtl/>
        </w:rPr>
        <w:t xml:space="preserve"> </w:t>
      </w:r>
      <w:r w:rsidR="00872332">
        <w:rPr>
          <w:rFonts w:hint="cs"/>
          <w:rtl/>
          <w:lang w:bidi="ar-LB"/>
        </w:rPr>
        <w:t xml:space="preserve">وذلك </w:t>
      </w:r>
      <w:r w:rsidR="004E3A73">
        <w:rPr>
          <w:rFonts w:hint="cs"/>
          <w:rtl/>
        </w:rPr>
        <w:t>وفقا لأحكام قانون النهوض بالمرأة المقرر أن تصدره كل وحدة مركزية في الوزارات الاتحادية وإداراتها إلى أن تصبح نسبة المناصب والوظائف الرفيعة المستوى التي تشغلها المرأة لا تقل عن 40 في المائة من عدد الأفراد الذين يشغلون هذه الوظائف أو المناصب.</w:t>
      </w:r>
    </w:p>
    <w:p w:rsidR="004E3A73" w:rsidRDefault="004E3A73" w:rsidP="007B21CE">
      <w:pPr>
        <w:pStyle w:val="SingleTxt"/>
        <w:rPr>
          <w:rFonts w:hint="cs"/>
          <w:rtl/>
        </w:rPr>
      </w:pPr>
      <w:r>
        <w:rPr>
          <w:rFonts w:hint="cs"/>
          <w:rtl/>
        </w:rPr>
        <w:tab/>
        <w:t xml:space="preserve">وبالإضافة إلى ذلك، ينص قانون المساواة في المعاملة في الخدمة الاتحادية على أن تعطى للمرأة الأولوية في القبول في برامج التدريب الأساسي وغيرها من البرامج التي تسمح لها باكتساب المهارات اللازمة لشغل المناصب والوظائف الرفيعة المستوى، وفقا لأحكام خطة النهوض بالمرأة. </w:t>
      </w:r>
    </w:p>
    <w:p w:rsidR="004E3A73" w:rsidRDefault="004E3A73" w:rsidP="004E3A73">
      <w:pPr>
        <w:pStyle w:val="SingleTxt"/>
        <w:rPr>
          <w:rFonts w:hint="cs"/>
          <w:rtl/>
        </w:rPr>
      </w:pPr>
      <w:r>
        <w:rPr>
          <w:rFonts w:hint="cs"/>
          <w:rtl/>
        </w:rPr>
        <w:tab/>
        <w:t>وللحصول على مزيد من المعلومات يرجى الاطلاع على التعليقات الواردة في المادة</w:t>
      </w:r>
      <w:r>
        <w:rPr>
          <w:rFonts w:hint="eastAsia"/>
          <w:rtl/>
        </w:rPr>
        <w:t> </w:t>
      </w:r>
      <w:r>
        <w:rPr>
          <w:rFonts w:hint="cs"/>
          <w:rtl/>
        </w:rPr>
        <w:t xml:space="preserve">4. </w:t>
      </w:r>
    </w:p>
    <w:p w:rsidR="004E3A73" w:rsidRPr="004E3A73" w:rsidRDefault="004E3A73" w:rsidP="004E3A73">
      <w:pPr>
        <w:pStyle w:val="SingleTxt"/>
        <w:rPr>
          <w:rFonts w:hint="cs"/>
          <w:b/>
          <w:bCs/>
          <w:rtl/>
        </w:rPr>
      </w:pPr>
      <w:r w:rsidRPr="004E3A73">
        <w:rPr>
          <w:rFonts w:hint="cs"/>
          <w:b/>
          <w:bCs/>
          <w:rtl/>
        </w:rPr>
        <w:t xml:space="preserve">التوصيتان 233 و 234 </w:t>
      </w:r>
    </w:p>
    <w:p w:rsidR="004E3A73" w:rsidRDefault="004E3A73" w:rsidP="00467115">
      <w:pPr>
        <w:pStyle w:val="SingleTxt"/>
        <w:rPr>
          <w:rFonts w:hint="cs"/>
          <w:rtl/>
        </w:rPr>
      </w:pPr>
      <w:r>
        <w:rPr>
          <w:rFonts w:hint="cs"/>
          <w:rtl/>
        </w:rPr>
        <w:tab/>
        <w:t xml:space="preserve">تشكل الدراسة المعنونة </w:t>
      </w:r>
      <w:r>
        <w:rPr>
          <w:rFonts w:hint="eastAsia"/>
          <w:rtl/>
        </w:rPr>
        <w:t xml:space="preserve">”دخل المرأة والرجل في العمالة </w:t>
      </w:r>
      <w:r w:rsidR="002D038D">
        <w:rPr>
          <w:rFonts w:hint="cs"/>
          <w:rtl/>
        </w:rPr>
        <w:t>التابعة</w:t>
      </w:r>
      <w:r w:rsidR="002D038D">
        <w:rPr>
          <w:rFonts w:hint="eastAsia"/>
          <w:rtl/>
        </w:rPr>
        <w:t xml:space="preserve">“ (الوزارة الاتحادية للشؤون القانونية والعمالة، 2000) أساس الأنشطة الجارية. </w:t>
      </w:r>
      <w:r w:rsidR="002D038D">
        <w:rPr>
          <w:rFonts w:hint="cs"/>
          <w:rtl/>
        </w:rPr>
        <w:t xml:space="preserve">وفيما بعد، تم الاضطلاع بمشروع بحثي عنوانه </w:t>
      </w:r>
      <w:r w:rsidR="002D038D">
        <w:rPr>
          <w:rFonts w:hint="eastAsia"/>
          <w:rtl/>
        </w:rPr>
        <w:t>”عمل المرأة والرجل</w:t>
      </w:r>
      <w:r w:rsidR="00467115">
        <w:rPr>
          <w:rFonts w:hint="cs"/>
          <w:rtl/>
          <w:lang w:bidi="ar-LB"/>
        </w:rPr>
        <w:t xml:space="preserve"> ودخلهما</w:t>
      </w:r>
      <w:r w:rsidR="002D038D">
        <w:rPr>
          <w:rFonts w:hint="cs"/>
          <w:rtl/>
        </w:rPr>
        <w:t xml:space="preserve">“ بهدف تحليل مختلف الفرص </w:t>
      </w:r>
      <w:r w:rsidR="00467115">
        <w:rPr>
          <w:rFonts w:hint="cs"/>
          <w:rtl/>
          <w:lang w:bidi="ar-LB"/>
        </w:rPr>
        <w:t xml:space="preserve">المتاحة للعمل </w:t>
      </w:r>
      <w:r w:rsidR="002D038D">
        <w:rPr>
          <w:rFonts w:hint="cs"/>
          <w:rtl/>
        </w:rPr>
        <w:t>بأجر في إطار أثر التكيف الهيكلي</w:t>
      </w:r>
      <w:r w:rsidR="008B1C7E">
        <w:rPr>
          <w:rFonts w:hint="cs"/>
          <w:rtl/>
          <w:lang w:bidi="ar-LB"/>
        </w:rPr>
        <w:t>،</w:t>
      </w:r>
      <w:r w:rsidR="002D038D">
        <w:rPr>
          <w:rFonts w:hint="cs"/>
          <w:rtl/>
        </w:rPr>
        <w:t xml:space="preserve"> و</w:t>
      </w:r>
      <w:r w:rsidR="008B1C7E">
        <w:rPr>
          <w:rFonts w:hint="cs"/>
          <w:rtl/>
          <w:lang w:bidi="ar-LB"/>
        </w:rPr>
        <w:t xml:space="preserve">بهدف </w:t>
      </w:r>
      <w:r w:rsidR="002D038D">
        <w:rPr>
          <w:rFonts w:hint="cs"/>
          <w:rtl/>
        </w:rPr>
        <w:t>تقييم خطة العمل الوطنية المتعلقة بالعمالة. وتم نشر نتائج هذا المشروع في عام 2002.</w:t>
      </w:r>
    </w:p>
    <w:p w:rsidR="002D038D" w:rsidRDefault="002D038D" w:rsidP="008B1C7E">
      <w:pPr>
        <w:pStyle w:val="SingleTxt"/>
        <w:rPr>
          <w:rFonts w:hint="cs"/>
          <w:rtl/>
        </w:rPr>
      </w:pPr>
      <w:r>
        <w:rPr>
          <w:rFonts w:hint="cs"/>
          <w:rtl/>
        </w:rPr>
        <w:tab/>
        <w:t xml:space="preserve">وأسباب الفرق في دخل الرجل والمرأة متعددة، علما بأن توزيع ساعات العمل على أساس نوعية الوظائف يلعب دورا حاسما. والنساء حتى عندما يتفرغن </w:t>
      </w:r>
      <w:r w:rsidR="008B1C7E">
        <w:rPr>
          <w:rFonts w:hint="cs"/>
          <w:rtl/>
          <w:lang w:bidi="ar-LB"/>
        </w:rPr>
        <w:t xml:space="preserve">للعمل </w:t>
      </w:r>
      <w:r>
        <w:rPr>
          <w:rFonts w:hint="cs"/>
          <w:rtl/>
        </w:rPr>
        <w:t>يشغلن أدنى أربع رتب من رتب الدخل العشر و</w:t>
      </w:r>
      <w:r w:rsidR="008B1C7E">
        <w:rPr>
          <w:rFonts w:hint="cs"/>
          <w:rtl/>
          <w:lang w:bidi="ar-LB"/>
        </w:rPr>
        <w:t>بناء عليه،</w:t>
      </w:r>
      <w:r>
        <w:rPr>
          <w:rFonts w:hint="cs"/>
          <w:rtl/>
        </w:rPr>
        <w:t xml:space="preserve"> يشغلن أكثر من الرجل الوظائف ذات الدخل </w:t>
      </w:r>
      <w:r w:rsidR="008B1C7E">
        <w:rPr>
          <w:rFonts w:hint="cs"/>
          <w:rtl/>
          <w:lang w:bidi="ar-LB"/>
        </w:rPr>
        <w:t>المنخفض</w:t>
      </w:r>
      <w:r>
        <w:rPr>
          <w:rFonts w:hint="cs"/>
          <w:rtl/>
        </w:rPr>
        <w:t>. وبينما يستفيد الرجل في المتوسط من زيادات مستمرة في دخله</w:t>
      </w:r>
      <w:r w:rsidR="008B1C7E">
        <w:rPr>
          <w:rFonts w:hint="cs"/>
          <w:rtl/>
          <w:lang w:bidi="ar-LB"/>
        </w:rPr>
        <w:t>،</w:t>
      </w:r>
      <w:r>
        <w:rPr>
          <w:rFonts w:hint="cs"/>
          <w:rtl/>
        </w:rPr>
        <w:t xml:space="preserve"> يتبين من منحنى دخل المرأة أن هناك </w:t>
      </w:r>
      <w:r w:rsidR="008B1C7E">
        <w:rPr>
          <w:rFonts w:hint="cs"/>
          <w:rtl/>
          <w:lang w:bidi="ar-LB"/>
        </w:rPr>
        <w:t>انخفاض</w:t>
      </w:r>
      <w:r>
        <w:rPr>
          <w:rFonts w:hint="cs"/>
          <w:rtl/>
        </w:rPr>
        <w:t>ا خلال الفترات الأساسية من الحياة المهنية</w:t>
      </w:r>
      <w:r w:rsidR="008B1C7E">
        <w:rPr>
          <w:rFonts w:hint="cs"/>
          <w:rtl/>
          <w:lang w:bidi="ar-LB"/>
        </w:rPr>
        <w:t>.</w:t>
      </w:r>
      <w:r>
        <w:rPr>
          <w:rFonts w:hint="cs"/>
          <w:rtl/>
        </w:rPr>
        <w:t xml:space="preserve"> ويمكن تف</w:t>
      </w:r>
      <w:r w:rsidR="008B1C7E">
        <w:rPr>
          <w:rFonts w:hint="cs"/>
          <w:rtl/>
        </w:rPr>
        <w:t>سير ذلك بصفة رئيسية على أن</w:t>
      </w:r>
      <w:r w:rsidR="008B1C7E">
        <w:rPr>
          <w:rFonts w:hint="cs"/>
          <w:rtl/>
          <w:lang w:bidi="ar-LB"/>
        </w:rPr>
        <w:t xml:space="preserve"> هذه الفترات هي</w:t>
      </w:r>
      <w:r>
        <w:rPr>
          <w:rFonts w:hint="cs"/>
          <w:rtl/>
        </w:rPr>
        <w:t xml:space="preserve"> الفترات التي ترعى فيها المرأة أطفالها. وبالإضافة إلى ذلك، يتبين من المنحنى أن الزيادات في دخل المرأة أقل من الزيادات في دخل الرجل </w:t>
      </w:r>
      <w:r w:rsidR="008B1C7E">
        <w:rPr>
          <w:rFonts w:hint="cs"/>
          <w:rtl/>
          <w:lang w:bidi="ar-LB"/>
        </w:rPr>
        <w:t>وهي ت</w:t>
      </w:r>
      <w:r w:rsidR="008B1C7E">
        <w:rPr>
          <w:rFonts w:hint="cs"/>
          <w:rtl/>
        </w:rPr>
        <w:t>تقدم</w:t>
      </w:r>
      <w:r>
        <w:rPr>
          <w:rFonts w:hint="cs"/>
          <w:rtl/>
        </w:rPr>
        <w:t xml:space="preserve"> في السن بصفة عامة. </w:t>
      </w:r>
    </w:p>
    <w:p w:rsidR="002D038D" w:rsidRDefault="002D038D" w:rsidP="008B1C7E">
      <w:pPr>
        <w:pStyle w:val="SingleTxt"/>
        <w:rPr>
          <w:rFonts w:hint="cs"/>
          <w:rtl/>
        </w:rPr>
      </w:pPr>
      <w:r>
        <w:rPr>
          <w:rFonts w:hint="cs"/>
          <w:rtl/>
        </w:rPr>
        <w:tab/>
        <w:t xml:space="preserve">ويشكل </w:t>
      </w:r>
      <w:r>
        <w:rPr>
          <w:rFonts w:hint="eastAsia"/>
          <w:rtl/>
        </w:rPr>
        <w:t>”تقرير الدخل العام</w:t>
      </w:r>
      <w:r>
        <w:rPr>
          <w:rFonts w:hint="cs"/>
          <w:rtl/>
        </w:rPr>
        <w:t>“ الذي يصدر مرتين في السنة مصدرا قيما للبيانات المستمدة من تقييم الإحصاءات المتعلقة بالضريبة المفروضة على الدخل (البيانات المتعلقة بالأجور المدفوعة على أساس العمل بالساعة</w:t>
      </w:r>
      <w:r w:rsidR="008B1C7E">
        <w:rPr>
          <w:rFonts w:hint="cs"/>
          <w:rtl/>
          <w:lang w:bidi="ar-LB"/>
        </w:rPr>
        <w:t xml:space="preserve"> غير متوفرة</w:t>
      </w:r>
      <w:r>
        <w:rPr>
          <w:rFonts w:hint="cs"/>
          <w:rtl/>
        </w:rPr>
        <w:t xml:space="preserve">): </w:t>
      </w:r>
    </w:p>
    <w:p w:rsidR="00AF0C52" w:rsidRPr="00AF0C52" w:rsidRDefault="00AF0C52" w:rsidP="00AF0C52">
      <w:pPr>
        <w:pStyle w:val="SingleTxt"/>
        <w:spacing w:after="0" w:line="120" w:lineRule="exact"/>
        <w:rPr>
          <w:rFonts w:hint="cs"/>
          <w:sz w:val="10"/>
          <w:rtl/>
        </w:rPr>
      </w:pPr>
    </w:p>
    <w:p w:rsidR="002D038D" w:rsidRPr="001C29D4" w:rsidRDefault="00AF0C52" w:rsidP="004E3A73">
      <w:pPr>
        <w:pStyle w:val="SingleTxt"/>
        <w:rPr>
          <w:rFonts w:hint="cs"/>
          <w:b/>
          <w:bCs/>
          <w:rtl/>
        </w:rPr>
      </w:pPr>
      <w:r w:rsidRPr="001C29D4">
        <w:rPr>
          <w:rFonts w:hint="cs"/>
          <w:b/>
          <w:bCs/>
          <w:rtl/>
        </w:rPr>
        <w:t>الدخل السنوي الإجمالي للأشخاص المتفرغين خلال السنة، بدون توقف</w:t>
      </w:r>
    </w:p>
    <w:p w:rsidR="00AF0C52" w:rsidRPr="00AF0C52" w:rsidRDefault="00AF0C52" w:rsidP="00AF0C52">
      <w:pPr>
        <w:pStyle w:val="SingleTxt"/>
        <w:spacing w:after="0" w:line="120" w:lineRule="exact"/>
        <w:rPr>
          <w:rFonts w:hint="cs"/>
          <w:sz w:val="10"/>
          <w:rtl/>
        </w:rPr>
      </w:pPr>
    </w:p>
    <w:tbl>
      <w:tblPr>
        <w:bidiVisual/>
        <w:tblW w:w="7260" w:type="dxa"/>
        <w:jc w:val="center"/>
        <w:tblInd w:w="1608" w:type="dxa"/>
        <w:tblLayout w:type="fixed"/>
        <w:tblCellMar>
          <w:left w:w="0" w:type="dxa"/>
          <w:right w:w="0" w:type="dxa"/>
        </w:tblCellMar>
        <w:tblLook w:val="0000" w:firstRow="0" w:lastRow="0" w:firstColumn="0" w:lastColumn="0" w:noHBand="0" w:noVBand="0"/>
      </w:tblPr>
      <w:tblGrid>
        <w:gridCol w:w="1654"/>
        <w:gridCol w:w="1339"/>
        <w:gridCol w:w="1545"/>
        <w:gridCol w:w="1442"/>
        <w:gridCol w:w="1280"/>
      </w:tblGrid>
      <w:tr w:rsidR="00AF0C52" w:rsidRPr="00AF0C52">
        <w:tblPrEx>
          <w:tblCellMar>
            <w:top w:w="0" w:type="dxa"/>
            <w:bottom w:w="0" w:type="dxa"/>
          </w:tblCellMar>
        </w:tblPrEx>
        <w:trPr>
          <w:cantSplit/>
          <w:tblHeader/>
          <w:jc w:val="center"/>
        </w:trPr>
        <w:tc>
          <w:tcPr>
            <w:tcW w:w="1654" w:type="dxa"/>
            <w:tcBorders>
              <w:top w:val="single" w:sz="4" w:space="0" w:color="auto"/>
              <w:bottom w:val="single" w:sz="12" w:space="0" w:color="auto"/>
            </w:tcBorders>
            <w:shd w:val="clear" w:color="auto" w:fill="auto"/>
            <w:tcMar>
              <w:left w:w="0" w:type="dxa"/>
              <w:right w:w="0" w:type="dxa"/>
            </w:tcMar>
            <w:vAlign w:val="bottom"/>
          </w:tcPr>
          <w:p w:rsidR="00AF0C52" w:rsidRPr="00AF0C52" w:rsidRDefault="00AF0C52" w:rsidP="00AF0C52">
            <w:pPr>
              <w:spacing w:before="80" w:after="80" w:line="240" w:lineRule="exact"/>
              <w:rPr>
                <w:rFonts w:hint="cs"/>
                <w:i/>
                <w:iCs/>
                <w:sz w:val="16"/>
                <w:szCs w:val="24"/>
                <w:rtl/>
              </w:rPr>
            </w:pPr>
            <w:r w:rsidRPr="00AF0C52">
              <w:rPr>
                <w:rFonts w:hint="cs"/>
                <w:i/>
                <w:iCs/>
                <w:sz w:val="16"/>
                <w:szCs w:val="24"/>
                <w:rtl/>
              </w:rPr>
              <w:t>السنة</w:t>
            </w:r>
          </w:p>
        </w:tc>
        <w:tc>
          <w:tcPr>
            <w:tcW w:w="1339" w:type="dxa"/>
            <w:tcBorders>
              <w:top w:val="single" w:sz="4" w:space="0" w:color="auto"/>
              <w:bottom w:val="single" w:sz="12" w:space="0" w:color="auto"/>
            </w:tcBorders>
            <w:shd w:val="clear" w:color="auto" w:fill="auto"/>
            <w:vAlign w:val="bottom"/>
          </w:tcPr>
          <w:p w:rsidR="00AF0C52" w:rsidRPr="00AF0C52" w:rsidRDefault="00AF0C52" w:rsidP="00AF0C52">
            <w:pPr>
              <w:spacing w:before="80" w:after="80" w:line="240" w:lineRule="exact"/>
              <w:ind w:right="144"/>
              <w:jc w:val="lowKashida"/>
              <w:rPr>
                <w:rFonts w:hint="cs"/>
                <w:i/>
                <w:iCs/>
                <w:sz w:val="16"/>
                <w:szCs w:val="24"/>
                <w:rtl/>
              </w:rPr>
            </w:pPr>
          </w:p>
        </w:tc>
        <w:tc>
          <w:tcPr>
            <w:tcW w:w="1545" w:type="dxa"/>
            <w:tcBorders>
              <w:top w:val="single" w:sz="4" w:space="0" w:color="auto"/>
              <w:bottom w:val="single" w:sz="12" w:space="0" w:color="auto"/>
            </w:tcBorders>
            <w:shd w:val="clear" w:color="auto" w:fill="auto"/>
            <w:vAlign w:val="bottom"/>
          </w:tcPr>
          <w:p w:rsidR="00AF0C52" w:rsidRPr="00AF0C52" w:rsidRDefault="00AF0C52" w:rsidP="00AF0C52">
            <w:pPr>
              <w:spacing w:before="80" w:after="80" w:line="240" w:lineRule="exact"/>
              <w:ind w:right="144"/>
              <w:jc w:val="lowKashida"/>
              <w:rPr>
                <w:rFonts w:hint="cs"/>
                <w:i/>
                <w:iCs/>
                <w:sz w:val="16"/>
                <w:szCs w:val="24"/>
                <w:rtl/>
              </w:rPr>
            </w:pPr>
            <w:r w:rsidRPr="00AF0C52">
              <w:rPr>
                <w:rFonts w:hint="cs"/>
                <w:i/>
                <w:iCs/>
                <w:sz w:val="16"/>
                <w:szCs w:val="24"/>
                <w:rtl/>
              </w:rPr>
              <w:t>المرأة</w:t>
            </w:r>
          </w:p>
        </w:tc>
        <w:tc>
          <w:tcPr>
            <w:tcW w:w="1442" w:type="dxa"/>
            <w:tcBorders>
              <w:top w:val="single" w:sz="4" w:space="0" w:color="auto"/>
              <w:bottom w:val="single" w:sz="12" w:space="0" w:color="auto"/>
            </w:tcBorders>
            <w:shd w:val="clear" w:color="auto" w:fill="auto"/>
            <w:vAlign w:val="bottom"/>
          </w:tcPr>
          <w:p w:rsidR="00AF0C52" w:rsidRPr="00AF0C52" w:rsidRDefault="00AF0C52" w:rsidP="00AF0C52">
            <w:pPr>
              <w:spacing w:before="80" w:after="80" w:line="240" w:lineRule="exact"/>
              <w:ind w:right="144"/>
              <w:jc w:val="lowKashida"/>
              <w:rPr>
                <w:rFonts w:hint="cs"/>
                <w:i/>
                <w:iCs/>
                <w:sz w:val="16"/>
                <w:szCs w:val="24"/>
                <w:rtl/>
              </w:rPr>
            </w:pPr>
            <w:r w:rsidRPr="00AF0C52">
              <w:rPr>
                <w:rFonts w:hint="cs"/>
                <w:i/>
                <w:iCs/>
                <w:sz w:val="16"/>
                <w:szCs w:val="24"/>
                <w:rtl/>
              </w:rPr>
              <w:t>الرجل</w:t>
            </w:r>
          </w:p>
        </w:tc>
        <w:tc>
          <w:tcPr>
            <w:tcW w:w="1280" w:type="dxa"/>
            <w:tcBorders>
              <w:top w:val="single" w:sz="4" w:space="0" w:color="auto"/>
              <w:bottom w:val="single" w:sz="12" w:space="0" w:color="auto"/>
            </w:tcBorders>
            <w:shd w:val="clear" w:color="auto" w:fill="auto"/>
            <w:vAlign w:val="bottom"/>
          </w:tcPr>
          <w:p w:rsidR="00AF0C52" w:rsidRPr="00AF0C52" w:rsidRDefault="00AF0C52" w:rsidP="00AF0C52">
            <w:pPr>
              <w:spacing w:before="80" w:after="80" w:line="240" w:lineRule="exact"/>
              <w:ind w:right="144"/>
              <w:jc w:val="lowKashida"/>
              <w:rPr>
                <w:rFonts w:hint="cs"/>
                <w:i/>
                <w:iCs/>
                <w:sz w:val="16"/>
                <w:szCs w:val="24"/>
                <w:rtl/>
              </w:rPr>
            </w:pPr>
            <w:r w:rsidRPr="00AF0C52">
              <w:rPr>
                <w:rFonts w:hint="cs"/>
                <w:i/>
                <w:iCs/>
                <w:sz w:val="16"/>
                <w:szCs w:val="24"/>
                <w:rtl/>
              </w:rPr>
              <w:t>الفرق</w:t>
            </w:r>
          </w:p>
        </w:tc>
      </w:tr>
      <w:tr w:rsidR="00AF0C52" w:rsidRPr="00AF0C52">
        <w:tblPrEx>
          <w:tblCellMar>
            <w:top w:w="0" w:type="dxa"/>
            <w:bottom w:w="0" w:type="dxa"/>
          </w:tblCellMar>
        </w:tblPrEx>
        <w:trPr>
          <w:cantSplit/>
          <w:trHeight w:hRule="exact" w:val="115"/>
          <w:tblHeader/>
          <w:jc w:val="center"/>
        </w:trPr>
        <w:tc>
          <w:tcPr>
            <w:tcW w:w="1654" w:type="dxa"/>
            <w:tcBorders>
              <w:top w:val="single" w:sz="12" w:space="0" w:color="auto"/>
            </w:tcBorders>
            <w:shd w:val="clear" w:color="auto" w:fill="auto"/>
            <w:vAlign w:val="bottom"/>
          </w:tcPr>
          <w:p w:rsidR="00AF0C52" w:rsidRPr="00AF0C52" w:rsidRDefault="00AF0C52" w:rsidP="00AF0C52">
            <w:pPr>
              <w:spacing w:before="40" w:after="80" w:line="240" w:lineRule="exact"/>
              <w:rPr>
                <w:rFonts w:hint="cs"/>
                <w:sz w:val="16"/>
                <w:szCs w:val="24"/>
                <w:rtl/>
              </w:rPr>
            </w:pPr>
          </w:p>
        </w:tc>
        <w:tc>
          <w:tcPr>
            <w:tcW w:w="1339" w:type="dxa"/>
            <w:tcBorders>
              <w:top w:val="single" w:sz="12" w:space="0" w:color="auto"/>
            </w:tcBorders>
            <w:shd w:val="clear" w:color="auto" w:fill="auto"/>
            <w:vAlign w:val="bottom"/>
          </w:tcPr>
          <w:p w:rsidR="00AF0C52" w:rsidRPr="00AF0C52" w:rsidRDefault="00AF0C52" w:rsidP="00AF0C52">
            <w:pPr>
              <w:spacing w:before="40" w:after="80" w:line="240" w:lineRule="exact"/>
              <w:ind w:right="144"/>
              <w:jc w:val="lowKashida"/>
              <w:rPr>
                <w:rFonts w:hint="cs"/>
                <w:sz w:val="16"/>
                <w:szCs w:val="24"/>
                <w:rtl/>
              </w:rPr>
            </w:pPr>
          </w:p>
        </w:tc>
        <w:tc>
          <w:tcPr>
            <w:tcW w:w="1545" w:type="dxa"/>
            <w:tcBorders>
              <w:top w:val="single" w:sz="12" w:space="0" w:color="auto"/>
            </w:tcBorders>
            <w:shd w:val="clear" w:color="auto" w:fill="auto"/>
            <w:vAlign w:val="bottom"/>
          </w:tcPr>
          <w:p w:rsidR="00AF0C52" w:rsidRPr="00AF0C52" w:rsidRDefault="00AF0C52" w:rsidP="00AF0C52">
            <w:pPr>
              <w:spacing w:before="40" w:after="80" w:line="240" w:lineRule="exact"/>
              <w:ind w:right="144"/>
              <w:jc w:val="lowKashida"/>
              <w:rPr>
                <w:rFonts w:hint="cs"/>
                <w:sz w:val="16"/>
                <w:szCs w:val="24"/>
                <w:rtl/>
              </w:rPr>
            </w:pPr>
          </w:p>
        </w:tc>
        <w:tc>
          <w:tcPr>
            <w:tcW w:w="1442" w:type="dxa"/>
            <w:tcBorders>
              <w:top w:val="single" w:sz="12" w:space="0" w:color="auto"/>
            </w:tcBorders>
            <w:shd w:val="clear" w:color="auto" w:fill="auto"/>
            <w:vAlign w:val="bottom"/>
          </w:tcPr>
          <w:p w:rsidR="00AF0C52" w:rsidRPr="00AF0C52" w:rsidRDefault="00AF0C52" w:rsidP="00AF0C52">
            <w:pPr>
              <w:spacing w:before="40" w:after="80" w:line="240" w:lineRule="exact"/>
              <w:ind w:right="144"/>
              <w:jc w:val="lowKashida"/>
              <w:rPr>
                <w:rFonts w:hint="cs"/>
                <w:sz w:val="16"/>
                <w:szCs w:val="24"/>
                <w:rtl/>
              </w:rPr>
            </w:pPr>
          </w:p>
        </w:tc>
        <w:tc>
          <w:tcPr>
            <w:tcW w:w="1280" w:type="dxa"/>
            <w:tcBorders>
              <w:top w:val="single" w:sz="12" w:space="0" w:color="auto"/>
            </w:tcBorders>
            <w:shd w:val="clear" w:color="auto" w:fill="auto"/>
            <w:vAlign w:val="bottom"/>
          </w:tcPr>
          <w:p w:rsidR="00AF0C52" w:rsidRPr="00AF0C52" w:rsidRDefault="00AF0C52" w:rsidP="00AF0C52">
            <w:pPr>
              <w:spacing w:before="40" w:after="80" w:line="240" w:lineRule="exact"/>
              <w:ind w:right="144"/>
              <w:jc w:val="lowKashida"/>
              <w:rPr>
                <w:rFonts w:hint="cs"/>
                <w:sz w:val="16"/>
                <w:szCs w:val="24"/>
                <w:rtl/>
              </w:rPr>
            </w:pPr>
          </w:p>
        </w:tc>
      </w:tr>
      <w:tr w:rsidR="00AF0C52" w:rsidRPr="00AF0C52">
        <w:tblPrEx>
          <w:tblCellMar>
            <w:top w:w="0" w:type="dxa"/>
            <w:bottom w:w="0" w:type="dxa"/>
          </w:tblCellMar>
        </w:tblPrEx>
        <w:trPr>
          <w:cantSplit/>
          <w:jc w:val="center"/>
        </w:trPr>
        <w:tc>
          <w:tcPr>
            <w:tcW w:w="1654" w:type="dxa"/>
            <w:shd w:val="clear" w:color="auto" w:fill="auto"/>
            <w:vAlign w:val="bottom"/>
          </w:tcPr>
          <w:p w:rsidR="00AF0C52" w:rsidRPr="00AF0C52" w:rsidRDefault="00AF0C52" w:rsidP="00AF0C52">
            <w:pPr>
              <w:spacing w:before="40" w:after="80" w:line="240" w:lineRule="exact"/>
              <w:rPr>
                <w:rFonts w:hint="cs"/>
                <w:sz w:val="16"/>
                <w:szCs w:val="24"/>
                <w:rtl/>
              </w:rPr>
            </w:pPr>
            <w:r w:rsidRPr="00AF0C52">
              <w:rPr>
                <w:rFonts w:hint="cs"/>
                <w:sz w:val="16"/>
                <w:szCs w:val="24"/>
                <w:rtl/>
              </w:rPr>
              <w:t>2000</w:t>
            </w:r>
          </w:p>
        </w:tc>
        <w:tc>
          <w:tcPr>
            <w:tcW w:w="1339" w:type="dxa"/>
            <w:shd w:val="clear" w:color="auto" w:fill="auto"/>
            <w:vAlign w:val="bottom"/>
          </w:tcPr>
          <w:p w:rsidR="00AF0C52" w:rsidRPr="00AF0C52" w:rsidRDefault="002701DF" w:rsidP="00AF0C52">
            <w:pPr>
              <w:spacing w:before="40" w:after="80" w:line="240" w:lineRule="exact"/>
              <w:ind w:right="144"/>
              <w:jc w:val="lowKashida"/>
              <w:rPr>
                <w:rFonts w:hint="cs"/>
                <w:sz w:val="16"/>
                <w:szCs w:val="24"/>
                <w:rtl/>
              </w:rPr>
            </w:pPr>
            <w:r>
              <w:rPr>
                <w:rFonts w:hint="cs"/>
                <w:sz w:val="16"/>
                <w:szCs w:val="24"/>
                <w:rtl/>
                <w:lang w:bidi="ar-LB"/>
              </w:rPr>
              <w:t>ال</w:t>
            </w:r>
            <w:r w:rsidR="00AF0C52" w:rsidRPr="00AF0C52">
              <w:rPr>
                <w:rFonts w:hint="cs"/>
                <w:sz w:val="16"/>
                <w:szCs w:val="24"/>
                <w:rtl/>
              </w:rPr>
              <w:t>متوسط</w:t>
            </w:r>
          </w:p>
        </w:tc>
        <w:tc>
          <w:tcPr>
            <w:tcW w:w="1545" w:type="dxa"/>
            <w:shd w:val="clear" w:color="auto" w:fill="auto"/>
            <w:vAlign w:val="bottom"/>
          </w:tcPr>
          <w:p w:rsidR="00AF0C52" w:rsidRPr="00AF0C52" w:rsidRDefault="00AF0C52" w:rsidP="00AF0C52">
            <w:pPr>
              <w:spacing w:before="40" w:after="80" w:line="240" w:lineRule="exact"/>
              <w:ind w:right="144"/>
              <w:jc w:val="lowKashida"/>
              <w:rPr>
                <w:rFonts w:hint="cs"/>
                <w:sz w:val="16"/>
                <w:szCs w:val="24"/>
                <w:rtl/>
              </w:rPr>
            </w:pPr>
            <w:r w:rsidRPr="00AF0C52">
              <w:rPr>
                <w:rFonts w:hint="cs"/>
                <w:sz w:val="16"/>
                <w:szCs w:val="24"/>
                <w:rtl/>
              </w:rPr>
              <w:t>480 25 يورو</w:t>
            </w:r>
          </w:p>
        </w:tc>
        <w:tc>
          <w:tcPr>
            <w:tcW w:w="1442" w:type="dxa"/>
            <w:shd w:val="clear" w:color="auto" w:fill="auto"/>
            <w:vAlign w:val="bottom"/>
          </w:tcPr>
          <w:p w:rsidR="00AF0C52" w:rsidRPr="00AF0C52" w:rsidRDefault="00AF0C52" w:rsidP="00AF0C52">
            <w:pPr>
              <w:spacing w:before="40" w:after="80" w:line="240" w:lineRule="exact"/>
              <w:ind w:right="144"/>
              <w:jc w:val="lowKashida"/>
              <w:rPr>
                <w:rFonts w:hint="cs"/>
                <w:sz w:val="16"/>
                <w:szCs w:val="24"/>
                <w:rtl/>
              </w:rPr>
            </w:pPr>
            <w:r w:rsidRPr="00AF0C52">
              <w:rPr>
                <w:rFonts w:hint="cs"/>
                <w:sz w:val="16"/>
                <w:szCs w:val="24"/>
                <w:rtl/>
              </w:rPr>
              <w:t>530 35 يورو</w:t>
            </w:r>
          </w:p>
        </w:tc>
        <w:tc>
          <w:tcPr>
            <w:tcW w:w="1280" w:type="dxa"/>
            <w:shd w:val="clear" w:color="auto" w:fill="auto"/>
            <w:vAlign w:val="bottom"/>
          </w:tcPr>
          <w:p w:rsidR="00AF0C52" w:rsidRPr="00AF0C52" w:rsidRDefault="00AF0C52" w:rsidP="00AF0C52">
            <w:pPr>
              <w:spacing w:before="40" w:after="80" w:line="240" w:lineRule="exact"/>
              <w:ind w:right="144"/>
              <w:jc w:val="lowKashida"/>
              <w:rPr>
                <w:rFonts w:hint="cs"/>
                <w:sz w:val="16"/>
                <w:szCs w:val="24"/>
                <w:rtl/>
              </w:rPr>
            </w:pPr>
            <w:r w:rsidRPr="00AF0C52">
              <w:rPr>
                <w:rFonts w:hint="cs"/>
                <w:sz w:val="16"/>
                <w:szCs w:val="24"/>
                <w:rtl/>
              </w:rPr>
              <w:t>28.3 في المائة</w:t>
            </w:r>
          </w:p>
        </w:tc>
      </w:tr>
      <w:tr w:rsidR="00AF0C52" w:rsidRPr="00AF0C52">
        <w:tblPrEx>
          <w:tblCellMar>
            <w:top w:w="0" w:type="dxa"/>
            <w:bottom w:w="0" w:type="dxa"/>
          </w:tblCellMar>
        </w:tblPrEx>
        <w:trPr>
          <w:cantSplit/>
          <w:jc w:val="center"/>
        </w:trPr>
        <w:tc>
          <w:tcPr>
            <w:tcW w:w="1654" w:type="dxa"/>
            <w:tcBorders>
              <w:bottom w:val="single" w:sz="12" w:space="0" w:color="auto"/>
            </w:tcBorders>
            <w:shd w:val="clear" w:color="auto" w:fill="auto"/>
            <w:vAlign w:val="bottom"/>
          </w:tcPr>
          <w:p w:rsidR="00AF0C52" w:rsidRPr="00AF0C52" w:rsidRDefault="00AF0C52" w:rsidP="00AF0C52">
            <w:pPr>
              <w:spacing w:before="40" w:after="80" w:line="240" w:lineRule="exact"/>
              <w:rPr>
                <w:rFonts w:hint="cs"/>
                <w:sz w:val="16"/>
                <w:szCs w:val="24"/>
                <w:rtl/>
              </w:rPr>
            </w:pPr>
            <w:r w:rsidRPr="00AF0C52">
              <w:rPr>
                <w:rFonts w:hint="cs"/>
                <w:sz w:val="16"/>
                <w:szCs w:val="24"/>
                <w:rtl/>
              </w:rPr>
              <w:t>2001</w:t>
            </w:r>
          </w:p>
        </w:tc>
        <w:tc>
          <w:tcPr>
            <w:tcW w:w="1339" w:type="dxa"/>
            <w:tcBorders>
              <w:bottom w:val="single" w:sz="12" w:space="0" w:color="auto"/>
            </w:tcBorders>
            <w:shd w:val="clear" w:color="auto" w:fill="auto"/>
            <w:vAlign w:val="bottom"/>
          </w:tcPr>
          <w:p w:rsidR="00AF0C52" w:rsidRPr="00AF0C52" w:rsidRDefault="002701DF" w:rsidP="00AF0C52">
            <w:pPr>
              <w:spacing w:before="40" w:after="80" w:line="240" w:lineRule="exact"/>
              <w:ind w:right="144"/>
              <w:jc w:val="lowKashida"/>
              <w:rPr>
                <w:rFonts w:hint="cs"/>
                <w:sz w:val="16"/>
                <w:szCs w:val="24"/>
                <w:rtl/>
              </w:rPr>
            </w:pPr>
            <w:r>
              <w:rPr>
                <w:rFonts w:hint="cs"/>
                <w:sz w:val="16"/>
                <w:szCs w:val="24"/>
                <w:rtl/>
                <w:lang w:bidi="ar-LB"/>
              </w:rPr>
              <w:t>ال</w:t>
            </w:r>
            <w:r w:rsidR="00AF0C52" w:rsidRPr="00AF0C52">
              <w:rPr>
                <w:rFonts w:hint="cs"/>
                <w:sz w:val="16"/>
                <w:szCs w:val="24"/>
                <w:rtl/>
              </w:rPr>
              <w:t>متوسط</w:t>
            </w:r>
          </w:p>
        </w:tc>
        <w:tc>
          <w:tcPr>
            <w:tcW w:w="1545" w:type="dxa"/>
            <w:tcBorders>
              <w:bottom w:val="single" w:sz="12" w:space="0" w:color="auto"/>
            </w:tcBorders>
            <w:shd w:val="clear" w:color="auto" w:fill="auto"/>
            <w:vAlign w:val="bottom"/>
          </w:tcPr>
          <w:p w:rsidR="00AF0C52" w:rsidRPr="00AF0C52" w:rsidRDefault="00AF0C52" w:rsidP="00AF0C52">
            <w:pPr>
              <w:spacing w:before="40" w:after="80" w:line="240" w:lineRule="exact"/>
              <w:ind w:right="144"/>
              <w:jc w:val="lowKashida"/>
              <w:rPr>
                <w:rFonts w:hint="cs"/>
                <w:sz w:val="16"/>
                <w:szCs w:val="24"/>
                <w:rtl/>
              </w:rPr>
            </w:pPr>
            <w:r w:rsidRPr="00AF0C52">
              <w:rPr>
                <w:rFonts w:hint="cs"/>
                <w:sz w:val="16"/>
                <w:szCs w:val="24"/>
                <w:rtl/>
              </w:rPr>
              <w:t>250 26 يورو</w:t>
            </w:r>
          </w:p>
        </w:tc>
        <w:tc>
          <w:tcPr>
            <w:tcW w:w="1442" w:type="dxa"/>
            <w:tcBorders>
              <w:bottom w:val="single" w:sz="12" w:space="0" w:color="auto"/>
            </w:tcBorders>
            <w:shd w:val="clear" w:color="auto" w:fill="auto"/>
            <w:vAlign w:val="bottom"/>
          </w:tcPr>
          <w:p w:rsidR="00AF0C52" w:rsidRPr="00AF0C52" w:rsidRDefault="00AF0C52" w:rsidP="00AF0C52">
            <w:pPr>
              <w:spacing w:before="40" w:after="80" w:line="240" w:lineRule="exact"/>
              <w:ind w:right="144"/>
              <w:jc w:val="lowKashida"/>
              <w:rPr>
                <w:rFonts w:hint="cs"/>
                <w:sz w:val="16"/>
                <w:szCs w:val="24"/>
                <w:rtl/>
              </w:rPr>
            </w:pPr>
            <w:r w:rsidRPr="00AF0C52">
              <w:rPr>
                <w:rFonts w:hint="cs"/>
                <w:sz w:val="16"/>
                <w:szCs w:val="24"/>
                <w:rtl/>
              </w:rPr>
              <w:t>480 36 يورو</w:t>
            </w:r>
          </w:p>
        </w:tc>
        <w:tc>
          <w:tcPr>
            <w:tcW w:w="1280" w:type="dxa"/>
            <w:tcBorders>
              <w:bottom w:val="single" w:sz="12" w:space="0" w:color="auto"/>
            </w:tcBorders>
            <w:shd w:val="clear" w:color="auto" w:fill="auto"/>
            <w:vAlign w:val="bottom"/>
          </w:tcPr>
          <w:p w:rsidR="00AF0C52" w:rsidRPr="00AF0C52" w:rsidRDefault="00AF0C52" w:rsidP="00AF0C52">
            <w:pPr>
              <w:spacing w:before="40" w:after="80" w:line="240" w:lineRule="exact"/>
              <w:ind w:right="144"/>
              <w:jc w:val="lowKashida"/>
              <w:rPr>
                <w:rFonts w:hint="cs"/>
                <w:sz w:val="16"/>
                <w:szCs w:val="24"/>
                <w:rtl/>
              </w:rPr>
            </w:pPr>
            <w:r w:rsidRPr="00AF0C52">
              <w:rPr>
                <w:rFonts w:hint="cs"/>
                <w:sz w:val="16"/>
                <w:szCs w:val="24"/>
                <w:rtl/>
              </w:rPr>
              <w:t>28 في المائة</w:t>
            </w:r>
          </w:p>
        </w:tc>
      </w:tr>
    </w:tbl>
    <w:p w:rsidR="00AF0C52" w:rsidRPr="00AF0C52" w:rsidRDefault="00AF0C52" w:rsidP="00AF0C52">
      <w:pPr>
        <w:pStyle w:val="SingleTxt"/>
        <w:spacing w:after="0" w:line="120" w:lineRule="exact"/>
        <w:rPr>
          <w:rFonts w:hint="cs"/>
          <w:sz w:val="10"/>
          <w:rtl/>
        </w:rPr>
      </w:pPr>
    </w:p>
    <w:p w:rsidR="00AF0C52" w:rsidRPr="00AF0C52" w:rsidRDefault="00AF0C52" w:rsidP="004E3A73">
      <w:pPr>
        <w:pStyle w:val="SingleTxt"/>
        <w:rPr>
          <w:rFonts w:hint="cs"/>
          <w:sz w:val="26"/>
          <w:szCs w:val="26"/>
          <w:rtl/>
        </w:rPr>
      </w:pPr>
      <w:r w:rsidRPr="00AF0C52">
        <w:rPr>
          <w:rFonts w:hint="cs"/>
          <w:i/>
          <w:iCs/>
          <w:sz w:val="26"/>
          <w:szCs w:val="26"/>
          <w:rtl/>
        </w:rPr>
        <w:t>المصدر</w:t>
      </w:r>
      <w:r w:rsidRPr="00AF0C52">
        <w:rPr>
          <w:rFonts w:hint="cs"/>
          <w:sz w:val="26"/>
          <w:szCs w:val="26"/>
          <w:rtl/>
        </w:rPr>
        <w:t xml:space="preserve">: تقرير الدخل العام لعام 2002، مجلس مراجعي الحسابات، فيينا. </w:t>
      </w:r>
    </w:p>
    <w:p w:rsidR="00AF0C52" w:rsidRPr="00AF0C52" w:rsidRDefault="00AF0C52" w:rsidP="00AF0C52">
      <w:pPr>
        <w:pStyle w:val="SingleTxt"/>
        <w:spacing w:after="0" w:line="120" w:lineRule="exact"/>
        <w:rPr>
          <w:rFonts w:hint="cs"/>
          <w:sz w:val="10"/>
          <w:rtl/>
        </w:rPr>
      </w:pPr>
    </w:p>
    <w:p w:rsidR="00AF0C52" w:rsidRDefault="00AF0C52" w:rsidP="000C01C2">
      <w:pPr>
        <w:pStyle w:val="SingleTxt"/>
        <w:rPr>
          <w:rFonts w:hint="cs"/>
          <w:rtl/>
        </w:rPr>
      </w:pPr>
      <w:r>
        <w:rPr>
          <w:rFonts w:hint="cs"/>
          <w:rtl/>
        </w:rPr>
        <w:tab/>
        <w:t xml:space="preserve">خلال فترة المشروع البحثي وعنوانه </w:t>
      </w:r>
      <w:r>
        <w:rPr>
          <w:rFonts w:hint="eastAsia"/>
          <w:rtl/>
        </w:rPr>
        <w:t>”تقييم ال</w:t>
      </w:r>
      <w:r w:rsidR="008B1C7E">
        <w:rPr>
          <w:rFonts w:hint="cs"/>
          <w:rtl/>
          <w:lang w:bidi="ar-LB"/>
        </w:rPr>
        <w:t>وظائف</w:t>
      </w:r>
      <w:r>
        <w:rPr>
          <w:rFonts w:hint="eastAsia"/>
          <w:rtl/>
        </w:rPr>
        <w:t xml:space="preserve"> على أساس </w:t>
      </w:r>
      <w:r>
        <w:rPr>
          <w:rFonts w:hint="cs"/>
          <w:rtl/>
        </w:rPr>
        <w:t>غير تمييزي وتنظيم العمل</w:t>
      </w:r>
      <w:r>
        <w:rPr>
          <w:rFonts w:hint="eastAsia"/>
          <w:rtl/>
        </w:rPr>
        <w:t xml:space="preserve">“ تم وضع المبدأ التوجيهي التالي </w:t>
      </w:r>
      <w:r>
        <w:rPr>
          <w:rFonts w:hint="cs"/>
          <w:rtl/>
        </w:rPr>
        <w:t>”الأجر المتساوي لقاء العمل المتساوي القيمة</w:t>
      </w:r>
      <w:r>
        <w:rPr>
          <w:rFonts w:hint="eastAsia"/>
          <w:rtl/>
        </w:rPr>
        <w:t xml:space="preserve">“. </w:t>
      </w:r>
      <w:r>
        <w:rPr>
          <w:rFonts w:hint="cs"/>
          <w:rtl/>
        </w:rPr>
        <w:t>ويتناول المبدأ التوجيهي مبدأ الأجر المتساوي لقاء العمل المتساوي القيمة</w:t>
      </w:r>
      <w:r w:rsidR="000C01C2">
        <w:rPr>
          <w:rFonts w:hint="cs"/>
          <w:rtl/>
          <w:lang w:bidi="ar-LB"/>
        </w:rPr>
        <w:t>،</w:t>
      </w:r>
      <w:r>
        <w:rPr>
          <w:rFonts w:hint="cs"/>
          <w:rtl/>
        </w:rPr>
        <w:t xml:space="preserve"> والمسألة المترتبة على ذلك فيما يتعلق ب</w:t>
      </w:r>
      <w:r w:rsidR="000C01C2">
        <w:rPr>
          <w:rFonts w:hint="cs"/>
          <w:rtl/>
          <w:lang w:bidi="ar-LB"/>
        </w:rPr>
        <w:t xml:space="preserve">كيفية </w:t>
      </w:r>
      <w:r w:rsidR="000C01C2">
        <w:rPr>
          <w:rFonts w:hint="cs"/>
          <w:rtl/>
        </w:rPr>
        <w:t>تعريف العمل ذ</w:t>
      </w:r>
      <w:r w:rsidR="000C01C2">
        <w:rPr>
          <w:rFonts w:hint="cs"/>
          <w:rtl/>
          <w:lang w:bidi="ar-LB"/>
        </w:rPr>
        <w:t>ي</w:t>
      </w:r>
      <w:r>
        <w:rPr>
          <w:rFonts w:hint="cs"/>
          <w:rtl/>
        </w:rPr>
        <w:t xml:space="preserve"> القيمة المتساوية. وكان يتعين إطلاع وتوعية جميع العملاء الذين يتعاملون مع هذه الم</w:t>
      </w:r>
      <w:r w:rsidR="000C01C2">
        <w:rPr>
          <w:rFonts w:hint="cs"/>
          <w:rtl/>
        </w:rPr>
        <w:t>سألة، و</w:t>
      </w:r>
      <w:r w:rsidR="000C01C2">
        <w:rPr>
          <w:rFonts w:hint="cs"/>
          <w:rtl/>
          <w:lang w:bidi="ar-LB"/>
        </w:rPr>
        <w:t>لذ</w:t>
      </w:r>
      <w:r>
        <w:rPr>
          <w:rFonts w:hint="cs"/>
          <w:rtl/>
        </w:rPr>
        <w:t xml:space="preserve">لك تم إدراج </w:t>
      </w:r>
      <w:r w:rsidR="000C01C2">
        <w:rPr>
          <w:rFonts w:hint="cs"/>
          <w:rtl/>
          <w:lang w:bidi="ar-LB"/>
        </w:rPr>
        <w:t xml:space="preserve">هذا </w:t>
      </w:r>
      <w:r>
        <w:rPr>
          <w:rFonts w:hint="cs"/>
          <w:rtl/>
        </w:rPr>
        <w:t>المبدأ التوجيهي في قانون العمل الوطني المتعلق</w:t>
      </w:r>
      <w:r w:rsidR="000C01C2">
        <w:rPr>
          <w:rFonts w:hint="cs"/>
          <w:rtl/>
          <w:lang w:bidi="ar-LB"/>
        </w:rPr>
        <w:t>ة</w:t>
      </w:r>
      <w:r>
        <w:rPr>
          <w:rFonts w:hint="cs"/>
          <w:rtl/>
        </w:rPr>
        <w:t xml:space="preserve"> بالعمالة لعام 2003. </w:t>
      </w:r>
    </w:p>
    <w:p w:rsidR="00AF0C52" w:rsidRDefault="00AF0C52" w:rsidP="006369AA">
      <w:pPr>
        <w:pStyle w:val="SingleTxt"/>
        <w:rPr>
          <w:rFonts w:hint="cs"/>
          <w:rtl/>
        </w:rPr>
      </w:pPr>
      <w:r>
        <w:rPr>
          <w:rFonts w:hint="cs"/>
          <w:rtl/>
        </w:rPr>
        <w:tab/>
        <w:t xml:space="preserve">وبموجب النشرة التوجيهية </w:t>
      </w:r>
      <w:r>
        <w:t>2002/73/EC</w:t>
      </w:r>
      <w:r>
        <w:rPr>
          <w:rFonts w:hint="cs"/>
          <w:rtl/>
        </w:rPr>
        <w:t xml:space="preserve"> التي عدلت النشرة التوجيهية</w:t>
      </w:r>
      <w:r w:rsidR="006369AA">
        <w:rPr>
          <w:rFonts w:hint="cs"/>
          <w:rtl/>
          <w:lang w:bidi="ar-LB"/>
        </w:rPr>
        <w:t xml:space="preserve"> المتعلقة ب</w:t>
      </w:r>
      <w:r>
        <w:rPr>
          <w:rFonts w:hint="cs"/>
          <w:rtl/>
        </w:rPr>
        <w:t xml:space="preserve">المساواة في معاملة </w:t>
      </w:r>
      <w:r w:rsidR="006369AA">
        <w:rPr>
          <w:rFonts w:hint="cs"/>
          <w:rtl/>
          <w:lang w:bidi="ar-LB"/>
        </w:rPr>
        <w:t>ا</w:t>
      </w:r>
      <w:r>
        <w:rPr>
          <w:rFonts w:hint="cs"/>
          <w:rtl/>
        </w:rPr>
        <w:t>لرجل والمرأة</w:t>
      </w:r>
      <w:r w:rsidR="00124E55">
        <w:rPr>
          <w:rFonts w:hint="cs"/>
          <w:rtl/>
        </w:rPr>
        <w:t xml:space="preserve">، الدول الأعضاء في الاتحاد الأوروبي ملزمة </w:t>
      </w:r>
      <w:r w:rsidR="00A74472">
        <w:rPr>
          <w:rFonts w:hint="cs"/>
          <w:rtl/>
        </w:rPr>
        <w:t>بمتابعة هدف المساواة بين الجنسين بصورة نشطة.</w:t>
      </w:r>
    </w:p>
    <w:p w:rsidR="00A74472" w:rsidRDefault="00A74472" w:rsidP="004E3A73">
      <w:pPr>
        <w:pStyle w:val="SingleTxt"/>
        <w:rPr>
          <w:rFonts w:hint="cs"/>
          <w:rtl/>
        </w:rPr>
      </w:pPr>
      <w:r>
        <w:rPr>
          <w:rFonts w:hint="cs"/>
          <w:rtl/>
        </w:rPr>
        <w:tab/>
        <w:t>وينص ق</w:t>
      </w:r>
      <w:r w:rsidR="000C01C2">
        <w:rPr>
          <w:rFonts w:hint="cs"/>
          <w:rtl/>
        </w:rPr>
        <w:t>انون العلاقات الصناعية النمساوي</w:t>
      </w:r>
      <w:r>
        <w:rPr>
          <w:rFonts w:hint="cs"/>
          <w:rtl/>
        </w:rPr>
        <w:t xml:space="preserve"> على وجود اتفاقات وبرامج اختيارية للنهوض بالمرأة (المادة 97، الفقرة 1، الفقرة الفرعية 25 من قانون العلاقات الصناعية). وبناء عليه، يجوز للشركاء الاجتماعيين أن يساهموا بشكل نشط في </w:t>
      </w:r>
      <w:r w:rsidR="000C01C2">
        <w:rPr>
          <w:rFonts w:hint="cs"/>
          <w:rtl/>
          <w:lang w:bidi="ar-LB"/>
        </w:rPr>
        <w:t xml:space="preserve">تحقيق </w:t>
      </w:r>
      <w:r>
        <w:rPr>
          <w:rFonts w:hint="cs"/>
          <w:rtl/>
        </w:rPr>
        <w:t xml:space="preserve">المساواة بين الجنسين. </w:t>
      </w:r>
    </w:p>
    <w:p w:rsidR="00756CCB" w:rsidRDefault="00A74472" w:rsidP="000C01C2">
      <w:pPr>
        <w:pStyle w:val="SingleTxt"/>
      </w:pPr>
      <w:r>
        <w:rPr>
          <w:rFonts w:hint="cs"/>
          <w:rtl/>
        </w:rPr>
        <w:tab/>
        <w:t xml:space="preserve">وركز </w:t>
      </w:r>
      <w:r>
        <w:rPr>
          <w:rFonts w:hint="eastAsia"/>
          <w:rtl/>
        </w:rPr>
        <w:t>”</w:t>
      </w:r>
      <w:r>
        <w:rPr>
          <w:rFonts w:hint="cs"/>
          <w:rtl/>
        </w:rPr>
        <w:t>مشروع المساواة في الأجر</w:t>
      </w:r>
      <w:r>
        <w:rPr>
          <w:rFonts w:hint="eastAsia"/>
          <w:rtl/>
        </w:rPr>
        <w:t xml:space="preserve">“ الذي تم تنفيذه خلال الفترة الممتدة من كانون الثاني/يناير 2002 إلى آذار/مارس 2003، على مسألة ما هو متاح من الخيارات على </w:t>
      </w:r>
      <w:r>
        <w:rPr>
          <w:rFonts w:hint="cs"/>
          <w:rtl/>
        </w:rPr>
        <w:t>صعيد الشركات والصناعات من أجل المساهمة في التخلص من الفرق بين أجر الرجل وأجر المرأة. و</w:t>
      </w:r>
      <w:r w:rsidR="000C01C2">
        <w:rPr>
          <w:rFonts w:hint="cs"/>
          <w:rtl/>
          <w:lang w:bidi="ar-LB"/>
        </w:rPr>
        <w:t xml:space="preserve">شارك </w:t>
      </w:r>
      <w:r>
        <w:rPr>
          <w:rFonts w:hint="cs"/>
          <w:rtl/>
        </w:rPr>
        <w:t xml:space="preserve">في </w:t>
      </w:r>
      <w:r w:rsidR="000C01C2">
        <w:rPr>
          <w:rFonts w:hint="cs"/>
          <w:rtl/>
          <w:lang w:bidi="ar-LB"/>
        </w:rPr>
        <w:t>ال</w:t>
      </w:r>
      <w:r>
        <w:rPr>
          <w:rFonts w:hint="cs"/>
          <w:rtl/>
        </w:rPr>
        <w:t>مشروع</w:t>
      </w:r>
      <w:r w:rsidR="000C01C2">
        <w:rPr>
          <w:rFonts w:hint="cs"/>
          <w:rtl/>
          <w:lang w:bidi="ar-LB"/>
        </w:rPr>
        <w:t xml:space="preserve"> </w:t>
      </w:r>
      <w:r>
        <w:rPr>
          <w:rFonts w:hint="cs"/>
          <w:rtl/>
        </w:rPr>
        <w:t xml:space="preserve">مكتب أمين المظالم المعني بالمساواة في المعاملة كشريك في المنظمة السويدية الشقيقة </w:t>
      </w:r>
      <w:r>
        <w:t>J</w:t>
      </w:r>
      <w:r w:rsidR="000C01C2">
        <w:rPr>
          <w:rFonts w:cs="Times New Roman"/>
        </w:rPr>
        <w:t>ä</w:t>
      </w:r>
      <w:r w:rsidR="000C01C2">
        <w:t>mst</w:t>
      </w:r>
      <w:r w:rsidR="000C01C2">
        <w:rPr>
          <w:rFonts w:cs="Times New Roman"/>
        </w:rPr>
        <w:t>ä</w:t>
      </w:r>
      <w:r w:rsidR="000C01C2">
        <w:t>lldhetsombudsmannen</w:t>
      </w:r>
      <w:r>
        <w:rPr>
          <w:rFonts w:hint="cs"/>
          <w:rtl/>
        </w:rPr>
        <w:t xml:space="preserve">. وتم القيام بالمشروع ضمن </w:t>
      </w:r>
      <w:r>
        <w:rPr>
          <w:rFonts w:hint="eastAsia"/>
          <w:rtl/>
        </w:rPr>
        <w:t xml:space="preserve">”برنامج الاتحاد الأوروبي المتصل بالاستراتيجية الإطارية المجتمعية المعنية بالمساواة بين الجنسين </w:t>
      </w:r>
      <w:r>
        <w:rPr>
          <w:rFonts w:hint="cs"/>
          <w:rtl/>
        </w:rPr>
        <w:t>(</w:t>
      </w:r>
      <w:r>
        <w:rPr>
          <w:rFonts w:hint="eastAsia"/>
          <w:rtl/>
        </w:rPr>
        <w:t>2001-2005</w:t>
      </w:r>
      <w:r>
        <w:rPr>
          <w:rFonts w:hint="cs"/>
          <w:rtl/>
        </w:rPr>
        <w:t>)</w:t>
      </w:r>
      <w:r>
        <w:rPr>
          <w:rFonts w:hint="eastAsia"/>
          <w:rtl/>
        </w:rPr>
        <w:t>“.</w:t>
      </w:r>
    </w:p>
    <w:p w:rsidR="00A74472" w:rsidRDefault="00756CCB" w:rsidP="00756CCB">
      <w:pPr>
        <w:pStyle w:val="SingleTxt"/>
        <w:rPr>
          <w:rFonts w:hint="cs"/>
          <w:rtl/>
        </w:rPr>
      </w:pPr>
      <w:r>
        <w:tab/>
      </w:r>
      <w:r w:rsidR="00A74472">
        <w:rPr>
          <w:rFonts w:hint="cs"/>
          <w:rtl/>
        </w:rPr>
        <w:t xml:space="preserve">وبموجب هذا المشروع، قدم اتحاد عمال المعادن والنسيج مشروعا إصلاحيا شاملا تم خلاله تحليل ما مجموعه 39 اتفاقا جماعيا مبرما خلال الفترة من أوائل </w:t>
      </w:r>
      <w:r>
        <w:rPr>
          <w:rFonts w:hint="cs"/>
          <w:rtl/>
          <w:lang w:bidi="ar-LB"/>
        </w:rPr>
        <w:t xml:space="preserve">عام </w:t>
      </w:r>
      <w:r w:rsidR="00A74472">
        <w:rPr>
          <w:rFonts w:hint="cs"/>
          <w:rtl/>
        </w:rPr>
        <w:t>2001 إلى نهاية عام 2002 لمعرفة مدى حياده جنس</w:t>
      </w:r>
      <w:r>
        <w:rPr>
          <w:rFonts w:hint="cs"/>
          <w:rtl/>
          <w:lang w:bidi="ar-LB"/>
        </w:rPr>
        <w:t>يا</w:t>
      </w:r>
      <w:r w:rsidR="00A74472">
        <w:rPr>
          <w:rFonts w:hint="cs"/>
          <w:rtl/>
        </w:rPr>
        <w:t xml:space="preserve">. وتضمن المشروع عددا من الاقتراحات المقدمة لتحقيق هدف المساواة في الأجر بين الرجل والمرأة. ويرد ملخص لنتائج هذه الدراسات في الكتيب المعنون </w:t>
      </w:r>
      <w:r w:rsidR="00A74472">
        <w:rPr>
          <w:rFonts w:hint="eastAsia"/>
          <w:rtl/>
        </w:rPr>
        <w:t xml:space="preserve">”وضع </w:t>
      </w:r>
      <w:r w:rsidR="00A74472">
        <w:rPr>
          <w:rFonts w:hint="cs"/>
          <w:rtl/>
        </w:rPr>
        <w:t xml:space="preserve">مثل يحتذى </w:t>
      </w:r>
      <w:r>
        <w:rPr>
          <w:rFonts w:hint="cs"/>
          <w:rtl/>
          <w:lang w:bidi="ar-LB"/>
        </w:rPr>
        <w:t xml:space="preserve">به </w:t>
      </w:r>
      <w:r w:rsidR="00A74472">
        <w:rPr>
          <w:rFonts w:hint="cs"/>
          <w:rtl/>
        </w:rPr>
        <w:t>فيما يتعلق بتعميم مراعاة المنظور الجنساني في الاتفاقات الجماعية</w:t>
      </w:r>
      <w:r w:rsidR="00A74472">
        <w:rPr>
          <w:rFonts w:hint="eastAsia"/>
          <w:rtl/>
        </w:rPr>
        <w:t>“ وسوف يتم استخدام هذه النتائج في المفاوضات حول المعايير المتبعة في تحديد الأجور.</w:t>
      </w:r>
    </w:p>
    <w:p w:rsidR="00A74472" w:rsidRPr="00A74472" w:rsidRDefault="00A74472" w:rsidP="00A74472">
      <w:pPr>
        <w:pStyle w:val="SingleTxt"/>
        <w:rPr>
          <w:rFonts w:hint="cs"/>
          <w:b/>
          <w:bCs/>
          <w:rtl/>
        </w:rPr>
      </w:pPr>
      <w:r w:rsidRPr="00A74472">
        <w:rPr>
          <w:rFonts w:hint="cs"/>
          <w:b/>
          <w:bCs/>
          <w:rtl/>
        </w:rPr>
        <w:t xml:space="preserve">العمل على أساس غير متفرغ </w:t>
      </w:r>
    </w:p>
    <w:p w:rsidR="00A74472" w:rsidRDefault="00A74472" w:rsidP="0000695E">
      <w:pPr>
        <w:pStyle w:val="SingleTxt"/>
        <w:rPr>
          <w:rFonts w:hint="cs"/>
          <w:rtl/>
        </w:rPr>
      </w:pPr>
      <w:r>
        <w:rPr>
          <w:rFonts w:hint="cs"/>
          <w:rtl/>
        </w:rPr>
        <w:tab/>
        <w:t xml:space="preserve">مع ازدياد عدد العاملين على أساس غير متفرغ خلال السنوات العشرين الماضية، أصبح عدد العاملين بشكل غير متفرغ في النمسا اليوم يزيد عن نصف مليون شخص. والأغلبية الساحقة </w:t>
      </w:r>
      <w:r w:rsidR="0000695E">
        <w:rPr>
          <w:rFonts w:hint="cs"/>
          <w:rtl/>
          <w:lang w:bidi="ar-LB"/>
        </w:rPr>
        <w:t>ل</w:t>
      </w:r>
      <w:r>
        <w:rPr>
          <w:rFonts w:hint="cs"/>
          <w:rtl/>
        </w:rPr>
        <w:t>لعاملين على أساس غير متفرغ</w:t>
      </w:r>
      <w:r w:rsidR="0000695E">
        <w:rPr>
          <w:rFonts w:hint="cs"/>
          <w:rtl/>
          <w:lang w:bidi="ar-LB"/>
        </w:rPr>
        <w:t>،</w:t>
      </w:r>
      <w:r>
        <w:rPr>
          <w:rFonts w:hint="cs"/>
          <w:rtl/>
        </w:rPr>
        <w:t xml:space="preserve"> </w:t>
      </w:r>
      <w:r w:rsidR="0000695E">
        <w:rPr>
          <w:rFonts w:hint="cs"/>
          <w:rtl/>
          <w:lang w:bidi="ar-LB"/>
        </w:rPr>
        <w:t xml:space="preserve">ونسبتهم </w:t>
      </w:r>
      <w:r>
        <w:rPr>
          <w:rFonts w:hint="cs"/>
          <w:rtl/>
        </w:rPr>
        <w:t>85 في المائة</w:t>
      </w:r>
      <w:r w:rsidR="0000695E">
        <w:rPr>
          <w:rFonts w:hint="cs"/>
          <w:rtl/>
          <w:lang w:bidi="ar-LB"/>
        </w:rPr>
        <w:t>، هي من النساء</w:t>
      </w:r>
      <w:r>
        <w:rPr>
          <w:rFonts w:hint="cs"/>
          <w:rtl/>
        </w:rPr>
        <w:t>.</w:t>
      </w:r>
    </w:p>
    <w:p w:rsidR="00A74472" w:rsidRDefault="00A74472" w:rsidP="003D2D0B">
      <w:pPr>
        <w:pStyle w:val="SingleTxt"/>
        <w:rPr>
          <w:rFonts w:hint="cs"/>
          <w:rtl/>
        </w:rPr>
      </w:pPr>
      <w:r>
        <w:rPr>
          <w:rFonts w:hint="cs"/>
          <w:rtl/>
        </w:rPr>
        <w:tab/>
        <w:t xml:space="preserve">وكشفت الدراسة المعنونة </w:t>
      </w:r>
      <w:r>
        <w:rPr>
          <w:rFonts w:hint="eastAsia"/>
          <w:rtl/>
        </w:rPr>
        <w:t xml:space="preserve">”العمل على أساس غير متفرغ ونوعية العمل في النمسا </w:t>
      </w:r>
      <w:r>
        <w:rPr>
          <w:rFonts w:hint="cs"/>
          <w:rtl/>
        </w:rPr>
        <w:t>-</w:t>
      </w:r>
      <w:r>
        <w:rPr>
          <w:rFonts w:hint="eastAsia"/>
          <w:rtl/>
        </w:rPr>
        <w:t xml:space="preserve"> الوضع </w:t>
      </w:r>
      <w:r>
        <w:rPr>
          <w:rFonts w:hint="cs"/>
          <w:rtl/>
        </w:rPr>
        <w:t>الراهن والاحتمالات (2003)</w:t>
      </w:r>
      <w:r>
        <w:rPr>
          <w:rFonts w:hint="eastAsia"/>
          <w:rtl/>
        </w:rPr>
        <w:t>“</w:t>
      </w:r>
      <w:r w:rsidR="0000695E">
        <w:rPr>
          <w:rFonts w:hint="cs"/>
          <w:rtl/>
        </w:rPr>
        <w:t>، في جملة أمور،</w:t>
      </w:r>
      <w:r w:rsidR="0000695E">
        <w:rPr>
          <w:rFonts w:hint="cs"/>
          <w:rtl/>
          <w:lang w:bidi="ar-LB"/>
        </w:rPr>
        <w:t xml:space="preserve"> عن </w:t>
      </w:r>
      <w:r>
        <w:rPr>
          <w:rFonts w:hint="cs"/>
          <w:rtl/>
        </w:rPr>
        <w:t xml:space="preserve">ما يلي: 70 في المائة من النساء اللاتي تم مقابلتهن واللاتي يعملن في وظائف على أساس غير متفرغ أشرن إلى أنهن يعملن على أساس غير متفرغ </w:t>
      </w:r>
      <w:r w:rsidR="0000695E">
        <w:rPr>
          <w:rFonts w:hint="cs"/>
          <w:rtl/>
          <w:lang w:bidi="ar-LB"/>
        </w:rPr>
        <w:t xml:space="preserve">بسبب وضعهن </w:t>
      </w:r>
      <w:r w:rsidR="0000695E">
        <w:rPr>
          <w:rFonts w:hint="cs"/>
          <w:rtl/>
        </w:rPr>
        <w:t>العائلي</w:t>
      </w:r>
      <w:r>
        <w:rPr>
          <w:rFonts w:hint="cs"/>
          <w:rtl/>
        </w:rPr>
        <w:t xml:space="preserve">. وبالمقابل، كانت نسبة الرجال الذين ذكروا </w:t>
      </w:r>
      <w:r w:rsidR="0000695E">
        <w:rPr>
          <w:rFonts w:hint="cs"/>
          <w:rtl/>
          <w:lang w:bidi="ar-LB"/>
        </w:rPr>
        <w:t xml:space="preserve">أن </w:t>
      </w:r>
      <w:r>
        <w:rPr>
          <w:rFonts w:hint="cs"/>
          <w:rtl/>
        </w:rPr>
        <w:t xml:space="preserve">هذا </w:t>
      </w:r>
      <w:r w:rsidR="0000695E">
        <w:rPr>
          <w:rFonts w:hint="cs"/>
          <w:rtl/>
          <w:lang w:bidi="ar-LB"/>
        </w:rPr>
        <w:t xml:space="preserve">هو </w:t>
      </w:r>
      <w:r>
        <w:rPr>
          <w:rFonts w:hint="cs"/>
          <w:rtl/>
        </w:rPr>
        <w:t xml:space="preserve">السبب الذي جعلهم </w:t>
      </w:r>
      <w:r w:rsidR="0000695E">
        <w:rPr>
          <w:rFonts w:hint="cs"/>
          <w:rtl/>
          <w:lang w:bidi="ar-LB"/>
        </w:rPr>
        <w:t>ي</w:t>
      </w:r>
      <w:r>
        <w:rPr>
          <w:rFonts w:hint="cs"/>
          <w:rtl/>
        </w:rPr>
        <w:t>عمل</w:t>
      </w:r>
      <w:r w:rsidR="0000695E">
        <w:rPr>
          <w:rFonts w:hint="cs"/>
          <w:rtl/>
          <w:lang w:bidi="ar-LB"/>
        </w:rPr>
        <w:t>ون</w:t>
      </w:r>
      <w:r>
        <w:rPr>
          <w:rFonts w:hint="cs"/>
          <w:rtl/>
        </w:rPr>
        <w:t xml:space="preserve"> على أساس غير متفرغ أقل من 10 في المائة. </w:t>
      </w:r>
      <w:r w:rsidR="00C509DB">
        <w:rPr>
          <w:rFonts w:hint="cs"/>
          <w:rtl/>
        </w:rPr>
        <w:t xml:space="preserve">وبالنسبة للرجال الذين يعملون على أساس غير متفرغ، كان السبب المهيمن مواصلة التعليم أو التدريب فضلا عن الرغبة في أن يكون لديهم وقت فراغ لكي يتمكنوا من القيام بأنشطة أخرى (53 في المائة من الرجال الذين </w:t>
      </w:r>
      <w:r w:rsidR="0000695E">
        <w:rPr>
          <w:rFonts w:hint="cs"/>
          <w:rtl/>
          <w:lang w:bidi="ar-LB"/>
        </w:rPr>
        <w:t xml:space="preserve">تم </w:t>
      </w:r>
      <w:r w:rsidR="00C509DB">
        <w:rPr>
          <w:rFonts w:hint="cs"/>
          <w:rtl/>
        </w:rPr>
        <w:t xml:space="preserve">مقابلتهم ذكروا </w:t>
      </w:r>
      <w:r w:rsidR="0000695E">
        <w:rPr>
          <w:rFonts w:hint="cs"/>
          <w:rtl/>
          <w:lang w:bidi="ar-LB"/>
        </w:rPr>
        <w:t xml:space="preserve">أن </w:t>
      </w:r>
      <w:r w:rsidR="00C509DB">
        <w:rPr>
          <w:rFonts w:hint="cs"/>
          <w:rtl/>
        </w:rPr>
        <w:t xml:space="preserve">هذا </w:t>
      </w:r>
      <w:r w:rsidR="0000695E">
        <w:rPr>
          <w:rFonts w:hint="cs"/>
          <w:rtl/>
          <w:lang w:bidi="ar-LB"/>
        </w:rPr>
        <w:t xml:space="preserve">هو </w:t>
      </w:r>
      <w:r w:rsidR="00C509DB">
        <w:rPr>
          <w:rFonts w:hint="cs"/>
          <w:rtl/>
        </w:rPr>
        <w:t xml:space="preserve">السبب </w:t>
      </w:r>
      <w:r w:rsidR="0000695E">
        <w:rPr>
          <w:rFonts w:hint="cs"/>
          <w:rtl/>
          <w:lang w:bidi="ar-LB"/>
        </w:rPr>
        <w:t>الذي جعلهم ي</w:t>
      </w:r>
      <w:r w:rsidR="00C509DB">
        <w:rPr>
          <w:rFonts w:hint="cs"/>
          <w:rtl/>
        </w:rPr>
        <w:t>عمل</w:t>
      </w:r>
      <w:r w:rsidR="0000695E">
        <w:rPr>
          <w:rFonts w:hint="cs"/>
          <w:rtl/>
          <w:lang w:bidi="ar-LB"/>
        </w:rPr>
        <w:t>ون</w:t>
      </w:r>
      <w:r w:rsidR="00C509DB">
        <w:rPr>
          <w:rFonts w:hint="cs"/>
          <w:rtl/>
        </w:rPr>
        <w:t xml:space="preserve"> على أساس غير متفرغ). وكشفت نتائج هذه الدراسة عن وجود عمالة على أساس غير متفرغ ذات نوعية عالية. ومن الأهمية بمكان</w:t>
      </w:r>
      <w:r w:rsidR="003D2D0B">
        <w:rPr>
          <w:rFonts w:hint="cs"/>
          <w:rtl/>
          <w:lang w:bidi="ar-LB"/>
        </w:rPr>
        <w:t xml:space="preserve">، أن يتم </w:t>
      </w:r>
      <w:r w:rsidR="003D2D0B">
        <w:rPr>
          <w:rFonts w:hint="cs"/>
          <w:rtl/>
        </w:rPr>
        <w:t>تخفيف ال</w:t>
      </w:r>
      <w:r w:rsidR="003D2D0B">
        <w:rPr>
          <w:rFonts w:hint="cs"/>
          <w:rtl/>
          <w:lang w:bidi="ar-LB"/>
        </w:rPr>
        <w:t>مساوئ</w:t>
      </w:r>
      <w:r w:rsidR="00C509DB">
        <w:rPr>
          <w:rFonts w:hint="cs"/>
          <w:rtl/>
        </w:rPr>
        <w:t xml:space="preserve"> الناشئة في كثير من الأحيان عن الارتباط بعمل غير متفرغ</w:t>
      </w:r>
      <w:r w:rsidR="003D2D0B">
        <w:rPr>
          <w:rFonts w:hint="cs"/>
          <w:rtl/>
          <w:lang w:bidi="ar-LB"/>
        </w:rPr>
        <w:t>،</w:t>
      </w:r>
      <w:r w:rsidR="00C509DB">
        <w:rPr>
          <w:rFonts w:hint="cs"/>
          <w:rtl/>
        </w:rPr>
        <w:t xml:space="preserve"> وتحسين نوعية ال</w:t>
      </w:r>
      <w:r w:rsidR="003D2D0B">
        <w:rPr>
          <w:rFonts w:hint="cs"/>
          <w:rtl/>
          <w:lang w:bidi="ar-LB"/>
        </w:rPr>
        <w:t>وظائف</w:t>
      </w:r>
      <w:r w:rsidR="00C509DB">
        <w:rPr>
          <w:rFonts w:hint="cs"/>
          <w:rtl/>
        </w:rPr>
        <w:t>، لا سيما تلك ال</w:t>
      </w:r>
      <w:r w:rsidR="003D2D0B">
        <w:rPr>
          <w:rFonts w:hint="cs"/>
          <w:rtl/>
          <w:lang w:bidi="ar-LB"/>
        </w:rPr>
        <w:t>وظائف</w:t>
      </w:r>
      <w:r w:rsidR="00C509DB">
        <w:rPr>
          <w:rFonts w:hint="cs"/>
          <w:rtl/>
        </w:rPr>
        <w:t xml:space="preserve"> التي تعرض على النساء اللاتي لديهن أطفال. وفي حزيران/يونيه 2004، اعتمد البرلمان القانون الحكومي عن </w:t>
      </w:r>
      <w:r w:rsidR="00C509DB">
        <w:rPr>
          <w:rFonts w:hint="eastAsia"/>
          <w:rtl/>
        </w:rPr>
        <w:t>”حق الوالدين في العمل على أساس غير متفرغ</w:t>
      </w:r>
      <w:r w:rsidR="00C509DB">
        <w:rPr>
          <w:rFonts w:hint="cs"/>
          <w:rtl/>
        </w:rPr>
        <w:t>“. ويؤمل أن هذا القانون الجديد الذي بدأ نفاذه في 1 تموز/ يوليه 2004 سيساهم بصفة أساسية في تحسين نوعية وهيكل ال</w:t>
      </w:r>
      <w:r w:rsidR="003D2D0B">
        <w:rPr>
          <w:rFonts w:hint="cs"/>
          <w:rtl/>
          <w:lang w:bidi="ar-LB"/>
        </w:rPr>
        <w:t>وظائف</w:t>
      </w:r>
      <w:r w:rsidR="00C509DB">
        <w:rPr>
          <w:rFonts w:hint="cs"/>
          <w:rtl/>
        </w:rPr>
        <w:t xml:space="preserve"> </w:t>
      </w:r>
      <w:r w:rsidR="003D2D0B">
        <w:rPr>
          <w:rFonts w:hint="cs"/>
          <w:rtl/>
          <w:lang w:bidi="ar-LB"/>
        </w:rPr>
        <w:t xml:space="preserve">التي يتم شغلها </w:t>
      </w:r>
      <w:r w:rsidR="00C509DB">
        <w:rPr>
          <w:rFonts w:hint="cs"/>
          <w:rtl/>
        </w:rPr>
        <w:t xml:space="preserve">على أساس غير متفرغ، وتسهيل عودة المرأة إلى سوق العمل، وتعزيز الفرص المتاحة للرجال والنساء لكي </w:t>
      </w:r>
      <w:r w:rsidR="003D2D0B">
        <w:rPr>
          <w:rFonts w:hint="cs"/>
          <w:rtl/>
          <w:lang w:bidi="ar-LB"/>
        </w:rPr>
        <w:t xml:space="preserve">يستطيعوا التوفيق </w:t>
      </w:r>
      <w:r w:rsidR="00C509DB">
        <w:rPr>
          <w:rFonts w:hint="cs"/>
          <w:rtl/>
        </w:rPr>
        <w:t xml:space="preserve">بين </w:t>
      </w:r>
      <w:r w:rsidR="003D2D0B">
        <w:rPr>
          <w:rFonts w:hint="cs"/>
          <w:rtl/>
          <w:lang w:bidi="ar-LB"/>
        </w:rPr>
        <w:t xml:space="preserve">التزامات </w:t>
      </w:r>
      <w:r w:rsidR="003D2D0B">
        <w:rPr>
          <w:rFonts w:hint="cs"/>
          <w:rtl/>
        </w:rPr>
        <w:t>عملهم والتزاماتهم العائلية، و</w:t>
      </w:r>
      <w:r w:rsidR="003D2D0B">
        <w:rPr>
          <w:rFonts w:hint="cs"/>
          <w:rtl/>
          <w:lang w:bidi="ar-LB"/>
        </w:rPr>
        <w:t>إيجاد</w:t>
      </w:r>
      <w:r w:rsidR="00C509DB">
        <w:rPr>
          <w:rFonts w:hint="cs"/>
          <w:rtl/>
        </w:rPr>
        <w:t xml:space="preserve"> فرص مهنية للأمهات. ويمكن الرجوع أيضا إلى الملاحظات الواردة في المادة 11، </w:t>
      </w:r>
      <w:r w:rsidR="003D2D0B">
        <w:rPr>
          <w:rFonts w:hint="cs"/>
          <w:rtl/>
          <w:lang w:bidi="ar-LB"/>
        </w:rPr>
        <w:t xml:space="preserve">الرقم </w:t>
      </w:r>
      <w:r w:rsidR="00C509DB">
        <w:rPr>
          <w:rFonts w:hint="cs"/>
          <w:rtl/>
        </w:rPr>
        <w:t>2، والمادة 12.</w:t>
      </w:r>
    </w:p>
    <w:p w:rsidR="00D23E5B" w:rsidRPr="00347BD0" w:rsidRDefault="00D23E5B" w:rsidP="00D23E5B">
      <w:pPr>
        <w:pStyle w:val="SingleTxt"/>
        <w:rPr>
          <w:rFonts w:hint="cs"/>
          <w:b/>
          <w:bCs/>
          <w:rtl/>
        </w:rPr>
      </w:pPr>
      <w:r w:rsidRPr="00347BD0">
        <w:rPr>
          <w:rFonts w:hint="cs"/>
          <w:b/>
          <w:bCs/>
          <w:rtl/>
        </w:rPr>
        <w:t>الخدمة المدنية النمساوية</w:t>
      </w:r>
    </w:p>
    <w:p w:rsidR="00D23E5B" w:rsidRDefault="00D23E5B" w:rsidP="00D23E5B">
      <w:pPr>
        <w:pStyle w:val="SingleTxt"/>
        <w:rPr>
          <w:rFonts w:hint="cs"/>
          <w:rtl/>
        </w:rPr>
      </w:pPr>
      <w:r>
        <w:rPr>
          <w:rFonts w:hint="cs"/>
          <w:rtl/>
        </w:rPr>
        <w:tab/>
        <w:t>حدد</w:t>
      </w:r>
      <w:r>
        <w:rPr>
          <w:rFonts w:hint="cs"/>
          <w:rtl/>
          <w:lang w:bidi="ar-LB"/>
        </w:rPr>
        <w:t>ت</w:t>
      </w:r>
      <w:r>
        <w:rPr>
          <w:rFonts w:hint="cs"/>
          <w:rtl/>
        </w:rPr>
        <w:t xml:space="preserve"> الخدمة المدنية النمساوية بشكل صريح وكمي الأهداف التي تسمح بتحقيق المساواة بين الرجل والمرأة. وهذه الأهداف مدرجة في الخطة الطويلة الأجل وتشكل جزءا من أهداف سياسات سوق العمل. وهذه الأهداف هي:</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جعل مشاركة المرأة في القو</w:t>
      </w:r>
      <w:r>
        <w:rPr>
          <w:rFonts w:hint="cs"/>
          <w:rtl/>
          <w:lang w:bidi="ar-LB"/>
        </w:rPr>
        <w:t>ى</w:t>
      </w:r>
      <w:r>
        <w:rPr>
          <w:rFonts w:hint="cs"/>
          <w:rtl/>
        </w:rPr>
        <w:t xml:space="preserve"> العاملة تقابل مشاركة الرجل</w:t>
      </w:r>
    </w:p>
    <w:p w:rsidR="00D23E5B" w:rsidRDefault="00D23E5B" w:rsidP="00D23E5B">
      <w:pPr>
        <w:pStyle w:val="SingleTxt"/>
        <w:rPr>
          <w:rFonts w:hint="cs"/>
          <w:rtl/>
        </w:rPr>
      </w:pPr>
      <w:r>
        <w:rPr>
          <w:rFonts w:hint="cs"/>
          <w:rtl/>
        </w:rPr>
        <w:tab/>
        <w:t>السياسات</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التشجيع على إنشاء مرافق لرعاية الأطفال ل</w:t>
      </w:r>
      <w:r>
        <w:rPr>
          <w:rFonts w:hint="cs"/>
          <w:rtl/>
          <w:lang w:bidi="ar-LB"/>
        </w:rPr>
        <w:t>مساندة</w:t>
      </w:r>
      <w:r>
        <w:rPr>
          <w:rFonts w:hint="cs"/>
          <w:rtl/>
        </w:rPr>
        <w:t xml:space="preserve"> المرأة التي لديها أطفال</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مساعدة المرأة التي ترغب </w:t>
      </w:r>
      <w:r>
        <w:rPr>
          <w:rFonts w:hint="cs"/>
          <w:rtl/>
          <w:lang w:bidi="ar-LB"/>
        </w:rPr>
        <w:t xml:space="preserve">في </w:t>
      </w:r>
      <w:r>
        <w:rPr>
          <w:rFonts w:hint="cs"/>
          <w:rtl/>
        </w:rPr>
        <w:t>العودة إلى سوق العمل بعد أن انقطعت عنه بسبب رعاية الأطفال</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مشاركة المرأة والفتاة في البرامج التعليمية والتدريبية وزيادة مستوى التدريب الفني/المهني</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rPr>
        <w:tab/>
        <w:t>•</w:t>
      </w:r>
      <w:r>
        <w:rPr>
          <w:rFonts w:hint="cs"/>
          <w:rtl/>
        </w:rPr>
        <w:tab/>
        <w:t>رفع مستوى عمل المرأة ومكافحة البطالة بين النساء</w:t>
      </w:r>
      <w:r>
        <w:rPr>
          <w:rFonts w:hint="cs"/>
          <w:rtl/>
          <w:lang w:bidi="ar-LB"/>
        </w:rPr>
        <w:t xml:space="preserve"> </w:t>
      </w:r>
      <w:r>
        <w:rPr>
          <w:rFonts w:hint="cs"/>
          <w:rtl/>
        </w:rPr>
        <w:t xml:space="preserve">وضمان </w:t>
      </w:r>
      <w:r>
        <w:rPr>
          <w:rFonts w:hint="cs"/>
          <w:rtl/>
          <w:lang w:bidi="ar-LB"/>
        </w:rPr>
        <w:t>تكافؤ</w:t>
      </w:r>
      <w:r>
        <w:rPr>
          <w:rFonts w:hint="cs"/>
          <w:rtl/>
        </w:rPr>
        <w:t xml:space="preserve"> </w:t>
      </w:r>
      <w:r>
        <w:rPr>
          <w:rFonts w:hint="cs"/>
          <w:rtl/>
          <w:lang w:bidi="ar-LB"/>
        </w:rPr>
        <w:t>ال</w:t>
      </w:r>
      <w:r>
        <w:rPr>
          <w:rFonts w:hint="cs"/>
          <w:rtl/>
        </w:rPr>
        <w:t>فرص بين الرجل والمرأة في سوق العمل</w:t>
      </w:r>
    </w:p>
    <w:p w:rsidR="00D23E5B" w:rsidRDefault="00D23E5B" w:rsidP="00D23E5B">
      <w:pPr>
        <w:pStyle w:val="SingleTxt"/>
        <w:rPr>
          <w:rFonts w:hint="cs"/>
          <w:rtl/>
        </w:rPr>
      </w:pPr>
      <w:r>
        <w:rPr>
          <w:rFonts w:hint="cs"/>
          <w:rtl/>
        </w:rPr>
        <w:tab/>
        <w:t>السياسات</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مساعدة المرأة في الجهود التي تبذلها للتوفيق بين </w:t>
      </w:r>
      <w:r>
        <w:rPr>
          <w:rFonts w:hint="cs"/>
          <w:rtl/>
          <w:lang w:bidi="ar-LB"/>
        </w:rPr>
        <w:t xml:space="preserve">التزامات </w:t>
      </w:r>
      <w:r>
        <w:rPr>
          <w:rFonts w:hint="cs"/>
          <w:rtl/>
        </w:rPr>
        <w:t>عملها والتزاماتها العائلية</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التشجيع على </w:t>
      </w:r>
      <w:r>
        <w:rPr>
          <w:rFonts w:hint="cs"/>
          <w:rtl/>
          <w:lang w:bidi="ar-LB"/>
        </w:rPr>
        <w:t>إعادة</w:t>
      </w:r>
      <w:r>
        <w:rPr>
          <w:rFonts w:hint="cs"/>
          <w:rtl/>
        </w:rPr>
        <w:t xml:space="preserve"> توجيه </w:t>
      </w:r>
      <w:r>
        <w:rPr>
          <w:rFonts w:hint="cs"/>
          <w:rtl/>
          <w:lang w:bidi="ar-LB"/>
        </w:rPr>
        <w:t xml:space="preserve">المرأة </w:t>
      </w:r>
      <w:r>
        <w:rPr>
          <w:rFonts w:hint="cs"/>
          <w:rtl/>
        </w:rPr>
        <w:t>مهني</w:t>
      </w:r>
      <w:r>
        <w:rPr>
          <w:rFonts w:hint="cs"/>
          <w:rtl/>
          <w:lang w:bidi="ar-LB"/>
        </w:rPr>
        <w:t>ا</w:t>
      </w:r>
      <w:r>
        <w:rPr>
          <w:rFonts w:hint="cs"/>
          <w:rtl/>
        </w:rPr>
        <w:t>/تدريبي</w:t>
      </w:r>
      <w:r>
        <w:rPr>
          <w:rFonts w:hint="cs"/>
          <w:rtl/>
          <w:lang w:bidi="ar-LB"/>
        </w:rPr>
        <w:t>ا</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تعزيز اكتساب المرأة مزيدا من المهارات وإيجاد وظائف </w:t>
      </w:r>
      <w:r>
        <w:rPr>
          <w:rFonts w:hint="cs"/>
          <w:rtl/>
          <w:lang w:bidi="ar-LB"/>
        </w:rPr>
        <w:t xml:space="preserve">لها </w:t>
      </w:r>
      <w:r>
        <w:rPr>
          <w:rFonts w:hint="cs"/>
          <w:rtl/>
        </w:rPr>
        <w:t>في ميادين عمل جديدة</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البحث عن وظائف </w:t>
      </w:r>
      <w:r>
        <w:rPr>
          <w:rFonts w:hint="cs"/>
          <w:rtl/>
          <w:lang w:bidi="ar-LB"/>
        </w:rPr>
        <w:t xml:space="preserve">تكون </w:t>
      </w:r>
      <w:r>
        <w:rPr>
          <w:rFonts w:hint="cs"/>
          <w:rtl/>
        </w:rPr>
        <w:t>ساعات العمل فيها مرنة وتسمح للمرأة ب</w:t>
      </w:r>
      <w:r>
        <w:rPr>
          <w:rFonts w:hint="cs"/>
          <w:rtl/>
          <w:lang w:bidi="ar-LB"/>
        </w:rPr>
        <w:t xml:space="preserve">تأمين </w:t>
      </w:r>
      <w:r>
        <w:rPr>
          <w:rFonts w:hint="cs"/>
          <w:rtl/>
        </w:rPr>
        <w:t xml:space="preserve">سبل </w:t>
      </w:r>
      <w:r>
        <w:rPr>
          <w:rFonts w:hint="cs"/>
          <w:rtl/>
          <w:lang w:bidi="ar-LB"/>
        </w:rPr>
        <w:t>ا</w:t>
      </w:r>
      <w:r>
        <w:rPr>
          <w:rFonts w:hint="cs"/>
          <w:rtl/>
        </w:rPr>
        <w:t>لرزق</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ضمان وجود فرص متكافئة للمرأة والرجل لشغل جميع المهن والوظائف ووجود توزيع عادل لجميع المناصب بين الرجل والمرأة بهدف تقليل الفرق في الأجور بين الرجال والنساء</w:t>
      </w:r>
    </w:p>
    <w:p w:rsidR="00D23E5B" w:rsidRDefault="00D23E5B" w:rsidP="00D23E5B">
      <w:pPr>
        <w:pStyle w:val="SingleTxt"/>
        <w:rPr>
          <w:rFonts w:hint="cs"/>
          <w:rtl/>
        </w:rPr>
      </w:pPr>
      <w:r>
        <w:rPr>
          <w:rFonts w:hint="cs"/>
          <w:rtl/>
        </w:rPr>
        <w:tab/>
        <w:t>السياسات</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المهارات الفنية/المهنية ومؤهلات المرأة</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مساعدة المرأة والفتاة في اختيارها للمهنة/الوظيفة/التدريب وزيادة أنواع الوظائف في مختلف المجالات التي تختارها</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حصول المرأة على وظائف تضمن سبل الرزق</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rPr>
        <w:tab/>
        <w:t>-</w:t>
      </w:r>
      <w:r>
        <w:rPr>
          <w:rFonts w:hint="cs"/>
          <w:rtl/>
        </w:rPr>
        <w:tab/>
        <w:t xml:space="preserve">تشجيع مشاركة المرأة في برامج تدريبية داخل الشركة التي تعمل فيها، بالإضافة إلى تعزيز </w:t>
      </w:r>
      <w:r>
        <w:rPr>
          <w:rFonts w:hint="cs"/>
          <w:rtl/>
          <w:lang w:bidi="ar-LB"/>
        </w:rPr>
        <w:t xml:space="preserve">الخطط المهنية وخطط تحسين </w:t>
      </w:r>
      <w:r>
        <w:rPr>
          <w:rFonts w:hint="cs"/>
          <w:rtl/>
        </w:rPr>
        <w:t>مهاراتها الفنية</w:t>
      </w:r>
    </w:p>
    <w:p w:rsidR="00D23E5B" w:rsidRDefault="00D23E5B" w:rsidP="00D23E5B">
      <w:pPr>
        <w:pStyle w:val="SingleTxt"/>
        <w:rPr>
          <w:rFonts w:hint="cs"/>
          <w:rtl/>
        </w:rPr>
      </w:pPr>
      <w:r>
        <w:rPr>
          <w:rFonts w:hint="cs"/>
          <w:rtl/>
        </w:rPr>
        <w:tab/>
        <w:t xml:space="preserve">وفقا للهدف العام المحدد، يجب أن يكون 50 في المائة من المشاركين في برامج دعم سوق العمل من النساء، كما يجب أن ينفق </w:t>
      </w:r>
      <w:r>
        <w:rPr>
          <w:rFonts w:hint="cs"/>
          <w:rtl/>
          <w:lang w:bidi="ar-LB"/>
        </w:rPr>
        <w:t xml:space="preserve">البرنامج </w:t>
      </w:r>
      <w:r>
        <w:rPr>
          <w:rFonts w:hint="cs"/>
          <w:rtl/>
        </w:rPr>
        <w:t xml:space="preserve">50 في المائة من مجموع </w:t>
      </w:r>
      <w:r>
        <w:rPr>
          <w:rFonts w:hint="cs"/>
          <w:rtl/>
          <w:lang w:bidi="ar-LB"/>
        </w:rPr>
        <w:t>نفقاته على النساء</w:t>
      </w:r>
      <w:r>
        <w:rPr>
          <w:rFonts w:hint="cs"/>
          <w:rtl/>
        </w:rPr>
        <w:t>.</w:t>
      </w:r>
    </w:p>
    <w:p w:rsidR="00D23E5B" w:rsidRDefault="00D23E5B" w:rsidP="00D23E5B">
      <w:pPr>
        <w:pStyle w:val="SingleTxt"/>
        <w:rPr>
          <w:rFonts w:hint="cs"/>
          <w:rtl/>
        </w:rPr>
      </w:pPr>
      <w:r>
        <w:rPr>
          <w:rFonts w:hint="cs"/>
          <w:rtl/>
        </w:rPr>
        <w:tab/>
        <w:t xml:space="preserve">وبفضل التنفيذ المتسق لتدابير تعميم مراعاة المنظور الجنساني في مجال السياسات الإدارية والتخطيطية، أصبحت الخدمة المدنية النمساوية مثلا يحتذى به في النمسا. </w:t>
      </w:r>
    </w:p>
    <w:p w:rsidR="00D23E5B" w:rsidRDefault="00D23E5B" w:rsidP="00D23E5B">
      <w:pPr>
        <w:pStyle w:val="SingleTxt"/>
        <w:rPr>
          <w:rFonts w:hint="cs"/>
          <w:rtl/>
        </w:rPr>
      </w:pPr>
      <w:r>
        <w:rPr>
          <w:rFonts w:hint="cs"/>
          <w:rtl/>
        </w:rPr>
        <w:tab/>
        <w:t>وبالإضافة إلى ذلك، وسّعت الخدمة المدنية النمساوية من نطاق الاستشارات التي تقدمها عن طريق توفير توجيه مهني للمرأة التي ترغب في العودة إلى سوق العمل، كما</w:t>
      </w:r>
      <w:r>
        <w:rPr>
          <w:rFonts w:hint="eastAsia"/>
          <w:rtl/>
        </w:rPr>
        <w:t> </w:t>
      </w:r>
      <w:r>
        <w:rPr>
          <w:rFonts w:hint="cs"/>
          <w:rtl/>
        </w:rPr>
        <w:t>حسّنت الخدمة المدنية النمساوية برامج المعلومات والتوجيهات المهنية المتاحة للفتيات.</w:t>
      </w:r>
    </w:p>
    <w:p w:rsidR="00D23E5B" w:rsidRPr="00650DD3" w:rsidRDefault="00D23E5B" w:rsidP="00D23E5B">
      <w:pPr>
        <w:pStyle w:val="SingleTxt"/>
        <w:rPr>
          <w:rFonts w:hint="cs"/>
          <w:b/>
          <w:bCs/>
          <w:rtl/>
        </w:rPr>
      </w:pPr>
      <w:r w:rsidRPr="00650DD3">
        <w:rPr>
          <w:rFonts w:hint="cs"/>
          <w:b/>
          <w:bCs/>
          <w:rtl/>
        </w:rPr>
        <w:t>مرافق رعاية الأطفال</w:t>
      </w:r>
    </w:p>
    <w:p w:rsidR="00D23E5B" w:rsidRDefault="00D23E5B" w:rsidP="00D23E5B">
      <w:pPr>
        <w:pStyle w:val="SingleTxt"/>
        <w:rPr>
          <w:rFonts w:hint="cs"/>
          <w:rtl/>
        </w:rPr>
      </w:pPr>
      <w:r>
        <w:rPr>
          <w:rFonts w:hint="cs"/>
          <w:rtl/>
        </w:rPr>
        <w:tab/>
        <w:t xml:space="preserve">خلال الفترة التي غطاها تقرير عام 2002-2003، ذهب 073 12 طفلا في النمسا إلى دور الحضانة، و 584 209 طفلا إلى رياض الأطفال، و 580 38 طفلا إلى مراكز رعاية الأطفال، و 328 7 طفلا </w:t>
      </w:r>
      <w:r>
        <w:rPr>
          <w:rFonts w:hint="cs"/>
          <w:rtl/>
          <w:lang w:bidi="ar-LB"/>
        </w:rPr>
        <w:t>إلى</w:t>
      </w:r>
      <w:r>
        <w:rPr>
          <w:rFonts w:hint="cs"/>
          <w:rtl/>
        </w:rPr>
        <w:t xml:space="preserve"> مرافق رعاية الأطفال التي تستقبل أطفالا من مختلف الفئات العمرية.</w:t>
      </w:r>
    </w:p>
    <w:p w:rsidR="00D23E5B" w:rsidRDefault="00D23E5B" w:rsidP="00D23E5B">
      <w:pPr>
        <w:pStyle w:val="SingleTxt"/>
        <w:rPr>
          <w:rFonts w:hint="cs"/>
          <w:rtl/>
        </w:rPr>
      </w:pPr>
      <w:r>
        <w:rPr>
          <w:rFonts w:hint="cs"/>
          <w:rtl/>
        </w:rPr>
        <w:tab/>
        <w:t>وهكذا، شهد عام 2002 رقما قياسيا جديدا في نسبة الأطفال الذين يذهبون إلى مرافق رعاية ا</w:t>
      </w:r>
      <w:r>
        <w:rPr>
          <w:rFonts w:hint="cs"/>
          <w:rtl/>
          <w:lang w:bidi="ar-LB"/>
        </w:rPr>
        <w:t>لأطفال</w:t>
      </w:r>
      <w:r>
        <w:rPr>
          <w:rFonts w:hint="cs"/>
          <w:rtl/>
        </w:rPr>
        <w:t>، أي في عدد الأطفال المسجلين في مراكز رعاية ا</w:t>
      </w:r>
      <w:r>
        <w:rPr>
          <w:rFonts w:hint="cs"/>
          <w:rtl/>
          <w:lang w:bidi="ar-LB"/>
        </w:rPr>
        <w:t>لأطفال</w:t>
      </w:r>
      <w:r>
        <w:rPr>
          <w:rFonts w:hint="cs"/>
          <w:rtl/>
        </w:rPr>
        <w:t xml:space="preserve"> كنسبة مئوية من مجموع المقيمين الذين ينتمون إلى نفس الفئة العمرية. وبناء عليه، ذهب 81.6 في المائة من الأطفال الذين يتراوح عمرهم بين 3 و 5 سنوات </w:t>
      </w:r>
      <w:r>
        <w:rPr>
          <w:rFonts w:hint="cs"/>
          <w:rtl/>
          <w:lang w:bidi="ar-LB"/>
        </w:rPr>
        <w:t xml:space="preserve">إلى </w:t>
      </w:r>
      <w:r>
        <w:rPr>
          <w:rFonts w:hint="cs"/>
          <w:rtl/>
        </w:rPr>
        <w:t>مراكز رعاية الأطفال في عام 2002، بينما كانت هذه النسبة منذ خمس سنوات أقل من 8 في المائة. و</w:t>
      </w:r>
      <w:r>
        <w:rPr>
          <w:rFonts w:hint="cs"/>
          <w:rtl/>
          <w:lang w:bidi="ar-LB"/>
        </w:rPr>
        <w:t>فيما يتعلق با</w:t>
      </w:r>
      <w:r>
        <w:rPr>
          <w:rFonts w:hint="cs"/>
          <w:rtl/>
        </w:rPr>
        <w:t>لأطفال الذين يبلغ عمرهم ثلاث سنوات، ازداد</w:t>
      </w:r>
      <w:r>
        <w:rPr>
          <w:rFonts w:hint="cs"/>
          <w:rtl/>
          <w:lang w:bidi="ar-LB"/>
        </w:rPr>
        <w:t>ت</w:t>
      </w:r>
      <w:r>
        <w:rPr>
          <w:rFonts w:hint="cs"/>
          <w:rtl/>
        </w:rPr>
        <w:t xml:space="preserve"> نسبتهم زيادة كبيرة. وبينما كانت نسبة الأطفال الذين يذهبون إلى مراكز رعاية ا</w:t>
      </w:r>
      <w:r>
        <w:rPr>
          <w:rFonts w:hint="cs"/>
          <w:rtl/>
          <w:lang w:bidi="ar-LB"/>
        </w:rPr>
        <w:t>لأطفال</w:t>
      </w:r>
      <w:r>
        <w:rPr>
          <w:rFonts w:hint="cs"/>
          <w:rtl/>
        </w:rPr>
        <w:t xml:space="preserve"> 48.8 في المائة أي نصف عدد الأطفال تقريبا، ارتفعت هذه النسبة في عام 2002 لتصل إلى 61.6 في المائة.</w:t>
      </w:r>
    </w:p>
    <w:p w:rsidR="00D23E5B" w:rsidRDefault="00D23E5B" w:rsidP="00D23E5B">
      <w:pPr>
        <w:pStyle w:val="SingleTxt"/>
        <w:rPr>
          <w:rFonts w:hint="cs"/>
          <w:rtl/>
        </w:rPr>
      </w:pPr>
      <w:r>
        <w:rPr>
          <w:rFonts w:hint="cs"/>
          <w:rtl/>
        </w:rPr>
        <w:tab/>
        <w:t xml:space="preserve">وبالنسبة للأطفال الذين يقل عمرهم عن سنتين، ازداد الالتحاق بالمدارس زيادة هائلة </w:t>
      </w:r>
      <w:r>
        <w:rPr>
          <w:rFonts w:hint="cs"/>
          <w:rtl/>
          <w:lang w:bidi="ar-LB"/>
        </w:rPr>
        <w:t>بين</w:t>
      </w:r>
      <w:r>
        <w:rPr>
          <w:rFonts w:hint="cs"/>
          <w:rtl/>
        </w:rPr>
        <w:t xml:space="preserve"> الأطفال الذين بلغوا سن الدراسة. ومنذ خمس سنوات، لم يذهب إلى رياض الأطفال إلا رضيع واحد من 18 رضيعا، مقارنة برضيع واحد مقابل 11 رضيعا في عام 2002. وبالنسبة للفئة العمرية للأطفال الذين يتراوح عمرهم بين 6 </w:t>
      </w:r>
      <w:r>
        <w:rPr>
          <w:rFonts w:hint="cs"/>
          <w:rtl/>
          <w:lang w:bidi="ar-LB"/>
        </w:rPr>
        <w:t>و</w:t>
      </w:r>
      <w:r>
        <w:rPr>
          <w:rFonts w:hint="cs"/>
          <w:rtl/>
        </w:rPr>
        <w:t>10 سنوات لم</w:t>
      </w:r>
      <w:r>
        <w:rPr>
          <w:rFonts w:hint="eastAsia"/>
          <w:rtl/>
        </w:rPr>
        <w:t> </w:t>
      </w:r>
      <w:r>
        <w:rPr>
          <w:rFonts w:hint="cs"/>
          <w:rtl/>
        </w:rPr>
        <w:t xml:space="preserve">يذهب إلى مراكز رعاية الأطفال إلا طفل واحد من 15 طفلا في عام 1997، مقارنة بطفل واحد مقابل 12 طفلا في عام 2002. كما تم وضع </w:t>
      </w:r>
      <w:r>
        <w:rPr>
          <w:rFonts w:hint="cs"/>
          <w:rtl/>
          <w:lang w:bidi="ar-LB"/>
        </w:rPr>
        <w:t>حد</w:t>
      </w:r>
      <w:r>
        <w:rPr>
          <w:rFonts w:hint="cs"/>
          <w:rtl/>
        </w:rPr>
        <w:t xml:space="preserve"> للنقص في مرافق رعاية الأطفال في بعض المناطق النمساوية خلال السنوات القليلة الماضية. ففي عام 2002، </w:t>
      </w:r>
      <w:r>
        <w:rPr>
          <w:rFonts w:hint="cs"/>
          <w:rtl/>
          <w:lang w:bidi="ar-LB"/>
        </w:rPr>
        <w:t>بلغ</w:t>
      </w:r>
      <w:r>
        <w:rPr>
          <w:rFonts w:hint="cs"/>
          <w:rtl/>
        </w:rPr>
        <w:t xml:space="preserve"> النقص في مرافق رعاية الأطفال</w:t>
      </w:r>
      <w:r>
        <w:rPr>
          <w:rFonts w:hint="cs"/>
          <w:rtl/>
          <w:lang w:bidi="ar-LB"/>
        </w:rPr>
        <w:t>، حسب</w:t>
      </w:r>
      <w:r>
        <w:rPr>
          <w:rFonts w:hint="cs"/>
          <w:rtl/>
        </w:rPr>
        <w:t xml:space="preserve"> رأي الوالدين</w:t>
      </w:r>
      <w:r>
        <w:rPr>
          <w:rFonts w:hint="cs"/>
          <w:rtl/>
          <w:lang w:bidi="ar-LB"/>
        </w:rPr>
        <w:t>،</w:t>
      </w:r>
      <w:r>
        <w:rPr>
          <w:rFonts w:hint="cs"/>
          <w:rtl/>
        </w:rPr>
        <w:t xml:space="preserve"> 800 47 مكان بالنسبة للأطفال الذين يقل عمرهم عن 15 سنة. وكان الطلب على أماكن إضافية أكثر إلحاحا بالنسبة للأطفال الذين بلغوا سن الدراسة، إذ بلغ النقص في هذا الصدد 100 27 مكان. وبالنسبة للأطفال الذين يقل عمرهم عن ثلاث سنوات، كانت هناك حاجة إلى 700 14 مكان إضافي، وبالنسبة لفئة الأطفال الذين يتراوح عمرهم</w:t>
      </w:r>
      <w:r>
        <w:rPr>
          <w:rFonts w:hint="cs"/>
          <w:rtl/>
          <w:lang w:bidi="ar-LB"/>
        </w:rPr>
        <w:t xml:space="preserve"> بين </w:t>
      </w:r>
      <w:r>
        <w:rPr>
          <w:rFonts w:hint="cs"/>
          <w:rtl/>
        </w:rPr>
        <w:t xml:space="preserve">3 و 6 سنوات، كان هناك طلب على 000 6 مكان إضافي. وبالنسبة </w:t>
      </w:r>
      <w:r>
        <w:rPr>
          <w:rFonts w:hint="cs"/>
          <w:rtl/>
          <w:lang w:bidi="ar-LB"/>
        </w:rPr>
        <w:t>لـ</w:t>
      </w:r>
      <w:r>
        <w:rPr>
          <w:rFonts w:hint="cs"/>
          <w:rtl/>
        </w:rPr>
        <w:t>000 42 طفل التحقوا بمرافق رعاية الأطفال، يود الأهل أن تتاح لهم خيارات إضافية تتسم بمرونة أكبر.</w:t>
      </w:r>
    </w:p>
    <w:p w:rsidR="00D23E5B" w:rsidRDefault="00D23E5B" w:rsidP="00D23E5B">
      <w:pPr>
        <w:pStyle w:val="SingleTxt"/>
        <w:rPr>
          <w:rFonts w:hint="cs"/>
          <w:rtl/>
        </w:rPr>
      </w:pPr>
      <w:r>
        <w:rPr>
          <w:rFonts w:hint="cs"/>
          <w:rtl/>
        </w:rPr>
        <w:tab/>
        <w:t xml:space="preserve">اختصاصات الأسرة: في أيلول/سبتمبر 2000، باشرت الوزارة الاتحادية للتأمينات الاجتماعية والأجيال وحماية المستهلكين بمشروع عنوانه </w:t>
      </w:r>
      <w:r>
        <w:rPr>
          <w:rFonts w:hint="eastAsia"/>
          <w:rtl/>
        </w:rPr>
        <w:t>”اختصاصات الأسرة: ال</w:t>
      </w:r>
      <w:r>
        <w:rPr>
          <w:rFonts w:hint="cs"/>
          <w:rtl/>
          <w:lang w:bidi="ar-LB"/>
        </w:rPr>
        <w:t>مفتاح</w:t>
      </w:r>
      <w:r>
        <w:rPr>
          <w:rFonts w:hint="eastAsia"/>
          <w:rtl/>
        </w:rPr>
        <w:t xml:space="preserve"> الرئيسي </w:t>
      </w:r>
      <w:r>
        <w:rPr>
          <w:rFonts w:hint="cs"/>
          <w:rtl/>
          <w:lang w:bidi="ar-LB"/>
        </w:rPr>
        <w:t>ل</w:t>
      </w:r>
      <w:r>
        <w:rPr>
          <w:rFonts w:hint="eastAsia"/>
          <w:rtl/>
        </w:rPr>
        <w:t>تحقيق نجاح أكبر في مكان العمل</w:t>
      </w:r>
      <w:r>
        <w:rPr>
          <w:rFonts w:hint="cs"/>
          <w:rtl/>
        </w:rPr>
        <w:t>“، ومنذ ذلك الوقت شارك في المشروع 15</w:t>
      </w:r>
      <w:r>
        <w:rPr>
          <w:rFonts w:hint="eastAsia"/>
          <w:rtl/>
        </w:rPr>
        <w:t> </w:t>
      </w:r>
      <w:r>
        <w:rPr>
          <w:rFonts w:hint="cs"/>
          <w:rtl/>
        </w:rPr>
        <w:t>مكتبا من مكاتب إسداء المشورة العائلية. ويتيح هذا البرنامج للأمهات والآباء فرصة لتحيين مهاراتهم قبل العودة إلى سوق العمل. و</w:t>
      </w:r>
      <w:r>
        <w:rPr>
          <w:rFonts w:hint="cs"/>
          <w:rtl/>
          <w:lang w:bidi="ar-LB"/>
        </w:rPr>
        <w:t xml:space="preserve">يتمثل </w:t>
      </w:r>
      <w:r>
        <w:rPr>
          <w:rFonts w:hint="cs"/>
          <w:rtl/>
        </w:rPr>
        <w:t xml:space="preserve">العنصر الرئيسي لهذا البرنامج في تحليل إمكانيات كل مرشح، مما يكشف عن مهاراته المكتسبة عن طريق العمل داخل الأسرة. والهدف من تحليل إمكانيات كل مرشح </w:t>
      </w:r>
      <w:r>
        <w:rPr>
          <w:rFonts w:hint="cs"/>
          <w:rtl/>
          <w:lang w:bidi="ar-LB"/>
        </w:rPr>
        <w:t>هو</w:t>
      </w:r>
      <w:r>
        <w:rPr>
          <w:rFonts w:hint="cs"/>
          <w:rtl/>
        </w:rPr>
        <w:t xml:space="preserve"> تعزيز الثقة في نفس كل شخص يعتزم العودة إلى سوق العمل ومن ثم إعطا</w:t>
      </w:r>
      <w:r>
        <w:rPr>
          <w:rFonts w:hint="cs"/>
          <w:rtl/>
          <w:lang w:bidi="ar-LB"/>
        </w:rPr>
        <w:t>ؤ</w:t>
      </w:r>
      <w:r>
        <w:rPr>
          <w:rFonts w:hint="cs"/>
          <w:rtl/>
        </w:rPr>
        <w:t>ه القدرة على المنافسة، وهذا أمر من شأنه أن يساعده عند تقديم طلب لشغل وظيفة أو بدء وظيفة جديدة.</w:t>
      </w:r>
    </w:p>
    <w:p w:rsidR="00D23E5B" w:rsidRDefault="00D23E5B" w:rsidP="00D23E5B">
      <w:pPr>
        <w:pStyle w:val="SingleTxt"/>
        <w:rPr>
          <w:rFonts w:hint="cs"/>
          <w:rtl/>
        </w:rPr>
      </w:pPr>
      <w:r>
        <w:rPr>
          <w:rFonts w:hint="cs"/>
          <w:rtl/>
        </w:rPr>
        <w:tab/>
        <w:t xml:space="preserve">والخطط الرامية إلى النهوض بالمرأة التي اعتمدتها الوزارات والإدارات والمؤسسات فضلا عن الأقاليم تهدف </w:t>
      </w:r>
      <w:r>
        <w:rPr>
          <w:rFonts w:hint="cs"/>
          <w:rtl/>
        </w:rPr>
        <w:tab/>
        <w:t xml:space="preserve">إلى تعزيز الفرص المهنية للنساء العاملات في الهيئات </w:t>
      </w:r>
      <w:r>
        <w:rPr>
          <w:rFonts w:hint="cs"/>
          <w:rtl/>
          <w:lang w:bidi="ar-LB"/>
        </w:rPr>
        <w:t xml:space="preserve">ذات الصلة </w:t>
      </w:r>
      <w:r>
        <w:rPr>
          <w:rFonts w:hint="cs"/>
          <w:rtl/>
        </w:rPr>
        <w:t xml:space="preserve"> (انظر المادة الرابعة).</w:t>
      </w:r>
    </w:p>
    <w:p w:rsidR="00D23E5B" w:rsidRDefault="00D23E5B" w:rsidP="00D23E5B">
      <w:pPr>
        <w:pStyle w:val="SingleTxt"/>
        <w:rPr>
          <w:rFonts w:hint="cs"/>
          <w:rtl/>
        </w:rPr>
      </w:pPr>
      <w:r>
        <w:rPr>
          <w:rFonts w:hint="cs"/>
          <w:rtl/>
        </w:rPr>
        <w:tab/>
      </w:r>
      <w:r>
        <w:rPr>
          <w:rFonts w:hint="cs"/>
          <w:rtl/>
          <w:lang w:bidi="ar-LB"/>
        </w:rPr>
        <w:t>قام</w:t>
      </w:r>
      <w:r>
        <w:rPr>
          <w:rFonts w:hint="cs"/>
          <w:rtl/>
        </w:rPr>
        <w:t>ت الأقاليم أيضا عدة مبادرات ترمي إلى تحسين الفرص المهنية للنساء. وفيما</w:t>
      </w:r>
      <w:r>
        <w:rPr>
          <w:rFonts w:hint="eastAsia"/>
          <w:rtl/>
        </w:rPr>
        <w:t> </w:t>
      </w:r>
      <w:r>
        <w:rPr>
          <w:rFonts w:hint="cs"/>
          <w:rtl/>
        </w:rPr>
        <w:t>يلي، عرض لعدد من الأمثلة:</w:t>
      </w:r>
    </w:p>
    <w:p w:rsidR="00D23E5B" w:rsidRDefault="00D23E5B" w:rsidP="000C43FD">
      <w:pPr>
        <w:pStyle w:val="SingleTxt"/>
        <w:rPr>
          <w:rFonts w:hint="cs"/>
          <w:rtl/>
        </w:rPr>
      </w:pPr>
      <w:r>
        <w:rPr>
          <w:rFonts w:hint="cs"/>
          <w:rtl/>
        </w:rPr>
        <w:tab/>
        <w:t xml:space="preserve">تقوم </w:t>
      </w:r>
      <w:r w:rsidRPr="00E740DF">
        <w:rPr>
          <w:rFonts w:hint="cs"/>
          <w:b/>
          <w:bCs/>
          <w:rtl/>
        </w:rPr>
        <w:t>مدينة فيينا</w:t>
      </w:r>
      <w:r>
        <w:rPr>
          <w:rFonts w:hint="cs"/>
          <w:rtl/>
        </w:rPr>
        <w:t>، في إطار الجهود التي تبذلها لتقديم دعم إضافي إلى الفتيات والنساء عند اختيارهن وظائف</w:t>
      </w:r>
      <w:r>
        <w:rPr>
          <w:rFonts w:hint="cs"/>
          <w:rtl/>
          <w:lang w:bidi="ar-LB"/>
        </w:rPr>
        <w:t>،</w:t>
      </w:r>
      <w:r>
        <w:rPr>
          <w:rFonts w:hint="cs"/>
          <w:rtl/>
        </w:rPr>
        <w:t xml:space="preserve"> بدفع إعانات مالية إلى الرابطات النسائية التي تقوم بأنشطة تهدف إلى إسداء المشورة المهنية إلى الفتيات والنساء أو </w:t>
      </w:r>
      <w:r>
        <w:rPr>
          <w:rFonts w:hint="cs"/>
          <w:rtl/>
          <w:lang w:bidi="ar-LB"/>
        </w:rPr>
        <w:t xml:space="preserve">التي </w:t>
      </w:r>
      <w:r>
        <w:rPr>
          <w:rFonts w:hint="cs"/>
          <w:rtl/>
        </w:rPr>
        <w:t xml:space="preserve">تساعد النساء اللاتي يرغبن في العودة إلى سوق العمل (مثل برنامج </w:t>
      </w:r>
      <w:r>
        <w:rPr>
          <w:rFonts w:hint="eastAsia"/>
          <w:rtl/>
        </w:rPr>
        <w:t>”الانطلاق</w:t>
      </w:r>
      <w:r>
        <w:rPr>
          <w:rFonts w:hint="cs"/>
          <w:rtl/>
        </w:rPr>
        <w:t xml:space="preserve">“ في فيينا). وفي عام 1999، </w:t>
      </w:r>
      <w:r>
        <w:rPr>
          <w:rFonts w:hint="cs"/>
          <w:rtl/>
          <w:lang w:bidi="ar-LB"/>
        </w:rPr>
        <w:t xml:space="preserve">تم إعداد </w:t>
      </w:r>
      <w:r>
        <w:rPr>
          <w:rFonts w:hint="eastAsia"/>
          <w:rtl/>
        </w:rPr>
        <w:t>مقياس نسائي في فيينا</w:t>
      </w:r>
      <w:r>
        <w:rPr>
          <w:rFonts w:hint="cs"/>
          <w:rtl/>
          <w:lang w:bidi="ar-LB"/>
        </w:rPr>
        <w:t xml:space="preserve"> حول </w:t>
      </w:r>
      <w:r>
        <w:rPr>
          <w:rFonts w:hint="cs"/>
          <w:rtl/>
        </w:rPr>
        <w:t xml:space="preserve">موضوع </w:t>
      </w:r>
      <w:r>
        <w:rPr>
          <w:rFonts w:hint="eastAsia"/>
          <w:rtl/>
        </w:rPr>
        <w:t>”العالم يشتغل</w:t>
      </w:r>
      <w:r>
        <w:rPr>
          <w:rFonts w:hint="cs"/>
          <w:rtl/>
        </w:rPr>
        <w:t xml:space="preserve">“ وفي عام 2000، ركّز مقياس نسائي آخر على موضوع </w:t>
      </w:r>
      <w:r>
        <w:rPr>
          <w:rFonts w:hint="eastAsia"/>
          <w:rtl/>
        </w:rPr>
        <w:t>”الصحة في مك</w:t>
      </w:r>
      <w:r w:rsidR="000C43FD">
        <w:rPr>
          <w:rFonts w:hint="cs"/>
          <w:rtl/>
          <w:lang w:bidi="ar-LB"/>
        </w:rPr>
        <w:t>ا</w:t>
      </w:r>
      <w:r>
        <w:rPr>
          <w:rFonts w:hint="eastAsia"/>
          <w:rtl/>
        </w:rPr>
        <w:t>ن العمل</w:t>
      </w:r>
      <w:r>
        <w:rPr>
          <w:rFonts w:hint="cs"/>
          <w:rtl/>
        </w:rPr>
        <w:t>“. و</w:t>
      </w:r>
      <w:r>
        <w:rPr>
          <w:rFonts w:hint="cs"/>
          <w:rtl/>
          <w:lang w:bidi="ar-LB"/>
        </w:rPr>
        <w:t>تعرض</w:t>
      </w:r>
      <w:r>
        <w:rPr>
          <w:rFonts w:hint="cs"/>
          <w:rtl/>
        </w:rPr>
        <w:t xml:space="preserve"> الموقع </w:t>
      </w:r>
      <w:hyperlink r:id="rId13" w:history="1">
        <w:r w:rsidRPr="00CC5871">
          <w:rPr>
            <w:rStyle w:val="Hyperlink"/>
          </w:rPr>
          <w:t>www.teilzeit.cc</w:t>
        </w:r>
      </w:hyperlink>
      <w:r>
        <w:rPr>
          <w:rFonts w:hint="cs"/>
          <w:rtl/>
        </w:rPr>
        <w:t xml:space="preserve"> </w:t>
      </w:r>
      <w:r>
        <w:rPr>
          <w:rFonts w:hint="cs"/>
          <w:rtl/>
          <w:lang w:bidi="ar-LB"/>
        </w:rPr>
        <w:t xml:space="preserve">إلى </w:t>
      </w:r>
      <w:r>
        <w:rPr>
          <w:rFonts w:hint="cs"/>
          <w:rtl/>
        </w:rPr>
        <w:t>المشاريع الصغيرة والمتوسطة الحجم بالإضافة إلى شركات الاستشارة في مجال الأعمال وسعى إلى تشجيع الشركات على إيجاد فرص عمل إضافية لغير المتفرغين في المجالات الفنية والمهنية و</w:t>
      </w:r>
      <w:r>
        <w:rPr>
          <w:rFonts w:hint="cs"/>
          <w:rtl/>
          <w:lang w:bidi="ar-LB"/>
        </w:rPr>
        <w:t xml:space="preserve">في </w:t>
      </w:r>
      <w:r>
        <w:rPr>
          <w:rFonts w:hint="cs"/>
          <w:rtl/>
        </w:rPr>
        <w:t xml:space="preserve">الوظائف الإدارية. ويقدم الموقع </w:t>
      </w:r>
      <w:hyperlink r:id="rId14" w:history="1">
        <w:r w:rsidRPr="00CC5871">
          <w:rPr>
            <w:rStyle w:val="Hyperlink"/>
          </w:rPr>
          <w:t>www.alleinerziehen.at</w:t>
        </w:r>
      </w:hyperlink>
      <w:r>
        <w:rPr>
          <w:rFonts w:hint="cs"/>
          <w:rtl/>
        </w:rPr>
        <w:t xml:space="preserve"> الذي يستهدف الأسر الوحيدة الوالد في فيينا معلومات محددة عن مجموعة كبيرة من الحالات المعيشية، مثل الانفصال عن الزوج أو الزوجة، والحضانة المشتركة، والنفقات، واستحقاقات رعاية الأطفال، والإجازات العائلية، والبحث عن العمل وما شابه ذلك. ويعمل أيضا صندوق فيينا لتعزيز العاملين </w:t>
      </w:r>
      <w:r>
        <w:rPr>
          <w:rFonts w:hint="eastAsia"/>
          <w:rtl/>
        </w:rPr>
        <w:t>”</w:t>
      </w:r>
      <w:r>
        <w:t>WAFF</w:t>
      </w:r>
      <w:r>
        <w:rPr>
          <w:rFonts w:hint="eastAsia"/>
          <w:rtl/>
        </w:rPr>
        <w:t xml:space="preserve">“ كمصدر أموال لعدد كبير من البرامج التدريبية الأساسية والمتقدمة والخطط الوظيفية، وينفذ مشاريع تهدف إلى النهوض بالنساء والفتيات في سوق العمل، بالإضافة </w:t>
      </w:r>
      <w:r>
        <w:rPr>
          <w:rFonts w:hint="cs"/>
          <w:rtl/>
        </w:rPr>
        <w:t>إلى برامج تستهدف الأشخاص الذين يرغبون في العودة إلى سوق العمل، ومخططات محو الأمية في مجال تكنولوجيا المعلومات، وإعداد مناهج تدريبية تفي باحتياجات النساء. وفي شهر نيسان/أبريل 1999، أنشأت وكالة فيينا للأعمال (</w:t>
      </w:r>
      <w:r>
        <w:t>WWFF</w:t>
      </w:r>
      <w:r>
        <w:rPr>
          <w:rFonts w:hint="cs"/>
          <w:rtl/>
        </w:rPr>
        <w:t>) مكتب مساعدة في مجال التوظيف، وهو مركز يسدي المشورة إلى النساء اللاتي يرغبن في بدء مشروع تجاري. وفي عام 2002، مثّلت النساء 35 في المائة من مجموع محاو</w:t>
      </w:r>
      <w:r>
        <w:rPr>
          <w:rFonts w:hint="cs"/>
          <w:rtl/>
          <w:lang w:bidi="ar-LB"/>
        </w:rPr>
        <w:t>لات</w:t>
      </w:r>
      <w:r>
        <w:rPr>
          <w:rFonts w:hint="cs"/>
          <w:rtl/>
        </w:rPr>
        <w:t xml:space="preserve"> بدء مشاريع تجارية (المصدر:</w:t>
      </w:r>
      <w:r>
        <w:rPr>
          <w:rFonts w:hint="eastAsia"/>
          <w:rtl/>
        </w:rPr>
        <w:t> </w:t>
      </w:r>
      <w:r>
        <w:t>WK</w:t>
      </w:r>
      <w:r>
        <w:rPr>
          <w:rFonts w:cs="Times New Roman"/>
        </w:rPr>
        <w:t>Ö</w:t>
      </w:r>
      <w:r>
        <w:rPr>
          <w:rFonts w:hint="cs"/>
          <w:rtl/>
        </w:rPr>
        <w:t xml:space="preserve">). </w:t>
      </w:r>
    </w:p>
    <w:p w:rsidR="00D23E5B" w:rsidRDefault="00D23E5B" w:rsidP="00D23E5B">
      <w:pPr>
        <w:pStyle w:val="SingleTxt"/>
        <w:rPr>
          <w:rFonts w:hint="cs"/>
          <w:rtl/>
        </w:rPr>
      </w:pPr>
      <w:r>
        <w:rPr>
          <w:rFonts w:hint="cs"/>
          <w:rtl/>
        </w:rPr>
        <w:tab/>
        <w:t xml:space="preserve">إن فكرة </w:t>
      </w:r>
      <w:r>
        <w:rPr>
          <w:rFonts w:hint="eastAsia"/>
          <w:rtl/>
        </w:rPr>
        <w:t>”الأفعال لا الأقوال</w:t>
      </w:r>
      <w:r>
        <w:rPr>
          <w:rFonts w:hint="cs"/>
          <w:rtl/>
        </w:rPr>
        <w:t xml:space="preserve">“ مبادرة نمساوية تهدف إلى تحسين حالة المرأة في مجال العمل عن طريق اتخاذ تدابير تناسب المرأة. وأحد العناصر البارزة لهذه المبادرة هو المسابقة السنوية </w:t>
      </w:r>
      <w:r>
        <w:rPr>
          <w:rFonts w:hint="eastAsia"/>
          <w:rtl/>
        </w:rPr>
        <w:t>”المشاريع الرئيسية التي تؤيد المرأة وتؤيد الأسرة</w:t>
      </w:r>
      <w:r>
        <w:rPr>
          <w:rFonts w:hint="cs"/>
          <w:rtl/>
        </w:rPr>
        <w:t xml:space="preserve">“. وتمثلت الخطة الأصلية في تنفيذ هذه الفكرة الأساسية في إقليم ستيريا، غير أن برنامج </w:t>
      </w:r>
      <w:r>
        <w:rPr>
          <w:rFonts w:hint="eastAsia"/>
          <w:rtl/>
        </w:rPr>
        <w:t>”الأفعال لا الأقوال</w:t>
      </w:r>
      <w:r>
        <w:rPr>
          <w:rFonts w:hint="cs"/>
          <w:rtl/>
        </w:rPr>
        <w:t>“ أصبح بسرعة موضع اهتمام على نطاق النمسا كلها</w:t>
      </w:r>
      <w:r>
        <w:rPr>
          <w:rFonts w:hint="cs"/>
          <w:rtl/>
          <w:lang w:bidi="ar-LB"/>
        </w:rPr>
        <w:t>، ف</w:t>
      </w:r>
      <w:r>
        <w:rPr>
          <w:rFonts w:hint="cs"/>
          <w:rtl/>
        </w:rPr>
        <w:t>تم أيضا إنشاء لجان إقليمية في أقاليم فيينا، والنمسا السفلى، وبرغيلاند، وكارينثيا، وفورارلبرغ.</w:t>
      </w:r>
    </w:p>
    <w:p w:rsidR="00D23E5B" w:rsidRDefault="00D23E5B" w:rsidP="00D23E5B">
      <w:pPr>
        <w:pStyle w:val="SingleTxt"/>
        <w:rPr>
          <w:rFonts w:hint="cs"/>
          <w:rtl/>
        </w:rPr>
      </w:pPr>
      <w:r>
        <w:rPr>
          <w:rFonts w:hint="cs"/>
          <w:rtl/>
        </w:rPr>
        <w:tab/>
        <w:t>المركز النسائي لبدء المشاريع التجارية (ستيريا): يتمثل هدف هذه المبادرة في المساهمة في ثقافة جديدة للعمل الحر، وتعزيز الأنشطة المشاريعة، لا سيما بين النساء، مع التركيز بصفة خاصة على الشابات من أصحاب المشاريع. وتركز هذه المبادرة على كفاءة المشاريع التي تقدم خدمات للأعمال التجارية وللأشخاص الذين يتم مساعدتهم لتمكينهم من التصدي للتحديات التي يواجهونها في السوق بصورة فعالة أكبر.</w:t>
      </w:r>
    </w:p>
    <w:p w:rsidR="00D23E5B" w:rsidRDefault="00D23E5B" w:rsidP="00D23E5B">
      <w:pPr>
        <w:pStyle w:val="SingleTxt"/>
        <w:rPr>
          <w:rFonts w:hint="cs"/>
          <w:rtl/>
          <w:lang w:bidi="ar-LB"/>
        </w:rPr>
      </w:pPr>
      <w:r>
        <w:rPr>
          <w:rFonts w:hint="cs"/>
          <w:rtl/>
        </w:rPr>
        <w:tab/>
        <w:t xml:space="preserve">للحصول على مزيد من المعلومات، يرجى الاطلاع على التعليقات </w:t>
      </w:r>
      <w:r>
        <w:rPr>
          <w:rFonts w:hint="cs"/>
          <w:rtl/>
          <w:lang w:bidi="ar-LB"/>
        </w:rPr>
        <w:t xml:space="preserve">على </w:t>
      </w:r>
      <w:r>
        <w:rPr>
          <w:rFonts w:hint="cs"/>
          <w:rtl/>
        </w:rPr>
        <w:t xml:space="preserve"> المادتين 10 و 11.</w:t>
      </w:r>
    </w:p>
    <w:p w:rsidR="00D23E5B" w:rsidRDefault="00D23E5B" w:rsidP="00D23E5B">
      <w:pPr>
        <w:pStyle w:val="SingleTxt"/>
        <w:rPr>
          <w:rFonts w:hint="cs"/>
          <w:b/>
          <w:bCs/>
          <w:rtl/>
        </w:rPr>
      </w:pPr>
      <w:r>
        <w:rPr>
          <w:rFonts w:hint="cs"/>
          <w:b/>
          <w:bCs/>
          <w:rtl/>
        </w:rPr>
        <w:t>التوصية 235</w:t>
      </w:r>
    </w:p>
    <w:p w:rsidR="00D23E5B" w:rsidRDefault="00D23E5B" w:rsidP="00D23E5B">
      <w:pPr>
        <w:pStyle w:val="SingleTxt"/>
        <w:rPr>
          <w:rFonts w:hint="cs"/>
          <w:rtl/>
        </w:rPr>
      </w:pPr>
      <w:r>
        <w:rPr>
          <w:rFonts w:hint="cs"/>
          <w:rtl/>
        </w:rPr>
        <w:tab/>
        <w:t>على أساس التعديل الرابع لقانون المساواة في المعاملة (النشرة القانونية الاتحادية رقم 44/1998)، تم إنشاء مراكز إقليمية لمكتب أمين المظالم المعني بالمساواة في المعاملة في الفترة بين عامي 2000 و 2002، مما أدى إلى تسهيل الاتصال بمكتب أمين المظالم. وفي عام 2000، تم تأسيس مركز إقليمي في ستيريا، وفي عام 2001، تم فتح مركز إقليمي في كارينثيا، وفي عام 2002 تم إنشاء مكتب إقليمي آخر في النمسا العليا. وتتناول كل هذه المراكز الحالات التي تحدث</w:t>
      </w:r>
      <w:r>
        <w:rPr>
          <w:rFonts w:hint="cs"/>
          <w:rtl/>
          <w:lang w:bidi="ar-LB"/>
        </w:rPr>
        <w:t>،</w:t>
      </w:r>
      <w:r>
        <w:rPr>
          <w:rFonts w:hint="cs"/>
          <w:rtl/>
        </w:rPr>
        <w:t xml:space="preserve"> كل في إقليمها الخاص.</w:t>
      </w:r>
    </w:p>
    <w:p w:rsidR="00D23E5B" w:rsidRDefault="00D23E5B" w:rsidP="00D23E5B">
      <w:pPr>
        <w:pStyle w:val="SingleTxt"/>
        <w:rPr>
          <w:rFonts w:hint="cs"/>
          <w:rtl/>
        </w:rPr>
      </w:pPr>
      <w:r>
        <w:rPr>
          <w:rFonts w:hint="cs"/>
          <w:rtl/>
        </w:rPr>
        <w:tab/>
        <w:t>وبناء عليه، يتألف الآن مكتب أمين المظالم المعني بالمساواة في المعاملة من المقر ومن أربعة مراكز إقليمية وي</w:t>
      </w:r>
      <w:r>
        <w:rPr>
          <w:rFonts w:hint="cs"/>
          <w:rtl/>
          <w:lang w:bidi="ar-LB"/>
        </w:rPr>
        <w:t>سم</w:t>
      </w:r>
      <w:r>
        <w:rPr>
          <w:rFonts w:hint="cs"/>
          <w:rtl/>
        </w:rPr>
        <w:t xml:space="preserve">ح ذلك إلى حد كبير </w:t>
      </w:r>
      <w:r>
        <w:rPr>
          <w:rFonts w:hint="cs"/>
          <w:rtl/>
          <w:lang w:bidi="ar-LB"/>
        </w:rPr>
        <w:t>ب</w:t>
      </w:r>
      <w:r>
        <w:rPr>
          <w:rFonts w:hint="cs"/>
          <w:rtl/>
        </w:rPr>
        <w:t xml:space="preserve">إسداء المشورة </w:t>
      </w:r>
      <w:r>
        <w:rPr>
          <w:rFonts w:hint="cs"/>
          <w:rtl/>
          <w:lang w:bidi="ar-LB"/>
        </w:rPr>
        <w:t>إلى</w:t>
      </w:r>
      <w:r>
        <w:rPr>
          <w:rFonts w:hint="cs"/>
          <w:rtl/>
        </w:rPr>
        <w:t xml:space="preserve"> الأفراد الذين يشعرون بالتمييز</w:t>
      </w:r>
      <w:r>
        <w:rPr>
          <w:rFonts w:hint="cs"/>
          <w:rtl/>
          <w:lang w:bidi="ar-LB"/>
        </w:rPr>
        <w:t xml:space="preserve"> </w:t>
      </w:r>
      <w:r>
        <w:rPr>
          <w:rFonts w:hint="cs"/>
          <w:rtl/>
        </w:rPr>
        <w:t>ضدهم</w:t>
      </w:r>
      <w:r>
        <w:rPr>
          <w:rFonts w:hint="cs"/>
          <w:rtl/>
          <w:lang w:bidi="ar-LB"/>
        </w:rPr>
        <w:t>،</w:t>
      </w:r>
      <w:r>
        <w:rPr>
          <w:rFonts w:hint="cs"/>
          <w:rtl/>
        </w:rPr>
        <w:t xml:space="preserve"> عملا بقانون المساواة في المعاملة، </w:t>
      </w:r>
      <w:r>
        <w:rPr>
          <w:rFonts w:hint="cs"/>
          <w:rtl/>
          <w:lang w:bidi="ar-LB"/>
        </w:rPr>
        <w:t xml:space="preserve">إذا كانت </w:t>
      </w:r>
      <w:r>
        <w:rPr>
          <w:rFonts w:hint="cs"/>
          <w:rtl/>
        </w:rPr>
        <w:t>منازلهم على مسافة معقولة من المركز. ومع توفر إسداء المشورة وخدمات الدعم على مسافة معقولة من منازل الأشخاص الذين يقعون ضحية التمييز، ازداد عدد الحالات التي يعالجها مكتب أمين المظالم ازديادا هائلا: فبينما تم تسجيل 850 حالة جديدة في عام 2000، ارتفع هذا الرقم ليص</w:t>
      </w:r>
      <w:r>
        <w:rPr>
          <w:rFonts w:hint="cs"/>
          <w:rtl/>
          <w:lang w:bidi="ar-LB"/>
        </w:rPr>
        <w:t>ـ</w:t>
      </w:r>
      <w:r>
        <w:rPr>
          <w:rFonts w:hint="cs"/>
          <w:rtl/>
        </w:rPr>
        <w:t xml:space="preserve">ل إلى 548 1 في عام 2001، و 118 2 في عام 2002، ويتضح ذلك من الإحصاءات ذات الصلة. </w:t>
      </w:r>
    </w:p>
    <w:p w:rsidR="00D23E5B" w:rsidRPr="00DC5EFC" w:rsidRDefault="00D23E5B" w:rsidP="00D23E5B">
      <w:pPr>
        <w:pStyle w:val="SingleTxt"/>
        <w:rPr>
          <w:rFonts w:hint="cs"/>
          <w:b/>
          <w:bCs/>
          <w:rtl/>
        </w:rPr>
      </w:pPr>
      <w:r w:rsidRPr="00DC5EFC">
        <w:rPr>
          <w:rFonts w:hint="cs"/>
          <w:b/>
          <w:bCs/>
          <w:rtl/>
        </w:rPr>
        <w:t xml:space="preserve">تعديل قانون المساواة في المعاملة لعام 2001 </w:t>
      </w:r>
    </w:p>
    <w:p w:rsidR="00D23E5B" w:rsidRDefault="00D23E5B" w:rsidP="00D23E5B">
      <w:pPr>
        <w:pStyle w:val="SingleTxt"/>
        <w:rPr>
          <w:rFonts w:hint="cs"/>
          <w:rtl/>
        </w:rPr>
      </w:pPr>
      <w:r>
        <w:rPr>
          <w:rFonts w:hint="cs"/>
          <w:rtl/>
        </w:rPr>
        <w:tab/>
        <w:t>قبل تعديل قانون المساواة في المعاملة، عملت رئيسة لجنة المساواة في المعاملة بصفتها</w:t>
      </w:r>
      <w:r>
        <w:rPr>
          <w:rFonts w:hint="eastAsia"/>
          <w:rtl/>
        </w:rPr>
        <w:t> </w:t>
      </w:r>
      <w:r>
        <w:rPr>
          <w:rFonts w:hint="cs"/>
          <w:rtl/>
        </w:rPr>
        <w:t xml:space="preserve">رئيسة فخرية. ومع تعديل القانون، كما ورد في النشرة القانونية الاتحادية رقم 129/2001، تم تعديل أحكام القانون وعلى </w:t>
      </w:r>
      <w:r>
        <w:rPr>
          <w:rFonts w:hint="cs"/>
          <w:rtl/>
          <w:lang w:bidi="ar-LB"/>
        </w:rPr>
        <w:t>هذا الأ</w:t>
      </w:r>
      <w:r>
        <w:rPr>
          <w:rFonts w:hint="cs"/>
          <w:rtl/>
        </w:rPr>
        <w:t xml:space="preserve">ساس أصبحت رئيسة اللجنة تعمل الآن بصفة متفرغة لكي تستطيع أن تؤدي مهامها في الوقت </w:t>
      </w:r>
      <w:r>
        <w:rPr>
          <w:rFonts w:hint="cs"/>
          <w:rtl/>
          <w:lang w:bidi="ar-LB"/>
        </w:rPr>
        <w:t xml:space="preserve">الذي تحصل فيه </w:t>
      </w:r>
      <w:r>
        <w:rPr>
          <w:rFonts w:hint="cs"/>
          <w:rtl/>
        </w:rPr>
        <w:t xml:space="preserve">على مرتبها العادي بوصفها موظفة في الخدمة المدنية. وبالإضافة إلى ذلك، أصبح استقلال وحرية رئيسة اللجنة مكرسين في القانون، وتم إنشاء منصب نائبة لرئيسة اللجنة. ونتيجة لذلك، ازداد عدد اجتماعات لجنة المساواة في المعاملة، وساهم ذلك </w:t>
      </w:r>
      <w:r>
        <w:rPr>
          <w:rFonts w:hint="cs"/>
          <w:rtl/>
          <w:lang w:bidi="ar-LB"/>
        </w:rPr>
        <w:t xml:space="preserve">في </w:t>
      </w:r>
      <w:r>
        <w:rPr>
          <w:rFonts w:hint="cs"/>
          <w:rtl/>
        </w:rPr>
        <w:t>معالجة عدد أكبر من الحالات وإنهاء الإجراءات بصورة أسرع.</w:t>
      </w:r>
    </w:p>
    <w:p w:rsidR="00D23E5B" w:rsidRDefault="00D23E5B" w:rsidP="00D23E5B">
      <w:pPr>
        <w:pStyle w:val="SingleTxt"/>
        <w:rPr>
          <w:rFonts w:hint="cs"/>
          <w:b/>
          <w:bCs/>
          <w:rtl/>
        </w:rPr>
      </w:pPr>
      <w:r w:rsidRPr="009B003B">
        <w:rPr>
          <w:rFonts w:hint="cs"/>
          <w:b/>
          <w:bCs/>
          <w:rtl/>
        </w:rPr>
        <w:t>تنقيح قانون المساواة في المعاملة وإدخال تعديلات رئيسية عليه</w:t>
      </w:r>
    </w:p>
    <w:p w:rsidR="00D23E5B" w:rsidRDefault="00D23E5B" w:rsidP="00D23E5B">
      <w:pPr>
        <w:pStyle w:val="SingleTxt"/>
        <w:rPr>
          <w:rFonts w:hint="cs"/>
          <w:rtl/>
        </w:rPr>
      </w:pPr>
      <w:r>
        <w:rPr>
          <w:rFonts w:hint="cs"/>
          <w:rtl/>
        </w:rPr>
        <w:tab/>
        <w:t>خلال الفترة التي يغطيها التقرير، تم إجراء أعمال تحضيرية مكثفة حول التعديلات الرئيسية التي يتعين إدخالها على قانون المساواة في المعاملة. وي</w:t>
      </w:r>
      <w:r>
        <w:rPr>
          <w:rFonts w:hint="cs"/>
          <w:rtl/>
          <w:lang w:bidi="ar-LB"/>
        </w:rPr>
        <w:t>ُ</w:t>
      </w:r>
      <w:r>
        <w:rPr>
          <w:rFonts w:hint="cs"/>
          <w:rtl/>
        </w:rPr>
        <w:t xml:space="preserve">عتزم الآن تنفيذ النشرة التوجيهية </w:t>
      </w:r>
      <w:r>
        <w:t>2002/73/EC</w:t>
      </w:r>
      <w:r>
        <w:rPr>
          <w:rFonts w:hint="cs"/>
          <w:rtl/>
        </w:rPr>
        <w:t xml:space="preserve"> للبرلمان الأوروبي وللمجلس الأوروبي الذي عدّل النشرة التوجيهية </w:t>
      </w:r>
      <w:r>
        <w:t>76/207/EEC</w:t>
      </w:r>
      <w:r>
        <w:rPr>
          <w:rFonts w:hint="cs"/>
          <w:rtl/>
        </w:rPr>
        <w:t xml:space="preserve"> بش</w:t>
      </w:r>
      <w:r>
        <w:rPr>
          <w:rFonts w:hint="cs"/>
          <w:rtl/>
          <w:lang w:bidi="ar-LB"/>
        </w:rPr>
        <w:t>أ</w:t>
      </w:r>
      <w:r>
        <w:rPr>
          <w:rFonts w:hint="cs"/>
          <w:rtl/>
        </w:rPr>
        <w:t xml:space="preserve">ن تنفيذ مبدأ المساواة في المعاملة بين الرجل والمرأة فيما يتعلق بفرص </w:t>
      </w:r>
      <w:r>
        <w:rPr>
          <w:rFonts w:hint="cs"/>
          <w:rtl/>
          <w:lang w:bidi="ar-LB"/>
        </w:rPr>
        <w:t xml:space="preserve">إيجاد </w:t>
      </w:r>
      <w:r>
        <w:rPr>
          <w:rFonts w:hint="cs"/>
          <w:rtl/>
        </w:rPr>
        <w:t>عمل، و</w:t>
      </w:r>
      <w:r>
        <w:rPr>
          <w:rFonts w:hint="cs"/>
          <w:rtl/>
          <w:lang w:bidi="ar-LB"/>
        </w:rPr>
        <w:t>ب</w:t>
      </w:r>
      <w:r>
        <w:rPr>
          <w:rFonts w:hint="cs"/>
          <w:rtl/>
        </w:rPr>
        <w:t xml:space="preserve">التدريب المهني، وظروف العمل (النشرة التوجيهية للمساواة في المعاملة) </w:t>
      </w:r>
      <w:r>
        <w:rPr>
          <w:rFonts w:hint="cs"/>
          <w:rtl/>
          <w:lang w:bidi="ar-LB"/>
        </w:rPr>
        <w:t>وسوف</w:t>
      </w:r>
      <w:r>
        <w:rPr>
          <w:rFonts w:hint="cs"/>
          <w:rtl/>
        </w:rPr>
        <w:t xml:space="preserve"> يتعين تنفيذ</w:t>
      </w:r>
      <w:r>
        <w:rPr>
          <w:rFonts w:hint="cs"/>
          <w:rtl/>
          <w:lang w:bidi="ar-LB"/>
        </w:rPr>
        <w:t xml:space="preserve"> النشرة</w:t>
      </w:r>
      <w:r>
        <w:rPr>
          <w:rFonts w:hint="cs"/>
          <w:rtl/>
        </w:rPr>
        <w:t xml:space="preserve"> بحلول شهر تشرين الأول/أكتوبر 2005 فضلا عن كل من النشرتين التوجيهيتين المتعلقتين بمناهضة التمييز عملا بالمادة 13 من معاهدة الاتحاد الأوروبي، أي النشرة التوجيهية للمجلس </w:t>
      </w:r>
      <w:r>
        <w:t>2000/43/EC</w:t>
      </w:r>
      <w:r>
        <w:rPr>
          <w:rFonts w:hint="cs"/>
          <w:rtl/>
        </w:rPr>
        <w:t xml:space="preserve"> تنفيذا لمبدأ المساواة في المعاملة بين الأشخاص بغض النظر عن عرقهم أو أصلهم الإثني (النشرة التوجيهية لمناهضة العنصرية) والنشرة التوجيهية للمجلس </w:t>
      </w:r>
      <w:r>
        <w:t>2000/78/EC</w:t>
      </w:r>
      <w:r>
        <w:rPr>
          <w:rFonts w:hint="cs"/>
          <w:rtl/>
        </w:rPr>
        <w:t xml:space="preserve"> التي أنشأت إطارا عاما للمساواة في المعاملة في مجال الوظائف والمهن، وهي تحظر التمييز القائم على المعتقد الديني أو الإديولوجية، أو العجز، أو</w:t>
      </w:r>
      <w:r>
        <w:rPr>
          <w:rFonts w:hint="eastAsia"/>
          <w:rtl/>
        </w:rPr>
        <w:t> </w:t>
      </w:r>
      <w:r>
        <w:rPr>
          <w:rFonts w:hint="cs"/>
          <w:rtl/>
        </w:rPr>
        <w:t>السن، أو التوجه الجنسي (النشرة التوجيهية الإطارية المعنية بالمساواة في المعاملة).</w:t>
      </w:r>
    </w:p>
    <w:p w:rsidR="00D23E5B" w:rsidRDefault="00D23E5B" w:rsidP="00D23E5B">
      <w:pPr>
        <w:pStyle w:val="SingleTxt"/>
        <w:rPr>
          <w:rFonts w:hint="cs"/>
          <w:rtl/>
        </w:rPr>
      </w:pPr>
      <w:r>
        <w:rPr>
          <w:rFonts w:hint="cs"/>
          <w:rtl/>
        </w:rPr>
        <w:tab/>
        <w:t xml:space="preserve">ومن أجل ضمان توفر الوضوح والدقة القانونية، فضلا عن سهولة القراءة والفهم، </w:t>
      </w:r>
      <w:r>
        <w:rPr>
          <w:rFonts w:hint="cs"/>
          <w:rtl/>
          <w:lang w:bidi="ar-LB"/>
        </w:rPr>
        <w:t>سوف ي</w:t>
      </w:r>
      <w:r>
        <w:rPr>
          <w:rFonts w:hint="cs"/>
          <w:rtl/>
        </w:rPr>
        <w:t xml:space="preserve">تم سن قانونين: سوف يعاد تسمية قانون المساواة في المعاملة بحيث يصبح </w:t>
      </w:r>
      <w:r>
        <w:rPr>
          <w:rFonts w:hint="eastAsia"/>
          <w:rtl/>
        </w:rPr>
        <w:t xml:space="preserve">”القانون الاتحادي الذي ينظم اللجنة المعنية بالمساواة في المعاملة، وسوف يتم تعديل مكتب أمين المظالم المعني بالمساواة في المعاملة لكي يفي بالشروط الواردة في النشرة التوجيهية للاتحاد الأوروبي، وسوف يتضمن أحكاما عن المعاهد والإجراءات. </w:t>
      </w:r>
      <w:r>
        <w:rPr>
          <w:rFonts w:hint="cs"/>
          <w:rtl/>
        </w:rPr>
        <w:t>وبالإضافة إلى ذلك، سوف يتم سن القانون الاتحادي المعني بالمساواة في المعاملة، الذي سيتناول الأحكام الفنية الواردة في قانون المساواة في المعاملة الراهن، الذي سوف يتم توسيع نطاقه لكي ي</w:t>
      </w:r>
      <w:r>
        <w:rPr>
          <w:rFonts w:hint="cs"/>
          <w:rtl/>
          <w:lang w:bidi="ar-LB"/>
        </w:rPr>
        <w:t>تقيد ب</w:t>
      </w:r>
      <w:r>
        <w:rPr>
          <w:rFonts w:hint="cs"/>
          <w:rtl/>
        </w:rPr>
        <w:t>التوجيهات ذات الصلة.</w:t>
      </w:r>
    </w:p>
    <w:p w:rsidR="00D23E5B" w:rsidRDefault="00D23E5B" w:rsidP="000C43FD">
      <w:pPr>
        <w:pStyle w:val="SingleTxt"/>
        <w:rPr>
          <w:rFonts w:hint="cs"/>
          <w:rtl/>
        </w:rPr>
      </w:pPr>
      <w:r>
        <w:rPr>
          <w:rFonts w:hint="cs"/>
          <w:rtl/>
        </w:rPr>
        <w:tab/>
        <w:t>وهناك خطط الآن لإعادة هيكلة اللجنة المعنية بالمساواة في المعاملة. وفي المستقبل، ستتألف من ثلاثة مجالس، يكون المجلس الأول منها مسؤولا عن ضمان المساواة في المعاملة بين المرأة والرجل في مكان العمل، وير</w:t>
      </w:r>
      <w:r>
        <w:rPr>
          <w:rFonts w:hint="cs"/>
          <w:rtl/>
          <w:lang w:bidi="ar-LB"/>
        </w:rPr>
        <w:t>صد</w:t>
      </w:r>
      <w:r>
        <w:rPr>
          <w:rFonts w:hint="cs"/>
          <w:rtl/>
        </w:rPr>
        <w:t xml:space="preserve"> المجلس الثاني المساواة في المعاملة في مجال العمل بغض النظر عن العرق، أو الأصل الإثني، أو المعتقد الديني، أو ا</w:t>
      </w:r>
      <w:r w:rsidR="000C43FD">
        <w:rPr>
          <w:rFonts w:hint="cs"/>
          <w:rtl/>
        </w:rPr>
        <w:t>لإ</w:t>
      </w:r>
      <w:r>
        <w:rPr>
          <w:rFonts w:hint="cs"/>
          <w:rtl/>
        </w:rPr>
        <w:t>ديولوجية، أو السن، أو</w:t>
      </w:r>
      <w:r w:rsidR="000C43FD">
        <w:rPr>
          <w:rFonts w:hint="eastAsia"/>
          <w:rtl/>
        </w:rPr>
        <w:t> </w:t>
      </w:r>
      <w:r>
        <w:rPr>
          <w:rFonts w:hint="cs"/>
          <w:rtl/>
        </w:rPr>
        <w:t>التوجه الجنسي، أما المجلس الثالث فسيكون مسؤولا عن ضمان المساواة في المعاملة بغض النظر عن العرق، والأصل الإثني في مجالات أخرى. وبفضل هذا المشروع، سوف تصبح سلطات اللجنة المعنية بالمساواة في المعاملة، التي كانت مقتصرة حتى الآن على ضمان المساواة في المعاملة بين المرأة والرجل في الحياة العملية، لتشمل مجالات كثيرة أخرى.</w:t>
      </w:r>
    </w:p>
    <w:p w:rsidR="00D23E5B" w:rsidRDefault="00D23E5B" w:rsidP="00D23E5B">
      <w:pPr>
        <w:pStyle w:val="SingleTxt"/>
        <w:rPr>
          <w:rFonts w:hint="cs"/>
          <w:rtl/>
        </w:rPr>
      </w:pPr>
      <w:r>
        <w:rPr>
          <w:rFonts w:hint="cs"/>
          <w:rtl/>
        </w:rPr>
        <w:tab/>
        <w:t>وي</w:t>
      </w:r>
      <w:r>
        <w:rPr>
          <w:rFonts w:hint="cs"/>
          <w:rtl/>
          <w:lang w:bidi="ar-LB"/>
        </w:rPr>
        <w:t>ُ</w:t>
      </w:r>
      <w:r>
        <w:rPr>
          <w:rFonts w:hint="cs"/>
          <w:rtl/>
        </w:rPr>
        <w:t>عتزم في جملة أمور إدخال تعريف قانوني للتمييز في حالة وجود تحرش، بالإضافة إلى تخفيف معايير الإثبات (</w:t>
      </w:r>
      <w:r>
        <w:rPr>
          <w:rFonts w:hint="cs"/>
          <w:rtl/>
          <w:lang w:bidi="ar-LB"/>
        </w:rPr>
        <w:t>شروط على من يقع عليه عبء</w:t>
      </w:r>
      <w:r>
        <w:rPr>
          <w:rFonts w:hint="cs"/>
          <w:rtl/>
        </w:rPr>
        <w:t xml:space="preserve"> الإثبات) في الإجراءات المتبعة في المحاكم بشأن قضايا التمييز، فضلا عن فرض حظر ع</w:t>
      </w:r>
      <w:r>
        <w:rPr>
          <w:rFonts w:hint="cs"/>
          <w:rtl/>
          <w:lang w:bidi="ar-LB"/>
        </w:rPr>
        <w:t>لى</w:t>
      </w:r>
      <w:r>
        <w:rPr>
          <w:rFonts w:hint="cs"/>
          <w:rtl/>
        </w:rPr>
        <w:t xml:space="preserve"> التمييز، أي </w:t>
      </w:r>
      <w:r>
        <w:rPr>
          <w:rFonts w:hint="eastAsia"/>
          <w:rtl/>
        </w:rPr>
        <w:t>”حالات الضرر</w:t>
      </w:r>
      <w:r>
        <w:rPr>
          <w:rFonts w:hint="cs"/>
          <w:rtl/>
        </w:rPr>
        <w:t xml:space="preserve">“ (المتصلة بالشكاوى التي تقدمها الضحايا) بحيث يكون ذلك بمثابة تدبير لحماية الأشخاص من التمييز بصورة فعالة أكبر. وبالإضافة إلى ذلك، سوف يتم توسيع نطاق القانون ليشمل العمالة </w:t>
      </w:r>
      <w:r>
        <w:rPr>
          <w:rFonts w:hint="cs"/>
          <w:rtl/>
          <w:lang w:bidi="ar-LB"/>
        </w:rPr>
        <w:t xml:space="preserve">شبه </w:t>
      </w:r>
      <w:r>
        <w:rPr>
          <w:rFonts w:hint="cs"/>
          <w:rtl/>
        </w:rPr>
        <w:t xml:space="preserve">التابعة، كما سيتم تعريف عبارة </w:t>
      </w:r>
      <w:r>
        <w:rPr>
          <w:rFonts w:hint="eastAsia"/>
          <w:rtl/>
        </w:rPr>
        <w:t>”التمييز غير المباشر</w:t>
      </w:r>
      <w:r>
        <w:rPr>
          <w:rFonts w:hint="cs"/>
          <w:rtl/>
        </w:rPr>
        <w:t>“ وسوف يتم فرض جزاءات تأديبية على أرباب العمل الذين ينتهكون شرط الحي</w:t>
      </w:r>
      <w:r>
        <w:rPr>
          <w:rFonts w:hint="cs"/>
          <w:rtl/>
          <w:lang w:bidi="ar-LB"/>
        </w:rPr>
        <w:t>ا</w:t>
      </w:r>
      <w:r>
        <w:rPr>
          <w:rFonts w:hint="cs"/>
          <w:rtl/>
        </w:rPr>
        <w:t xml:space="preserve">د جنسانيا عند الإعلان عن الوظائف الشاغرة، وسوف يتم أيضا إعادة تعريف الأضرار التي تحدث في حالة وجود انتهاكات لقانون المساواة في المعاملة. وقد اعتمد البرلمان النمساوي القانون، وأصبح نافذ المفعول في 1 تموز/يوليه 2004. </w:t>
      </w:r>
    </w:p>
    <w:p w:rsidR="00D23E5B" w:rsidRDefault="00D23E5B" w:rsidP="00D23E5B">
      <w:pPr>
        <w:pStyle w:val="SingleTxt"/>
        <w:rPr>
          <w:rFonts w:hint="cs"/>
          <w:rtl/>
        </w:rPr>
      </w:pPr>
      <w:r>
        <w:rPr>
          <w:rFonts w:hint="cs"/>
          <w:rtl/>
        </w:rPr>
        <w:tab/>
        <w:t xml:space="preserve">بدأ أيضا نفاذ تعديل قانون المساواة في المعاملة في الخدمة الاتحادية في 1 تموز/يوليه 2004، وينفذ التعديل النشرات التوجيهية للاتحاد الأوروبي المذكورة أعلاه </w:t>
      </w:r>
      <w:r>
        <w:rPr>
          <w:rFonts w:hint="cs"/>
          <w:rtl/>
          <w:lang w:bidi="ar-LB"/>
        </w:rPr>
        <w:t xml:space="preserve">كما </w:t>
      </w:r>
      <w:r>
        <w:rPr>
          <w:rFonts w:hint="cs"/>
          <w:rtl/>
        </w:rPr>
        <w:t>يحسّن إنفاذ القانون. ومن بين ذلك:</w:t>
      </w:r>
    </w:p>
    <w:p w:rsidR="00D23E5B" w:rsidRDefault="00D23E5B" w:rsidP="00D23E5B">
      <w:pPr>
        <w:pStyle w:val="SingleTxt"/>
        <w:ind w:left="1930" w:hanging="663"/>
        <w:rPr>
          <w:rFonts w:hint="cs"/>
          <w:rtl/>
        </w:rPr>
      </w:pPr>
      <w:r>
        <w:rPr>
          <w:rFonts w:hint="cs"/>
          <w:rtl/>
        </w:rPr>
        <w:t xml:space="preserve">1 - </w:t>
      </w:r>
      <w:r>
        <w:rPr>
          <w:rFonts w:hint="cs"/>
          <w:rtl/>
        </w:rPr>
        <w:tab/>
        <w:t>تمديد العناصر القانونية للتمييز في قانون المساواة في المعاملة في الخدمة الاتحادية من أجل ت</w:t>
      </w:r>
      <w:r>
        <w:rPr>
          <w:rFonts w:hint="cs"/>
          <w:rtl/>
          <w:lang w:bidi="ar-LB"/>
        </w:rPr>
        <w:t>نفيذ</w:t>
      </w:r>
      <w:r>
        <w:rPr>
          <w:rFonts w:hint="cs"/>
          <w:rtl/>
        </w:rPr>
        <w:t xml:space="preserve"> النشرة التوجيهية للاتحاد الأوروبي المعنية بالمساواة في المعاملة والنشرات التوجيهية لمناهضة التمييز وفقا للمادة 13 من معاهدة الاتحاد الأوروبي، على ألا</w:t>
      </w:r>
      <w:r>
        <w:rPr>
          <w:rFonts w:hint="eastAsia"/>
          <w:rtl/>
        </w:rPr>
        <w:t> </w:t>
      </w:r>
      <w:r>
        <w:rPr>
          <w:rFonts w:hint="cs"/>
          <w:rtl/>
        </w:rPr>
        <w:t>يشمل ذلك العنصر القانوني للتمييز على أساس العجز.</w:t>
      </w:r>
    </w:p>
    <w:p w:rsidR="00D23E5B" w:rsidRDefault="00D23E5B" w:rsidP="00D23E5B">
      <w:pPr>
        <w:pStyle w:val="SingleTxt"/>
        <w:ind w:left="1930" w:hanging="663"/>
        <w:rPr>
          <w:rFonts w:hint="cs"/>
          <w:rtl/>
        </w:rPr>
      </w:pPr>
      <w:r>
        <w:rPr>
          <w:rFonts w:hint="cs"/>
          <w:rtl/>
        </w:rPr>
        <w:t xml:space="preserve">2 - </w:t>
      </w:r>
      <w:r>
        <w:rPr>
          <w:rFonts w:hint="cs"/>
          <w:rtl/>
        </w:rPr>
        <w:tab/>
        <w:t xml:space="preserve">تمديد نطاق القانون ليشمل الأشخاص الذين يعملون مع الدولة النمساوية على أساس عقود </w:t>
      </w:r>
      <w:r>
        <w:rPr>
          <w:rFonts w:hint="cs"/>
          <w:rtl/>
          <w:lang w:bidi="ar-LB"/>
        </w:rPr>
        <w:t xml:space="preserve">شبه </w:t>
      </w:r>
      <w:r>
        <w:rPr>
          <w:rFonts w:hint="cs"/>
          <w:rtl/>
        </w:rPr>
        <w:t>مستقلة.</w:t>
      </w:r>
    </w:p>
    <w:p w:rsidR="00D23E5B" w:rsidRDefault="00D23E5B" w:rsidP="00D23E5B">
      <w:pPr>
        <w:pStyle w:val="SingleTxt"/>
        <w:ind w:left="1930" w:hanging="663"/>
        <w:rPr>
          <w:rFonts w:hint="cs"/>
          <w:rtl/>
        </w:rPr>
      </w:pPr>
      <w:r>
        <w:rPr>
          <w:rFonts w:hint="cs"/>
          <w:rtl/>
        </w:rPr>
        <w:t>3 -</w:t>
      </w:r>
      <w:r>
        <w:rPr>
          <w:rFonts w:hint="cs"/>
          <w:rtl/>
        </w:rPr>
        <w:tab/>
        <w:t xml:space="preserve">اعتماد تعريف صريح لعبارة </w:t>
      </w:r>
      <w:r>
        <w:rPr>
          <w:rFonts w:hint="eastAsia"/>
          <w:rtl/>
        </w:rPr>
        <w:t>”التمييز المباشر وغير المباشر</w:t>
      </w:r>
      <w:r>
        <w:rPr>
          <w:rFonts w:hint="cs"/>
          <w:rtl/>
        </w:rPr>
        <w:t>“.</w:t>
      </w:r>
    </w:p>
    <w:p w:rsidR="00D23E5B" w:rsidRDefault="00D23E5B" w:rsidP="00D23E5B">
      <w:pPr>
        <w:pStyle w:val="SingleTxt"/>
        <w:ind w:left="1930" w:hanging="663"/>
        <w:rPr>
          <w:rFonts w:hint="cs"/>
          <w:rtl/>
        </w:rPr>
      </w:pPr>
      <w:r>
        <w:rPr>
          <w:rFonts w:hint="cs"/>
          <w:rtl/>
        </w:rPr>
        <w:t>4 -</w:t>
      </w:r>
      <w:r>
        <w:rPr>
          <w:rFonts w:hint="cs"/>
          <w:rtl/>
        </w:rPr>
        <w:tab/>
        <w:t>إدخال عنصر قانوني للتحرش بالمرأة، فضلا عن التحرش على أساس أي عنصر قائم على التمييز كما هو منصوص عليه في النشرتين التوجيهيتين لمناهضة التمييز، وتخفيف عبء الإثبات بالنسبة لجميع أشكال التمييز.</w:t>
      </w:r>
    </w:p>
    <w:p w:rsidR="00D23E5B" w:rsidRDefault="00D23E5B" w:rsidP="00D23E5B">
      <w:pPr>
        <w:pStyle w:val="SingleTxt"/>
        <w:ind w:left="1930" w:hanging="663"/>
        <w:rPr>
          <w:rFonts w:hint="cs"/>
          <w:rtl/>
        </w:rPr>
      </w:pPr>
      <w:r>
        <w:rPr>
          <w:rFonts w:hint="cs"/>
          <w:rtl/>
        </w:rPr>
        <w:t>5 -</w:t>
      </w:r>
      <w:r>
        <w:rPr>
          <w:rFonts w:hint="cs"/>
          <w:rtl/>
        </w:rPr>
        <w:tab/>
        <w:t>تحديد هدف المساواة الفعلية بين الرجل والمرأة.</w:t>
      </w:r>
    </w:p>
    <w:p w:rsidR="00D23E5B" w:rsidRDefault="00D23E5B" w:rsidP="00D23E5B">
      <w:pPr>
        <w:pStyle w:val="SingleTxt"/>
        <w:ind w:left="1930" w:hanging="663"/>
        <w:rPr>
          <w:rFonts w:hint="cs"/>
          <w:rtl/>
        </w:rPr>
      </w:pPr>
      <w:r>
        <w:rPr>
          <w:rFonts w:hint="cs"/>
          <w:rtl/>
        </w:rPr>
        <w:t>6 -</w:t>
      </w:r>
      <w:r>
        <w:rPr>
          <w:rFonts w:hint="cs"/>
          <w:rtl/>
        </w:rPr>
        <w:tab/>
        <w:t>إدخال تدابير لإنفاذ القانون، بما في ذلك قواعد التعويض، كما هو مطلوب في النشرة التوجيهية المعدلة للاتحاد الأوروبي المعنية بالمساواة في المعاملة والنشرتين التوجيهيتين لمناهضة التمييز.</w:t>
      </w:r>
    </w:p>
    <w:p w:rsidR="00D23E5B" w:rsidRDefault="00D23E5B" w:rsidP="00D23E5B">
      <w:pPr>
        <w:pStyle w:val="SingleTxt"/>
        <w:ind w:left="1930" w:hanging="663"/>
        <w:rPr>
          <w:rFonts w:hint="cs"/>
          <w:rtl/>
        </w:rPr>
      </w:pPr>
      <w:r>
        <w:rPr>
          <w:rFonts w:hint="cs"/>
          <w:rtl/>
        </w:rPr>
        <w:t>7 -</w:t>
      </w:r>
      <w:r>
        <w:rPr>
          <w:rFonts w:hint="cs"/>
          <w:rtl/>
        </w:rPr>
        <w:tab/>
        <w:t>تخفيف عبء شروط الإثبات عند الحديث عن التمييز.</w:t>
      </w:r>
    </w:p>
    <w:p w:rsidR="00D23E5B" w:rsidRDefault="00D23E5B" w:rsidP="00D23E5B">
      <w:pPr>
        <w:pStyle w:val="SingleTxt"/>
        <w:ind w:left="1930" w:hanging="663"/>
        <w:rPr>
          <w:rFonts w:hint="cs"/>
          <w:rtl/>
        </w:rPr>
      </w:pPr>
      <w:r>
        <w:rPr>
          <w:rFonts w:hint="cs"/>
          <w:rtl/>
        </w:rPr>
        <w:t>8 -</w:t>
      </w:r>
      <w:r>
        <w:rPr>
          <w:rFonts w:hint="cs"/>
          <w:rtl/>
        </w:rPr>
        <w:tab/>
        <w:t>إدخال أحكام تمنع قانونا اتخاذ أي تدابير ضارة ترمي إلى الإضرار بضحايا التمييز كرد فعل لرفع شكوى من أجل تعزيز الحماية من التمييز (وذلك للشهود أيضا) تنفيذا للنشرة التوجيهية المعدلة للاتحاد الأوروبي والمعنية بالمساواة في المعاملة والنشرتين التوجيهيتين لمناهضة التمييز.</w:t>
      </w:r>
    </w:p>
    <w:p w:rsidR="00D23E5B" w:rsidRDefault="00D23E5B" w:rsidP="00D23E5B">
      <w:pPr>
        <w:pStyle w:val="SingleTxt"/>
        <w:ind w:left="1930" w:hanging="663"/>
        <w:rPr>
          <w:rFonts w:hint="cs"/>
          <w:b/>
          <w:bCs/>
          <w:rtl/>
        </w:rPr>
      </w:pPr>
      <w:r>
        <w:rPr>
          <w:rFonts w:hint="cs"/>
          <w:b/>
          <w:bCs/>
          <w:rtl/>
        </w:rPr>
        <w:t>التوصية 236</w:t>
      </w:r>
    </w:p>
    <w:p w:rsidR="00D23E5B" w:rsidRDefault="00D23E5B" w:rsidP="00D23E5B">
      <w:pPr>
        <w:pStyle w:val="SingleTxt"/>
        <w:rPr>
          <w:rFonts w:hint="cs"/>
          <w:rtl/>
        </w:rPr>
      </w:pPr>
      <w:r>
        <w:rPr>
          <w:rFonts w:hint="cs"/>
          <w:rtl/>
        </w:rPr>
        <w:tab/>
        <w:t>خلال الفترة التي يغطيها التقرير، تم إجراء تغييرات عدة مرات في تقدير الاستحقاقات المتعلقة بالمعاشات التقاعدية على النحو الوارد أدناه:</w:t>
      </w:r>
    </w:p>
    <w:p w:rsidR="00D23E5B" w:rsidRDefault="00D23E5B" w:rsidP="00D23E5B">
      <w:pPr>
        <w:pStyle w:val="SingleTxt"/>
        <w:rPr>
          <w:rFonts w:hint="cs"/>
          <w:rtl/>
        </w:rPr>
      </w:pPr>
      <w:r>
        <w:rPr>
          <w:rFonts w:hint="cs"/>
          <w:rtl/>
        </w:rPr>
        <w:tab/>
        <w:t xml:space="preserve">في عام 2000: تم زيادة فترات رعاية الأطفال. اعتبارا من عام 2000 وما بعده، تم رفع قاعدة الأساس لكل شهر من شهور رعاية الأطفال بحيث تعادل المبلغ المقابل </w:t>
      </w:r>
      <w:r>
        <w:rPr>
          <w:rFonts w:hint="cs"/>
          <w:rtl/>
          <w:lang w:bidi="ar-LB"/>
        </w:rPr>
        <w:t>ل</w:t>
      </w:r>
      <w:r>
        <w:rPr>
          <w:rFonts w:hint="cs"/>
          <w:rtl/>
        </w:rPr>
        <w:t>لحد الأدنى القانوني للمعاش التقاعدي. وأضيفت إلى استحقاقات المعاشات التقاعدية فترات رعاية الأطفال حتى الذكرى السنوية الرابعة لمولد الطفل.</w:t>
      </w:r>
    </w:p>
    <w:p w:rsidR="00D23E5B" w:rsidRDefault="00D23E5B" w:rsidP="00D23E5B">
      <w:pPr>
        <w:pStyle w:val="SingleTxt"/>
        <w:rPr>
          <w:rFonts w:hint="cs"/>
          <w:rtl/>
        </w:rPr>
      </w:pPr>
      <w:r>
        <w:rPr>
          <w:rFonts w:hint="cs"/>
          <w:rtl/>
        </w:rPr>
        <w:tab/>
        <w:t>في عامي 2001 و 2002: تم تمديد فترة الحصول على التأمينات الاجتماعية بصورة متواصلة وبشروط مؤاتية. وتم تسهيل الحصول على التأمينات الاجتماعية بصورة متواصلة بالنسبة للأشخاص الذين أوقفوا مساهمتهم الإلزامية لبرنامج التأمينات الاجتماعية بسبب قيامهم بمهام الرعاية</w:t>
      </w:r>
      <w:r>
        <w:rPr>
          <w:rFonts w:hint="cs"/>
          <w:rtl/>
          <w:lang w:bidi="ar-LB"/>
        </w:rPr>
        <w:t>.</w:t>
      </w:r>
      <w:r>
        <w:rPr>
          <w:rFonts w:hint="cs"/>
          <w:rtl/>
        </w:rPr>
        <w:t xml:space="preserve"> وإذا كان هذا الأمر يتعلق برعاية قريب يحق له الحصول على بدل عناية من مستوى </w:t>
      </w:r>
      <w:r>
        <w:rPr>
          <w:rFonts w:hint="cs"/>
          <w:rtl/>
          <w:lang w:bidi="ar-LB"/>
        </w:rPr>
        <w:t>3</w:t>
      </w:r>
      <w:r>
        <w:rPr>
          <w:rFonts w:hint="cs"/>
          <w:rtl/>
        </w:rPr>
        <w:t xml:space="preserve"> على الأقل</w:t>
      </w:r>
      <w:r>
        <w:rPr>
          <w:rFonts w:hint="cs"/>
          <w:rtl/>
          <w:lang w:bidi="ar-LB"/>
        </w:rPr>
        <w:t>،</w:t>
      </w:r>
      <w:r>
        <w:rPr>
          <w:rFonts w:hint="cs"/>
          <w:rtl/>
        </w:rPr>
        <w:t xml:space="preserve"> في إطار القانون الاتحادي المعني ببدلات العناية بالمرضى أو القوانين الإقليمية المعنية ببدلات العناية بالمرضى، وإذا كان هؤلاء الأشخاص يتفرغون لرعاية قريب لهم في منزله، تقوم الدولة في هذه الحالة بدفع مساهمة رب العمل المفترضة لشركة التأمين. وبناء عليه، لا يتعين على الشخص الذي ي</w:t>
      </w:r>
      <w:r>
        <w:rPr>
          <w:rFonts w:hint="cs"/>
          <w:rtl/>
          <w:lang w:bidi="ar-LB"/>
        </w:rPr>
        <w:t>قدم</w:t>
      </w:r>
      <w:r>
        <w:rPr>
          <w:rFonts w:hint="cs"/>
          <w:rtl/>
        </w:rPr>
        <w:t xml:space="preserve"> الرعاية دفع المبلغ بأكمله ونسبته 22.8 في المائة، بل مجرد نسبة 10.25 في المائة من قاعدة الأساس</w:t>
      </w:r>
      <w:r>
        <w:rPr>
          <w:rFonts w:hint="cs"/>
          <w:rtl/>
          <w:lang w:bidi="ar-LB"/>
        </w:rPr>
        <w:t>،</w:t>
      </w:r>
      <w:r>
        <w:rPr>
          <w:rFonts w:hint="cs"/>
          <w:rtl/>
        </w:rPr>
        <w:t xml:space="preserve"> مساهمة منه في التأمينات الاجتماعية. والنساء هن اللواتي يستفدن بصورة رئيسية من هذا الترتيب الجديد، بما أن لهن نصيب الأسد في مجال العناية بالمرضى داخل الأسرة، وهن أحيانا مستعدات لترك وظائفهن (أو مرغمات على ذلك) لكي يستطعن القيام بمهام الرعاية.</w:t>
      </w:r>
    </w:p>
    <w:p w:rsidR="00D23E5B" w:rsidRDefault="00D23E5B" w:rsidP="00D23E5B">
      <w:pPr>
        <w:pStyle w:val="SingleTxt"/>
        <w:rPr>
          <w:rFonts w:hint="cs"/>
          <w:rtl/>
        </w:rPr>
      </w:pPr>
      <w:r>
        <w:rPr>
          <w:rFonts w:hint="cs"/>
          <w:rtl/>
        </w:rPr>
        <w:tab/>
        <w:t xml:space="preserve">ومع إدخال </w:t>
      </w:r>
      <w:r>
        <w:rPr>
          <w:rFonts w:hint="cs"/>
          <w:rtl/>
          <w:lang w:bidi="ar-LB"/>
        </w:rPr>
        <w:t>الاستحقاقات</w:t>
      </w:r>
      <w:r>
        <w:rPr>
          <w:rFonts w:hint="cs"/>
          <w:rtl/>
        </w:rPr>
        <w:t xml:space="preserve"> المتعلقة برعاية الأطفال، أصبح هذا المبدأ مكرسا في القانون الذي يعطي للأم حقا في الحصول على معاش تقاعدي بالنسبة لكل طفل، وذلك خلال فترة مدتها 18 شهرا تقوم فيها الأم برعاية طفلها وتحصل على بدل رعاية أطفال (انظر المادة 13، </w:t>
      </w:r>
      <w:r>
        <w:rPr>
          <w:rFonts w:hint="cs"/>
          <w:rtl/>
          <w:lang w:bidi="ar-LB"/>
        </w:rPr>
        <w:t>الحرف (</w:t>
      </w:r>
      <w:r>
        <w:rPr>
          <w:rFonts w:hint="cs"/>
          <w:rtl/>
        </w:rPr>
        <w:t>أ)</w:t>
      </w:r>
      <w:r>
        <w:rPr>
          <w:rFonts w:hint="cs"/>
          <w:rtl/>
          <w:lang w:bidi="ar-LB"/>
        </w:rPr>
        <w:t>)</w:t>
      </w:r>
      <w:r>
        <w:rPr>
          <w:rFonts w:hint="cs"/>
          <w:rtl/>
        </w:rPr>
        <w:t xml:space="preserve">. </w:t>
      </w:r>
    </w:p>
    <w:p w:rsidR="00D23E5B" w:rsidRDefault="00D23E5B" w:rsidP="00D23E5B">
      <w:pPr>
        <w:pStyle w:val="SingleTxt"/>
        <w:rPr>
          <w:rFonts w:hint="cs"/>
          <w:rtl/>
        </w:rPr>
      </w:pPr>
      <w:r>
        <w:rPr>
          <w:rFonts w:hint="cs"/>
          <w:rtl/>
        </w:rPr>
        <w:tab/>
        <w:t xml:space="preserve">في عام 2003: المادة 73 من قانون تنفيذ الميزانية لعام 2003 (النشرة القانونية الاتحادية رقم 71/2003): </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عملية حساب فترات رعاية الأطفال:</w:t>
      </w:r>
    </w:p>
    <w:p w:rsidR="00D23E5B" w:rsidRDefault="00D23E5B" w:rsidP="00D23E5B">
      <w:pPr>
        <w:pStyle w:val="SingleTxt"/>
        <w:rPr>
          <w:rFonts w:hint="cs"/>
          <w:rtl/>
        </w:rPr>
      </w:pPr>
      <w:r>
        <w:rPr>
          <w:rFonts w:hint="cs"/>
          <w:rtl/>
        </w:rPr>
        <w:tab/>
        <w:t xml:space="preserve">اعتبارا من 1 كانون الثاني/يناير 2004، تشكل الأشهر الـ 24 الأولى بعد ولادة الطفل (أي بإضافة ستة أشهر على التشريع السابق) فترة يحق فيها للأم الحصول على معاش تقاعدي إذا كانت الأم تحصل خلال هذه الفترة على بدل رعاية أطفال (المادة 236، الفقرة4، الفقرة الفرعية </w:t>
      </w:r>
      <w:r>
        <w:rPr>
          <w:rFonts w:hint="cs"/>
          <w:rtl/>
          <w:lang w:bidi="ar-LB"/>
        </w:rPr>
        <w:t>(</w:t>
      </w:r>
      <w:r>
        <w:rPr>
          <w:rFonts w:hint="cs"/>
          <w:rtl/>
        </w:rPr>
        <w:t>أ</w:t>
      </w:r>
      <w:r>
        <w:rPr>
          <w:rFonts w:hint="cs"/>
          <w:rtl/>
          <w:lang w:bidi="ar-LB"/>
        </w:rPr>
        <w:t>)</w:t>
      </w:r>
      <w:r>
        <w:rPr>
          <w:rFonts w:hint="cs"/>
          <w:rtl/>
        </w:rPr>
        <w:t xml:space="preserve"> من القانون العام للتأمينات الاجتماعية).</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قاعدة الأساس لفترات رعاية الأطفال:</w:t>
      </w:r>
    </w:p>
    <w:p w:rsidR="00D23E5B" w:rsidRDefault="00D23E5B" w:rsidP="00D23E5B">
      <w:pPr>
        <w:pStyle w:val="SingleTxt"/>
        <w:rPr>
          <w:rFonts w:hint="cs"/>
          <w:rtl/>
        </w:rPr>
      </w:pPr>
      <w:r>
        <w:rPr>
          <w:rFonts w:hint="cs"/>
          <w:rtl/>
        </w:rPr>
        <w:tab/>
        <w:t>قاعدة الأساس لفترات رعاية الأطفال مرتبة بحيث يتم الحصول على زيادة نسبتها 2</w:t>
      </w:r>
      <w:r>
        <w:rPr>
          <w:rFonts w:hint="eastAsia"/>
          <w:rtl/>
        </w:rPr>
        <w:t> </w:t>
      </w:r>
      <w:r>
        <w:rPr>
          <w:rFonts w:hint="cs"/>
          <w:rtl/>
        </w:rPr>
        <w:t xml:space="preserve">في المائة </w:t>
      </w:r>
      <w:r>
        <w:rPr>
          <w:rFonts w:hint="cs"/>
          <w:rtl/>
          <w:lang w:bidi="ar-LB"/>
        </w:rPr>
        <w:t xml:space="preserve">عن </w:t>
      </w:r>
      <w:r>
        <w:rPr>
          <w:rFonts w:hint="cs"/>
          <w:rtl/>
        </w:rPr>
        <w:t>كل سنة تقويمية وبحيث تصل اعتبارا من عام 2008 وما بعده إلى نسبة 150 في المائة من المعدل القياسي لبدلات التعويض التي يحصل عليها غير المتزوجين (المادة 239، الفقرة 1، والمادة 607، الفقرة 6 من القانون العام للتأمينات الاجتماعية).</w:t>
      </w:r>
    </w:p>
    <w:p w:rsidR="00D23E5B" w:rsidRDefault="00D23E5B" w:rsidP="00D23E5B">
      <w:pPr>
        <w:pStyle w:val="SingleTxt"/>
        <w:rPr>
          <w:rFonts w:hint="cs"/>
          <w:rtl/>
        </w:rPr>
      </w:pPr>
      <w:r>
        <w:rPr>
          <w:rFonts w:hint="cs"/>
          <w:rtl/>
        </w:rPr>
        <w:tab/>
        <w:t>انظر أيضا المادة 11، رقم</w:t>
      </w:r>
      <w:r>
        <w:rPr>
          <w:rFonts w:hint="cs"/>
          <w:rtl/>
          <w:lang w:bidi="ar-LB"/>
        </w:rPr>
        <w:t xml:space="preserve"> </w:t>
      </w:r>
      <w:r>
        <w:rPr>
          <w:rFonts w:hint="cs"/>
          <w:rtl/>
        </w:rPr>
        <w:t>1</w:t>
      </w:r>
      <w:r>
        <w:rPr>
          <w:rFonts w:hint="cs"/>
          <w:rtl/>
          <w:lang w:bidi="ar-LB"/>
        </w:rPr>
        <w:t>، الحرف (</w:t>
      </w:r>
      <w:r>
        <w:rPr>
          <w:rFonts w:hint="cs"/>
          <w:rtl/>
        </w:rPr>
        <w:t>هـ</w:t>
      </w:r>
      <w:r>
        <w:rPr>
          <w:rFonts w:hint="cs"/>
          <w:rtl/>
          <w:lang w:bidi="ar-LB"/>
        </w:rPr>
        <w:t>)</w:t>
      </w:r>
      <w:r>
        <w:rPr>
          <w:rFonts w:hint="cs"/>
          <w:rtl/>
        </w:rPr>
        <w:t>.</w:t>
      </w:r>
    </w:p>
    <w:p w:rsidR="00D23E5B" w:rsidRDefault="00D23E5B" w:rsidP="00D23E5B">
      <w:pPr>
        <w:pStyle w:val="SingleTxt"/>
        <w:rPr>
          <w:rFonts w:hint="cs"/>
          <w:b/>
          <w:bCs/>
          <w:rtl/>
        </w:rPr>
      </w:pPr>
      <w:r>
        <w:rPr>
          <w:rFonts w:hint="cs"/>
          <w:b/>
          <w:bCs/>
          <w:rtl/>
        </w:rPr>
        <w:t>التوصية 237</w:t>
      </w:r>
    </w:p>
    <w:p w:rsidR="00D23E5B" w:rsidRDefault="00D23E5B" w:rsidP="00D23E5B">
      <w:pPr>
        <w:pStyle w:val="SingleTxt"/>
        <w:rPr>
          <w:rFonts w:hint="cs"/>
          <w:rtl/>
        </w:rPr>
      </w:pPr>
      <w:r w:rsidRPr="00685098">
        <w:rPr>
          <w:rFonts w:hint="cs"/>
          <w:rtl/>
        </w:rPr>
        <w:tab/>
        <w:t>تسعى المراكز</w:t>
      </w:r>
      <w:r>
        <w:rPr>
          <w:rFonts w:hint="cs"/>
          <w:rtl/>
        </w:rPr>
        <w:t xml:space="preserve"> الصحية النسائية إلى تخفيف حدة اللامساواة الاجتماعية فيما يتعلق بالفرص المتاحة للنساء للمحافظة على صحتهن، وعليه تدعم وزارة الصحة الاتحادية وشؤون المرأة هذه المراكز وفقا للميزانية المتاحة. وبالإضافة إلى المراكز الأربعة القائمة، تم افتتاح مركزين صحيين نسائيين في عام 1999 (المركز الصحي النسائي في كارينثيا ومركز </w:t>
      </w:r>
      <w:r>
        <w:t>FEM</w:t>
      </w:r>
      <w:r>
        <w:rPr>
          <w:rFonts w:hint="cs"/>
          <w:rtl/>
        </w:rPr>
        <w:t xml:space="preserve"> الجنوبي في فيينا). </w:t>
      </w:r>
    </w:p>
    <w:p w:rsidR="00D23E5B" w:rsidRDefault="00D23E5B" w:rsidP="00D23E5B">
      <w:pPr>
        <w:pStyle w:val="SingleTxt"/>
        <w:rPr>
          <w:rFonts w:hint="cs"/>
          <w:rtl/>
        </w:rPr>
      </w:pPr>
      <w:r>
        <w:rPr>
          <w:rFonts w:hint="cs"/>
          <w:rtl/>
        </w:rPr>
        <w:tab/>
        <w:t>وفي نيسان/أبريل 2001، تم إنشاء وحدة تنظيمية اتحادية منفصلة معنية بصحة المرأة هدفها إدخال المنظور الجنساني في القطاع الصحي العام. وبالاستناد إلى توصية منظمة الصحة العالمية بالاستفادة من التقارير الوطنية عن صحة المرأة، تم تحيين تقرير النمسا عن صحة المرأة وفقا للمبادئ التوجيهية التي وضعتها منظمة الصحة العالمية. وبالإضافة إلى ذلك، تم إعداد نشرة تتضمن معلومات عن موضوع الاضطرا</w:t>
      </w:r>
      <w:r>
        <w:rPr>
          <w:rFonts w:hint="cs"/>
          <w:rtl/>
          <w:lang w:bidi="ar-LB"/>
        </w:rPr>
        <w:t>با</w:t>
      </w:r>
      <w:r>
        <w:rPr>
          <w:rFonts w:hint="cs"/>
          <w:rtl/>
        </w:rPr>
        <w:t xml:space="preserve">ت الناجمة عن الطعام </w:t>
      </w:r>
      <w:r>
        <w:rPr>
          <w:rFonts w:hint="cs"/>
          <w:rtl/>
          <w:lang w:bidi="ar-LB"/>
        </w:rPr>
        <w:t>عند</w:t>
      </w:r>
      <w:r>
        <w:rPr>
          <w:rFonts w:hint="cs"/>
          <w:rtl/>
        </w:rPr>
        <w:t xml:space="preserve"> الفتيات والشابات. </w:t>
      </w:r>
    </w:p>
    <w:p w:rsidR="00D23E5B" w:rsidRDefault="00D23E5B" w:rsidP="00D23E5B">
      <w:pPr>
        <w:pStyle w:val="SingleTxt"/>
        <w:rPr>
          <w:rFonts w:hint="cs"/>
          <w:rtl/>
        </w:rPr>
      </w:pPr>
      <w:r>
        <w:rPr>
          <w:rFonts w:hint="cs"/>
          <w:rtl/>
        </w:rPr>
        <w:tab/>
        <w:t xml:space="preserve">وتحلل الدراستان المعنونتان </w:t>
      </w:r>
      <w:r>
        <w:rPr>
          <w:rFonts w:hint="eastAsia"/>
          <w:rtl/>
        </w:rPr>
        <w:t>”المرأة الفقيرة في النمسا: المرأة والصحة العامة</w:t>
      </w:r>
      <w:r>
        <w:rPr>
          <w:rFonts w:hint="cs"/>
          <w:rtl/>
        </w:rPr>
        <w:t xml:space="preserve">“ (2002) و </w:t>
      </w:r>
      <w:r>
        <w:rPr>
          <w:rFonts w:hint="eastAsia"/>
          <w:rtl/>
        </w:rPr>
        <w:t>”الصحة ومخاطر الإصابة بالمرض</w:t>
      </w:r>
      <w:r>
        <w:rPr>
          <w:rFonts w:hint="cs"/>
          <w:rtl/>
        </w:rPr>
        <w:t>“ (2003) العوامل الاجتماعي</w:t>
      </w:r>
      <w:r>
        <w:rPr>
          <w:rFonts w:hint="cs"/>
          <w:rtl/>
          <w:lang w:bidi="ar-LB"/>
        </w:rPr>
        <w:t>ة</w:t>
      </w:r>
      <w:r>
        <w:rPr>
          <w:rFonts w:hint="cs"/>
          <w:rtl/>
        </w:rPr>
        <w:t xml:space="preserve"> - الاقتصادية التي تؤثر على صحة المرأة. وت</w:t>
      </w:r>
      <w:r>
        <w:rPr>
          <w:rFonts w:hint="cs"/>
          <w:rtl/>
          <w:lang w:bidi="ar-LB"/>
        </w:rPr>
        <w:t>عالج</w:t>
      </w:r>
      <w:r>
        <w:rPr>
          <w:rFonts w:hint="cs"/>
          <w:rtl/>
        </w:rPr>
        <w:t xml:space="preserve"> المناسبات التي تركز على صحة المرأة مسائل العنف الموجه ضد المرأة، وصحة المرأة، وتركز على تطوير مفاهيم جديدة لتعزيز صحة المرأة.</w:t>
      </w:r>
    </w:p>
    <w:p w:rsidR="00D23E5B" w:rsidRDefault="00D23E5B" w:rsidP="00D23E5B">
      <w:pPr>
        <w:pStyle w:val="SingleTxt"/>
        <w:rPr>
          <w:rFonts w:hint="cs"/>
          <w:rtl/>
        </w:rPr>
      </w:pPr>
      <w:r>
        <w:rPr>
          <w:rFonts w:hint="cs"/>
          <w:rtl/>
        </w:rPr>
        <w:tab/>
        <w:t xml:space="preserve">وفيما يتعلق بالمستندات </w:t>
      </w:r>
      <w:r>
        <w:rPr>
          <w:rFonts w:hint="cs"/>
          <w:rtl/>
          <w:lang w:bidi="ar-LB"/>
        </w:rPr>
        <w:t xml:space="preserve">المحفوظة </w:t>
      </w:r>
      <w:r>
        <w:rPr>
          <w:rFonts w:hint="cs"/>
          <w:rtl/>
        </w:rPr>
        <w:t>في المستشفيات، تم جمع جميع البيانات المتصلة بجميع المرضى بالإضافة إلى البيانات المتعلقة بالعاملين غير الطبيين في المستشفيات وتم توزيعها على أساس الجنس.</w:t>
      </w:r>
    </w:p>
    <w:p w:rsidR="00D23E5B" w:rsidRDefault="00D23E5B" w:rsidP="00D23E5B">
      <w:pPr>
        <w:pStyle w:val="SingleTxt"/>
        <w:rPr>
          <w:rFonts w:hint="cs"/>
          <w:b/>
          <w:bCs/>
          <w:rtl/>
        </w:rPr>
      </w:pPr>
      <w:r>
        <w:rPr>
          <w:rFonts w:hint="cs"/>
          <w:b/>
          <w:bCs/>
          <w:rtl/>
        </w:rPr>
        <w:t>التوصية 238</w:t>
      </w:r>
    </w:p>
    <w:p w:rsidR="00D23E5B" w:rsidRDefault="00D23E5B" w:rsidP="00D23E5B">
      <w:pPr>
        <w:pStyle w:val="SingleTxt"/>
        <w:rPr>
          <w:rFonts w:hint="cs"/>
          <w:rtl/>
        </w:rPr>
      </w:pPr>
      <w:r>
        <w:rPr>
          <w:rFonts w:hint="cs"/>
          <w:rtl/>
        </w:rPr>
        <w:tab/>
        <w:t xml:space="preserve">كما جاء في التعليقات الواردة في المادة 7، </w:t>
      </w:r>
      <w:r>
        <w:rPr>
          <w:rFonts w:hint="cs"/>
          <w:rtl/>
          <w:lang w:bidi="ar-LB"/>
        </w:rPr>
        <w:t>تم رفع حصة ا</w:t>
      </w:r>
      <w:r>
        <w:rPr>
          <w:rFonts w:hint="cs"/>
          <w:rtl/>
        </w:rPr>
        <w:t>لمرأة في الهيئات السياسية. وخلال الفترة التي يغطيها هذا التقرير، لم يتم تعديل القوانين المنطبقة ولم يتم سن قوانين جديدة.</w:t>
      </w:r>
    </w:p>
    <w:p w:rsidR="00D23E5B" w:rsidRDefault="00D23E5B" w:rsidP="00D23E5B">
      <w:pPr>
        <w:pStyle w:val="SingleTxt"/>
        <w:rPr>
          <w:rFonts w:hint="cs"/>
          <w:b/>
          <w:bCs/>
          <w:rtl/>
        </w:rPr>
      </w:pPr>
      <w:r>
        <w:rPr>
          <w:rFonts w:hint="cs"/>
          <w:b/>
          <w:bCs/>
          <w:rtl/>
        </w:rPr>
        <w:t>التوصية 239</w:t>
      </w:r>
    </w:p>
    <w:p w:rsidR="00D23E5B" w:rsidRDefault="00D23E5B" w:rsidP="00D23E5B">
      <w:pPr>
        <w:pStyle w:val="SingleTxt"/>
        <w:rPr>
          <w:rFonts w:hint="cs"/>
          <w:rtl/>
        </w:rPr>
      </w:pPr>
      <w:r>
        <w:rPr>
          <w:rFonts w:hint="cs"/>
          <w:rtl/>
        </w:rPr>
        <w:tab/>
        <w:t>نتيجة للاتصالات المتكررة بين مكتب أمين المظالم المعني بالمساواة في المعاملة ورئيسة اللجنة المعنية بالمساواة في المعاملة مع وزارة العدل الاتحادية، يجري تنفيذ عملية التسجيل بمساعدة تكنولوجيا المعلومات لجميع مداولات المحاكم النمساوية المختصة بالعمالة والتأمينات الاجتماعية بالنسبة للحالات الناشئة عن قانون المساواة في المعاملة. وكشفت أول التقييمات الإحصائية للبيانات المسجلة للفترة من 1 أيلول/سبتمبر 2003 إلى 31 كانون الثاني/يناير 2004 عن ثلاث مداولات لم يبت فيها بعد في المحاكم وتتعلق بحالات تتصل بالمساواة في المعاملة. وتمشيا مع حجم الوثائق المتعلقة بإقامة العدل وفقا للأمر الصادر عن وزارة العدل الاتحادية في 18 كانون الأول/ديسمبر 2002 (</w:t>
      </w:r>
      <w:r>
        <w:t>JMZ6171/166-PR.5/2002</w:t>
      </w:r>
      <w:r>
        <w:rPr>
          <w:rFonts w:hint="cs"/>
          <w:rtl/>
        </w:rPr>
        <w:t xml:space="preserve">) يجب توثيق وتسجيل جميع قرارات المحكمة غير القابلة للاستئناف بالنسبة للحالات التي تنطوي على انتهاك قانون المساواة في المعاملة في الخدمة المدنية أو قانون المساواة في المعاملة وذلك تحت عنوان </w:t>
      </w:r>
      <w:r>
        <w:rPr>
          <w:rFonts w:hint="eastAsia"/>
          <w:rtl/>
        </w:rPr>
        <w:t>”المساواة في المعاملة</w:t>
      </w:r>
      <w:r>
        <w:rPr>
          <w:rFonts w:hint="cs"/>
          <w:rtl/>
        </w:rPr>
        <w:t>“. ويمكن الاطلاع مجانا على هذه المستندات على شبكة الإنترنت (</w:t>
      </w:r>
      <w:r>
        <w:t>RIS=Rechtsinformation des Bundes</w:t>
      </w:r>
      <w:r>
        <w:rPr>
          <w:rFonts w:hint="cs"/>
          <w:rtl/>
          <w:lang w:bidi="ar-LB"/>
        </w:rPr>
        <w:t xml:space="preserve"> </w:t>
      </w:r>
      <w:hyperlink r:id="rId15" w:history="1">
        <w:r w:rsidRPr="00CC5871">
          <w:rPr>
            <w:rStyle w:val="Hyperlink"/>
          </w:rPr>
          <w:t>http://ris.bka.intra.gv.at</w:t>
        </w:r>
      </w:hyperlink>
      <w:r>
        <w:rPr>
          <w:rFonts w:hint="cs"/>
          <w:rtl/>
        </w:rPr>
        <w:t>). وبفضل وضع الشروط المسبقة التقنية، من الممكن الآن في حالة إقامة العدل تسجيل جميع الحالات وتحديد المداولات التي تنطوي على حالات تنشأ في إطار قانون المساواة في المعاملة في الخدمة المدنية وقانون المساواة في المعاملة. و</w:t>
      </w:r>
      <w:r>
        <w:rPr>
          <w:rFonts w:hint="cs"/>
          <w:rtl/>
          <w:lang w:bidi="ar-LB"/>
        </w:rPr>
        <w:t xml:space="preserve">تتمثل </w:t>
      </w:r>
      <w:r>
        <w:rPr>
          <w:rFonts w:hint="cs"/>
          <w:rtl/>
        </w:rPr>
        <w:t xml:space="preserve">مهمة مكتب إحصاءات النمسا </w:t>
      </w:r>
      <w:r>
        <w:rPr>
          <w:rFonts w:hint="cs"/>
          <w:rtl/>
          <w:lang w:bidi="ar-LB"/>
        </w:rPr>
        <w:t>في</w:t>
      </w:r>
      <w:r>
        <w:rPr>
          <w:rFonts w:hint="cs"/>
          <w:rtl/>
        </w:rPr>
        <w:t xml:space="preserve"> توفير خدمات علمية في ميدان الإحصاءات الاتحادية (المادة 22 من قانون الإحصاءات الاتحادية لعام 2000). وي</w:t>
      </w:r>
      <w:r>
        <w:rPr>
          <w:rFonts w:hint="cs"/>
          <w:rtl/>
          <w:lang w:bidi="ar-LB"/>
        </w:rPr>
        <w:t>قوم</w:t>
      </w:r>
      <w:r>
        <w:rPr>
          <w:rFonts w:hint="cs"/>
          <w:rtl/>
        </w:rPr>
        <w:t xml:space="preserve"> المكتب </w:t>
      </w:r>
      <w:r>
        <w:rPr>
          <w:rFonts w:hint="cs"/>
          <w:rtl/>
          <w:lang w:bidi="ar-LB"/>
        </w:rPr>
        <w:t>ب</w:t>
      </w:r>
      <w:r>
        <w:rPr>
          <w:rFonts w:hint="cs"/>
          <w:rtl/>
        </w:rPr>
        <w:t xml:space="preserve">دراسات استقصائية فصلية في شكل </w:t>
      </w:r>
      <w:r>
        <w:rPr>
          <w:rFonts w:hint="eastAsia"/>
          <w:rtl/>
        </w:rPr>
        <w:t>”تعداد سكان مصغر</w:t>
      </w:r>
      <w:r>
        <w:rPr>
          <w:rFonts w:hint="cs"/>
          <w:rtl/>
        </w:rPr>
        <w:t>“</w:t>
      </w:r>
      <w:r w:rsidRPr="00E84B9A">
        <w:rPr>
          <w:vertAlign w:val="superscript"/>
          <w:rtl/>
        </w:rPr>
        <w:t>(</w:t>
      </w:r>
      <w:r>
        <w:rPr>
          <w:rStyle w:val="FootnoteReference"/>
          <w:rtl/>
        </w:rPr>
        <w:footnoteReference w:id="2"/>
      </w:r>
      <w:r w:rsidRPr="00E84B9A">
        <w:rPr>
          <w:vertAlign w:val="superscript"/>
          <w:rtl/>
        </w:rPr>
        <w:t>)</w:t>
      </w:r>
      <w:r>
        <w:rPr>
          <w:rFonts w:hint="cs"/>
          <w:rtl/>
        </w:rPr>
        <w:t xml:space="preserve"> وتقدم هذه الدراس</w:t>
      </w:r>
      <w:r>
        <w:rPr>
          <w:rFonts w:hint="cs"/>
          <w:rtl/>
          <w:lang w:bidi="ar-LB"/>
        </w:rPr>
        <w:t>ات</w:t>
      </w:r>
      <w:r>
        <w:rPr>
          <w:rFonts w:hint="cs"/>
          <w:rtl/>
        </w:rPr>
        <w:t xml:space="preserve"> معلومات هامة عن سكان النمسا. وتعالج برامج محددة مواضيع مختارة (مثلا المسائل المتصلة بالصحة والأسرة والعاهات الجسدية والحياة العملية، والرعاية الممنوحة لأفراد الأسرة، وإدارة شؤون المنزل، ورعاية الأطفال، والتعليم على مدى الحياة، وتكنولوجيا المعلومات والاتصالات وما شابه ذلك). وتتوفر بيانات خاصة</w:t>
      </w:r>
      <w:r>
        <w:rPr>
          <w:rFonts w:hint="cs"/>
          <w:rtl/>
          <w:lang w:bidi="ar-LB"/>
        </w:rPr>
        <w:t xml:space="preserve"> </w:t>
      </w:r>
      <w:r>
        <w:rPr>
          <w:rFonts w:hint="cs"/>
          <w:rtl/>
        </w:rPr>
        <w:t xml:space="preserve">بالمرأة بفضل هذه الدراسات الاستقصائية. وتم طلب إجراء مزيد من الدراسات الاستقصائية والإحصاءات </w:t>
      </w:r>
      <w:r>
        <w:rPr>
          <w:rFonts w:hint="cs"/>
          <w:rtl/>
          <w:lang w:bidi="ar-LB"/>
        </w:rPr>
        <w:t xml:space="preserve">على أن يتم </w:t>
      </w:r>
      <w:r>
        <w:rPr>
          <w:rFonts w:hint="cs"/>
          <w:rtl/>
        </w:rPr>
        <w:t>تمويلها بشكل مشترك، وتتضمن معلومات محددة قيّمة تتعلق بالمرأة. ومن بينها إحصاءات الاتحاد الأوروبي المتعلقة بالدخل والظروف المعيشية، والإحصاءات المتعلقة بمراكز الرعاية النهارية للأطفال، وإحصاءات التأمينات الاجتماعية، وإحصاءات الرعاية الاجتماعية، والدراسات الاستقصائية للمستهلكين وتقارير عن الدخل.</w:t>
      </w:r>
    </w:p>
    <w:p w:rsidR="00D23E5B" w:rsidRDefault="00D23E5B" w:rsidP="00D23E5B">
      <w:pPr>
        <w:pStyle w:val="SingleTxt"/>
        <w:rPr>
          <w:rFonts w:hint="cs"/>
          <w:rtl/>
        </w:rPr>
      </w:pPr>
      <w:r>
        <w:rPr>
          <w:rFonts w:hint="cs"/>
          <w:rtl/>
        </w:rPr>
        <w:tab/>
        <w:t>وفي إطار الولاية المشتركة ال</w:t>
      </w:r>
      <w:r>
        <w:rPr>
          <w:rFonts w:hint="cs"/>
          <w:rtl/>
          <w:lang w:bidi="ar-LB"/>
        </w:rPr>
        <w:t xml:space="preserve">تي </w:t>
      </w:r>
      <w:r>
        <w:rPr>
          <w:rFonts w:hint="cs"/>
          <w:rtl/>
        </w:rPr>
        <w:t>منح</w:t>
      </w:r>
      <w:r>
        <w:rPr>
          <w:rFonts w:hint="cs"/>
          <w:rtl/>
          <w:lang w:bidi="ar-LB"/>
        </w:rPr>
        <w:t>تها</w:t>
      </w:r>
      <w:r>
        <w:rPr>
          <w:rFonts w:hint="cs"/>
          <w:rtl/>
        </w:rPr>
        <w:t xml:space="preserve"> الوزارة الاتحادية للتأمينات الاجتماعية والأجيال والوزارة الاتحادية للتعليم والعلوم والثقافة من أجل جمع بيانات محددة عن المرأة، وضع مكتب إحصاءات النمسا تقريرا عنوانه </w:t>
      </w:r>
      <w:r>
        <w:rPr>
          <w:rFonts w:hint="eastAsia"/>
          <w:rtl/>
        </w:rPr>
        <w:t>”التفاوت بين الجنسين</w:t>
      </w:r>
      <w:r>
        <w:rPr>
          <w:rFonts w:hint="cs"/>
          <w:rtl/>
        </w:rPr>
        <w:t>“ وقد تم نشر هذا التقرير في عام 2002. ويتضمن تحليلات إحصائية عن التفاوت بين الجنسين في المجالات التالية: الهياكل الديمغرافية/أساليب الحياة والتعليم والنشاط المدر للدخل، والدخل/مستويات المعيشة والصحة والأنشطة الترفيهية، وتوزيع العمل داخل الأسرة، والدعم الذي تقدمه المؤسسات، والمقارنة بالاتحاد الأوروبي. ويمكن الحصول على هذه النشرة مجانا (بما في ذلك في شكل أقراص حاسوبية مدمجة) كما يمكن الاطلاع عليها على شبكة الإنترنت</w:t>
      </w:r>
      <w:r w:rsidRPr="006A6014">
        <w:rPr>
          <w:vertAlign w:val="superscript"/>
          <w:rtl/>
        </w:rPr>
        <w:t>(</w:t>
      </w:r>
      <w:r>
        <w:rPr>
          <w:rStyle w:val="FootnoteReference"/>
          <w:rtl/>
        </w:rPr>
        <w:footnoteReference w:id="3"/>
      </w:r>
      <w:r w:rsidRPr="006A6014">
        <w:rPr>
          <w:vertAlign w:val="superscript"/>
          <w:rtl/>
        </w:rPr>
        <w:t>)</w:t>
      </w:r>
      <w:r>
        <w:rPr>
          <w:rFonts w:hint="cs"/>
          <w:rtl/>
        </w:rPr>
        <w:t>.</w:t>
      </w:r>
    </w:p>
    <w:p w:rsidR="00D23E5B" w:rsidRDefault="00D23E5B" w:rsidP="00D23E5B">
      <w:pPr>
        <w:pStyle w:val="SingleTxt"/>
        <w:rPr>
          <w:rFonts w:hint="cs"/>
          <w:rtl/>
        </w:rPr>
      </w:pPr>
      <w:r>
        <w:rPr>
          <w:rFonts w:hint="cs"/>
          <w:rtl/>
        </w:rPr>
        <w:tab/>
        <w:t xml:space="preserve">وفي إطار برنامج </w:t>
      </w:r>
      <w:r>
        <w:rPr>
          <w:rFonts w:hint="eastAsia"/>
          <w:rtl/>
        </w:rPr>
        <w:t>”المرأة في مجال الأبحاث والتكنولوجيا</w:t>
      </w:r>
      <w:r>
        <w:rPr>
          <w:rFonts w:hint="cs"/>
          <w:rtl/>
        </w:rPr>
        <w:t xml:space="preserve">“ يتم إعداد قاعدة بيانات </w:t>
      </w:r>
      <w:r>
        <w:rPr>
          <w:rFonts w:hint="cs"/>
          <w:rtl/>
          <w:lang w:bidi="ar-LB"/>
        </w:rPr>
        <w:t>ل</w:t>
      </w:r>
      <w:r>
        <w:rPr>
          <w:rFonts w:hint="cs"/>
          <w:rtl/>
        </w:rPr>
        <w:t>لخبراء من النساء. وتتألف قاعدة البيانات من أسماء وعناوين الخب</w:t>
      </w:r>
      <w:r>
        <w:rPr>
          <w:rFonts w:hint="cs"/>
          <w:rtl/>
          <w:lang w:bidi="ar-LB"/>
        </w:rPr>
        <w:t>يرات</w:t>
      </w:r>
      <w:r>
        <w:rPr>
          <w:rFonts w:hint="cs"/>
          <w:rtl/>
        </w:rPr>
        <w:t xml:space="preserve"> الوطني</w:t>
      </w:r>
      <w:r>
        <w:rPr>
          <w:rFonts w:hint="cs"/>
          <w:rtl/>
          <w:lang w:bidi="ar-LB"/>
        </w:rPr>
        <w:t>ات</w:t>
      </w:r>
      <w:r>
        <w:rPr>
          <w:rFonts w:hint="cs"/>
          <w:rtl/>
        </w:rPr>
        <w:t xml:space="preserve"> والدولي</w:t>
      </w:r>
      <w:r>
        <w:rPr>
          <w:rFonts w:hint="cs"/>
          <w:rtl/>
          <w:lang w:bidi="ar-LB"/>
        </w:rPr>
        <w:t>ات</w:t>
      </w:r>
      <w:r>
        <w:rPr>
          <w:rFonts w:hint="cs"/>
          <w:rtl/>
        </w:rPr>
        <w:t xml:space="preserve"> في ميداني العلم والتكنولوجيا، وهذا من شأنه أن يبرز دور المرأة، ويسمح بتعيين خب</w:t>
      </w:r>
      <w:r>
        <w:rPr>
          <w:rFonts w:hint="cs"/>
          <w:rtl/>
          <w:lang w:bidi="ar-LB"/>
        </w:rPr>
        <w:t>راء</w:t>
      </w:r>
      <w:r>
        <w:rPr>
          <w:rFonts w:hint="cs"/>
          <w:rtl/>
        </w:rPr>
        <w:t xml:space="preserve"> في هيئات المحلفين، والمنتدي</w:t>
      </w:r>
      <w:r w:rsidR="007007C1">
        <w:rPr>
          <w:rFonts w:hint="cs"/>
          <w:rtl/>
        </w:rPr>
        <w:t>ـــ</w:t>
      </w:r>
      <w:r>
        <w:rPr>
          <w:rFonts w:hint="cs"/>
          <w:rtl/>
        </w:rPr>
        <w:t>ات وحلقات المناقشة يكون الرجل والمرأة ممثلين فيها بشكل متوازن.</w:t>
      </w:r>
    </w:p>
    <w:p w:rsidR="007007C1" w:rsidRDefault="007007C1" w:rsidP="00D23E5B">
      <w:pPr>
        <w:pStyle w:val="SingleTxt"/>
        <w:rPr>
          <w:rFonts w:hint="cs"/>
          <w:rtl/>
        </w:rPr>
      </w:pPr>
    </w:p>
    <w:p w:rsidR="007007C1" w:rsidRDefault="007007C1" w:rsidP="00D23E5B">
      <w:pPr>
        <w:pStyle w:val="SingleTxt"/>
        <w:rPr>
          <w:rFonts w:hint="cs"/>
          <w:rtl/>
        </w:rPr>
      </w:pPr>
    </w:p>
    <w:p w:rsidR="00D23E5B" w:rsidRDefault="00D23E5B" w:rsidP="00D23E5B">
      <w:pPr>
        <w:pStyle w:val="SingleTxt"/>
        <w:rPr>
          <w:rFonts w:hint="cs"/>
          <w:b/>
          <w:bCs/>
          <w:rtl/>
        </w:rPr>
      </w:pPr>
      <w:r>
        <w:rPr>
          <w:rFonts w:hint="cs"/>
          <w:b/>
          <w:bCs/>
          <w:rtl/>
        </w:rPr>
        <w:t>التوصية 240</w:t>
      </w:r>
    </w:p>
    <w:p w:rsidR="00D23E5B" w:rsidRDefault="00D23E5B" w:rsidP="00D23E5B">
      <w:pPr>
        <w:pStyle w:val="SingleTxt"/>
        <w:rPr>
          <w:rFonts w:hint="cs"/>
          <w:rtl/>
        </w:rPr>
      </w:pPr>
      <w:r>
        <w:rPr>
          <w:rFonts w:hint="cs"/>
          <w:rtl/>
        </w:rPr>
        <w:tab/>
        <w:t>إن مشروع المرأة والتكنولوجيا (مشروع متابعة) الذي يرد وصف له في المادة</w:t>
      </w:r>
      <w:r>
        <w:rPr>
          <w:rFonts w:hint="eastAsia"/>
          <w:rtl/>
        </w:rPr>
        <w:t> </w:t>
      </w:r>
      <w:r>
        <w:rPr>
          <w:rFonts w:hint="cs"/>
          <w:rtl/>
        </w:rPr>
        <w:t>10،</w:t>
      </w:r>
      <w:r>
        <w:rPr>
          <w:rFonts w:hint="eastAsia"/>
          <w:rtl/>
        </w:rPr>
        <w:t> </w:t>
      </w:r>
      <w:r>
        <w:rPr>
          <w:rFonts w:hint="cs"/>
          <w:rtl/>
          <w:lang w:bidi="ar-LB"/>
        </w:rPr>
        <w:t xml:space="preserve">الحرف </w:t>
      </w:r>
      <w:r>
        <w:rPr>
          <w:rFonts w:hint="cs"/>
          <w:rtl/>
        </w:rPr>
        <w:t>(ج) ينبغي بعد استكماله أن يكون بمثابة شبكة ذات اكتفاء ذاتي تقدم فرص عمل محسنة في قطاع تكنولوجيا المعلومات.</w:t>
      </w:r>
    </w:p>
    <w:p w:rsidR="00D23E5B" w:rsidRDefault="00D23E5B" w:rsidP="00D23E5B">
      <w:pPr>
        <w:pStyle w:val="SingleTxt"/>
        <w:rPr>
          <w:rFonts w:hint="cs"/>
          <w:rtl/>
        </w:rPr>
      </w:pPr>
      <w:r>
        <w:rPr>
          <w:rFonts w:hint="cs"/>
          <w:rtl/>
        </w:rPr>
        <w:tab/>
        <w:t xml:space="preserve">وقد تم تنفيذ 25 تدبيرا تم اقتراحها في </w:t>
      </w:r>
      <w:r>
        <w:rPr>
          <w:rFonts w:hint="eastAsia"/>
          <w:rtl/>
        </w:rPr>
        <w:t>”الكتاب الأبيض المعني بالنهوض بالمرأة في مجال العلوم</w:t>
      </w:r>
      <w:r>
        <w:rPr>
          <w:rFonts w:hint="cs"/>
          <w:rtl/>
        </w:rPr>
        <w:t xml:space="preserve">“ خلال الفترة التي يغطيها التقرير (انظر المادة 10، </w:t>
      </w:r>
      <w:r>
        <w:rPr>
          <w:rFonts w:hint="cs"/>
          <w:rtl/>
          <w:lang w:bidi="ar-LB"/>
        </w:rPr>
        <w:t xml:space="preserve">الحرف </w:t>
      </w:r>
      <w:r>
        <w:rPr>
          <w:rFonts w:hint="cs"/>
          <w:rtl/>
        </w:rPr>
        <w:t xml:space="preserve">(ج)). وقدمت دراستان </w:t>
      </w:r>
      <w:r>
        <w:rPr>
          <w:rFonts w:hint="eastAsia"/>
          <w:rtl/>
        </w:rPr>
        <w:t>”دخل المرأة والرجل في العمالة التابعة</w:t>
      </w:r>
      <w:r>
        <w:rPr>
          <w:rFonts w:hint="cs"/>
          <w:rtl/>
        </w:rPr>
        <w:t xml:space="preserve">” و </w:t>
      </w:r>
      <w:r>
        <w:rPr>
          <w:rFonts w:hint="eastAsia"/>
          <w:rtl/>
        </w:rPr>
        <w:t>”تقييم الوظائف غير التمييزية وتنظيم العمل</w:t>
      </w:r>
      <w:r>
        <w:rPr>
          <w:rFonts w:hint="cs"/>
          <w:rtl/>
        </w:rPr>
        <w:t>“ بيانات تم على أساسها إعداد مشروع إصلاحي شامل وضعته نقابة عمال مصانع المعادن والنسيج (انظر التوصيتين 233 و 234).</w:t>
      </w:r>
    </w:p>
    <w:p w:rsidR="00D23E5B" w:rsidRDefault="00D23E5B" w:rsidP="00D23E5B">
      <w:pPr>
        <w:pStyle w:val="SingleTxt"/>
        <w:rPr>
          <w:rFonts w:hint="cs"/>
          <w:b/>
          <w:bCs/>
          <w:rtl/>
        </w:rPr>
      </w:pPr>
      <w:r>
        <w:rPr>
          <w:rFonts w:hint="cs"/>
          <w:b/>
          <w:bCs/>
          <w:rtl/>
        </w:rPr>
        <w:t>التوصية 241</w:t>
      </w:r>
    </w:p>
    <w:p w:rsidR="00D23E5B" w:rsidRDefault="00D23E5B" w:rsidP="00D23E5B">
      <w:pPr>
        <w:pStyle w:val="SingleTxt"/>
        <w:rPr>
          <w:rFonts w:hint="cs"/>
          <w:rtl/>
        </w:rPr>
      </w:pPr>
      <w:r>
        <w:rPr>
          <w:rFonts w:hint="cs"/>
          <w:b/>
          <w:bCs/>
          <w:rtl/>
        </w:rPr>
        <w:tab/>
      </w:r>
      <w:r>
        <w:rPr>
          <w:rFonts w:hint="cs"/>
          <w:rtl/>
        </w:rPr>
        <w:t xml:space="preserve">تمشيا مع المبدأ التعليمي </w:t>
      </w:r>
      <w:r>
        <w:rPr>
          <w:rFonts w:hint="eastAsia"/>
          <w:rtl/>
        </w:rPr>
        <w:t>”التربية الاجتماعية</w:t>
      </w:r>
      <w:r>
        <w:rPr>
          <w:rFonts w:hint="cs"/>
          <w:rtl/>
        </w:rPr>
        <w:t xml:space="preserve">“، يساعد مركز الخدمات لتعليم حقوق الإنسان المعلمين في المدارس النمساوية </w:t>
      </w:r>
      <w:r>
        <w:rPr>
          <w:rFonts w:hint="cs"/>
          <w:rtl/>
          <w:lang w:bidi="ar-LB"/>
        </w:rPr>
        <w:t>على</w:t>
      </w:r>
      <w:r>
        <w:rPr>
          <w:rFonts w:hint="cs"/>
          <w:rtl/>
        </w:rPr>
        <w:t xml:space="preserve"> تدريس موضوع حقوق الإنسان. وبالإضافة إلى إسداء المشورة الشخصية يتم باستمرار توسيع نطاق المعلومات والخدمات المتاحة. ويتم</w:t>
      </w:r>
      <w:r>
        <w:rPr>
          <w:rFonts w:hint="eastAsia"/>
          <w:rtl/>
        </w:rPr>
        <w:t> </w:t>
      </w:r>
      <w:r>
        <w:rPr>
          <w:rFonts w:hint="cs"/>
          <w:rtl/>
        </w:rPr>
        <w:t xml:space="preserve">بشكل فصلي إصدار النشرة </w:t>
      </w:r>
      <w:r>
        <w:rPr>
          <w:rFonts w:hint="eastAsia"/>
          <w:rtl/>
        </w:rPr>
        <w:t>”تدريس حقوق الإنسان</w:t>
      </w:r>
      <w:r>
        <w:rPr>
          <w:rFonts w:hint="cs"/>
          <w:rtl/>
        </w:rPr>
        <w:t>“؛ وعالج أحد الأعداد (رقم</w:t>
      </w:r>
      <w:r>
        <w:rPr>
          <w:rFonts w:hint="eastAsia"/>
          <w:rtl/>
        </w:rPr>
        <w:t> </w:t>
      </w:r>
      <w:r>
        <w:rPr>
          <w:rFonts w:hint="cs"/>
          <w:rtl/>
        </w:rPr>
        <w:t>5</w:t>
      </w:r>
      <w:r>
        <w:rPr>
          <w:rFonts w:hint="cs"/>
          <w:rtl/>
          <w:lang w:bidi="ar-LB"/>
        </w:rPr>
        <w:t>/</w:t>
      </w:r>
      <w:r>
        <w:rPr>
          <w:rFonts w:hint="cs"/>
          <w:rtl/>
        </w:rPr>
        <w:t>2000) بصورة محددة حقوق الإنسان للمرأة.</w:t>
      </w:r>
    </w:p>
    <w:p w:rsidR="00D23E5B" w:rsidRDefault="00D23E5B" w:rsidP="00D23E5B">
      <w:pPr>
        <w:pStyle w:val="SingleTxt"/>
        <w:rPr>
          <w:rFonts w:hint="cs"/>
          <w:rtl/>
        </w:rPr>
      </w:pPr>
      <w:r>
        <w:rPr>
          <w:rFonts w:hint="cs"/>
          <w:rtl/>
        </w:rPr>
        <w:tab/>
        <w:t>التركيز على حقوق الإنسان للمرأة أثناء الرئاسة النمساوية لشبكة الأمن البشري: تدعم النمسا بشكل نشط التزام المجتمع الدولي في هذا المجال. ويجب احترام حقوق المرأة في جميع الميادين السياس</w:t>
      </w:r>
      <w:r>
        <w:rPr>
          <w:rFonts w:hint="cs"/>
          <w:rtl/>
          <w:lang w:bidi="ar-LB"/>
        </w:rPr>
        <w:t>ي</w:t>
      </w:r>
      <w:r>
        <w:rPr>
          <w:rFonts w:hint="cs"/>
          <w:rtl/>
        </w:rPr>
        <w:t>ة وا</w:t>
      </w:r>
      <w:r>
        <w:rPr>
          <w:rFonts w:hint="cs"/>
          <w:rtl/>
          <w:lang w:bidi="ar-LB"/>
        </w:rPr>
        <w:t>لا</w:t>
      </w:r>
      <w:r>
        <w:rPr>
          <w:rFonts w:hint="cs"/>
          <w:rtl/>
        </w:rPr>
        <w:t>جتم</w:t>
      </w:r>
      <w:r>
        <w:rPr>
          <w:rFonts w:hint="cs"/>
          <w:rtl/>
          <w:lang w:bidi="ar-LB"/>
        </w:rPr>
        <w:t>ا</w:t>
      </w:r>
      <w:r>
        <w:rPr>
          <w:rFonts w:hint="cs"/>
          <w:rtl/>
        </w:rPr>
        <w:t>ع</w:t>
      </w:r>
      <w:r>
        <w:rPr>
          <w:rFonts w:hint="cs"/>
          <w:rtl/>
          <w:lang w:bidi="ar-LB"/>
        </w:rPr>
        <w:t>ية</w:t>
      </w:r>
      <w:r>
        <w:rPr>
          <w:rFonts w:hint="cs"/>
          <w:rtl/>
        </w:rPr>
        <w:t xml:space="preserve"> من أجل ضمان حمايتها بصورة فعالة. وفي هذا السياق، يعتبر تدريس حقوق الإنسان موضوعا ذا أهمية حاسمة. وأثناء الرئاسة النمساوية لشبكة الأمن البشري في الفترة بين عا</w:t>
      </w:r>
      <w:r>
        <w:rPr>
          <w:rFonts w:hint="cs"/>
          <w:rtl/>
          <w:lang w:bidi="ar-LB"/>
        </w:rPr>
        <w:t>مي</w:t>
      </w:r>
      <w:r>
        <w:rPr>
          <w:rFonts w:hint="cs"/>
          <w:rtl/>
        </w:rPr>
        <w:t xml:space="preserve"> 2002 و 2003، تم إعداد كتيب عن تدريس حقوق الإنسان عنوانه </w:t>
      </w:r>
      <w:r>
        <w:rPr>
          <w:rFonts w:hint="eastAsia"/>
          <w:rtl/>
        </w:rPr>
        <w:t>”فهم حقوق الإنسان</w:t>
      </w:r>
      <w:r>
        <w:rPr>
          <w:rFonts w:hint="cs"/>
          <w:rtl/>
        </w:rPr>
        <w:t xml:space="preserve">“ اعتمده الوزراء الذين يتعاونون </w:t>
      </w:r>
      <w:r>
        <w:rPr>
          <w:rFonts w:hint="cs"/>
          <w:rtl/>
          <w:lang w:bidi="ar-LB"/>
        </w:rPr>
        <w:t>مع</w:t>
      </w:r>
      <w:r>
        <w:rPr>
          <w:rFonts w:hint="cs"/>
          <w:rtl/>
        </w:rPr>
        <w:t xml:space="preserve"> الشبكة. ويتألف هذا الكتيب الذي يمكن استخدامه في كل أنحاء العالم من ثلاث عشرة وحدة، </w:t>
      </w:r>
      <w:r>
        <w:rPr>
          <w:rFonts w:hint="cs"/>
          <w:rtl/>
          <w:lang w:bidi="ar-LB"/>
        </w:rPr>
        <w:t>و</w:t>
      </w:r>
      <w:r>
        <w:rPr>
          <w:rFonts w:hint="cs"/>
          <w:rtl/>
        </w:rPr>
        <w:t>يعالج إحداها موضوع حقوق الإنسان للمرأة. ويجري الآن ترجمة هذا الكتيب إلى جميع اللغات الرئيسية في العالم، وأوصى الأمين العام للأمم المتحدة والمنظمات الدولية التي تعمل في مختلف جوانب تدريس حقوق الإنسان المجتمع الدولي بالاطلاع عليه.</w:t>
      </w:r>
    </w:p>
    <w:p w:rsidR="00D23E5B" w:rsidRDefault="00D23E5B" w:rsidP="00D23E5B">
      <w:pPr>
        <w:pStyle w:val="SingleTxt"/>
        <w:rPr>
          <w:rFonts w:hint="cs"/>
          <w:rtl/>
        </w:rPr>
      </w:pPr>
      <w:r>
        <w:rPr>
          <w:rFonts w:hint="cs"/>
          <w:rtl/>
        </w:rPr>
        <w:tab/>
        <w:t>وهناك نشاط آخر يتصل بصورة محددة بحقوق الإنسان للمرأة أثناء فترة الرئاسة النمساوية لشبكة الأمن البشري</w:t>
      </w:r>
      <w:r>
        <w:rPr>
          <w:rFonts w:hint="cs"/>
          <w:rtl/>
          <w:lang w:bidi="ar-LB"/>
        </w:rPr>
        <w:t>،</w:t>
      </w:r>
      <w:r>
        <w:rPr>
          <w:rFonts w:hint="cs"/>
          <w:rtl/>
        </w:rPr>
        <w:t xml:space="preserve"> وتمثل هذا النشاط في إعداد ورقة سياسية لحماية الأطفال في الصراعات المسلحة، وتعالج هذه الورقة أيضا مشاركة الفتيات والشابات في الجهود المبذولة لب</w:t>
      </w:r>
      <w:r>
        <w:rPr>
          <w:rFonts w:hint="cs"/>
          <w:rtl/>
          <w:lang w:bidi="ar-LB"/>
        </w:rPr>
        <w:t>ناء</w:t>
      </w:r>
      <w:r>
        <w:rPr>
          <w:rFonts w:hint="cs"/>
          <w:rtl/>
        </w:rPr>
        <w:t xml:space="preserve"> سلام دائم في حالات ما بعد الصراع.</w:t>
      </w:r>
    </w:p>
    <w:p w:rsidR="00D23E5B" w:rsidRDefault="00D23E5B" w:rsidP="00D23E5B">
      <w:pPr>
        <w:pStyle w:val="SingleTxt"/>
        <w:rPr>
          <w:rFonts w:hint="cs"/>
          <w:b/>
          <w:bCs/>
          <w:rtl/>
        </w:rPr>
      </w:pPr>
      <w:r>
        <w:rPr>
          <w:rFonts w:hint="cs"/>
          <w:b/>
          <w:bCs/>
          <w:rtl/>
        </w:rPr>
        <w:t>التوصية 243</w:t>
      </w:r>
    </w:p>
    <w:p w:rsidR="00D23E5B" w:rsidRDefault="00D23E5B" w:rsidP="00D23E5B">
      <w:pPr>
        <w:pStyle w:val="SingleTxt"/>
        <w:rPr>
          <w:rFonts w:hint="cs"/>
          <w:rtl/>
        </w:rPr>
      </w:pPr>
      <w:r>
        <w:rPr>
          <w:rFonts w:hint="cs"/>
          <w:rtl/>
        </w:rPr>
        <w:tab/>
        <w:t>بهدف نشر محتويات اتفاقية القضاء على جميع أشكال التمييز ضد المرأة، والبروتوكول الاختياري المرفق بها، ومنهاج عمل بيجين، تم توفير معلومات ذات صلة على موقع دائرة المرأة في وزارة الصحة الاتحادية وشؤون المرأة. وتم أيضا وضع تقارير النمسا الوطنية الثالث والرابع والخامس بما في ذلك توصيات اللجنة المعنية بالقضاء على التمييز ضد المرأة على موقع دائرة المرأة أثناء الفترة التي يغطيها التقرير. ويستطيع الجمهور الحصول مجانا على نسخة مطبوعة من التقارير، وذلك من الوزارة المختصة.</w:t>
      </w:r>
    </w:p>
    <w:p w:rsidR="00D23E5B" w:rsidRDefault="00D23E5B" w:rsidP="00D23E5B">
      <w:pPr>
        <w:pStyle w:val="SingleTxt"/>
        <w:rPr>
          <w:rFonts w:hint="cs"/>
          <w:rtl/>
        </w:rPr>
      </w:pPr>
      <w:r>
        <w:rPr>
          <w:rFonts w:hint="cs"/>
          <w:rtl/>
        </w:rPr>
        <w:tab/>
        <w:t xml:space="preserve">وبالإضافة إلى ذلك، أبلغت الوزارة الاتحادية المعنية بشؤون المرأة في تقريرها المقدم </w:t>
      </w:r>
      <w:r>
        <w:rPr>
          <w:rFonts w:hint="cs"/>
          <w:rtl/>
          <w:lang w:bidi="ar-LB"/>
        </w:rPr>
        <w:t xml:space="preserve">إلى </w:t>
      </w:r>
      <w:r>
        <w:rPr>
          <w:rFonts w:hint="cs"/>
          <w:rtl/>
        </w:rPr>
        <w:t xml:space="preserve">مجلس الوزراء في 20 حزيران/يونيه 2000 الحكومة الاتحادية النمساوية بمسلك ومضمون مراجعة تقرير النمسا في الجلسة 23 التي عقدتها اللجنة المعنية بالقضاء على التمييز ضد المرأة. </w:t>
      </w:r>
    </w:p>
    <w:p w:rsidR="00D23E5B" w:rsidRPr="009D4C8B" w:rsidRDefault="00D23E5B" w:rsidP="00D23E5B">
      <w:pPr>
        <w:pStyle w:val="SingleTxt"/>
        <w:rPr>
          <w:rFonts w:hint="cs"/>
          <w:b/>
          <w:bCs/>
          <w:rtl/>
        </w:rPr>
      </w:pPr>
      <w:r w:rsidRPr="009D4C8B">
        <w:rPr>
          <w:rFonts w:hint="cs"/>
          <w:b/>
          <w:bCs/>
          <w:rtl/>
        </w:rPr>
        <w:t>2 -</w:t>
      </w:r>
      <w:r w:rsidRPr="009D4C8B">
        <w:rPr>
          <w:rFonts w:hint="cs"/>
          <w:b/>
          <w:bCs/>
          <w:rtl/>
        </w:rPr>
        <w:tab/>
        <w:t>تنفيذ الاتفاقية</w:t>
      </w:r>
    </w:p>
    <w:p w:rsidR="00D23E5B" w:rsidRDefault="00D23E5B" w:rsidP="00D23E5B">
      <w:pPr>
        <w:pStyle w:val="SingleTxt"/>
        <w:rPr>
          <w:rFonts w:hint="cs"/>
          <w:b/>
          <w:bCs/>
          <w:rtl/>
        </w:rPr>
      </w:pPr>
      <w:r>
        <w:rPr>
          <w:rFonts w:hint="cs"/>
          <w:b/>
          <w:bCs/>
          <w:rtl/>
        </w:rPr>
        <w:t>المادة 2</w:t>
      </w:r>
    </w:p>
    <w:p w:rsidR="00D23E5B" w:rsidRDefault="00D23E5B" w:rsidP="00D23E5B">
      <w:pPr>
        <w:pStyle w:val="SingleTxt"/>
        <w:rPr>
          <w:rFonts w:hint="cs"/>
          <w:rtl/>
        </w:rPr>
      </w:pPr>
      <w:r>
        <w:rPr>
          <w:rFonts w:hint="cs"/>
          <w:b/>
          <w:bCs/>
          <w:rtl/>
        </w:rPr>
        <w:tab/>
      </w:r>
      <w:r>
        <w:rPr>
          <w:rFonts w:hint="cs"/>
          <w:rtl/>
        </w:rPr>
        <w:t xml:space="preserve">سحبت النمسا تحفظاتها </w:t>
      </w:r>
      <w:r>
        <w:rPr>
          <w:rFonts w:hint="cs"/>
          <w:rtl/>
          <w:lang w:bidi="ar-LB"/>
        </w:rPr>
        <w:t xml:space="preserve">على </w:t>
      </w:r>
      <w:r>
        <w:rPr>
          <w:rFonts w:hint="cs"/>
          <w:rtl/>
        </w:rPr>
        <w:t xml:space="preserve">المادتين 5 و 7 من الاتفاقية (انظر التعليقات على التوصية 219). وبالإضافة إلى ذلك، صدقت النمسا في عام 2000 على البروتوكول الاختياري لاتفاقية القضاء على جميع أشكال التمييز ضد المرأة ونفذتها في تشريعها الوطني (النشرة القانونية الاتحادية الثالثة رقم 206/2000). </w:t>
      </w:r>
    </w:p>
    <w:p w:rsidR="00D23E5B" w:rsidRDefault="00D23E5B" w:rsidP="00D23E5B">
      <w:pPr>
        <w:pStyle w:val="SingleTxt"/>
        <w:rPr>
          <w:rFonts w:hint="cs"/>
          <w:rtl/>
        </w:rPr>
      </w:pPr>
      <w:r>
        <w:rPr>
          <w:rFonts w:hint="cs"/>
          <w:rtl/>
        </w:rPr>
        <w:tab/>
        <w:t xml:space="preserve">ويجدر الإشارة إلى التقارير السابقة، وبصفة خاصة إلى المعلومات الواردة بشأن الحالة الدستورية والقانونية في النمسا. ومما يضمن أنه يتم تقييم حالة تنفيذ سياسات المساواة بين الجنسين بصورة منتظمة وجوب تقديم التقارير التالية: </w:t>
      </w:r>
      <w:r>
        <w:rPr>
          <w:rFonts w:hint="cs"/>
          <w:rtl/>
          <w:lang w:bidi="ar-LB"/>
        </w:rPr>
        <w:t xml:space="preserve">تقديم </w:t>
      </w:r>
      <w:r>
        <w:rPr>
          <w:rFonts w:hint="cs"/>
          <w:rtl/>
        </w:rPr>
        <w:t xml:space="preserve">تقرير إلى البرلمان عن حالة وتطوير المساواة في المعاملة في النمسا، كل خمس سنوات، عملا بالمادة 10 (أ) من قانون المساواة في المعاملة؛ وتقرير الحكومة الاتحادية عن القضاء على التمييز ضد المرأة، النشرة القومية الاتحادية رقم 837/1992؛ وتقرير الحكومة الاتحادية عن </w:t>
      </w:r>
      <w:r>
        <w:rPr>
          <w:rFonts w:hint="cs"/>
          <w:rtl/>
          <w:lang w:bidi="ar-LB"/>
        </w:rPr>
        <w:t>تكافؤ</w:t>
      </w:r>
      <w:r>
        <w:rPr>
          <w:rFonts w:hint="cs"/>
          <w:rtl/>
        </w:rPr>
        <w:t xml:space="preserve"> </w:t>
      </w:r>
      <w:r>
        <w:rPr>
          <w:rFonts w:hint="cs"/>
          <w:rtl/>
          <w:lang w:bidi="ar-LB"/>
        </w:rPr>
        <w:t>ال</w:t>
      </w:r>
      <w:r>
        <w:rPr>
          <w:rFonts w:hint="cs"/>
          <w:rtl/>
        </w:rPr>
        <w:t>فرص و</w:t>
      </w:r>
      <w:r>
        <w:rPr>
          <w:rFonts w:hint="cs"/>
          <w:rtl/>
          <w:lang w:bidi="ar-LB"/>
        </w:rPr>
        <w:t xml:space="preserve">عن </w:t>
      </w:r>
      <w:r>
        <w:rPr>
          <w:rFonts w:hint="cs"/>
          <w:rtl/>
        </w:rPr>
        <w:t>مدى التقدم المحرز في تحقيق المساواة في المعاملة والنهوض بالمرأة في الخدمة الاتحادية</w:t>
      </w:r>
      <w:r>
        <w:rPr>
          <w:rFonts w:hint="cs"/>
          <w:rtl/>
          <w:lang w:bidi="ar-LB"/>
        </w:rPr>
        <w:t>.</w:t>
      </w:r>
      <w:r>
        <w:rPr>
          <w:rFonts w:hint="cs"/>
          <w:rtl/>
        </w:rPr>
        <w:t xml:space="preserve"> الأساس القانوني: المادة</w:t>
      </w:r>
      <w:r>
        <w:rPr>
          <w:rFonts w:hint="eastAsia"/>
          <w:rtl/>
        </w:rPr>
        <w:t> </w:t>
      </w:r>
      <w:r>
        <w:rPr>
          <w:rFonts w:hint="cs"/>
          <w:rtl/>
        </w:rPr>
        <w:t xml:space="preserve">53، الفقرة 4، النشرة القانونية الاتحادية </w:t>
      </w:r>
      <w:r>
        <w:t>BGBG</w:t>
      </w:r>
      <w:r>
        <w:rPr>
          <w:rFonts w:hint="cs"/>
          <w:rtl/>
        </w:rPr>
        <w:t xml:space="preserve"> رقم 100/1993 بصيغتها المعدلة 16/1994 و 43/1995 و 522/1995 و 375/1996، فضلا عن القاعدة التي وضعتها الوزارة الاتحادية المعنية بشؤون المرأة (النشرة القانونية الاتحادية رقم 774/1993)؛ والتقرير المشترك عن إنفاذ قانون المساواة في المعاملة (النشرة القانونية الاتحادية 108/1979)، لا سيما فيما يتعلق بالأعمال التجارية، والأنشطة والملاحظات التي يقدمها مكتب أمين المظالم المعني بالمساواة في المعاملة، والإجراءات المعروضة على اللجنة وغير ذلك من أنشطة اللجنة عملا بالمادة 10 (أ) من قانون المساواة في المعاملة.</w:t>
      </w:r>
    </w:p>
    <w:p w:rsidR="00D23E5B" w:rsidRDefault="00D23E5B" w:rsidP="00D23E5B">
      <w:pPr>
        <w:pStyle w:val="SingleTxt"/>
        <w:rPr>
          <w:rFonts w:hint="cs"/>
          <w:rtl/>
        </w:rPr>
      </w:pPr>
      <w:r>
        <w:rPr>
          <w:rFonts w:hint="cs"/>
          <w:rtl/>
        </w:rPr>
        <w:tab/>
        <w:t>وبالإضافة إلى التمييز الإيجابي (انظر أيضا الخطط الموضوعة للنهوض بالمرأة، المادة</w:t>
      </w:r>
      <w:r>
        <w:rPr>
          <w:rFonts w:hint="eastAsia"/>
          <w:rtl/>
        </w:rPr>
        <w:t> </w:t>
      </w:r>
      <w:r>
        <w:rPr>
          <w:rFonts w:hint="cs"/>
          <w:rtl/>
        </w:rPr>
        <w:t>4)، تركز النمسا أيضا على تعميم مراعاة المنظور الجنساني بوصف ذلك استراتيجية لتحقيق المساواة بين الجنسين. وبموجب قرار مجلس الوزراء المؤرخ 11 تموز/يوليه 2000، ألزمت الحكومة الاتحادية نفسها بإدماج تعميم مراعاة المنظور الجنساني في جميع مجالات صنع السياسات. وفي الوقت نفسه، اعتمدت جميع الحكومات الإقليمية مبدأ تعميم مراعاة المنظور الجنساني في جميع مجالات صنع السياسات على مستوى الأقاليم (انظر كذلك التفاصيل الواردة في المادة 4).</w:t>
      </w:r>
    </w:p>
    <w:p w:rsidR="00D23E5B" w:rsidRDefault="00D23E5B" w:rsidP="00D23E5B">
      <w:pPr>
        <w:pStyle w:val="SingleTxt"/>
        <w:rPr>
          <w:rFonts w:hint="cs"/>
          <w:rtl/>
        </w:rPr>
      </w:pPr>
      <w:r>
        <w:rPr>
          <w:rFonts w:hint="cs"/>
          <w:rtl/>
        </w:rPr>
        <w:tab/>
        <w:t>وباعتماد اقتراح تم تقديمه إلى مجلس الوزراء في 2 أيار/مايو 2001، قررت الحكومة الاتحادية إيلاء اهتمام خاص بمراعاة جميع الوزارات والإدارات المنظور الجنساني في استخدام اللغة. وإن برنامج الحكومة الاتحادية النمساوية بالنسبة للفترة التشريعية الحالية يشترط مراعاة المنظور الجنساني في استخدام اللغة في الوثائق العامة.</w:t>
      </w:r>
    </w:p>
    <w:p w:rsidR="00D23E5B" w:rsidRDefault="00D23E5B" w:rsidP="00D23E5B">
      <w:pPr>
        <w:pStyle w:val="SingleTxt"/>
        <w:rPr>
          <w:rFonts w:hint="cs"/>
          <w:rtl/>
        </w:rPr>
      </w:pPr>
      <w:r>
        <w:rPr>
          <w:rFonts w:hint="cs"/>
          <w:rtl/>
        </w:rPr>
        <w:tab/>
        <w:t xml:space="preserve">وبالإضافة إلى ذلك، عند صياغة التعديل الأخير لقانون فيينا لرعاية الشباب لعام 1990 (النشرة القانونية لإقليم فيينا رقم 35/2001) تم اختيار </w:t>
      </w:r>
      <w:r>
        <w:rPr>
          <w:rFonts w:hint="cs"/>
          <w:rtl/>
          <w:lang w:bidi="ar-LB"/>
        </w:rPr>
        <w:t xml:space="preserve">صيغة </w:t>
      </w:r>
      <w:r>
        <w:rPr>
          <w:rFonts w:hint="cs"/>
          <w:rtl/>
        </w:rPr>
        <w:t>المؤن</w:t>
      </w:r>
      <w:r>
        <w:rPr>
          <w:rFonts w:hint="cs"/>
          <w:rtl/>
          <w:lang w:bidi="ar-LB"/>
        </w:rPr>
        <w:t>ث</w:t>
      </w:r>
      <w:r>
        <w:rPr>
          <w:rFonts w:hint="cs"/>
          <w:rtl/>
        </w:rPr>
        <w:t xml:space="preserve"> بصورة متعمدة </w:t>
      </w:r>
      <w:r>
        <w:rPr>
          <w:rFonts w:hint="cs"/>
          <w:rtl/>
          <w:lang w:bidi="ar-LB"/>
        </w:rPr>
        <w:t xml:space="preserve">في </w:t>
      </w:r>
      <w:r>
        <w:rPr>
          <w:rFonts w:hint="cs"/>
          <w:rtl/>
        </w:rPr>
        <w:t>جميع التسميات ليكون ذلك بمثابة رمز للمساواة بين الجنسين في صياغة القوانين.</w:t>
      </w:r>
    </w:p>
    <w:p w:rsidR="00D23E5B" w:rsidRPr="00655DE7" w:rsidRDefault="00D23E5B" w:rsidP="00D23E5B">
      <w:pPr>
        <w:pStyle w:val="SingleTxt"/>
        <w:rPr>
          <w:rFonts w:hint="cs"/>
          <w:b/>
          <w:bCs/>
          <w:rtl/>
          <w:lang w:bidi="ar-LB"/>
        </w:rPr>
      </w:pPr>
      <w:r w:rsidRPr="00655DE7">
        <w:rPr>
          <w:rFonts w:hint="cs"/>
          <w:b/>
          <w:bCs/>
          <w:rtl/>
        </w:rPr>
        <w:t xml:space="preserve">المادة 2 </w:t>
      </w:r>
      <w:r w:rsidRPr="00655DE7">
        <w:rPr>
          <w:b/>
          <w:bCs/>
          <w:rtl/>
        </w:rPr>
        <w:t>–</w:t>
      </w:r>
      <w:r w:rsidRPr="00655DE7">
        <w:rPr>
          <w:rFonts w:hint="cs"/>
          <w:b/>
          <w:bCs/>
          <w:rtl/>
        </w:rPr>
        <w:t xml:space="preserve"> </w:t>
      </w:r>
      <w:r>
        <w:rPr>
          <w:rFonts w:hint="cs"/>
          <w:b/>
          <w:bCs/>
          <w:rtl/>
        </w:rPr>
        <w:t xml:space="preserve">الحرف </w:t>
      </w:r>
      <w:r>
        <w:rPr>
          <w:rFonts w:hint="cs"/>
          <w:b/>
          <w:bCs/>
          <w:rtl/>
          <w:lang w:bidi="ar-LB"/>
        </w:rPr>
        <w:t>(</w:t>
      </w:r>
      <w:r w:rsidRPr="00655DE7">
        <w:rPr>
          <w:rFonts w:hint="cs"/>
          <w:b/>
          <w:bCs/>
          <w:rtl/>
        </w:rPr>
        <w:t>أ</w:t>
      </w:r>
      <w:r>
        <w:rPr>
          <w:rFonts w:hint="cs"/>
          <w:b/>
          <w:bCs/>
          <w:rtl/>
          <w:lang w:bidi="ar-LB"/>
        </w:rPr>
        <w:t>)</w:t>
      </w:r>
    </w:p>
    <w:p w:rsidR="00D23E5B" w:rsidRDefault="00D23E5B" w:rsidP="00D23E5B">
      <w:pPr>
        <w:pStyle w:val="SingleTxt"/>
        <w:rPr>
          <w:rFonts w:hint="cs"/>
          <w:rtl/>
        </w:rPr>
      </w:pPr>
      <w:r>
        <w:rPr>
          <w:rFonts w:hint="cs"/>
          <w:rtl/>
        </w:rPr>
        <w:tab/>
        <w:t xml:space="preserve">يتم الإشارة هنا إلى قانون المساواة في المعاملة، وقانون المساواة في المعاملة في الخدمة الاتحادية، واللجان المعنية بالمساواة في المعاملة، ومكتب أمين المظالم المعني بالمساواة في المعاملة، والموظفين المسؤولين عن المساواة في المعاملة وكلها ترد في التقارير السابقة (انظر أيضا التعليقات على التوصية 235). </w:t>
      </w:r>
    </w:p>
    <w:p w:rsidR="00D23E5B" w:rsidRDefault="00D23E5B" w:rsidP="00D23E5B">
      <w:pPr>
        <w:pStyle w:val="SingleTxt"/>
        <w:rPr>
          <w:rFonts w:hint="cs"/>
          <w:rtl/>
        </w:rPr>
      </w:pPr>
      <w:r>
        <w:rPr>
          <w:rFonts w:hint="cs"/>
          <w:rtl/>
        </w:rPr>
        <w:tab/>
        <w:t xml:space="preserve">إن أحكام القانون الدستوري </w:t>
      </w:r>
      <w:r>
        <w:rPr>
          <w:rFonts w:hint="cs"/>
          <w:rtl/>
          <w:lang w:bidi="ar-LB"/>
        </w:rPr>
        <w:t>تن</w:t>
      </w:r>
      <w:r>
        <w:rPr>
          <w:rFonts w:hint="cs"/>
          <w:rtl/>
        </w:rPr>
        <w:t>ط</w:t>
      </w:r>
      <w:r>
        <w:rPr>
          <w:rFonts w:hint="cs"/>
          <w:rtl/>
          <w:lang w:bidi="ar-LB"/>
        </w:rPr>
        <w:t>ب</w:t>
      </w:r>
      <w:r>
        <w:rPr>
          <w:rFonts w:hint="cs"/>
          <w:rtl/>
        </w:rPr>
        <w:t xml:space="preserve">ق على الجامعات (المادة 39، الفقرة 2 من القانون الاتحادي الذي ينظم الجامعات، لعام 1993 والذي يفسح المجال أمام اعتماد تدابير خاصة مؤقتة ترمي إلى تعجيل المساواة بين الجنسين) تنص على أن هذه التدابير الخاصة المؤقتة لا تعتبر معاملة غير متساوية في إطار مضمون المادة 7، الفقرة 1 من الدستور الاتحادي. </w:t>
      </w:r>
    </w:p>
    <w:p w:rsidR="00D23E5B" w:rsidRDefault="00D23E5B" w:rsidP="00D23E5B">
      <w:pPr>
        <w:pStyle w:val="SingleTxt"/>
        <w:rPr>
          <w:rFonts w:hint="cs"/>
          <w:rtl/>
        </w:rPr>
      </w:pPr>
      <w:r>
        <w:rPr>
          <w:rFonts w:hint="cs"/>
          <w:rtl/>
        </w:rPr>
        <w:tab/>
        <w:t>ومع تعديل الدستور الاتحادي في النشرة القانونية الاتحادية الأولى رقم 68/1998، تم إد</w:t>
      </w:r>
      <w:r>
        <w:rPr>
          <w:rFonts w:hint="cs"/>
          <w:rtl/>
          <w:lang w:bidi="ar-LB"/>
        </w:rPr>
        <w:t>ر</w:t>
      </w:r>
      <w:r>
        <w:rPr>
          <w:rFonts w:hint="cs"/>
          <w:rtl/>
        </w:rPr>
        <w:t xml:space="preserve">اج الحكم التالي في القانون الدستوري بوصفه المادة 7، الفقرة 2: </w:t>
      </w:r>
      <w:r>
        <w:rPr>
          <w:rFonts w:hint="eastAsia"/>
          <w:rtl/>
        </w:rPr>
        <w:t xml:space="preserve">”تتعهد الحكومة الاتحادية وسلطات الأقاليم والسلطات المحلية بتحقيق مساواة فعلية بين الرجل والمرأة. </w:t>
      </w:r>
      <w:r>
        <w:rPr>
          <w:rFonts w:hint="cs"/>
          <w:rtl/>
        </w:rPr>
        <w:t xml:space="preserve">ويتعين قبول التدابير التي تستهدف تعزيز المساواة الفعلية بين الرجل والمرأة، لا سيما عن طريق القضاء على </w:t>
      </w:r>
      <w:r>
        <w:rPr>
          <w:rFonts w:hint="cs"/>
          <w:rtl/>
          <w:lang w:bidi="ar-LB"/>
        </w:rPr>
        <w:t xml:space="preserve">حالات </w:t>
      </w:r>
      <w:r>
        <w:rPr>
          <w:rFonts w:hint="cs"/>
          <w:rtl/>
        </w:rPr>
        <w:t>التفاوت القائمة</w:t>
      </w:r>
      <w:r>
        <w:rPr>
          <w:rFonts w:hint="eastAsia"/>
          <w:rtl/>
        </w:rPr>
        <w:t xml:space="preserve">“. </w:t>
      </w:r>
    </w:p>
    <w:p w:rsidR="00D23E5B" w:rsidRDefault="00D23E5B" w:rsidP="00D23E5B">
      <w:pPr>
        <w:pStyle w:val="SingleTxt"/>
        <w:rPr>
          <w:rFonts w:hint="cs"/>
          <w:rtl/>
        </w:rPr>
      </w:pPr>
      <w:r>
        <w:rPr>
          <w:rFonts w:hint="cs"/>
          <w:rtl/>
        </w:rPr>
        <w:tab/>
        <w:t>إن التعديل المذكور أعلاه على الدستور الاتحادي في النشرة القانونية الاتحادية الأولى رقم 68/1998 أزال ضرورة وضع شروط خاصة في التدابير المؤقتة التي تنظم قانون الجامعات والتي ترمي إلى تع</w:t>
      </w:r>
      <w:r>
        <w:rPr>
          <w:rFonts w:hint="cs"/>
          <w:rtl/>
          <w:lang w:bidi="ar-LB"/>
        </w:rPr>
        <w:t>ج</w:t>
      </w:r>
      <w:r>
        <w:rPr>
          <w:rFonts w:hint="cs"/>
          <w:rtl/>
        </w:rPr>
        <w:t>يل المساواة الفعلية؛ غير أن هذه الأحكام التي لها مركز القانون الدستوري والواردة في قانون تنظيم الجامعات لعام 1993 ستظل سارية المفعول إلى أن يصدر أمر بخلاف ذلك.</w:t>
      </w:r>
    </w:p>
    <w:p w:rsidR="00D23E5B" w:rsidRDefault="00D23E5B" w:rsidP="00D23E5B">
      <w:pPr>
        <w:pStyle w:val="SingleTxt"/>
        <w:rPr>
          <w:rFonts w:hint="cs"/>
          <w:rtl/>
        </w:rPr>
      </w:pPr>
      <w:r>
        <w:rPr>
          <w:rFonts w:hint="cs"/>
          <w:rtl/>
        </w:rPr>
        <w:tab/>
        <w:t>كما أن القانون الاتحادي المعني بتنظيم الجامعات والدراسات الجامعية (القانون الجامعي لعام 2002) سن إطارا قانونيا جديدا للجامعات حل محل التشريع القائم (ترد التفاصيل في المادة 10).</w:t>
      </w:r>
    </w:p>
    <w:p w:rsidR="00D23E5B" w:rsidRPr="00E62330" w:rsidRDefault="00D23E5B" w:rsidP="00D23E5B">
      <w:pPr>
        <w:pStyle w:val="SingleTxt"/>
        <w:rPr>
          <w:rFonts w:hint="cs"/>
          <w:b/>
          <w:bCs/>
          <w:rtl/>
        </w:rPr>
      </w:pPr>
      <w:r>
        <w:rPr>
          <w:rFonts w:hint="cs"/>
          <w:b/>
          <w:bCs/>
          <w:rtl/>
        </w:rPr>
        <w:t>إ</w:t>
      </w:r>
      <w:r w:rsidRPr="00E62330">
        <w:rPr>
          <w:rFonts w:hint="cs"/>
          <w:b/>
          <w:bCs/>
          <w:rtl/>
        </w:rPr>
        <w:t xml:space="preserve">دخال تعديلات </w:t>
      </w:r>
      <w:r>
        <w:rPr>
          <w:rFonts w:hint="cs"/>
          <w:b/>
          <w:bCs/>
          <w:rtl/>
          <w:lang w:bidi="ar-LB"/>
        </w:rPr>
        <w:t xml:space="preserve">على </w:t>
      </w:r>
      <w:r w:rsidRPr="00E62330">
        <w:rPr>
          <w:rFonts w:hint="cs"/>
          <w:b/>
          <w:bCs/>
          <w:rtl/>
        </w:rPr>
        <w:t>تشريع الأقاليم فيما يتعلق بالمساواة في المعاملة</w:t>
      </w:r>
    </w:p>
    <w:p w:rsidR="00D23E5B" w:rsidRDefault="00D23E5B" w:rsidP="004A593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فيما يتعلق بالتعديل الثاني على قانون المساواة في المعاملة </w:t>
      </w:r>
      <w:r w:rsidR="004A593D">
        <w:rPr>
          <w:rFonts w:hint="cs"/>
          <w:rtl/>
        </w:rPr>
        <w:t>لإ</w:t>
      </w:r>
      <w:r>
        <w:rPr>
          <w:rFonts w:hint="cs"/>
          <w:rtl/>
        </w:rPr>
        <w:t>قليم النمسا السفل</w:t>
      </w:r>
      <w:r>
        <w:rPr>
          <w:rFonts w:hint="cs"/>
          <w:rtl/>
          <w:lang w:bidi="ar-LB"/>
        </w:rPr>
        <w:t>ى</w:t>
      </w:r>
      <w:r>
        <w:rPr>
          <w:rFonts w:hint="cs"/>
          <w:rtl/>
        </w:rPr>
        <w:t xml:space="preserve"> </w:t>
      </w:r>
      <w:r>
        <w:rPr>
          <w:rFonts w:hint="cs"/>
          <w:rtl/>
          <w:lang w:bidi="ar-LB"/>
        </w:rPr>
        <w:t>(</w:t>
      </w:r>
      <w:r>
        <w:rPr>
          <w:rFonts w:hint="cs"/>
          <w:rtl/>
        </w:rPr>
        <w:t>النشرة القانونية للأقاليم 2060، في آذار/مارس 2002</w:t>
      </w:r>
      <w:r>
        <w:rPr>
          <w:rFonts w:hint="cs"/>
          <w:rtl/>
          <w:lang w:bidi="ar-LB"/>
        </w:rPr>
        <w:t>)</w:t>
      </w:r>
      <w:r>
        <w:rPr>
          <w:rFonts w:hint="cs"/>
          <w:rtl/>
        </w:rPr>
        <w:t>، تم تحويل عبء الإثبات في أعمال محكمة العمل إلى رب العمل، وتم اعتماد أحكام أخرى.</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بدأ في أيلول/سبتمبر </w:t>
      </w:r>
      <w:r>
        <w:rPr>
          <w:rFonts w:hint="cs"/>
          <w:rtl/>
          <w:lang w:bidi="ar-LB"/>
        </w:rPr>
        <w:t xml:space="preserve">نفاذ </w:t>
      </w:r>
      <w:r>
        <w:rPr>
          <w:rFonts w:hint="cs"/>
          <w:rtl/>
        </w:rPr>
        <w:t xml:space="preserve">قانون المساواة في المعاملة في إقليم كارينثيا رقم 56/1994 </w:t>
      </w:r>
      <w:r>
        <w:rPr>
          <w:rFonts w:hint="cs"/>
          <w:rtl/>
          <w:lang w:bidi="ar-LB"/>
        </w:rPr>
        <w:t>(</w:t>
      </w:r>
      <w:r>
        <w:rPr>
          <w:rFonts w:hint="cs"/>
          <w:rtl/>
        </w:rPr>
        <w:t>النشرة القانونية للإقليم رقم 62/2001</w:t>
      </w:r>
      <w:r>
        <w:rPr>
          <w:rFonts w:hint="cs"/>
          <w:rtl/>
          <w:lang w:bidi="ar-LB"/>
        </w:rPr>
        <w:t>)</w:t>
      </w:r>
      <w:r>
        <w:rPr>
          <w:rFonts w:hint="cs"/>
          <w:rtl/>
        </w:rPr>
        <w:t>.</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كان قانون المساواة في المعاملة لإقليم النمسا العليا المنطبق على المرأة العاملة في السلطات المحلية ساري المفعول منذ 1 كانون الثاني/يناير 2000، وبالنسبة للمرأة العاملة في الإقليم منذ عام 1995. </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 التعديل الثالث (النشرة القانونية لإقليم فيينا رقم 21/2001) الذي أدخل على قانون المساواة في المعاملة في إقليم فيينا (</w:t>
      </w:r>
      <w:r>
        <w:t>W-GBGB</w:t>
      </w:r>
      <w:r>
        <w:rPr>
          <w:rFonts w:hint="cs"/>
          <w:rtl/>
        </w:rPr>
        <w:t>، النشرة القانونية لإقليم فيينا رقم 18/1996) ينص على أن المرأة تعتبر ممثلة تمثيلا ناقصا في إدارات الخدمة العامة إذا كان</w:t>
      </w:r>
      <w:r>
        <w:rPr>
          <w:rFonts w:hint="cs"/>
          <w:rtl/>
          <w:lang w:bidi="ar-LB"/>
        </w:rPr>
        <w:t>ت</w:t>
      </w:r>
      <w:r>
        <w:rPr>
          <w:rFonts w:hint="cs"/>
          <w:rtl/>
        </w:rPr>
        <w:t xml:space="preserve"> نسبتهن المئوية من مجموع الوظائف الرفيعة المستوى في فئة معينة من فئات الخدمة في تلك الإدارة أقل من 50 في المائة (40 في المائة سابقا). وفي هذه الحالات، ينص القانون على أن يُذكر</w:t>
      </w:r>
      <w:r>
        <w:rPr>
          <w:rFonts w:hint="cs"/>
          <w:rtl/>
          <w:lang w:bidi="ar-LB"/>
        </w:rPr>
        <w:t>،</w:t>
      </w:r>
      <w:r>
        <w:rPr>
          <w:rFonts w:hint="cs"/>
          <w:rtl/>
        </w:rPr>
        <w:t xml:space="preserve"> في الإعلان عن الوظائف الشاغرة</w:t>
      </w:r>
      <w:r>
        <w:rPr>
          <w:rFonts w:hint="cs"/>
          <w:rtl/>
          <w:lang w:bidi="ar-LB"/>
        </w:rPr>
        <w:t>،</w:t>
      </w:r>
      <w:r>
        <w:rPr>
          <w:rFonts w:hint="cs"/>
          <w:rtl/>
        </w:rPr>
        <w:t xml:space="preserve"> أن الطلبات الواردة من النساء ستلقى ترحيبا خاصا.</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ومع التعديل الخامس عشر على قانون الخدمة لعام 1994 (النشرة القانونية لإقليم فيينا رقم 37/2003) يتم منح ضحايا التحرش الجنسي الحقوق الجديدة التالية: حضور شخص يحظى بثقة الضحية أثناء الاستجواب، </w:t>
      </w:r>
      <w:r>
        <w:rPr>
          <w:rFonts w:hint="cs"/>
          <w:rtl/>
          <w:lang w:bidi="ar-LB"/>
        </w:rPr>
        <w:t>و</w:t>
      </w:r>
      <w:r>
        <w:rPr>
          <w:rFonts w:hint="cs"/>
          <w:rtl/>
        </w:rPr>
        <w:t xml:space="preserve">إلغاء الحد الأقصى المحدد للتعويضات الممنوحة في حالة وقوع أضرار، </w:t>
      </w:r>
      <w:r>
        <w:rPr>
          <w:rFonts w:hint="cs"/>
          <w:rtl/>
          <w:lang w:bidi="ar-LB"/>
        </w:rPr>
        <w:t>و</w:t>
      </w:r>
      <w:r>
        <w:rPr>
          <w:rFonts w:hint="cs"/>
          <w:rtl/>
        </w:rPr>
        <w:t xml:space="preserve">تمديد الفترة المسموح بها لرفع شكوى من ستة أشهر إلى ثلاث سنوات، </w:t>
      </w:r>
      <w:r>
        <w:rPr>
          <w:rFonts w:hint="cs"/>
          <w:rtl/>
          <w:lang w:bidi="ar-LB"/>
        </w:rPr>
        <w:t>و</w:t>
      </w:r>
      <w:r>
        <w:rPr>
          <w:rFonts w:hint="cs"/>
          <w:rtl/>
        </w:rPr>
        <w:t xml:space="preserve">حماية النساء اللاتي يعملن كمركز تنسيق لتكافؤ الفرص من صرفهن من الخدمة، </w:t>
      </w:r>
      <w:r>
        <w:rPr>
          <w:rFonts w:hint="cs"/>
          <w:rtl/>
          <w:lang w:bidi="ar-LB"/>
        </w:rPr>
        <w:t xml:space="preserve">ومن </w:t>
      </w:r>
      <w:r>
        <w:rPr>
          <w:rFonts w:hint="cs"/>
          <w:rtl/>
        </w:rPr>
        <w:t>الاستغناء عن</w:t>
      </w:r>
      <w:r>
        <w:rPr>
          <w:rFonts w:hint="cs"/>
          <w:rtl/>
          <w:lang w:bidi="ar-LB"/>
        </w:rPr>
        <w:t>هن</w:t>
      </w:r>
      <w:r>
        <w:rPr>
          <w:rFonts w:hint="cs"/>
          <w:rtl/>
        </w:rPr>
        <w:t xml:space="preserve"> و</w:t>
      </w:r>
      <w:r>
        <w:rPr>
          <w:rFonts w:hint="cs"/>
          <w:rtl/>
          <w:lang w:bidi="ar-LB"/>
        </w:rPr>
        <w:t xml:space="preserve">من </w:t>
      </w:r>
      <w:r>
        <w:rPr>
          <w:rFonts w:hint="cs"/>
          <w:rtl/>
        </w:rPr>
        <w:t>نقلهن.</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rPr>
        <w:tab/>
        <w:t>•</w:t>
      </w:r>
      <w:r>
        <w:rPr>
          <w:rFonts w:hint="cs"/>
          <w:rtl/>
        </w:rPr>
        <w:tab/>
      </w:r>
      <w:r>
        <w:rPr>
          <w:rFonts w:hint="cs"/>
          <w:rtl/>
          <w:lang w:bidi="ar-LB"/>
        </w:rPr>
        <w:t xml:space="preserve">أدى </w:t>
      </w:r>
      <w:r>
        <w:rPr>
          <w:rFonts w:hint="cs"/>
          <w:rtl/>
        </w:rPr>
        <w:t xml:space="preserve">التعديل السادس على قانون المساواة في المعاملة لإقليم فيينا </w:t>
      </w:r>
      <w:r>
        <w:rPr>
          <w:rFonts w:hint="cs"/>
          <w:rtl/>
          <w:lang w:bidi="ar-LB"/>
        </w:rPr>
        <w:t>(</w:t>
      </w:r>
      <w:r>
        <w:rPr>
          <w:rFonts w:hint="cs"/>
          <w:rtl/>
        </w:rPr>
        <w:t>النشرة القانونية لإقليم فيينا رقم 38/2003</w:t>
      </w:r>
      <w:r>
        <w:rPr>
          <w:rFonts w:hint="cs"/>
          <w:rtl/>
          <w:lang w:bidi="ar-LB"/>
        </w:rPr>
        <w:t>)</w:t>
      </w:r>
      <w:r>
        <w:rPr>
          <w:rFonts w:hint="cs"/>
          <w:rtl/>
        </w:rPr>
        <w:t xml:space="preserve"> </w:t>
      </w:r>
      <w:r>
        <w:rPr>
          <w:rFonts w:hint="cs"/>
          <w:rtl/>
          <w:lang w:bidi="ar-LB"/>
        </w:rPr>
        <w:t xml:space="preserve">إلى تشكيل </w:t>
      </w:r>
      <w:r>
        <w:rPr>
          <w:rFonts w:hint="cs"/>
          <w:rtl/>
        </w:rPr>
        <w:t>هيئات خاصة للفرص المتكافئة لخدمة المعلمين الذين يعملون في إقليم فيينا (اللجنة المعنية بالمساواة في المعاملة، والموظفون المسؤولون عن المساواة في المعاملة، ومراكز تنسيق تكافؤ الفرص).</w:t>
      </w:r>
    </w:p>
    <w:p w:rsidR="00D23E5B" w:rsidRPr="00E62330" w:rsidRDefault="00D23E5B" w:rsidP="00D23E5B">
      <w:pPr>
        <w:pStyle w:val="SingleTxt"/>
        <w:rPr>
          <w:rFonts w:hint="cs"/>
          <w:b/>
          <w:bCs/>
          <w:rtl/>
          <w:lang w:bidi="ar-LB"/>
        </w:rPr>
      </w:pPr>
      <w:r w:rsidRPr="00E62330">
        <w:rPr>
          <w:rFonts w:hint="cs"/>
          <w:b/>
          <w:bCs/>
          <w:rtl/>
        </w:rPr>
        <w:t xml:space="preserve">المادة 2، الحروف </w:t>
      </w:r>
      <w:r>
        <w:rPr>
          <w:rFonts w:hint="cs"/>
          <w:b/>
          <w:bCs/>
          <w:rtl/>
          <w:lang w:bidi="ar-LB"/>
        </w:rPr>
        <w:t>(</w:t>
      </w:r>
      <w:r w:rsidRPr="00E62330">
        <w:rPr>
          <w:rFonts w:hint="cs"/>
          <w:b/>
          <w:bCs/>
          <w:rtl/>
        </w:rPr>
        <w:t>ب</w:t>
      </w:r>
      <w:r>
        <w:rPr>
          <w:rFonts w:hint="cs"/>
          <w:b/>
          <w:bCs/>
          <w:rtl/>
          <w:lang w:bidi="ar-LB"/>
        </w:rPr>
        <w:t>)</w:t>
      </w:r>
      <w:r w:rsidRPr="00E62330">
        <w:rPr>
          <w:rFonts w:hint="cs"/>
          <w:b/>
          <w:bCs/>
          <w:rtl/>
        </w:rPr>
        <w:t xml:space="preserve"> إلى </w:t>
      </w:r>
      <w:r>
        <w:rPr>
          <w:rFonts w:hint="cs"/>
          <w:b/>
          <w:bCs/>
          <w:rtl/>
          <w:lang w:bidi="ar-LB"/>
        </w:rPr>
        <w:t>(</w:t>
      </w:r>
      <w:r w:rsidRPr="00E62330">
        <w:rPr>
          <w:rFonts w:hint="cs"/>
          <w:b/>
          <w:bCs/>
          <w:rtl/>
        </w:rPr>
        <w:t>و</w:t>
      </w:r>
      <w:r>
        <w:rPr>
          <w:rFonts w:hint="cs"/>
          <w:b/>
          <w:bCs/>
          <w:rtl/>
          <w:lang w:bidi="ar-LB"/>
        </w:rPr>
        <w:t>)</w:t>
      </w:r>
    </w:p>
    <w:p w:rsidR="00D23E5B" w:rsidRDefault="00D23E5B" w:rsidP="00D23E5B">
      <w:pPr>
        <w:pStyle w:val="SingleTxt"/>
        <w:rPr>
          <w:rFonts w:hint="cs"/>
          <w:rtl/>
        </w:rPr>
      </w:pPr>
      <w:r>
        <w:rPr>
          <w:rFonts w:hint="cs"/>
          <w:rtl/>
        </w:rPr>
        <w:tab/>
        <w:t xml:space="preserve">بالإضافة إلى التدابير التي تم عرضها بالتفصيل في التقرير الدوري الخامس للنمسا المقدم إلى اللجنة المعنية بالقضاء على التمييز ضد المرأة، سمح التعديل الذي أدخل على قانون المساواة </w:t>
      </w:r>
      <w:r>
        <w:rPr>
          <w:rFonts w:hint="cs"/>
          <w:rtl/>
          <w:lang w:bidi="ar-LB"/>
        </w:rPr>
        <w:t xml:space="preserve">في </w:t>
      </w:r>
      <w:r>
        <w:rPr>
          <w:rFonts w:hint="cs"/>
          <w:rtl/>
        </w:rPr>
        <w:t xml:space="preserve">المعاملة في الخدمة المدنية </w:t>
      </w:r>
      <w:r>
        <w:rPr>
          <w:rFonts w:hint="cs"/>
          <w:rtl/>
          <w:lang w:bidi="ar-LB"/>
        </w:rPr>
        <w:t>(</w:t>
      </w:r>
      <w:r>
        <w:rPr>
          <w:rFonts w:hint="cs"/>
          <w:rtl/>
        </w:rPr>
        <w:t>النشرة القانونية الاتحادية الأولى، رقم 132/1999</w:t>
      </w:r>
      <w:r>
        <w:rPr>
          <w:rFonts w:hint="cs"/>
          <w:rtl/>
          <w:lang w:bidi="ar-LB"/>
        </w:rPr>
        <w:t>)،</w:t>
      </w:r>
      <w:r>
        <w:rPr>
          <w:rFonts w:hint="cs"/>
          <w:rtl/>
        </w:rPr>
        <w:t xml:space="preserve"> ال</w:t>
      </w:r>
      <w:r>
        <w:rPr>
          <w:rFonts w:hint="cs"/>
          <w:rtl/>
          <w:lang w:bidi="ar-LB"/>
        </w:rPr>
        <w:t>ذي</w:t>
      </w:r>
      <w:r>
        <w:rPr>
          <w:rFonts w:hint="cs"/>
          <w:rtl/>
        </w:rPr>
        <w:t xml:space="preserve"> بدأ نفاذه في 1 كانون الثاني/يناير 2000</w:t>
      </w:r>
      <w:r>
        <w:rPr>
          <w:rFonts w:hint="cs"/>
          <w:rtl/>
          <w:lang w:bidi="ar-LB"/>
        </w:rPr>
        <w:t>،</w:t>
      </w:r>
      <w:r>
        <w:rPr>
          <w:rFonts w:hint="cs"/>
          <w:rtl/>
        </w:rPr>
        <w:t xml:space="preserve"> </w:t>
      </w:r>
      <w:r>
        <w:rPr>
          <w:rFonts w:hint="cs"/>
          <w:rtl/>
          <w:lang w:bidi="ar-LB"/>
        </w:rPr>
        <w:t xml:space="preserve">باتخاذ </w:t>
      </w:r>
      <w:r>
        <w:rPr>
          <w:rFonts w:hint="cs"/>
          <w:rtl/>
        </w:rPr>
        <w:t>تدابير إضافية ترمي إلى القضاء بصورة فعالة أكبر على التمييز وزيادة النهوض بالمرأة.</w:t>
      </w:r>
    </w:p>
    <w:p w:rsidR="00D23E5B" w:rsidRDefault="00D23E5B" w:rsidP="00D23E5B">
      <w:pPr>
        <w:pStyle w:val="SingleTxt"/>
        <w:rPr>
          <w:rFonts w:hint="cs"/>
          <w:rtl/>
        </w:rPr>
      </w:pPr>
      <w:r>
        <w:rPr>
          <w:rFonts w:hint="cs"/>
          <w:rtl/>
        </w:rPr>
        <w:tab/>
        <w:t xml:space="preserve">وأهم التعديلات تتعلق بما يلي: </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توسيع نطاق تطبيق قانون المساواة في المعاملة في الخدمة المدنية لكي يشمل بعض الموظفين في الجامعات وجامعات الفنون الذين لا توظفهم الخدمة المدنية (أصحاب الطلبات</w:t>
      </w:r>
      <w:r>
        <w:rPr>
          <w:rFonts w:hint="cs"/>
          <w:rtl/>
          <w:lang w:bidi="ar-LB"/>
        </w:rPr>
        <w:t xml:space="preserve"> الالتحاق بالجامعات</w:t>
      </w:r>
      <w:r>
        <w:rPr>
          <w:rFonts w:hint="cs"/>
          <w:rtl/>
        </w:rPr>
        <w:t xml:space="preserve"> والطلاب الجامعيون</w:t>
      </w:r>
      <w:r>
        <w:rPr>
          <w:rFonts w:hint="cs"/>
          <w:rtl/>
          <w:lang w:bidi="ar-LB"/>
        </w:rPr>
        <w:t>،</w:t>
      </w:r>
      <w:r>
        <w:rPr>
          <w:rFonts w:hint="cs"/>
          <w:rtl/>
        </w:rPr>
        <w:t xml:space="preserve"> والمحاضرون الجامعيون الذين لا يعملون في الخدمة المدنية، والمعيدون الجامعيون والمحاضرون الزائرون).</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وجوب الإعلان في جميع أنحاء البلد عن الوظائف الشاغرة التي يترتب عليها التقدم المهني. </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دعوة فئات معينة لتشجيع المرأة على أن تتقدم بطلب لشغل الوظائف الشاغرة، بما</w:t>
      </w:r>
      <w:r>
        <w:rPr>
          <w:rFonts w:hint="eastAsia"/>
          <w:rtl/>
        </w:rPr>
        <w:t> </w:t>
      </w:r>
      <w:r>
        <w:rPr>
          <w:rFonts w:hint="cs"/>
          <w:rtl/>
        </w:rPr>
        <w:t>في ذلك الوظائف التي لا يتعين الإعلان عنها وفقا لقانون الإعلان عن الشواغر.</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إبراز أن التحرش الجنسي بموظف أو موظفة من طرف ثالث أثناء عمله أو عملها أو</w:t>
      </w:r>
      <w:r>
        <w:rPr>
          <w:rFonts w:hint="eastAsia"/>
          <w:rtl/>
        </w:rPr>
        <w:t> </w:t>
      </w:r>
      <w:r>
        <w:rPr>
          <w:rFonts w:hint="cs"/>
          <w:rtl/>
        </w:rPr>
        <w:t>أثناء التدريب</w:t>
      </w:r>
      <w:r>
        <w:rPr>
          <w:rFonts w:hint="cs"/>
          <w:rtl/>
          <w:lang w:bidi="ar-LB"/>
        </w:rPr>
        <w:t>،</w:t>
      </w:r>
      <w:r>
        <w:rPr>
          <w:rFonts w:hint="cs"/>
          <w:rtl/>
        </w:rPr>
        <w:t xml:space="preserve"> </w:t>
      </w:r>
      <w:r>
        <w:rPr>
          <w:rFonts w:hint="cs"/>
          <w:rtl/>
          <w:lang w:bidi="ar-LB"/>
        </w:rPr>
        <w:t>ولا دخل</w:t>
      </w:r>
      <w:r>
        <w:rPr>
          <w:rFonts w:hint="cs"/>
          <w:rtl/>
        </w:rPr>
        <w:t xml:space="preserve"> </w:t>
      </w:r>
      <w:r>
        <w:rPr>
          <w:rFonts w:hint="cs"/>
          <w:rtl/>
          <w:lang w:bidi="ar-LB"/>
        </w:rPr>
        <w:t>ل</w:t>
      </w:r>
      <w:r>
        <w:rPr>
          <w:rFonts w:hint="cs"/>
          <w:rtl/>
        </w:rPr>
        <w:t xml:space="preserve">رب العمل </w:t>
      </w:r>
      <w:r>
        <w:rPr>
          <w:rFonts w:hint="cs"/>
          <w:rtl/>
          <w:lang w:bidi="ar-LB"/>
        </w:rPr>
        <w:t xml:space="preserve">في ذلك، </w:t>
      </w:r>
      <w:r>
        <w:rPr>
          <w:rFonts w:hint="cs"/>
          <w:rtl/>
        </w:rPr>
        <w:t>يشكل لا محالة تمييز على أساس الجنس وعليه يقع ضمن اختصاص اللجنة المعنية بالمساواة في المعاملة.</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تعريف الشروط الإلزامية التي تفيد بأن نسبة النساء المعينات في اللجان المعنية بقواعد الخدمة العامة سوف تتناسب في جميع الحالات </w:t>
      </w:r>
      <w:r>
        <w:rPr>
          <w:rFonts w:hint="cs"/>
          <w:rtl/>
          <w:lang w:bidi="ar-LB"/>
        </w:rPr>
        <w:t xml:space="preserve">مع </w:t>
      </w:r>
      <w:r>
        <w:rPr>
          <w:rFonts w:hint="cs"/>
          <w:rtl/>
        </w:rPr>
        <w:t>نسبة النساء في السلطة العامة، وأن تمثيل المرأة ينبغي أن يتيح مشاركتها بصفة استشارية في حالة عدم إمكانية تعيين امرأة على الرغم من قاعدة التناسب.</w:t>
      </w:r>
    </w:p>
    <w:p w:rsidR="00D23E5B" w:rsidRDefault="00D23E5B" w:rsidP="004A593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فرض جزاءات تمشيا مع تشريع الاتحاد الأوروبي عن طريق إلغاء الحد الأقصى للتعويضات الممنوحة </w:t>
      </w:r>
      <w:r>
        <w:rPr>
          <w:rFonts w:hint="cs"/>
          <w:rtl/>
          <w:lang w:bidi="ar-LB"/>
        </w:rPr>
        <w:t xml:space="preserve">في حالة </w:t>
      </w:r>
      <w:r>
        <w:rPr>
          <w:rFonts w:hint="cs"/>
          <w:rtl/>
        </w:rPr>
        <w:t xml:space="preserve">وقوع ضرر بسبب التمييز على أساس الجنس عند التوظيف أو </w:t>
      </w:r>
      <w:r>
        <w:rPr>
          <w:rFonts w:hint="cs"/>
          <w:rtl/>
          <w:lang w:bidi="ar-LB"/>
        </w:rPr>
        <w:t xml:space="preserve">أثناء </w:t>
      </w:r>
      <w:r>
        <w:rPr>
          <w:rFonts w:hint="cs"/>
          <w:rtl/>
        </w:rPr>
        <w:t xml:space="preserve">التقدم المهني. </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تخفيف عبء الإثبات (القرينة الظاهرة كافية) في الحالات المعروضة المعنية بالمساواة في المعاملة، بما في ذلك حالات التحرش الجنسي المزعوم.</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إزالة التقييد الذي يفيد بأن السرية الرسمية تتنافى مع وجوب تقديم المعلومات.</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الفرص التدريبية للموظفين المسؤولين عن المساواة في المعاملة، وأعضاء الأفرقة العاملة ومراكز تنسيق تكافؤ الفرص.</w:t>
      </w:r>
    </w:p>
    <w:p w:rsidR="00D23E5B" w:rsidRDefault="00D23E5B" w:rsidP="00D23E5B">
      <w:pPr>
        <w:pStyle w:val="SingleTxt"/>
        <w:rPr>
          <w:rFonts w:hint="cs"/>
          <w:b/>
          <w:bCs/>
          <w:rtl/>
        </w:rPr>
      </w:pPr>
      <w:r w:rsidRPr="00C75071">
        <w:rPr>
          <w:rFonts w:hint="cs"/>
          <w:b/>
          <w:bCs/>
          <w:rtl/>
        </w:rPr>
        <w:t>تنفيذ القانون الأوروبي</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C75071">
        <w:rPr>
          <w:rFonts w:hint="cs"/>
          <w:rtl/>
        </w:rPr>
        <w:tab/>
        <w:t>•</w:t>
      </w:r>
      <w:r w:rsidRPr="00C75071">
        <w:rPr>
          <w:rFonts w:hint="cs"/>
          <w:rtl/>
        </w:rPr>
        <w:tab/>
        <w:t>ع</w:t>
      </w:r>
      <w:r>
        <w:rPr>
          <w:rFonts w:hint="cs"/>
          <w:rtl/>
          <w:lang w:bidi="ar-LB"/>
        </w:rPr>
        <w:t>ُ</w:t>
      </w:r>
      <w:r w:rsidRPr="00C75071">
        <w:rPr>
          <w:rFonts w:hint="cs"/>
          <w:rtl/>
        </w:rPr>
        <w:t>رض على البرلمان</w:t>
      </w:r>
      <w:r>
        <w:rPr>
          <w:rFonts w:hint="cs"/>
          <w:rtl/>
        </w:rPr>
        <w:t xml:space="preserve"> مشروع قانون حكومي لتنفيذ النشرة التوجيهية </w:t>
      </w:r>
      <w:r>
        <w:t>2002/73/EC</w:t>
      </w:r>
      <w:r>
        <w:rPr>
          <w:rFonts w:hint="cs"/>
          <w:rtl/>
        </w:rPr>
        <w:t xml:space="preserve"> المؤرخة 23 أيلول/سبتمبر 2002 والتي تعدل نشرة المجلس التوجيهية </w:t>
      </w:r>
      <w:r>
        <w:t>76/207/EEC</w:t>
      </w:r>
      <w:r>
        <w:rPr>
          <w:rFonts w:hint="cs"/>
          <w:rtl/>
        </w:rPr>
        <w:t xml:space="preserve"> عن تنفيذ مبدأ المساواة في المعاملة بين الرجل والمرأة فيما يتعلق بفرص </w:t>
      </w:r>
      <w:r>
        <w:rPr>
          <w:rFonts w:hint="cs"/>
          <w:rtl/>
          <w:lang w:bidi="ar-LB"/>
        </w:rPr>
        <w:t>إيجاد</w:t>
      </w:r>
      <w:r>
        <w:rPr>
          <w:rFonts w:hint="cs"/>
          <w:rtl/>
        </w:rPr>
        <w:t xml:space="preserve"> عمل، والتدريب المهني، والترقية، وظروف العمل (انظر التوصية 235).</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اعتزام إعادة تدوين قانون المساواة في المعاملة في الخدمة المدنية ي</w:t>
      </w:r>
      <w:r>
        <w:rPr>
          <w:rFonts w:hint="cs"/>
          <w:rtl/>
          <w:lang w:bidi="ar-LB"/>
        </w:rPr>
        <w:t>نطوي</w:t>
      </w:r>
      <w:r>
        <w:rPr>
          <w:rFonts w:hint="cs"/>
          <w:rtl/>
        </w:rPr>
        <w:t xml:space="preserve"> كذلك </w:t>
      </w:r>
      <w:r>
        <w:rPr>
          <w:rFonts w:hint="cs"/>
          <w:rtl/>
          <w:lang w:bidi="ar-LB"/>
        </w:rPr>
        <w:t xml:space="preserve">على </w:t>
      </w:r>
      <w:r>
        <w:rPr>
          <w:rFonts w:hint="cs"/>
          <w:rtl/>
        </w:rPr>
        <w:t>تدابير تضع في الاعتبار احتياجات محددة للمرأة، لا سيما فيما يتعلق بتنفيذ نشرة الاتحاد الأوروبي التوجيهية المذكورة، وتحسين أدوات إنفاذ الحقوق بموجب هذا القانون (انظر التوصية 235).</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نشرة الاتحاد الأوروبي التوجيهية </w:t>
      </w:r>
      <w:r>
        <w:t>2001/19/EC</w:t>
      </w:r>
      <w:r>
        <w:rPr>
          <w:rFonts w:hint="cs"/>
          <w:rtl/>
        </w:rPr>
        <w:t xml:space="preserve"> سوف تنفذ عن طريق قواعد العمل غير المتفرغ للأطباء المتدربين في المستشفيات المنصوص عليها في التعديل الخاص للقانون الاتحادي المعني بمهنة الطب (النشرة القانونية الاتحادية رقم 140/2003) (انظر المادة 12).</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تم تنفيذ نشرة الاتحاد الأوروبي التوجيهية </w:t>
      </w:r>
      <w:r>
        <w:t>96/34/EC</w:t>
      </w:r>
      <w:r>
        <w:rPr>
          <w:rFonts w:hint="cs"/>
          <w:rtl/>
        </w:rPr>
        <w:t xml:space="preserve"> في تعديل قانون حماية الأمومة وقانون الإجازة الوالدية (النشرة القانونية الاتحادية الأولى رقم 153/1999) (انظر المادة 11، </w:t>
      </w:r>
      <w:r>
        <w:rPr>
          <w:rFonts w:hint="cs"/>
          <w:rtl/>
          <w:lang w:bidi="ar-LB"/>
        </w:rPr>
        <w:t>ال</w:t>
      </w:r>
      <w:r>
        <w:rPr>
          <w:rFonts w:hint="cs"/>
          <w:rtl/>
        </w:rPr>
        <w:t xml:space="preserve">رقم 2). </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سوف يتم في عام 2004 في الفريق العامل التابع لمجلس الاتحاد الأوروبي الاضطلاع بأعمال تحضيرية لوضع نشرة توجيهية جديدة للاتحاد الأوروبي لتنفيذ مبدأ المساواة في المعاملة بين الرجل والمرأة فيما يتعلق بالحصول على السلع والخدمات وتوريدها، على النحو المنصوص عليه في المادة 13 من معاهدة الاتحاد الأوروبي. </w:t>
      </w:r>
    </w:p>
    <w:p w:rsidR="00D23E5B" w:rsidRPr="00C55E1E" w:rsidRDefault="00D23E5B" w:rsidP="00D23E5B">
      <w:pPr>
        <w:pStyle w:val="SingleTxt"/>
        <w:rPr>
          <w:rFonts w:hint="cs"/>
          <w:b/>
          <w:bCs/>
          <w:rtl/>
        </w:rPr>
      </w:pPr>
      <w:r w:rsidRPr="00C55E1E">
        <w:rPr>
          <w:rFonts w:hint="cs"/>
          <w:b/>
          <w:bCs/>
          <w:rtl/>
        </w:rPr>
        <w:t>المادة 2، الحرف (هـ)</w:t>
      </w:r>
    </w:p>
    <w:p w:rsidR="00D23E5B" w:rsidRDefault="00D23E5B" w:rsidP="00D23E5B">
      <w:pPr>
        <w:pStyle w:val="SingleTxt"/>
        <w:rPr>
          <w:rFonts w:hint="cs"/>
          <w:rtl/>
        </w:rPr>
      </w:pPr>
      <w:r>
        <w:rPr>
          <w:rFonts w:hint="cs"/>
          <w:rtl/>
        </w:rPr>
        <w:tab/>
        <w:t>منذ 1 تموز/يوليه 2003، وضع القانون الاتحادي الذي ينظم منح العقود العامة (النشرة القانونية الاتحادية رقم 99/2002) أحكاما موحدة لمنح العقود العامة في النمسا، وهكذا يمكن اعتباره أداة لتعزيز عمل المرأة. و</w:t>
      </w:r>
      <w:r>
        <w:rPr>
          <w:rFonts w:hint="cs"/>
          <w:rtl/>
          <w:lang w:bidi="ar-LB"/>
        </w:rPr>
        <w:t>من حيث ال</w:t>
      </w:r>
      <w:r>
        <w:rPr>
          <w:rFonts w:hint="cs"/>
          <w:rtl/>
        </w:rPr>
        <w:t xml:space="preserve">مبدأ </w:t>
      </w:r>
      <w:r>
        <w:rPr>
          <w:rFonts w:hint="cs"/>
          <w:rtl/>
          <w:lang w:bidi="ar-LB"/>
        </w:rPr>
        <w:t>ال</w:t>
      </w:r>
      <w:r>
        <w:rPr>
          <w:rFonts w:hint="cs"/>
          <w:rtl/>
        </w:rPr>
        <w:t xml:space="preserve">عام </w:t>
      </w:r>
      <w:r>
        <w:rPr>
          <w:rFonts w:hint="cs"/>
          <w:rtl/>
          <w:lang w:bidi="ar-LB"/>
        </w:rPr>
        <w:t xml:space="preserve">المتبع في </w:t>
      </w:r>
      <w:r>
        <w:rPr>
          <w:rFonts w:hint="cs"/>
          <w:rtl/>
        </w:rPr>
        <w:t xml:space="preserve">إجراءات منح العقود، ينص هذا القانون بصورة صريحة على أنه يمكن أن يوضع في الاعتبار </w:t>
      </w:r>
      <w:r>
        <w:rPr>
          <w:rFonts w:hint="eastAsia"/>
          <w:rtl/>
        </w:rPr>
        <w:t>”عمل المرأة</w:t>
      </w:r>
      <w:r>
        <w:rPr>
          <w:rFonts w:hint="cs"/>
          <w:rtl/>
        </w:rPr>
        <w:t xml:space="preserve">“ و </w:t>
      </w:r>
      <w:r>
        <w:rPr>
          <w:rFonts w:hint="eastAsia"/>
          <w:rtl/>
        </w:rPr>
        <w:t>”</w:t>
      </w:r>
      <w:r>
        <w:rPr>
          <w:rFonts w:hint="cs"/>
          <w:rtl/>
          <w:lang w:bidi="ar-LB"/>
        </w:rPr>
        <w:t>ال</w:t>
      </w:r>
      <w:r>
        <w:rPr>
          <w:rFonts w:hint="eastAsia"/>
          <w:rtl/>
        </w:rPr>
        <w:t xml:space="preserve">تدابير </w:t>
      </w:r>
      <w:r>
        <w:rPr>
          <w:rFonts w:hint="cs"/>
          <w:rtl/>
          <w:lang w:bidi="ar-LB"/>
        </w:rPr>
        <w:t xml:space="preserve">المتخذة في </w:t>
      </w:r>
      <w:r>
        <w:rPr>
          <w:rFonts w:hint="eastAsia"/>
          <w:rtl/>
        </w:rPr>
        <w:t>تنفيذ ال</w:t>
      </w:r>
      <w:r>
        <w:rPr>
          <w:rFonts w:hint="cs"/>
          <w:rtl/>
          <w:lang w:bidi="ar-LB"/>
        </w:rPr>
        <w:t>قضايا</w:t>
      </w:r>
      <w:r>
        <w:rPr>
          <w:rFonts w:hint="eastAsia"/>
          <w:rtl/>
        </w:rPr>
        <w:t xml:space="preserve"> الاجتماعية </w:t>
      </w:r>
      <w:r>
        <w:rPr>
          <w:rtl/>
        </w:rPr>
        <w:t>–</w:t>
      </w:r>
      <w:r>
        <w:rPr>
          <w:rFonts w:hint="eastAsia"/>
          <w:rtl/>
        </w:rPr>
        <w:t xml:space="preserve"> السياسية </w:t>
      </w:r>
      <w:r>
        <w:rPr>
          <w:rFonts w:hint="cs"/>
          <w:rtl/>
        </w:rPr>
        <w:t>الأخرى</w:t>
      </w:r>
      <w:r>
        <w:rPr>
          <w:rFonts w:hint="eastAsia"/>
          <w:rtl/>
        </w:rPr>
        <w:t xml:space="preserve">“ عند منح العقود العامة. </w:t>
      </w:r>
      <w:r>
        <w:rPr>
          <w:rFonts w:hint="cs"/>
          <w:rtl/>
        </w:rPr>
        <w:t xml:space="preserve">ويوضح العقد بالتفصيل أن هذا يمكن أن يكون ساري المفعول </w:t>
      </w:r>
      <w:r>
        <w:rPr>
          <w:rFonts w:hint="eastAsia"/>
          <w:rtl/>
        </w:rPr>
        <w:t>”بصفة خاصة</w:t>
      </w:r>
      <w:r>
        <w:rPr>
          <w:rFonts w:hint="cs"/>
          <w:rtl/>
        </w:rPr>
        <w:t xml:space="preserve">“ عن طريق إدراج تدابير </w:t>
      </w:r>
      <w:r>
        <w:rPr>
          <w:rFonts w:hint="eastAsia"/>
          <w:rtl/>
        </w:rPr>
        <w:t>”من هذا النوع</w:t>
      </w:r>
      <w:r>
        <w:rPr>
          <w:rFonts w:hint="cs"/>
          <w:rtl/>
        </w:rPr>
        <w:t xml:space="preserve">“، أي تدابير تضع في الاعتبار الاحتياجات الخاصة للمرأة، في وصف الخدمات التي تقدمها، وفي تعريف المواصفات الفنية، وفي تعريف معايير ملموسة لمنح العقود (مع الإشارة </w:t>
      </w:r>
      <w:r>
        <w:rPr>
          <w:rFonts w:hint="cs"/>
          <w:rtl/>
          <w:lang w:bidi="ar-LB"/>
        </w:rPr>
        <w:t xml:space="preserve">بصفة </w:t>
      </w:r>
      <w:r>
        <w:rPr>
          <w:rFonts w:hint="cs"/>
          <w:rtl/>
        </w:rPr>
        <w:t xml:space="preserve">خاصة إلى المرأة) وفي تعريف الشروط التعاقدية. ويتضمن كذلك القانون الاتحادي الذي ينظم منح العقود العامة عددا من الخيارات و/أو الالتزامات الرامية إلى إدراج جوانب معينة تهم المرأة في مراحل محددة </w:t>
      </w:r>
      <w:r>
        <w:rPr>
          <w:rFonts w:hint="cs"/>
          <w:rtl/>
          <w:lang w:bidi="ar-LB"/>
        </w:rPr>
        <w:t xml:space="preserve">تُتبع في </w:t>
      </w:r>
      <w:r>
        <w:rPr>
          <w:rFonts w:hint="cs"/>
          <w:rtl/>
        </w:rPr>
        <w:t xml:space="preserve">إجراءات منح العقود. وفيما يتعلق بتقييم موثوقية المشاريع، ينص البند 51 رقم 4 على </w:t>
      </w:r>
      <w:r>
        <w:rPr>
          <w:rFonts w:hint="cs"/>
          <w:rtl/>
          <w:lang w:bidi="ar-LB"/>
        </w:rPr>
        <w:t xml:space="preserve">تطبيق </w:t>
      </w:r>
      <w:r>
        <w:rPr>
          <w:rFonts w:hint="cs"/>
          <w:rtl/>
        </w:rPr>
        <w:t>الاستبعاد الإلزامي</w:t>
      </w:r>
      <w:r>
        <w:rPr>
          <w:rFonts w:hint="cs"/>
          <w:rtl/>
          <w:lang w:bidi="ar-LB"/>
        </w:rPr>
        <w:t xml:space="preserve"> على</w:t>
      </w:r>
      <w:r>
        <w:rPr>
          <w:rFonts w:hint="cs"/>
          <w:rtl/>
        </w:rPr>
        <w:t xml:space="preserve"> </w:t>
      </w:r>
      <w:r>
        <w:rPr>
          <w:rFonts w:hint="cs"/>
          <w:rtl/>
          <w:lang w:bidi="ar-LB"/>
        </w:rPr>
        <w:t>ا</w:t>
      </w:r>
      <w:r>
        <w:rPr>
          <w:rFonts w:hint="cs"/>
          <w:rtl/>
        </w:rPr>
        <w:t xml:space="preserve">لشركات التي ارتكبت انتهاكات خطيرة وهي تقوم بتنفيذ أنشطتها التجارية، لا سيما في ميدان العمالة والقانون الاجتماعي. ويشترط القانون أيضا بصورة إلزامية الامتثال لأحكام قوانين العمل والقوانين الاجتماعية عند </w:t>
      </w:r>
      <w:r>
        <w:rPr>
          <w:rFonts w:hint="cs"/>
          <w:rtl/>
          <w:lang w:bidi="ar-LB"/>
        </w:rPr>
        <w:t>تقديم</w:t>
      </w:r>
      <w:r>
        <w:rPr>
          <w:rFonts w:hint="cs"/>
          <w:rtl/>
        </w:rPr>
        <w:t xml:space="preserve"> الخدمات في النمسا (انظر أيضا مجموعة اتفاقيات منظمة العمل الدولية التي تنطبق بصورة إلزامية في البند 71) ويتيح القانون إمكانية تعريف الشروط المحددة للنهوض بالمرأة في تنفيذ العقود (انظر البند 80، الفقرة 1، رقم 14). وتنطبق هذه الخيارات و/أو الالتزامات القانونية على جميع العقود </w:t>
      </w:r>
      <w:r>
        <w:rPr>
          <w:rFonts w:hint="cs"/>
          <w:rtl/>
          <w:lang w:bidi="ar-LB"/>
        </w:rPr>
        <w:t>الخاضعة</w:t>
      </w:r>
      <w:r>
        <w:rPr>
          <w:rFonts w:hint="cs"/>
          <w:rtl/>
        </w:rPr>
        <w:t xml:space="preserve"> </w:t>
      </w:r>
      <w:r>
        <w:rPr>
          <w:rFonts w:hint="cs"/>
          <w:rtl/>
          <w:lang w:bidi="ar-LB"/>
        </w:rPr>
        <w:t>ل</w:t>
      </w:r>
      <w:r>
        <w:rPr>
          <w:rFonts w:hint="cs"/>
          <w:rtl/>
        </w:rPr>
        <w:t>تطبيق القانون الاتحادي الذي ينظم منح العقود العامة (بغض النظر عن القيم الدنيا المعرفة في قانون الاتحاد الأوروبي).</w:t>
      </w:r>
    </w:p>
    <w:p w:rsidR="00D23E5B" w:rsidRPr="00C55E1E" w:rsidRDefault="00D23E5B" w:rsidP="00D23E5B">
      <w:pPr>
        <w:pStyle w:val="SingleTxt"/>
        <w:rPr>
          <w:rFonts w:hint="cs"/>
          <w:b/>
          <w:bCs/>
          <w:rtl/>
        </w:rPr>
      </w:pPr>
      <w:r w:rsidRPr="00C55E1E">
        <w:rPr>
          <w:rFonts w:hint="cs"/>
          <w:b/>
          <w:bCs/>
          <w:rtl/>
        </w:rPr>
        <w:t xml:space="preserve">المادة 2، الحرف (ز) </w:t>
      </w:r>
    </w:p>
    <w:p w:rsidR="00D23E5B" w:rsidRDefault="00D23E5B" w:rsidP="00D23E5B">
      <w:pPr>
        <w:pStyle w:val="SingleTxt"/>
        <w:rPr>
          <w:rFonts w:hint="cs"/>
          <w:b/>
          <w:bCs/>
          <w:rtl/>
        </w:rPr>
      </w:pPr>
      <w:r w:rsidRPr="00C55E1E">
        <w:rPr>
          <w:rFonts w:hint="cs"/>
          <w:b/>
          <w:bCs/>
          <w:rtl/>
        </w:rPr>
        <w:t>قانون العقوبات المتعلق بالجرائم الجنسية وإجراءات المحكمة</w:t>
      </w:r>
    </w:p>
    <w:p w:rsidR="00D23E5B" w:rsidRDefault="00D23E5B" w:rsidP="00D23E5B">
      <w:pPr>
        <w:pStyle w:val="SingleTxt"/>
        <w:rPr>
          <w:rFonts w:hint="cs"/>
          <w:rtl/>
        </w:rPr>
      </w:pPr>
      <w:r>
        <w:rPr>
          <w:rFonts w:hint="cs"/>
          <w:rtl/>
        </w:rPr>
        <w:tab/>
        <w:t xml:space="preserve">بفضل قانون تعديل القانون الجنائي (النشرة القانونية الاتحادية الأولى رقم 130/2001)، يعاقب مرتكبو الاغتصاب والإساءات الجنسية الخطيرة تجاه القصّر بالسجن مدى الحياة إذا ترتب على ذلك </w:t>
      </w:r>
      <w:r>
        <w:rPr>
          <w:rFonts w:hint="cs"/>
          <w:rtl/>
          <w:lang w:bidi="ar-LB"/>
        </w:rPr>
        <w:t>الوفاة</w:t>
      </w:r>
      <w:r>
        <w:rPr>
          <w:rFonts w:hint="cs"/>
          <w:rtl/>
        </w:rPr>
        <w:t>، وإلا فإن العقاب يكون بالسجن لمدة تتراوح بين 10 و 20 سنة (انظر أدناه).</w:t>
      </w:r>
    </w:p>
    <w:p w:rsidR="00D23E5B" w:rsidRDefault="00D23E5B" w:rsidP="00D23E5B">
      <w:pPr>
        <w:pStyle w:val="SingleTxt"/>
        <w:rPr>
          <w:rFonts w:hint="cs"/>
          <w:rtl/>
        </w:rPr>
      </w:pPr>
      <w:r>
        <w:rPr>
          <w:rFonts w:hint="cs"/>
          <w:rtl/>
        </w:rPr>
        <w:tab/>
        <w:t>و</w:t>
      </w:r>
      <w:r>
        <w:rPr>
          <w:rFonts w:hint="cs"/>
          <w:rtl/>
          <w:lang w:bidi="ar-LB"/>
        </w:rPr>
        <w:t xml:space="preserve">استمرت عملية </w:t>
      </w:r>
      <w:r>
        <w:rPr>
          <w:rFonts w:hint="cs"/>
          <w:rtl/>
        </w:rPr>
        <w:t>إصلاح قانون العقوبات النمساوي المتصل بالجرائم الجنسية ب</w:t>
      </w:r>
      <w:r>
        <w:rPr>
          <w:rFonts w:hint="cs"/>
          <w:rtl/>
          <w:lang w:bidi="ar-LB"/>
        </w:rPr>
        <w:t>سنّ</w:t>
      </w:r>
      <w:r>
        <w:rPr>
          <w:rFonts w:hint="cs"/>
          <w:rtl/>
        </w:rPr>
        <w:t xml:space="preserve"> قان</w:t>
      </w:r>
      <w:r>
        <w:rPr>
          <w:rFonts w:hint="cs"/>
          <w:rtl/>
          <w:lang w:bidi="ar-LB"/>
        </w:rPr>
        <w:t>ـ</w:t>
      </w:r>
      <w:r>
        <w:rPr>
          <w:rFonts w:hint="cs"/>
          <w:rtl/>
        </w:rPr>
        <w:t>ون تعدي</w:t>
      </w:r>
      <w:r>
        <w:rPr>
          <w:rFonts w:hint="cs"/>
          <w:rtl/>
          <w:lang w:bidi="ar-LB"/>
        </w:rPr>
        <w:t>ـ</w:t>
      </w:r>
      <w:r>
        <w:rPr>
          <w:rFonts w:hint="cs"/>
          <w:rtl/>
        </w:rPr>
        <w:t>ل القان</w:t>
      </w:r>
      <w:r>
        <w:rPr>
          <w:rFonts w:hint="cs"/>
          <w:rtl/>
          <w:lang w:bidi="ar-LB"/>
        </w:rPr>
        <w:t>ـ</w:t>
      </w:r>
      <w:r>
        <w:rPr>
          <w:rFonts w:hint="cs"/>
          <w:rtl/>
        </w:rPr>
        <w:t>ون الجنائي لع</w:t>
      </w:r>
      <w:r>
        <w:rPr>
          <w:rFonts w:hint="cs"/>
          <w:rtl/>
          <w:lang w:bidi="ar-LB"/>
        </w:rPr>
        <w:t>ـ</w:t>
      </w:r>
      <w:r>
        <w:rPr>
          <w:rFonts w:hint="cs"/>
          <w:rtl/>
        </w:rPr>
        <w:t>ام 2004 (</w:t>
      </w:r>
      <w:r>
        <w:t>StRÄG 2004</w:t>
      </w:r>
      <w:r>
        <w:rPr>
          <w:rFonts w:hint="cs"/>
          <w:rtl/>
        </w:rPr>
        <w:t>؛ والنش</w:t>
      </w:r>
      <w:r>
        <w:rPr>
          <w:rFonts w:hint="cs"/>
          <w:rtl/>
          <w:lang w:bidi="ar-LB"/>
        </w:rPr>
        <w:t>ـ</w:t>
      </w:r>
      <w:r>
        <w:rPr>
          <w:rFonts w:hint="cs"/>
          <w:rtl/>
        </w:rPr>
        <w:t>رة الق</w:t>
      </w:r>
      <w:r>
        <w:rPr>
          <w:rFonts w:hint="cs"/>
          <w:rtl/>
          <w:lang w:bidi="ar-LB"/>
        </w:rPr>
        <w:t>ـ</w:t>
      </w:r>
      <w:r>
        <w:rPr>
          <w:rFonts w:hint="cs"/>
          <w:rtl/>
        </w:rPr>
        <w:t>انوني</w:t>
      </w:r>
      <w:r>
        <w:rPr>
          <w:rFonts w:hint="cs"/>
          <w:rtl/>
          <w:lang w:bidi="ar-LB"/>
        </w:rPr>
        <w:t>ـ</w:t>
      </w:r>
      <w:r>
        <w:rPr>
          <w:rFonts w:hint="cs"/>
          <w:rtl/>
        </w:rPr>
        <w:t xml:space="preserve">ة الاتحادية الأولى رقم 15/2004؛ انظر أدناه والتوصية 228). ويعلق هذا القانون أهمية خاصة على </w:t>
      </w:r>
      <w:r>
        <w:rPr>
          <w:rFonts w:hint="cs"/>
          <w:rtl/>
          <w:lang w:bidi="ar-LB"/>
        </w:rPr>
        <w:t xml:space="preserve">حماية </w:t>
      </w:r>
      <w:r>
        <w:rPr>
          <w:rFonts w:hint="cs"/>
          <w:rtl/>
        </w:rPr>
        <w:t>القصّر من الاستغلال الجنسي ويوسع من نطاق الجرائم المتصلة بالنشرات الإباحية التي تستهدف الأطفال وإساءة استغلال السلطة فضلا عن أحكام جنائية ضد الذين يشجعون على دعارة القصّر ومشارك</w:t>
      </w:r>
      <w:r>
        <w:rPr>
          <w:rFonts w:hint="cs"/>
          <w:rtl/>
          <w:lang w:bidi="ar-LB"/>
        </w:rPr>
        <w:t>تهم</w:t>
      </w:r>
      <w:r>
        <w:rPr>
          <w:rFonts w:hint="cs"/>
          <w:rtl/>
        </w:rPr>
        <w:t xml:space="preserve"> في إنتاج المواد الإباحية.</w:t>
      </w:r>
    </w:p>
    <w:p w:rsidR="00D23E5B" w:rsidRDefault="00D23E5B" w:rsidP="00D23E5B">
      <w:pPr>
        <w:pStyle w:val="SingleTxt"/>
        <w:rPr>
          <w:rFonts w:hint="cs"/>
          <w:rtl/>
        </w:rPr>
      </w:pPr>
      <w:r>
        <w:rPr>
          <w:rFonts w:hint="cs"/>
          <w:rtl/>
        </w:rPr>
        <w:tab/>
        <w:t>و</w:t>
      </w:r>
      <w:r>
        <w:rPr>
          <w:rFonts w:hint="cs"/>
          <w:rtl/>
          <w:lang w:bidi="ar-LB"/>
        </w:rPr>
        <w:t>ال</w:t>
      </w:r>
      <w:r>
        <w:rPr>
          <w:rFonts w:hint="cs"/>
          <w:rtl/>
        </w:rPr>
        <w:t xml:space="preserve">تغييرات </w:t>
      </w:r>
      <w:r>
        <w:rPr>
          <w:rFonts w:hint="cs"/>
          <w:rtl/>
          <w:lang w:bidi="ar-LB"/>
        </w:rPr>
        <w:t>ال</w:t>
      </w:r>
      <w:r>
        <w:rPr>
          <w:rFonts w:hint="cs"/>
          <w:rtl/>
        </w:rPr>
        <w:t xml:space="preserve">هامة </w:t>
      </w:r>
      <w:r>
        <w:rPr>
          <w:rFonts w:hint="cs"/>
          <w:rtl/>
          <w:lang w:bidi="ar-LB"/>
        </w:rPr>
        <w:t>ال</w:t>
      </w:r>
      <w:r>
        <w:rPr>
          <w:rFonts w:hint="cs"/>
          <w:rtl/>
        </w:rPr>
        <w:t>أخرى</w:t>
      </w:r>
      <w:r>
        <w:rPr>
          <w:rFonts w:hint="cs"/>
          <w:rtl/>
          <w:lang w:bidi="ar-LB"/>
        </w:rPr>
        <w:t>،</w:t>
      </w:r>
      <w:r>
        <w:rPr>
          <w:rFonts w:hint="cs"/>
          <w:rtl/>
        </w:rPr>
        <w:t xml:space="preserve"> لا سيما </w:t>
      </w:r>
      <w:r>
        <w:rPr>
          <w:rFonts w:hint="cs"/>
          <w:rtl/>
          <w:lang w:bidi="ar-LB"/>
        </w:rPr>
        <w:t>ال</w:t>
      </w:r>
      <w:r>
        <w:rPr>
          <w:rFonts w:hint="cs"/>
          <w:rtl/>
        </w:rPr>
        <w:t xml:space="preserve">تغييرات </w:t>
      </w:r>
      <w:r>
        <w:rPr>
          <w:rFonts w:hint="cs"/>
          <w:rtl/>
          <w:lang w:bidi="ar-LB"/>
        </w:rPr>
        <w:t>التي تؤثر على</w:t>
      </w:r>
      <w:r>
        <w:rPr>
          <w:rFonts w:hint="cs"/>
          <w:rtl/>
        </w:rPr>
        <w:t xml:space="preserve"> المرأة و</w:t>
      </w:r>
      <w:r>
        <w:rPr>
          <w:rFonts w:hint="cs"/>
          <w:rtl/>
          <w:lang w:bidi="ar-LB"/>
        </w:rPr>
        <w:t>تمثل</w:t>
      </w:r>
      <w:r>
        <w:rPr>
          <w:rFonts w:hint="cs"/>
          <w:rtl/>
        </w:rPr>
        <w:t xml:space="preserve"> في القواعد الجديدة المتعلقة بجريمة الاتجار بالأشخاص (انظر أيضا التعليقات على التوصية 228)، والمساواة في المعاملة بموجب قانون الاغتصاب والقسر الجنسي داخل الزواج وخارجه واست</w:t>
      </w:r>
      <w:r>
        <w:rPr>
          <w:rFonts w:hint="cs"/>
          <w:rtl/>
          <w:lang w:bidi="ar-LB"/>
        </w:rPr>
        <w:t>ح</w:t>
      </w:r>
      <w:r>
        <w:rPr>
          <w:rFonts w:hint="cs"/>
          <w:rtl/>
        </w:rPr>
        <w:t>دا</w:t>
      </w:r>
      <w:r>
        <w:rPr>
          <w:rFonts w:hint="cs"/>
          <w:rtl/>
          <w:lang w:bidi="ar-LB"/>
        </w:rPr>
        <w:t>ث</w:t>
      </w:r>
      <w:r>
        <w:rPr>
          <w:rFonts w:hint="cs"/>
          <w:rtl/>
        </w:rPr>
        <w:t xml:space="preserve"> جريمة جديدة تتعلق بالتحرش الجنسي.</w:t>
      </w:r>
    </w:p>
    <w:p w:rsidR="00D23E5B" w:rsidRPr="004E432D" w:rsidRDefault="00D23E5B" w:rsidP="00D23E5B">
      <w:pPr>
        <w:pStyle w:val="SingleTxt"/>
        <w:rPr>
          <w:rFonts w:hint="cs"/>
          <w:b/>
          <w:bCs/>
          <w:rtl/>
        </w:rPr>
      </w:pPr>
      <w:r w:rsidRPr="004E432D">
        <w:rPr>
          <w:rFonts w:hint="cs"/>
          <w:b/>
          <w:bCs/>
          <w:rtl/>
        </w:rPr>
        <w:t>دعم الضحايا أثنا</w:t>
      </w:r>
      <w:r>
        <w:rPr>
          <w:rFonts w:hint="cs"/>
          <w:b/>
          <w:bCs/>
          <w:rtl/>
        </w:rPr>
        <w:t>ء الإجراءات الجنائية في المحاكم</w:t>
      </w:r>
    </w:p>
    <w:p w:rsidR="00D23E5B" w:rsidRDefault="00D23E5B" w:rsidP="00D23E5B">
      <w:pPr>
        <w:pStyle w:val="SingleTxt"/>
        <w:rPr>
          <w:rFonts w:hint="cs"/>
          <w:rtl/>
        </w:rPr>
      </w:pPr>
      <w:r>
        <w:rPr>
          <w:rFonts w:hint="cs"/>
          <w:rtl/>
        </w:rPr>
        <w:tab/>
        <w:t xml:space="preserve">تم خلال الفترة التي يغطيها التقرير زيادة تطوير ميدان إسداء المشورة النفسية والقانونية أثناء الإجراءات الجنائية في المحاكم. وتم في عام 2000 استكمال المشروع النموذجي </w:t>
      </w:r>
      <w:r>
        <w:rPr>
          <w:rFonts w:hint="eastAsia"/>
          <w:rtl/>
        </w:rPr>
        <w:t>”توفير مساندة نفسية وقانونية للبنات والأولاد والمراهقين الذين تعرضوا للإيذاء الجنسي طوال سير الدعوى الجنائية</w:t>
      </w:r>
      <w:r>
        <w:rPr>
          <w:rFonts w:hint="cs"/>
          <w:rtl/>
        </w:rPr>
        <w:t>“. ومنذ نهاية عام 2000، تم تمويل إسداء المشورة النفسية والقانونية أثناء الإجراءات الجنائية التي تستهدف الأطفال والمراهقين والنساء الذين عانوا من العنف الجسدي أو الجنسي من الأموال العامة.</w:t>
      </w:r>
    </w:p>
    <w:p w:rsidR="00D23E5B" w:rsidRDefault="00D23E5B" w:rsidP="00D23E5B">
      <w:pPr>
        <w:pStyle w:val="SingleTxt"/>
        <w:rPr>
          <w:rFonts w:hint="cs"/>
          <w:rtl/>
        </w:rPr>
      </w:pPr>
      <w:r>
        <w:rPr>
          <w:rFonts w:hint="cs"/>
          <w:rtl/>
        </w:rPr>
        <w:tab/>
        <w:t xml:space="preserve">وفي عام 2001، تم تشكيل فريق عام مشترك بين الوزارات </w:t>
      </w:r>
      <w:r>
        <w:rPr>
          <w:rFonts w:hint="cs"/>
          <w:rtl/>
          <w:lang w:bidi="ar-LB"/>
        </w:rPr>
        <w:t>معني بدعم الضحا</w:t>
      </w:r>
      <w:r>
        <w:rPr>
          <w:rFonts w:hint="cs"/>
          <w:rtl/>
        </w:rPr>
        <w:t xml:space="preserve">يا أثناء الإجراءات الجنائية في الوزارة الاتحادية للتأمينات الاجتماعية والأجيال. ويقوم </w:t>
      </w:r>
      <w:r>
        <w:rPr>
          <w:rFonts w:hint="cs"/>
          <w:rtl/>
          <w:lang w:bidi="ar-LB"/>
        </w:rPr>
        <w:t xml:space="preserve">هذا </w:t>
      </w:r>
      <w:r>
        <w:rPr>
          <w:rFonts w:hint="cs"/>
          <w:rtl/>
        </w:rPr>
        <w:t>الفريق بوضع معايير موحدة لدعم إلى الضحايا أثناء الإجراءات الجنائية - مجموعة معايير تخص الأطفال والمراهقين ومجموعة أخرى تخص النساء - بالإضافة إلى تطوير مفهوم يصلح لدعم</w:t>
      </w:r>
      <w:r>
        <w:rPr>
          <w:rFonts w:hint="cs"/>
          <w:rtl/>
          <w:lang w:bidi="ar-LB"/>
        </w:rPr>
        <w:t xml:space="preserve"> </w:t>
      </w:r>
      <w:r>
        <w:rPr>
          <w:rFonts w:hint="cs"/>
          <w:rtl/>
        </w:rPr>
        <w:t>جميع الضحايا على نطاق النمسا. وبالإضافة إلى ذلك، تم توفير الأموال العامة لتدريب الأشخاص الذين سيقدمون المشورة لدعم الضحايا، و</w:t>
      </w:r>
      <w:r>
        <w:rPr>
          <w:rFonts w:hint="cs"/>
          <w:rtl/>
          <w:lang w:bidi="ar-LB"/>
        </w:rPr>
        <w:t>ل</w:t>
      </w:r>
      <w:r>
        <w:rPr>
          <w:rFonts w:hint="cs"/>
          <w:rtl/>
        </w:rPr>
        <w:t>تنظيم الحلقات الدراسية المتعددة التخصصات، و</w:t>
      </w:r>
      <w:r>
        <w:rPr>
          <w:rFonts w:hint="cs"/>
          <w:rtl/>
          <w:lang w:bidi="ar-LB"/>
        </w:rPr>
        <w:t>ل</w:t>
      </w:r>
      <w:r>
        <w:rPr>
          <w:rFonts w:hint="cs"/>
          <w:rtl/>
        </w:rPr>
        <w:t>إنشاء هياكل للتعاون.</w:t>
      </w:r>
    </w:p>
    <w:p w:rsidR="007007C1" w:rsidRDefault="007007C1" w:rsidP="00D23E5B">
      <w:pPr>
        <w:pStyle w:val="SingleTxt"/>
        <w:rPr>
          <w:rFonts w:hint="cs"/>
          <w:rtl/>
        </w:rPr>
      </w:pPr>
    </w:p>
    <w:p w:rsidR="007007C1" w:rsidRDefault="007007C1" w:rsidP="00D23E5B">
      <w:pPr>
        <w:pStyle w:val="SingleTxt"/>
        <w:rPr>
          <w:rFonts w:hint="cs"/>
          <w:rtl/>
        </w:rPr>
      </w:pPr>
    </w:p>
    <w:p w:rsidR="00D23E5B" w:rsidRDefault="00D23E5B" w:rsidP="00D23E5B">
      <w:pPr>
        <w:pStyle w:val="SingleTxt"/>
        <w:rPr>
          <w:rFonts w:hint="cs"/>
          <w:b/>
          <w:bCs/>
          <w:rtl/>
        </w:rPr>
      </w:pPr>
      <w:r>
        <w:rPr>
          <w:rFonts w:hint="cs"/>
          <w:b/>
          <w:bCs/>
          <w:rtl/>
        </w:rPr>
        <w:t>القانون الاتحادي للحماية من العنف المنزلي</w:t>
      </w:r>
    </w:p>
    <w:p w:rsidR="00D23E5B" w:rsidRDefault="00D23E5B" w:rsidP="00D23E5B">
      <w:pPr>
        <w:pStyle w:val="SingleTxt"/>
        <w:rPr>
          <w:rFonts w:hint="cs"/>
          <w:rtl/>
        </w:rPr>
      </w:pPr>
      <w:r>
        <w:rPr>
          <w:rFonts w:hint="cs"/>
          <w:rtl/>
        </w:rPr>
        <w:tab/>
        <w:t>بدأ نفاذ القانون الاتحادي للحماية من العنف المنزلي في 1 أيار/مايو 1997. و</w:t>
      </w:r>
      <w:r>
        <w:rPr>
          <w:rFonts w:hint="cs"/>
          <w:rtl/>
          <w:lang w:bidi="ar-LB"/>
        </w:rPr>
        <w:t xml:space="preserve">سبق </w:t>
      </w:r>
      <w:r>
        <w:rPr>
          <w:rFonts w:hint="cs"/>
          <w:rtl/>
        </w:rPr>
        <w:t xml:space="preserve"> بالفعل وصف نطاق تطبيق هذا القانون بصورة شاملة في التقرير الدوري الخامس للنمسا المقدم إلى اللجنة.</w:t>
      </w:r>
    </w:p>
    <w:p w:rsidR="00D23E5B" w:rsidRDefault="00D23E5B" w:rsidP="00D23E5B">
      <w:pPr>
        <w:pStyle w:val="SingleTxt"/>
        <w:rPr>
          <w:rFonts w:hint="cs"/>
          <w:rtl/>
        </w:rPr>
      </w:pPr>
      <w:r>
        <w:rPr>
          <w:rFonts w:hint="cs"/>
          <w:rtl/>
        </w:rPr>
        <w:tab/>
        <w:t>وبفضل تعديل القانون التنفيذي لعام 2003 (</w:t>
      </w:r>
      <w:r>
        <w:t>EO</w:t>
      </w:r>
      <w:r>
        <w:rPr>
          <w:rFonts w:hint="cs"/>
          <w:rtl/>
        </w:rPr>
        <w:t xml:space="preserve"> - تشرين الثاني/نوفمبر 2003، النشرة القانونية الاتحادية الأولى رقم 31/2003)، الذي بدأ نفاذه في 1 كانون الثاني/يناير 2004، تم أيضا تحسين الأحكام المتعلقة بالأوامر القضائية للحماية من العنف المنزلي (البند 382، الحرفان (ب) و (د) من </w:t>
      </w:r>
      <w:r>
        <w:t>EO</w:t>
      </w:r>
      <w:r>
        <w:rPr>
          <w:rFonts w:hint="cs"/>
          <w:rtl/>
        </w:rPr>
        <w:t>) استنادا إلى الخبرة المكتسبة من التشريع القائم.</w:t>
      </w:r>
    </w:p>
    <w:p w:rsidR="00D23E5B" w:rsidRDefault="00D23E5B" w:rsidP="00D23E5B">
      <w:pPr>
        <w:pStyle w:val="SingleTxt"/>
        <w:rPr>
          <w:rFonts w:hint="cs"/>
          <w:rtl/>
        </w:rPr>
      </w:pPr>
      <w:r>
        <w:rPr>
          <w:rFonts w:hint="cs"/>
          <w:rtl/>
        </w:rPr>
        <w:tab/>
        <w:t xml:space="preserve">ووفقا للحالة القانونية الجديدة فإن الحماية الممنوحة بموجب البند 382 (ب) من </w:t>
      </w:r>
      <w:r>
        <w:t>EO</w:t>
      </w:r>
      <w:r>
        <w:rPr>
          <w:rFonts w:hint="cs"/>
          <w:rtl/>
        </w:rPr>
        <w:t xml:space="preserve"> تشمل الآن جميع الأشخاص الذين يعيشون أو الذين عاشوا مع مرتكب </w:t>
      </w:r>
      <w:r>
        <w:rPr>
          <w:rFonts w:hint="cs"/>
          <w:rtl/>
          <w:lang w:bidi="ar-LB"/>
        </w:rPr>
        <w:t xml:space="preserve">الجريمة </w:t>
      </w:r>
      <w:r>
        <w:rPr>
          <w:rFonts w:hint="cs"/>
          <w:rtl/>
        </w:rPr>
        <w:t>(المحتمل) في علاقة عائلية أو في علاقة شبه عائلية (كانت هذه الحماية لا تنطق حتى الآن إلا على مجموعة معينة من الأشخاص</w:t>
      </w:r>
      <w:r>
        <w:rPr>
          <w:rFonts w:hint="cs"/>
          <w:rtl/>
          <w:lang w:bidi="ar-LB"/>
        </w:rPr>
        <w:t>،</w:t>
      </w:r>
      <w:r>
        <w:rPr>
          <w:rFonts w:hint="cs"/>
          <w:rtl/>
        </w:rPr>
        <w:t xml:space="preserve"> وإلا في الحالات التي يكون فيها هؤلاء الأشخاص يعيشون مع المرتكب (المحتمل) في أسرة معيشية مشتركة خلال الشهور الثلاثة الماضية التي تسبق تطبيق الأمر القضائي). </w:t>
      </w:r>
    </w:p>
    <w:p w:rsidR="00D23E5B" w:rsidRDefault="00D23E5B" w:rsidP="00CC5871">
      <w:pPr>
        <w:pStyle w:val="SingleTxt"/>
        <w:rPr>
          <w:rFonts w:hint="cs"/>
          <w:rtl/>
        </w:rPr>
      </w:pPr>
      <w:r>
        <w:rPr>
          <w:rFonts w:hint="cs"/>
          <w:rtl/>
        </w:rPr>
        <w:tab/>
        <w:t xml:space="preserve">وإن العبارة </w:t>
      </w:r>
      <w:r>
        <w:rPr>
          <w:rFonts w:hint="eastAsia"/>
          <w:rtl/>
        </w:rPr>
        <w:t>”شبه الأقارب</w:t>
      </w:r>
      <w:r>
        <w:rPr>
          <w:rFonts w:hint="cs"/>
          <w:rtl/>
        </w:rPr>
        <w:t>“ التي بدأ استعمالها في التعديل الجديد تهدف بصورة رئيسية إلى جعل الأشخاص الذين ينبغي حمايتهم تتجاوز بصفة خاصة التعريف الضيق للشريك في المعاشرة. و</w:t>
      </w:r>
      <w:r>
        <w:rPr>
          <w:rFonts w:hint="cs"/>
          <w:rtl/>
          <w:lang w:bidi="ar-LB"/>
        </w:rPr>
        <w:t>سبب</w:t>
      </w:r>
      <w:r>
        <w:rPr>
          <w:rFonts w:hint="cs"/>
          <w:rtl/>
        </w:rPr>
        <w:t xml:space="preserve"> إلغاء فترة الثلاثة أشهر</w:t>
      </w:r>
      <w:r>
        <w:rPr>
          <w:rFonts w:hint="cs"/>
          <w:rtl/>
          <w:lang w:bidi="ar-LB"/>
        </w:rPr>
        <w:t xml:space="preserve"> هو</w:t>
      </w:r>
      <w:r>
        <w:rPr>
          <w:rFonts w:hint="cs"/>
          <w:rtl/>
        </w:rPr>
        <w:t xml:space="preserve"> أن العواطف التي تكونت بين شخصين كانا يعاشر</w:t>
      </w:r>
      <w:r>
        <w:rPr>
          <w:rFonts w:hint="cs"/>
          <w:rtl/>
          <w:lang w:bidi="ar-LB"/>
        </w:rPr>
        <w:t>ا</w:t>
      </w:r>
      <w:r>
        <w:rPr>
          <w:rFonts w:hint="cs"/>
          <w:rtl/>
        </w:rPr>
        <w:t xml:space="preserve">ن بعضهما البعض سابقا لا يمكن أن تخف خلال ثلاثة أشهر، ويهدف </w:t>
      </w:r>
      <w:r>
        <w:rPr>
          <w:rFonts w:hint="cs"/>
          <w:rtl/>
          <w:lang w:bidi="ar-LB"/>
        </w:rPr>
        <w:t xml:space="preserve">الإلغاء أيضا </w:t>
      </w:r>
      <w:r>
        <w:rPr>
          <w:rFonts w:hint="cs"/>
          <w:rtl/>
        </w:rPr>
        <w:t xml:space="preserve">إلى ضمان وجود حماية ضد العنف بغض النظر </w:t>
      </w:r>
      <w:r>
        <w:rPr>
          <w:rFonts w:hint="cs"/>
          <w:rtl/>
          <w:lang w:bidi="ar-LB"/>
        </w:rPr>
        <w:t xml:space="preserve">عن </w:t>
      </w:r>
      <w:r>
        <w:rPr>
          <w:rFonts w:hint="cs"/>
          <w:rtl/>
        </w:rPr>
        <w:t>فترات زمنية تحددها المحاكم، لا سيما في الحالات التي يحتمل فيها أن ي</w:t>
      </w:r>
      <w:r>
        <w:rPr>
          <w:rFonts w:hint="cs"/>
          <w:rtl/>
          <w:lang w:bidi="ar-LB"/>
        </w:rPr>
        <w:t>ستمر فيها</w:t>
      </w:r>
      <w:r>
        <w:rPr>
          <w:rFonts w:hint="cs"/>
          <w:rtl/>
        </w:rPr>
        <w:t xml:space="preserve"> التعامل بين الطرفين بسبب وجود أطفال. </w:t>
      </w:r>
    </w:p>
    <w:p w:rsidR="00D23E5B" w:rsidRDefault="00D23E5B" w:rsidP="00D23E5B">
      <w:pPr>
        <w:pStyle w:val="SingleTxt"/>
        <w:rPr>
          <w:rFonts w:hint="cs"/>
          <w:rtl/>
        </w:rPr>
      </w:pPr>
      <w:r>
        <w:rPr>
          <w:rFonts w:hint="cs"/>
          <w:rtl/>
        </w:rPr>
        <w:tab/>
        <w:t xml:space="preserve">وبالإضافة إلى ذلك، ومن أجل تحسين إنفاذ الأوامر القضائية وإنفاذها بصورة فعالة، وفقا للفقرة 2 </w:t>
      </w:r>
      <w:r>
        <w:t>EO</w:t>
      </w:r>
      <w:r>
        <w:rPr>
          <w:rFonts w:hint="cs"/>
          <w:rtl/>
          <w:lang w:bidi="ar-LB"/>
        </w:rPr>
        <w:t xml:space="preserve"> من ا</w:t>
      </w:r>
      <w:r>
        <w:rPr>
          <w:rFonts w:hint="cs"/>
          <w:rtl/>
        </w:rPr>
        <w:t xml:space="preserve">لبند 38 (ب)، الذي يحظر على مرتكب الجريمة من البقاء في بعض الأماكن أو زيارتها (أمر الحظر، و </w:t>
      </w:r>
      <w:r>
        <w:rPr>
          <w:rFonts w:hint="eastAsia"/>
          <w:rtl/>
        </w:rPr>
        <w:t>”</w:t>
      </w:r>
      <w:r>
        <w:rPr>
          <w:rFonts w:hint="cs"/>
          <w:rtl/>
          <w:lang w:bidi="ar-LB"/>
        </w:rPr>
        <w:t>ال</w:t>
      </w:r>
      <w:r>
        <w:rPr>
          <w:rFonts w:hint="eastAsia"/>
          <w:rtl/>
        </w:rPr>
        <w:t xml:space="preserve">مناطق </w:t>
      </w:r>
      <w:r>
        <w:rPr>
          <w:rFonts w:hint="cs"/>
          <w:rtl/>
          <w:lang w:bidi="ar-LB"/>
        </w:rPr>
        <w:t>ال</w:t>
      </w:r>
      <w:r>
        <w:rPr>
          <w:rFonts w:hint="eastAsia"/>
          <w:rtl/>
        </w:rPr>
        <w:t>محرمة</w:t>
      </w:r>
      <w:r>
        <w:rPr>
          <w:rFonts w:hint="cs"/>
          <w:rtl/>
        </w:rPr>
        <w:t xml:space="preserve">“)، ينص الأمر التنفيذي </w:t>
      </w:r>
      <w:r>
        <w:t>EO</w:t>
      </w:r>
      <w:r>
        <w:rPr>
          <w:rFonts w:hint="cs"/>
          <w:rtl/>
        </w:rPr>
        <w:t xml:space="preserve"> </w:t>
      </w:r>
      <w:r>
        <w:rPr>
          <w:rtl/>
        </w:rPr>
        <w:t>–</w:t>
      </w:r>
      <w:r>
        <w:rPr>
          <w:rFonts w:hint="cs"/>
          <w:rtl/>
        </w:rPr>
        <w:t xml:space="preserve"> تشرين الثاني/نوفمبر 2003 على أن هذه الأوامر القضائية يمكن أن تنفذها أيضا وكالات إنفاذ القانون العام في المستقبل.</w:t>
      </w:r>
    </w:p>
    <w:p w:rsidR="007007C1" w:rsidRDefault="007007C1" w:rsidP="00D23E5B">
      <w:pPr>
        <w:pStyle w:val="SingleTxt"/>
        <w:rPr>
          <w:rFonts w:hint="cs"/>
          <w:rtl/>
        </w:rPr>
      </w:pPr>
    </w:p>
    <w:p w:rsidR="007007C1" w:rsidRDefault="007007C1" w:rsidP="00D23E5B">
      <w:pPr>
        <w:pStyle w:val="SingleTxt"/>
        <w:rPr>
          <w:rFonts w:hint="cs"/>
          <w:rtl/>
        </w:rPr>
      </w:pPr>
    </w:p>
    <w:p w:rsidR="00D23E5B" w:rsidRPr="0069095B" w:rsidRDefault="00D23E5B" w:rsidP="00D23E5B">
      <w:pPr>
        <w:pStyle w:val="SingleTxt"/>
        <w:rPr>
          <w:rFonts w:hint="cs"/>
          <w:b/>
          <w:bCs/>
          <w:rtl/>
        </w:rPr>
      </w:pPr>
      <w:r w:rsidRPr="0069095B">
        <w:rPr>
          <w:rFonts w:hint="cs"/>
          <w:b/>
          <w:bCs/>
          <w:rtl/>
        </w:rPr>
        <w:t>المادة 90 من قانون العقوبات النمساوي: تشويه الأعضاء التناسلية</w:t>
      </w:r>
    </w:p>
    <w:p w:rsidR="00D23E5B" w:rsidRDefault="00D23E5B" w:rsidP="00D23E5B">
      <w:pPr>
        <w:pStyle w:val="SingleTxt"/>
        <w:rPr>
          <w:rFonts w:hint="cs"/>
          <w:rtl/>
        </w:rPr>
      </w:pPr>
      <w:r>
        <w:rPr>
          <w:rFonts w:hint="cs"/>
          <w:rtl/>
        </w:rPr>
        <w:tab/>
      </w:r>
      <w:r>
        <w:rPr>
          <w:rFonts w:hint="cs"/>
          <w:rtl/>
          <w:lang w:bidi="ar-LB"/>
        </w:rPr>
        <w:t>و</w:t>
      </w:r>
      <w:r>
        <w:rPr>
          <w:rFonts w:hint="cs"/>
          <w:rtl/>
        </w:rPr>
        <w:t xml:space="preserve">وفقا للبند 90، الفقرة 1 من قانون العقوبات النمساوي، </w:t>
      </w:r>
      <w:r>
        <w:rPr>
          <w:rFonts w:hint="cs"/>
          <w:rtl/>
          <w:lang w:bidi="ar-LB"/>
        </w:rPr>
        <w:t>تحول</w:t>
      </w:r>
      <w:r>
        <w:rPr>
          <w:rFonts w:hint="cs"/>
          <w:rtl/>
        </w:rPr>
        <w:t xml:space="preserve"> موافقة الطرف الم</w:t>
      </w:r>
      <w:r>
        <w:rPr>
          <w:rFonts w:hint="cs"/>
          <w:rtl/>
          <w:lang w:bidi="ar-LB"/>
        </w:rPr>
        <w:t>تضرر</w:t>
      </w:r>
      <w:r>
        <w:rPr>
          <w:rFonts w:hint="cs"/>
          <w:rtl/>
        </w:rPr>
        <w:t xml:space="preserve"> أو الطرف المعرض للخطر </w:t>
      </w:r>
      <w:r>
        <w:rPr>
          <w:rFonts w:hint="cs"/>
          <w:rtl/>
          <w:lang w:bidi="ar-LB"/>
        </w:rPr>
        <w:t>د</w:t>
      </w:r>
      <w:r>
        <w:rPr>
          <w:rFonts w:hint="cs"/>
          <w:rtl/>
        </w:rPr>
        <w:t xml:space="preserve">ون اعتبار عمل </w:t>
      </w:r>
      <w:r>
        <w:rPr>
          <w:rFonts w:hint="cs"/>
          <w:rtl/>
          <w:lang w:bidi="ar-LB"/>
        </w:rPr>
        <w:t>يض</w:t>
      </w:r>
      <w:r>
        <w:rPr>
          <w:rFonts w:hint="cs"/>
          <w:rtl/>
        </w:rPr>
        <w:t>ر</w:t>
      </w:r>
      <w:r>
        <w:rPr>
          <w:rFonts w:hint="cs"/>
          <w:rtl/>
          <w:lang w:bidi="ar-LB"/>
        </w:rPr>
        <w:t>ّ</w:t>
      </w:r>
      <w:r>
        <w:rPr>
          <w:rFonts w:hint="cs"/>
          <w:rtl/>
        </w:rPr>
        <w:t xml:space="preserve"> جسديا أو يعرض للخطر السلامة الجسدية غير قانوني، شريطة أ</w:t>
      </w:r>
      <w:r>
        <w:rPr>
          <w:rFonts w:hint="cs"/>
          <w:rtl/>
          <w:lang w:bidi="ar-LB"/>
        </w:rPr>
        <w:t xml:space="preserve">لا يشكل </w:t>
      </w:r>
      <w:r>
        <w:rPr>
          <w:rFonts w:hint="cs"/>
          <w:rtl/>
        </w:rPr>
        <w:t>ال</w:t>
      </w:r>
      <w:r>
        <w:rPr>
          <w:rFonts w:hint="cs"/>
          <w:rtl/>
          <w:lang w:bidi="ar-LB"/>
        </w:rPr>
        <w:t>ضرر</w:t>
      </w:r>
      <w:r>
        <w:rPr>
          <w:rFonts w:hint="cs"/>
          <w:rtl/>
        </w:rPr>
        <w:t xml:space="preserve"> أو التعرض للخطر جريمة ضد الأخلاق والآداب العامة. ومع ذلك، تنص الفقرة 3 التي أضيفت إلى قانون تعديل القانون الجنائي لعام 2001 على أن</w:t>
      </w:r>
      <w:r>
        <w:rPr>
          <w:rFonts w:hint="cs"/>
          <w:rtl/>
          <w:lang w:bidi="ar-LB"/>
        </w:rPr>
        <w:t>ه لا يمكن منح</w:t>
      </w:r>
      <w:r>
        <w:rPr>
          <w:rFonts w:hint="cs"/>
          <w:rtl/>
        </w:rPr>
        <w:t xml:space="preserve"> الموافقة </w:t>
      </w:r>
      <w:r>
        <w:rPr>
          <w:rFonts w:hint="cs"/>
          <w:rtl/>
          <w:lang w:bidi="ar-LB"/>
        </w:rPr>
        <w:t>على</w:t>
      </w:r>
      <w:r>
        <w:rPr>
          <w:rFonts w:hint="cs"/>
          <w:rtl/>
        </w:rPr>
        <w:t xml:space="preserve"> تشويه الأعضاء التناسلية</w:t>
      </w:r>
      <w:r>
        <w:rPr>
          <w:rFonts w:hint="cs"/>
          <w:rtl/>
          <w:lang w:bidi="ar-LB"/>
        </w:rPr>
        <w:t xml:space="preserve"> </w:t>
      </w:r>
      <w:r>
        <w:rPr>
          <w:rFonts w:hint="cs"/>
          <w:rtl/>
        </w:rPr>
        <w:t xml:space="preserve">أو </w:t>
      </w:r>
      <w:r>
        <w:rPr>
          <w:rFonts w:hint="cs"/>
          <w:rtl/>
          <w:lang w:bidi="ar-LB"/>
        </w:rPr>
        <w:t>الإضرار</w:t>
      </w:r>
      <w:r>
        <w:rPr>
          <w:rFonts w:hint="cs"/>
          <w:rtl/>
        </w:rPr>
        <w:t xml:space="preserve"> </w:t>
      </w:r>
      <w:r>
        <w:rPr>
          <w:rFonts w:hint="cs"/>
          <w:rtl/>
          <w:lang w:bidi="ar-LB"/>
        </w:rPr>
        <w:t>بها</w:t>
      </w:r>
      <w:r>
        <w:rPr>
          <w:rFonts w:hint="cs"/>
          <w:rtl/>
        </w:rPr>
        <w:t xml:space="preserve"> من أجل منع الإحساس الجنسي بصورة دائمة. وعليه فإن أي موافقة على ممارسات من هذا النوع تقع بصفة عامة تحت مصطلح </w:t>
      </w:r>
      <w:r>
        <w:rPr>
          <w:rFonts w:hint="eastAsia"/>
          <w:rtl/>
        </w:rPr>
        <w:t>”تشويه الأعضاء التناسلية (للمرأة)</w:t>
      </w:r>
      <w:r>
        <w:rPr>
          <w:rFonts w:hint="cs"/>
          <w:rtl/>
        </w:rPr>
        <w:t>“ وتعتبر غير قانونية. وعند استبعاد التبرير على أساس الموافقة، فإن الفقرة الجديدة تجعل بشكل واضح لا لبس فيه أن أي إصابة تمس الأعضاء التناسلية في أي حالة من الأحوال تشكل جريمة ضد الأخلاق والآداب العامة وعليه يعاقب عليها القانون (انظر أيضا التوصية 229).</w:t>
      </w:r>
    </w:p>
    <w:p w:rsidR="00D23E5B" w:rsidRDefault="00D23E5B" w:rsidP="00D23E5B">
      <w:pPr>
        <w:pStyle w:val="SingleTxt"/>
        <w:rPr>
          <w:rFonts w:hint="cs"/>
          <w:b/>
          <w:bCs/>
          <w:rtl/>
        </w:rPr>
      </w:pPr>
      <w:r>
        <w:rPr>
          <w:rFonts w:hint="cs"/>
          <w:b/>
          <w:bCs/>
          <w:rtl/>
        </w:rPr>
        <w:t>فرض جزاءات أشد على الجرائم الجنسية</w:t>
      </w:r>
    </w:p>
    <w:p w:rsidR="00D23E5B" w:rsidRDefault="00D23E5B" w:rsidP="00D23E5B">
      <w:pPr>
        <w:pStyle w:val="SingleTxt"/>
        <w:rPr>
          <w:rFonts w:hint="cs"/>
          <w:rtl/>
          <w:lang w:bidi="ar-LB"/>
        </w:rPr>
      </w:pPr>
      <w:r>
        <w:rPr>
          <w:rFonts w:hint="cs"/>
          <w:rtl/>
        </w:rPr>
        <w:tab/>
        <w:t>نظرا لأن حوالي 96 في المائة من ضحايا الاغتصاب وحوالي 79 في المائة من</w:t>
      </w:r>
      <w:r>
        <w:rPr>
          <w:rFonts w:hint="cs"/>
          <w:rtl/>
          <w:lang w:bidi="ar-LB"/>
        </w:rPr>
        <w:t xml:space="preserve"> الأطفال الذين يقعون</w:t>
      </w:r>
      <w:r>
        <w:rPr>
          <w:rFonts w:hint="cs"/>
          <w:rtl/>
        </w:rPr>
        <w:t xml:space="preserve"> ضحايا </w:t>
      </w:r>
      <w:r>
        <w:rPr>
          <w:rFonts w:hint="cs"/>
          <w:rtl/>
          <w:lang w:bidi="ar-LB"/>
        </w:rPr>
        <w:t>ل</w:t>
      </w:r>
      <w:r>
        <w:rPr>
          <w:rFonts w:hint="cs"/>
          <w:rtl/>
        </w:rPr>
        <w:t xml:space="preserve">لإساءات الجنسية </w:t>
      </w:r>
      <w:r>
        <w:rPr>
          <w:rFonts w:hint="cs"/>
          <w:rtl/>
          <w:lang w:bidi="ar-LB"/>
        </w:rPr>
        <w:t>هم من</w:t>
      </w:r>
      <w:r>
        <w:rPr>
          <w:rFonts w:hint="cs"/>
          <w:rtl/>
        </w:rPr>
        <w:t xml:space="preserve"> النساء أو الفتيات وفقا لتقرير وزارة الداخلية الاتحادية لعام 2002 عن الجرائم المرتكبة، يمكن اعتبار العقوبات </w:t>
      </w:r>
      <w:r>
        <w:rPr>
          <w:rFonts w:hint="cs"/>
          <w:rtl/>
          <w:lang w:bidi="ar-LB"/>
        </w:rPr>
        <w:t xml:space="preserve">المفروضة </w:t>
      </w:r>
      <w:r>
        <w:rPr>
          <w:rFonts w:hint="cs"/>
          <w:rtl/>
        </w:rPr>
        <w:t>على</w:t>
      </w:r>
      <w:r>
        <w:rPr>
          <w:rFonts w:hint="cs"/>
          <w:rtl/>
          <w:lang w:bidi="ar-LB"/>
        </w:rPr>
        <w:t xml:space="preserve"> ارتكاب </w:t>
      </w:r>
      <w:r>
        <w:rPr>
          <w:rFonts w:hint="cs"/>
          <w:rtl/>
        </w:rPr>
        <w:t>جريمة الاغتصاب و</w:t>
      </w:r>
      <w:r>
        <w:rPr>
          <w:rFonts w:hint="cs"/>
          <w:rtl/>
          <w:lang w:bidi="ar-LB"/>
        </w:rPr>
        <w:t>ال</w:t>
      </w:r>
      <w:r>
        <w:rPr>
          <w:rFonts w:hint="cs"/>
          <w:rtl/>
        </w:rPr>
        <w:t xml:space="preserve">إساءة </w:t>
      </w:r>
      <w:r>
        <w:rPr>
          <w:rFonts w:hint="cs"/>
          <w:rtl/>
          <w:lang w:bidi="ar-LB"/>
        </w:rPr>
        <w:t xml:space="preserve">إلى </w:t>
      </w:r>
      <w:r>
        <w:rPr>
          <w:rFonts w:hint="cs"/>
          <w:rtl/>
        </w:rPr>
        <w:t xml:space="preserve">الأطفال جنسيا على أنها أحكام تهدف إلى حماية النساء من كل من العنف والتمييز. وخلال الفترة التي يغطيها هذا التقرير، </w:t>
      </w:r>
      <w:r>
        <w:rPr>
          <w:rFonts w:hint="cs"/>
          <w:rtl/>
          <w:lang w:bidi="ar-LB"/>
        </w:rPr>
        <w:t>زاد</w:t>
      </w:r>
      <w:r>
        <w:rPr>
          <w:rFonts w:hint="cs"/>
          <w:rtl/>
        </w:rPr>
        <w:t xml:space="preserve"> قانون تعديل القانون الجنائي لعام 2001 بالفعل العقوبات المفروضة على </w:t>
      </w:r>
      <w:r>
        <w:rPr>
          <w:rFonts w:hint="cs"/>
          <w:rtl/>
          <w:lang w:bidi="ar-LB"/>
        </w:rPr>
        <w:t xml:space="preserve">مرتكبي </w:t>
      </w:r>
      <w:r>
        <w:rPr>
          <w:rFonts w:hint="cs"/>
          <w:rtl/>
        </w:rPr>
        <w:t xml:space="preserve">جريمة الاغتصاب والإساءة إلى الأطفال جنسيا إذا ترتب على ذلك وفاة بحيث أن الأشخاص الذين أدينوا </w:t>
      </w:r>
      <w:r>
        <w:rPr>
          <w:rFonts w:hint="cs"/>
          <w:rtl/>
          <w:lang w:bidi="ar-LB"/>
        </w:rPr>
        <w:t>ل</w:t>
      </w:r>
      <w:r>
        <w:rPr>
          <w:rFonts w:hint="cs"/>
          <w:rtl/>
        </w:rPr>
        <w:t>ارتكابهم واحدة من هاتين الجريمتين يمكن أن يحكم عليهم الآن بالسجن مدى الحياة (كما كان الحال دائما بالنسبة للسرقات التي تترتب عليها وف</w:t>
      </w:r>
      <w:r>
        <w:rPr>
          <w:rFonts w:hint="cs"/>
          <w:rtl/>
          <w:lang w:bidi="ar-LB"/>
        </w:rPr>
        <w:t>اة.</w:t>
      </w:r>
    </w:p>
    <w:p w:rsidR="00D23E5B" w:rsidRDefault="00D23E5B" w:rsidP="00D23E5B">
      <w:pPr>
        <w:pStyle w:val="SingleTxt"/>
        <w:rPr>
          <w:rFonts w:hint="cs"/>
          <w:b/>
          <w:bCs/>
          <w:rtl/>
        </w:rPr>
      </w:pPr>
      <w:r>
        <w:rPr>
          <w:rFonts w:hint="cs"/>
          <w:b/>
          <w:bCs/>
          <w:rtl/>
        </w:rPr>
        <w:t xml:space="preserve">تعديل القانون الجنائي لعام 2004 - الاغتصاب </w:t>
      </w:r>
      <w:r>
        <w:rPr>
          <w:rFonts w:hint="cs"/>
          <w:b/>
          <w:bCs/>
          <w:rtl/>
          <w:lang w:bidi="ar-LB"/>
        </w:rPr>
        <w:t>داخل</w:t>
      </w:r>
      <w:r>
        <w:rPr>
          <w:rFonts w:hint="cs"/>
          <w:b/>
          <w:bCs/>
          <w:rtl/>
        </w:rPr>
        <w:t xml:space="preserve"> الزواج </w:t>
      </w:r>
    </w:p>
    <w:p w:rsidR="00D23E5B" w:rsidRDefault="00D23E5B" w:rsidP="00D23E5B">
      <w:pPr>
        <w:pStyle w:val="SingleTxt"/>
        <w:rPr>
          <w:rFonts w:hint="cs"/>
          <w:rtl/>
          <w:lang w:bidi="ar-LB"/>
        </w:rPr>
      </w:pPr>
      <w:r>
        <w:rPr>
          <w:rFonts w:hint="cs"/>
          <w:rtl/>
        </w:rPr>
        <w:tab/>
        <w:t xml:space="preserve">بسبب الزيادة الكبيرة في الآونة الأخيرة </w:t>
      </w:r>
      <w:r>
        <w:rPr>
          <w:rFonts w:hint="cs"/>
          <w:rtl/>
          <w:lang w:bidi="ar-LB"/>
        </w:rPr>
        <w:t>في ا</w:t>
      </w:r>
      <w:r>
        <w:rPr>
          <w:rFonts w:hint="cs"/>
          <w:rtl/>
        </w:rPr>
        <w:t xml:space="preserve">لحساسية تجاه شخصية الفرد وحقه في تقرير مصيره الجنسي، تم بشكل كامل إلغاء المعاملة المتميزة التي كانت تنطبق في السابق على الاغتصاب والقسر الجنسي داخل الزواج والمعاشرة. ومن بين التدابير الأخرى المنفذة في سياق تعديل القانون الجنائي لعام 2004 المذكور أعلاه </w:t>
      </w:r>
      <w:r>
        <w:rPr>
          <w:rFonts w:hint="cs"/>
          <w:rtl/>
          <w:lang w:bidi="ar-LB"/>
        </w:rPr>
        <w:t>والرامية إلى</w:t>
      </w:r>
      <w:r>
        <w:rPr>
          <w:rFonts w:hint="cs"/>
          <w:rtl/>
        </w:rPr>
        <w:t xml:space="preserve"> توسيع نطاق الجرائم و/أو استحداث عقوبات أشد:</w:t>
      </w:r>
    </w:p>
    <w:p w:rsidR="00D23E5B" w:rsidRDefault="007007C1" w:rsidP="007007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23E5B">
        <w:rPr>
          <w:rFonts w:hint="cs"/>
          <w:rtl/>
        </w:rPr>
        <w:t>جعل صيغة الحكم المنصوص عليه في المادة 100 من قانون العقوبات محايدة جنس</w:t>
      </w:r>
      <w:r w:rsidR="00D23E5B">
        <w:rPr>
          <w:rFonts w:hint="cs"/>
          <w:rtl/>
          <w:lang w:bidi="ar-LB"/>
        </w:rPr>
        <w:t>ان</w:t>
      </w:r>
      <w:r w:rsidR="00D23E5B">
        <w:rPr>
          <w:rFonts w:hint="cs"/>
          <w:rtl/>
        </w:rPr>
        <w:t>يا (</w:t>
      </w:r>
      <w:r w:rsidR="00D23E5B">
        <w:rPr>
          <w:rFonts w:hint="eastAsia"/>
          <w:rtl/>
        </w:rPr>
        <w:t xml:space="preserve">”اختطاف امرأة ضد إرادتها أو غير قادرة </w:t>
      </w:r>
      <w:r w:rsidR="00D23E5B">
        <w:rPr>
          <w:rFonts w:hint="cs"/>
          <w:rtl/>
          <w:lang w:bidi="ar-LB"/>
        </w:rPr>
        <w:t>على ا</w:t>
      </w:r>
      <w:r w:rsidR="00D23E5B">
        <w:rPr>
          <w:rFonts w:hint="cs"/>
          <w:rtl/>
        </w:rPr>
        <w:t>لدفاع عن نفسها</w:t>
      </w:r>
      <w:r w:rsidR="00D23E5B">
        <w:rPr>
          <w:rFonts w:hint="eastAsia"/>
          <w:rtl/>
        </w:rPr>
        <w:t xml:space="preserve">“) وإلغاء الزواج اللاحق كأساس للإفلات من العقاب. </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إلغاء التمييز بين الاغتصاب بالقوة الشديدة و/أو </w:t>
      </w:r>
      <w:r>
        <w:rPr>
          <w:rFonts w:hint="cs"/>
          <w:rtl/>
          <w:lang w:bidi="ar-LB"/>
        </w:rPr>
        <w:t xml:space="preserve">الاغتصاب </w:t>
      </w:r>
      <w:r>
        <w:rPr>
          <w:rFonts w:hint="cs"/>
          <w:rtl/>
        </w:rPr>
        <w:t xml:space="preserve">بتعريض الحياة </w:t>
      </w:r>
      <w:r>
        <w:rPr>
          <w:rFonts w:hint="cs"/>
          <w:rtl/>
          <w:lang w:bidi="ar-LB"/>
        </w:rPr>
        <w:t xml:space="preserve">والأطراف </w:t>
      </w:r>
      <w:r>
        <w:rPr>
          <w:rFonts w:hint="cs"/>
          <w:rtl/>
        </w:rPr>
        <w:t>للخطر</w:t>
      </w:r>
      <w:r>
        <w:rPr>
          <w:rFonts w:hint="cs"/>
          <w:rtl/>
          <w:lang w:bidi="ar-LB"/>
        </w:rPr>
        <w:t xml:space="preserve"> </w:t>
      </w:r>
      <w:r>
        <w:rPr>
          <w:rFonts w:hint="cs"/>
          <w:rtl/>
        </w:rPr>
        <w:t>من ناحية</w:t>
      </w:r>
      <w:r>
        <w:rPr>
          <w:rFonts w:hint="cs"/>
          <w:rtl/>
          <w:lang w:bidi="ar-LB"/>
        </w:rPr>
        <w:t>،</w:t>
      </w:r>
      <w:r>
        <w:rPr>
          <w:rFonts w:hint="cs"/>
          <w:rtl/>
        </w:rPr>
        <w:t xml:space="preserve"> </w:t>
      </w:r>
      <w:r>
        <w:rPr>
          <w:rFonts w:hint="cs"/>
          <w:rtl/>
          <w:lang w:bidi="ar-LB"/>
        </w:rPr>
        <w:t>و</w:t>
      </w:r>
      <w:r>
        <w:rPr>
          <w:rFonts w:hint="cs"/>
          <w:rtl/>
        </w:rPr>
        <w:t>بين الاغتصاب ب</w:t>
      </w:r>
      <w:r>
        <w:rPr>
          <w:rFonts w:hint="cs"/>
          <w:rtl/>
          <w:lang w:bidi="ar-LB"/>
        </w:rPr>
        <w:t xml:space="preserve">اللجوء إلى أنواع أخرى من </w:t>
      </w:r>
      <w:r>
        <w:rPr>
          <w:rFonts w:hint="cs"/>
          <w:rtl/>
        </w:rPr>
        <w:t>القوة و</w:t>
      </w:r>
      <w:r>
        <w:rPr>
          <w:rFonts w:hint="cs"/>
          <w:rtl/>
          <w:lang w:bidi="ar-LB"/>
        </w:rPr>
        <w:t>ب</w:t>
      </w:r>
      <w:r>
        <w:rPr>
          <w:rFonts w:hint="cs"/>
          <w:rtl/>
        </w:rPr>
        <w:t>الح</w:t>
      </w:r>
      <w:r>
        <w:rPr>
          <w:rFonts w:hint="cs"/>
          <w:rtl/>
          <w:lang w:bidi="ar-LB"/>
        </w:rPr>
        <w:t>بس</w:t>
      </w:r>
      <w:r>
        <w:rPr>
          <w:rFonts w:hint="cs"/>
          <w:rtl/>
        </w:rPr>
        <w:t xml:space="preserve"> ال</w:t>
      </w:r>
      <w:r>
        <w:rPr>
          <w:rFonts w:hint="cs"/>
          <w:rtl/>
          <w:lang w:bidi="ar-LB"/>
        </w:rPr>
        <w:t>كاذب</w:t>
      </w:r>
      <w:r>
        <w:rPr>
          <w:rFonts w:hint="cs"/>
          <w:rtl/>
        </w:rPr>
        <w:t xml:space="preserve"> و/أو تعريض الحياة </w:t>
      </w:r>
      <w:r>
        <w:rPr>
          <w:rFonts w:hint="cs"/>
          <w:rtl/>
          <w:lang w:bidi="ar-LB"/>
        </w:rPr>
        <w:t xml:space="preserve">والأطراف </w:t>
      </w:r>
      <w:r>
        <w:rPr>
          <w:rFonts w:hint="cs"/>
          <w:rtl/>
        </w:rPr>
        <w:t>للخطر من ناحية أخرى</w:t>
      </w:r>
      <w:r>
        <w:rPr>
          <w:rFonts w:hint="cs"/>
          <w:rtl/>
          <w:lang w:bidi="ar-LB"/>
        </w:rPr>
        <w:t xml:space="preserve">، وذلك </w:t>
      </w:r>
      <w:r>
        <w:rPr>
          <w:rFonts w:hint="cs"/>
          <w:rtl/>
        </w:rPr>
        <w:t xml:space="preserve"> </w:t>
      </w:r>
      <w:r>
        <w:rPr>
          <w:rFonts w:hint="cs"/>
          <w:rtl/>
          <w:lang w:bidi="ar-LB"/>
        </w:rPr>
        <w:t xml:space="preserve">عن طريق الجمع </w:t>
      </w:r>
      <w:r>
        <w:rPr>
          <w:rFonts w:hint="cs"/>
          <w:rtl/>
        </w:rPr>
        <w:t>بين الفقرتين 1 و 2 من المادة 201 من قانون العقوبات بصيغته المعدلة.</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rtl/>
          <w:lang w:bidi="ar-LB"/>
        </w:rPr>
        <w:t>إطالة</w:t>
      </w:r>
      <w:r>
        <w:rPr>
          <w:rFonts w:hint="cs"/>
          <w:rtl/>
        </w:rPr>
        <w:t xml:space="preserve"> فترة العقوبة لارتكاب جريمة القسر الجنسي عملا بالمادة 202 من قانون العقوبات من ثلاث إلى خمس سنوات سجن.</w:t>
      </w:r>
    </w:p>
    <w:p w:rsidR="00D23E5B" w:rsidRDefault="00D23E5B" w:rsidP="00D23E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حكم صريح ضد التحرش الجنسي (المادة 218 من قانون العقوبات بالصيغة التي عدلها قانون تعديل القانون الجنائي لعام 2004) ل</w:t>
      </w:r>
      <w:r>
        <w:rPr>
          <w:rFonts w:hint="cs"/>
          <w:rtl/>
          <w:lang w:bidi="ar-LB"/>
        </w:rPr>
        <w:t>توفير ا</w:t>
      </w:r>
      <w:r>
        <w:rPr>
          <w:rFonts w:hint="cs"/>
          <w:rtl/>
        </w:rPr>
        <w:t xml:space="preserve">لحماية من أي أعمال غير مرغوب فيها ذات طبيعة جنسية، دون النص على أن مرتكب الجريمة لجأ إلى العنف أو أن الجريمة قد ارتكبت في مكان عام. </w:t>
      </w:r>
    </w:p>
    <w:p w:rsidR="00D23E5B" w:rsidRDefault="00D23E5B" w:rsidP="00D23E5B">
      <w:pPr>
        <w:pStyle w:val="SingleTxt"/>
        <w:rPr>
          <w:rFonts w:hint="cs"/>
          <w:rtl/>
        </w:rPr>
      </w:pPr>
      <w:r>
        <w:rPr>
          <w:rFonts w:hint="cs"/>
          <w:rtl/>
        </w:rPr>
        <w:tab/>
        <w:t xml:space="preserve">وأخيرا، فيما يتعلق بقانون تعديل القانون الجنائي لعام 2001، يمكن </w:t>
      </w:r>
      <w:r>
        <w:rPr>
          <w:rFonts w:hint="cs"/>
          <w:rtl/>
          <w:lang w:bidi="ar-LB"/>
        </w:rPr>
        <w:t xml:space="preserve">الإشارة إلى </w:t>
      </w:r>
      <w:r>
        <w:rPr>
          <w:rFonts w:hint="cs"/>
          <w:rtl/>
        </w:rPr>
        <w:t>أن إزالة الطابع الإجرامي عن جريمة التخلي عن طفل</w:t>
      </w:r>
      <w:r>
        <w:rPr>
          <w:rFonts w:hint="cs"/>
          <w:rtl/>
          <w:lang w:bidi="ar-LB"/>
        </w:rPr>
        <w:t>،</w:t>
      </w:r>
      <w:r>
        <w:rPr>
          <w:rFonts w:hint="cs"/>
          <w:rtl/>
        </w:rPr>
        <w:t xml:space="preserve"> وفقا للمادة 197 من قانون العقوبات</w:t>
      </w:r>
      <w:r>
        <w:rPr>
          <w:rFonts w:hint="cs"/>
          <w:rtl/>
          <w:lang w:bidi="ar-LB"/>
        </w:rPr>
        <w:t>،</w:t>
      </w:r>
      <w:r>
        <w:rPr>
          <w:rFonts w:hint="cs"/>
          <w:rtl/>
        </w:rPr>
        <w:t xml:space="preserve"> أفسح المجال أمام إمكانية استخدام مرافق مثل </w:t>
      </w:r>
      <w:r>
        <w:rPr>
          <w:rFonts w:hint="eastAsia"/>
          <w:rtl/>
        </w:rPr>
        <w:t>”مصارف الأطفال</w:t>
      </w:r>
      <w:r>
        <w:rPr>
          <w:rFonts w:hint="cs"/>
          <w:rtl/>
        </w:rPr>
        <w:t xml:space="preserve">“ أو </w:t>
      </w:r>
      <w:r>
        <w:rPr>
          <w:rFonts w:hint="eastAsia"/>
          <w:rtl/>
        </w:rPr>
        <w:t>”</w:t>
      </w:r>
      <w:r>
        <w:rPr>
          <w:rFonts w:hint="cs"/>
          <w:rtl/>
          <w:lang w:bidi="ar-LB"/>
        </w:rPr>
        <w:t>ال</w:t>
      </w:r>
      <w:r>
        <w:rPr>
          <w:rFonts w:hint="eastAsia"/>
          <w:rtl/>
        </w:rPr>
        <w:t xml:space="preserve">مناطق </w:t>
      </w:r>
      <w:r>
        <w:rPr>
          <w:rFonts w:hint="cs"/>
          <w:rtl/>
          <w:lang w:bidi="ar-LB"/>
        </w:rPr>
        <w:t>ال</w:t>
      </w:r>
      <w:r>
        <w:rPr>
          <w:rFonts w:hint="eastAsia"/>
          <w:rtl/>
        </w:rPr>
        <w:t>مأمونة</w:t>
      </w:r>
      <w:r>
        <w:rPr>
          <w:rFonts w:hint="cs"/>
          <w:rtl/>
        </w:rPr>
        <w:t xml:space="preserve">“ </w:t>
      </w:r>
      <w:r>
        <w:rPr>
          <w:rFonts w:hint="cs"/>
          <w:rtl/>
          <w:lang w:bidi="ar-LB"/>
        </w:rPr>
        <w:t>لكي يوضع فيها ا</w:t>
      </w:r>
      <w:r>
        <w:rPr>
          <w:rFonts w:hint="cs"/>
          <w:rtl/>
        </w:rPr>
        <w:t>لرضّع الذين تم هجرهم دون خشية المقاضاة.</w:t>
      </w:r>
    </w:p>
    <w:p w:rsidR="00D23E5B" w:rsidRPr="003A2615" w:rsidRDefault="00D23E5B" w:rsidP="00D23E5B">
      <w:pPr>
        <w:pStyle w:val="SingleTxt"/>
        <w:rPr>
          <w:rFonts w:hint="cs"/>
          <w:b/>
          <w:bCs/>
          <w:rtl/>
        </w:rPr>
      </w:pPr>
      <w:r w:rsidRPr="003A2615">
        <w:rPr>
          <w:rFonts w:hint="cs"/>
          <w:b/>
          <w:bCs/>
          <w:rtl/>
        </w:rPr>
        <w:t xml:space="preserve">المادة 3 </w:t>
      </w:r>
    </w:p>
    <w:p w:rsidR="00D23E5B" w:rsidRPr="003A2615" w:rsidRDefault="00D23E5B" w:rsidP="00D23E5B">
      <w:pPr>
        <w:pStyle w:val="SingleTxt"/>
        <w:rPr>
          <w:rFonts w:hint="cs"/>
          <w:b/>
          <w:bCs/>
          <w:rtl/>
        </w:rPr>
      </w:pPr>
      <w:r w:rsidRPr="003A2615">
        <w:rPr>
          <w:rFonts w:hint="cs"/>
          <w:b/>
          <w:bCs/>
          <w:rtl/>
        </w:rPr>
        <w:t>التشريع</w:t>
      </w:r>
    </w:p>
    <w:p w:rsidR="00D23E5B" w:rsidRDefault="00D23E5B" w:rsidP="00D23E5B">
      <w:pPr>
        <w:pStyle w:val="SingleTxt"/>
        <w:rPr>
          <w:rFonts w:hint="cs"/>
          <w:rtl/>
        </w:rPr>
      </w:pPr>
      <w:r>
        <w:rPr>
          <w:rFonts w:hint="cs"/>
          <w:rtl/>
        </w:rPr>
        <w:tab/>
        <w:t xml:space="preserve">خلال الفترة التي يغطيها التقرير، شارك ممثلو النمسا بالنيابة عن جمهورية النمسا في أعمال المحكمة الأوروبية لحقوق الإنسان، فضلا عن الأفرقة العاملة تحت رعاية مجلس أوروبا، والمجتمعات الأوروبية، والأمم المتحدة، وبذلك ساهموا في زيادة تطوير معايير حقوق الإنسان. </w:t>
      </w:r>
    </w:p>
    <w:p w:rsidR="00D23E5B" w:rsidRDefault="00D23E5B" w:rsidP="00D23E5B">
      <w:pPr>
        <w:pStyle w:val="SingleTxt"/>
        <w:rPr>
          <w:rFonts w:hint="cs"/>
          <w:rtl/>
        </w:rPr>
      </w:pPr>
      <w:r>
        <w:rPr>
          <w:rFonts w:hint="cs"/>
          <w:rtl/>
        </w:rPr>
        <w:tab/>
        <w:t>تم سن أو أعيد سن عدة قوانين تتعلق بوسائط الإعلام خلال الفترة التي يغطيها التقرير وتمنع التمييز على أساس الجنس: القانون الاتحادي لهيئة الإذاعة النمساوية (النشرة القانونية الاتحادية الأولى رقم 397 (1984) بصيغته المعدلة في النشرة القانونية الاتحادية الأولى رقم 83/2001 و 100/2002؛ المادة 10، الفقرة 2) وقانون هيئة الإذاعة الخاصة (النشرة القانونية الاتحادية الأولى رقم 20/2001 بصيغته المعدلة في النشرة القانونية الاتحادية الأولى رقم 136/2001؛ المادة 16 الفقرة 4) فضلا عن قانون التلفزيون الخاص (المادة</w:t>
      </w:r>
      <w:r>
        <w:rPr>
          <w:rFonts w:hint="eastAsia"/>
          <w:rtl/>
        </w:rPr>
        <w:t> </w:t>
      </w:r>
      <w:r>
        <w:rPr>
          <w:rFonts w:hint="cs"/>
          <w:rtl/>
        </w:rPr>
        <w:t xml:space="preserve">31، الفقرة 2) </w:t>
      </w:r>
      <w:r>
        <w:rPr>
          <w:rFonts w:hint="cs"/>
          <w:rtl/>
          <w:lang w:bidi="ar-LB"/>
        </w:rPr>
        <w:t>و</w:t>
      </w:r>
      <w:r>
        <w:rPr>
          <w:rFonts w:hint="cs"/>
          <w:rtl/>
        </w:rPr>
        <w:t>تنص كل هذه القوانين على أن البرامج ينبغي ألا تحرض الآخرين على الكراهية على أساس الجنس، ويجب أن تحترم كرامة الإنسان والحقوق الأساسية للغير شكل</w:t>
      </w:r>
      <w:r>
        <w:rPr>
          <w:rFonts w:hint="cs"/>
          <w:rtl/>
          <w:lang w:bidi="ar-LB"/>
        </w:rPr>
        <w:t>ا</w:t>
      </w:r>
      <w:r>
        <w:rPr>
          <w:rFonts w:hint="cs"/>
          <w:rtl/>
        </w:rPr>
        <w:t xml:space="preserve"> ومضمون</w:t>
      </w:r>
      <w:r>
        <w:rPr>
          <w:rFonts w:hint="cs"/>
          <w:rtl/>
          <w:lang w:bidi="ar-LB"/>
        </w:rPr>
        <w:t>ا</w:t>
      </w:r>
      <w:r>
        <w:rPr>
          <w:rFonts w:hint="cs"/>
          <w:rtl/>
        </w:rPr>
        <w:t>. وفيما يتعلق بالدعايات، فإن المادة 14، الفقرة 1، رقم</w:t>
      </w:r>
      <w:r>
        <w:rPr>
          <w:rFonts w:hint="eastAsia"/>
          <w:rtl/>
        </w:rPr>
        <w:t> </w:t>
      </w:r>
      <w:r>
        <w:rPr>
          <w:rFonts w:hint="cs"/>
          <w:rtl/>
        </w:rPr>
        <w:t>2 من قانون هيئة الإذاعة النمساوية والمادة 37 رقم 2 من قانون التلفزيون الخاص (النشرة القانونية الاتحادية الأولى رقم 84/2001 بصيغتها المعدلة في النشرة القانونية الاتحادية الأولى رقم 71/2003) تتضمن حكما يفيد بأن الدعاية وبرامج التسوق عبر التلفزيون ينبغي ألا تتضمن أي تمييز على أساس الجنس.</w:t>
      </w:r>
    </w:p>
    <w:p w:rsidR="00D23E5B" w:rsidRDefault="00D23E5B" w:rsidP="00D23E5B">
      <w:pPr>
        <w:pStyle w:val="SingleTxt"/>
        <w:rPr>
          <w:rFonts w:hint="cs"/>
          <w:b/>
          <w:bCs/>
          <w:rtl/>
        </w:rPr>
      </w:pPr>
      <w:r>
        <w:rPr>
          <w:rFonts w:hint="cs"/>
          <w:b/>
          <w:bCs/>
          <w:rtl/>
        </w:rPr>
        <w:t>الفنون</w:t>
      </w:r>
    </w:p>
    <w:p w:rsidR="00D23E5B" w:rsidRDefault="00D23E5B" w:rsidP="00D23E5B">
      <w:pPr>
        <w:pStyle w:val="SingleTxt"/>
        <w:rPr>
          <w:rFonts w:hint="cs"/>
          <w:rtl/>
        </w:rPr>
      </w:pPr>
      <w:r>
        <w:rPr>
          <w:rFonts w:hint="cs"/>
          <w:rtl/>
        </w:rPr>
        <w:tab/>
        <w:t>من أجل تحسين الحالة الاجتماعية للفنانات المستقلات، تم</w:t>
      </w:r>
      <w:r>
        <w:rPr>
          <w:rFonts w:hint="cs"/>
          <w:rtl/>
          <w:lang w:bidi="ar-LB"/>
        </w:rPr>
        <w:t>،</w:t>
      </w:r>
      <w:r>
        <w:rPr>
          <w:rFonts w:hint="cs"/>
          <w:rtl/>
        </w:rPr>
        <w:t xml:space="preserve"> في عام 1990</w:t>
      </w:r>
      <w:r>
        <w:rPr>
          <w:rFonts w:hint="cs"/>
          <w:rtl/>
          <w:lang w:bidi="ar-LB"/>
        </w:rPr>
        <w:t xml:space="preserve">، </w:t>
      </w:r>
      <w:r>
        <w:rPr>
          <w:rFonts w:hint="cs"/>
          <w:rtl/>
        </w:rPr>
        <w:t xml:space="preserve">استحداث </w:t>
      </w:r>
      <w:r>
        <w:rPr>
          <w:rFonts w:hint="cs"/>
          <w:rtl/>
          <w:lang w:bidi="ar-LB"/>
        </w:rPr>
        <w:t xml:space="preserve">مبلغ بديل يحل محل </w:t>
      </w:r>
      <w:r>
        <w:rPr>
          <w:rFonts w:hint="cs"/>
          <w:rtl/>
        </w:rPr>
        <w:t xml:space="preserve">بدل </w:t>
      </w:r>
      <w:r>
        <w:rPr>
          <w:rFonts w:hint="cs"/>
          <w:rtl/>
          <w:lang w:bidi="ar-LB"/>
        </w:rPr>
        <w:t>ال</w:t>
      </w:r>
      <w:r>
        <w:rPr>
          <w:rFonts w:hint="cs"/>
          <w:rtl/>
        </w:rPr>
        <w:t xml:space="preserve">إجازة </w:t>
      </w:r>
      <w:r>
        <w:rPr>
          <w:rFonts w:hint="cs"/>
          <w:rtl/>
          <w:lang w:bidi="ar-LB"/>
        </w:rPr>
        <w:t>ال</w:t>
      </w:r>
      <w:r>
        <w:rPr>
          <w:rFonts w:hint="cs"/>
          <w:rtl/>
        </w:rPr>
        <w:t>والدية ، ومبلغ مماثل لبدل الإجازة الوالدية يمنح</w:t>
      </w:r>
      <w:r>
        <w:rPr>
          <w:rFonts w:hint="cs"/>
          <w:rtl/>
          <w:lang w:bidi="ar-LB"/>
        </w:rPr>
        <w:t>ه</w:t>
      </w:r>
      <w:r>
        <w:rPr>
          <w:rFonts w:hint="cs"/>
          <w:rtl/>
        </w:rPr>
        <w:t xml:space="preserve"> صندوق معونة الفنانين. وانتهى العمل بهذا النموذج بعد استحداث بدل رعاية الأطفال في 1 كانون الثاني/يناير 2002، والفنانون مؤهلون أيضا للحصول عليه.</w:t>
      </w:r>
    </w:p>
    <w:p w:rsidR="00D23E5B" w:rsidRPr="005E68A4" w:rsidRDefault="00D23E5B" w:rsidP="00D23E5B">
      <w:pPr>
        <w:pStyle w:val="SingleTxt"/>
        <w:rPr>
          <w:rFonts w:hint="cs"/>
          <w:b/>
          <w:bCs/>
          <w:rtl/>
        </w:rPr>
      </w:pPr>
      <w:r w:rsidRPr="005E68A4">
        <w:rPr>
          <w:rFonts w:hint="cs"/>
          <w:b/>
          <w:bCs/>
          <w:rtl/>
        </w:rPr>
        <w:t>منح وإعانات مالية للفنانات</w:t>
      </w:r>
    </w:p>
    <w:p w:rsidR="00D23E5B" w:rsidRDefault="00D23E5B" w:rsidP="00D23E5B">
      <w:pPr>
        <w:pStyle w:val="SingleTxt"/>
        <w:rPr>
          <w:rFonts w:hint="cs"/>
          <w:rtl/>
        </w:rPr>
      </w:pPr>
      <w:r>
        <w:rPr>
          <w:rFonts w:hint="cs"/>
          <w:rtl/>
        </w:rPr>
        <w:tab/>
        <w:t>الأساس القانوني لتمويل الفنون هو القانون الاتحادي للمنح الم</w:t>
      </w:r>
      <w:r>
        <w:rPr>
          <w:rFonts w:hint="cs"/>
          <w:rtl/>
          <w:lang w:bidi="ar-LB"/>
        </w:rPr>
        <w:t>قدم</w:t>
      </w:r>
      <w:r>
        <w:rPr>
          <w:rFonts w:hint="cs"/>
          <w:rtl/>
        </w:rPr>
        <w:t xml:space="preserve">ة </w:t>
      </w:r>
      <w:r>
        <w:rPr>
          <w:rFonts w:hint="cs"/>
          <w:rtl/>
          <w:lang w:bidi="ar-LB"/>
        </w:rPr>
        <w:t>ل</w:t>
      </w:r>
      <w:r>
        <w:rPr>
          <w:rFonts w:hint="cs"/>
          <w:rtl/>
        </w:rPr>
        <w:t>لفنون لعام 1988 (النشرة القانونية الاتحادية رقم 146/1988 بالصيغة المعدلة في النشرة القانونية الاتحادية الأولى رقم 95/1997 والنشرة القانونية الاتحادية الأولى رقم 132/2000)</w:t>
      </w:r>
      <w:r>
        <w:rPr>
          <w:rFonts w:hint="cs"/>
          <w:rtl/>
          <w:lang w:bidi="ar-LB"/>
        </w:rPr>
        <w:t>.</w:t>
      </w:r>
      <w:r>
        <w:rPr>
          <w:rFonts w:hint="cs"/>
          <w:rtl/>
        </w:rPr>
        <w:t xml:space="preserve"> وينص القانون على أن الأموال الاتحادية يجب أن تكون متاحة لتعزيز النشاط</w:t>
      </w:r>
      <w:r>
        <w:rPr>
          <w:rFonts w:hint="cs"/>
          <w:rtl/>
          <w:lang w:bidi="ar-LB"/>
        </w:rPr>
        <w:t xml:space="preserve"> الفني </w:t>
      </w:r>
      <w:r>
        <w:rPr>
          <w:rFonts w:hint="cs"/>
          <w:rtl/>
        </w:rPr>
        <w:t>الخلاق في النمسا. ويتم توزيع المنح على المشاريع المثالية والمبتكرة. ويتم اختيار المشاريع بصفة رئيسية وفقا لمعي</w:t>
      </w:r>
      <w:r>
        <w:rPr>
          <w:rFonts w:hint="cs"/>
          <w:rtl/>
          <w:lang w:bidi="ar-LB"/>
        </w:rPr>
        <w:t>ا</w:t>
      </w:r>
      <w:r>
        <w:rPr>
          <w:rFonts w:hint="cs"/>
          <w:rtl/>
        </w:rPr>
        <w:t xml:space="preserve">ر النوعية. ويستثنى من ذلك برنامج تمويل إدارة المبادرات الثقافية في المستشارية الاتحادية، وقد تم إنشاء هذا البرنامج بناء على اقتراح </w:t>
      </w:r>
      <w:r>
        <w:rPr>
          <w:rFonts w:hint="cs"/>
          <w:rtl/>
          <w:lang w:bidi="ar-LB"/>
        </w:rPr>
        <w:t xml:space="preserve">قدمته </w:t>
      </w:r>
      <w:r>
        <w:rPr>
          <w:rFonts w:hint="cs"/>
          <w:rtl/>
        </w:rPr>
        <w:t xml:space="preserve">جميع الأحزاب في عام 1990 </w:t>
      </w:r>
      <w:r>
        <w:rPr>
          <w:rFonts w:hint="cs"/>
          <w:rtl/>
          <w:lang w:bidi="ar-LB"/>
        </w:rPr>
        <w:t>ل</w:t>
      </w:r>
      <w:r>
        <w:rPr>
          <w:rFonts w:hint="cs"/>
          <w:rtl/>
        </w:rPr>
        <w:t xml:space="preserve">تعزيز الأنشطة الفنية والثقافية التي لم يتم التأكيد عليها بصورة كافية في قطاعات أخرى من </w:t>
      </w:r>
      <w:r>
        <w:rPr>
          <w:rFonts w:hint="cs"/>
          <w:rtl/>
          <w:lang w:bidi="ar-LB"/>
        </w:rPr>
        <w:t xml:space="preserve">قطاعات </w:t>
      </w:r>
      <w:r>
        <w:rPr>
          <w:rFonts w:hint="cs"/>
          <w:rtl/>
        </w:rPr>
        <w:t>تمويل الفنون على الصعيد الاتحادي. وفي هذا القطاع التمويلي، يمكن تعليق أهمية خاصة على المشاريع الرامية إلى إدماج الفئات المحرومة اجتماعيا، بما في ذلك النساء؛ ويتم تقديم المنح والإعانات المالية للمشاريع الثقافية النسائية بهدف تعزيز إدراك المرأة لثقافتها النسائية، والتعريف بالبرنامج النسائي، وتعزيز مشاركتهن في الحياة الاجتماعية والثقافية.</w:t>
      </w:r>
    </w:p>
    <w:p w:rsidR="00D23E5B" w:rsidRDefault="00D23E5B" w:rsidP="00D23E5B">
      <w:pPr>
        <w:pStyle w:val="SingleTxt"/>
        <w:rPr>
          <w:rFonts w:hint="cs"/>
          <w:rtl/>
        </w:rPr>
      </w:pPr>
      <w:r>
        <w:rPr>
          <w:rFonts w:hint="cs"/>
          <w:rtl/>
        </w:rPr>
        <w:tab/>
        <w:t>و</w:t>
      </w:r>
      <w:r>
        <w:rPr>
          <w:rFonts w:hint="cs"/>
          <w:rtl/>
          <w:lang w:bidi="ar-LB"/>
        </w:rPr>
        <w:t>كشف</w:t>
      </w:r>
      <w:r>
        <w:rPr>
          <w:rFonts w:hint="cs"/>
          <w:rtl/>
        </w:rPr>
        <w:t xml:space="preserve"> تحليل أجري في عام 1997 للاعتمادات المخصصة للأغراض النسائية (انظر تقرير الفنون الاتحادي لعام 1997</w:t>
      </w:r>
      <w:r>
        <w:rPr>
          <w:rFonts w:hint="cs"/>
          <w:rtl/>
          <w:lang w:bidi="ar-LB"/>
        </w:rPr>
        <w:t>)</w:t>
      </w:r>
      <w:r>
        <w:rPr>
          <w:rFonts w:hint="cs"/>
          <w:rtl/>
        </w:rPr>
        <w:t xml:space="preserve"> </w:t>
      </w:r>
      <w:r>
        <w:rPr>
          <w:rFonts w:hint="cs"/>
          <w:rtl/>
          <w:lang w:bidi="ar-LB"/>
        </w:rPr>
        <w:t xml:space="preserve">عن </w:t>
      </w:r>
      <w:r>
        <w:rPr>
          <w:rFonts w:hint="cs"/>
          <w:rtl/>
        </w:rPr>
        <w:t>أن حوالي 50 في المائة من المنح والإعانات المالية تم توزيعها بصورة مباشرة على أساس الجنس (منح للأفراد، وتمويل الرابطات على أساس الجنس) وأظهر التحليل أيضا أن النساء يمثلن 20 في المائة من هذه المنح. غير أن التمويل المخصص مباشرة للمرأة لا يمثل إلا 2.3 في المائة من الميزانية بأكملها. وعلى الرغم من أن أحدث البيانات غير متوفرة في الوقت الراهن، إلا أنه يمكن أن يفترض</w:t>
      </w:r>
      <w:r>
        <w:rPr>
          <w:rFonts w:hint="cs"/>
          <w:rtl/>
          <w:lang w:bidi="ar-LB"/>
        </w:rPr>
        <w:t>،</w:t>
      </w:r>
      <w:r>
        <w:rPr>
          <w:rFonts w:hint="cs"/>
          <w:rtl/>
        </w:rPr>
        <w:t xml:space="preserve"> بالاعتماد على الخبرة السابقة</w:t>
      </w:r>
      <w:r>
        <w:rPr>
          <w:rFonts w:hint="cs"/>
          <w:rtl/>
          <w:lang w:bidi="ar-LB"/>
        </w:rPr>
        <w:t>،</w:t>
      </w:r>
      <w:r>
        <w:rPr>
          <w:rFonts w:hint="cs"/>
          <w:rtl/>
        </w:rPr>
        <w:t xml:space="preserve"> أن أرقام عام 1997 تعكس أيضا الاتجاه المعروض في الفترة التي يغطيها التقرير.</w:t>
      </w:r>
    </w:p>
    <w:p w:rsidR="00D23E5B" w:rsidRDefault="00D23E5B" w:rsidP="00D23E5B">
      <w:pPr>
        <w:pStyle w:val="SingleTxt"/>
        <w:rPr>
          <w:rFonts w:hint="cs"/>
          <w:rtl/>
        </w:rPr>
      </w:pPr>
      <w:r>
        <w:rPr>
          <w:rFonts w:hint="cs"/>
          <w:rtl/>
        </w:rPr>
        <w:tab/>
        <w:t>وبالإضافة إلى المنح التي تعطى إلى الأفراد، يمكن إبراز الدعم المالي المقدم للرابطات الثقافية النسائية كمثال آخر على التمويل الذي يستهدف بصورة محددة الفنانات. وفي إطار المنح التي ت</w:t>
      </w:r>
      <w:r>
        <w:rPr>
          <w:rFonts w:hint="cs"/>
          <w:rtl/>
          <w:lang w:bidi="ar-LB"/>
        </w:rPr>
        <w:t>ُ</w:t>
      </w:r>
      <w:r>
        <w:rPr>
          <w:rFonts w:hint="cs"/>
          <w:rtl/>
        </w:rPr>
        <w:t xml:space="preserve">وزع </w:t>
      </w:r>
      <w:r>
        <w:rPr>
          <w:rFonts w:hint="cs"/>
          <w:rtl/>
          <w:lang w:bidi="ar-LB"/>
        </w:rPr>
        <w:t>على دور النشر</w:t>
      </w:r>
      <w:r>
        <w:rPr>
          <w:rFonts w:hint="cs"/>
          <w:rtl/>
        </w:rPr>
        <w:t>، تم تقديم الدعم إلى ميلينا فيرلاغ</w:t>
      </w:r>
      <w:r>
        <w:rPr>
          <w:rFonts w:hint="cs"/>
          <w:rtl/>
          <w:lang w:bidi="ar-LB"/>
        </w:rPr>
        <w:t>،</w:t>
      </w:r>
      <w:r>
        <w:rPr>
          <w:rFonts w:hint="cs"/>
          <w:rtl/>
        </w:rPr>
        <w:t xml:space="preserve"> وهي دار نشر نسائية نمساوية تنشر الكتب التي تؤلفها كاتبات نمساويات بالإضافة إلى الكتب التي تهتم بشؤون المرأة. وفي إطار برنامج تمويل المبادرات الثقافية</w:t>
      </w:r>
      <w:r>
        <w:rPr>
          <w:rFonts w:hint="cs"/>
          <w:rtl/>
          <w:lang w:bidi="ar-LB"/>
        </w:rPr>
        <w:t>،</w:t>
      </w:r>
      <w:r>
        <w:rPr>
          <w:rFonts w:hint="cs"/>
          <w:rtl/>
        </w:rPr>
        <w:t xml:space="preserve"> يتم تقديم الدعم المالي لمختلف المشاريع الثقافية النسائية، ومن ثم إلى المبادرات الرامية إلى إبراز دور الفنانات، مثل المشاريع</w:t>
      </w:r>
      <w:r>
        <w:rPr>
          <w:rFonts w:hint="eastAsia"/>
          <w:rtl/>
        </w:rPr>
        <w:t> </w:t>
      </w:r>
      <w:r>
        <w:rPr>
          <w:rFonts w:hint="cs"/>
          <w:rtl/>
        </w:rPr>
        <w:t>الثقافية، والحلقات الدراسية وحلقات العمل التي يمكن أن تساهم في تحسين مهارات المرأة.</w:t>
      </w:r>
    </w:p>
    <w:p w:rsidR="00D23E5B" w:rsidRDefault="00D23E5B" w:rsidP="00D23E5B">
      <w:pPr>
        <w:pStyle w:val="SingleTxt"/>
        <w:rPr>
          <w:rFonts w:hint="cs"/>
          <w:b/>
          <w:bCs/>
          <w:rtl/>
        </w:rPr>
      </w:pPr>
      <w:r w:rsidRPr="00513889">
        <w:rPr>
          <w:rFonts w:hint="cs"/>
          <w:b/>
          <w:bCs/>
          <w:rtl/>
        </w:rPr>
        <w:t>تعيين خبيرات في عمليات اختيار المسؤولين</w:t>
      </w:r>
    </w:p>
    <w:p w:rsidR="00D23E5B" w:rsidRDefault="00D23E5B" w:rsidP="00D23E5B">
      <w:pPr>
        <w:pStyle w:val="SingleTxt"/>
        <w:rPr>
          <w:rFonts w:hint="cs"/>
          <w:rtl/>
        </w:rPr>
      </w:pPr>
      <w:r w:rsidRPr="00513889">
        <w:rPr>
          <w:rFonts w:hint="cs"/>
          <w:rtl/>
        </w:rPr>
        <w:tab/>
        <w:t xml:space="preserve">يجري تعيين </w:t>
      </w:r>
      <w:r>
        <w:rPr>
          <w:rFonts w:hint="cs"/>
          <w:rtl/>
        </w:rPr>
        <w:t xml:space="preserve">أمناء من النساء في الهيئات الدولية لمنح الجوائز وكأعضاء في هيئات المحلفين وفي المجالس الاستشارية، وهذا دليل على وجود اعتراف رسمي </w:t>
      </w:r>
      <w:r>
        <w:rPr>
          <w:rFonts w:hint="cs"/>
          <w:rtl/>
          <w:lang w:bidi="ar-LB"/>
        </w:rPr>
        <w:t xml:space="preserve">بالمرأة وعلى </w:t>
      </w:r>
      <w:r>
        <w:rPr>
          <w:rFonts w:hint="cs"/>
          <w:rtl/>
        </w:rPr>
        <w:t xml:space="preserve">اتخاذ تدبير غير مباشر لتعزيز </w:t>
      </w:r>
      <w:r>
        <w:rPr>
          <w:rFonts w:hint="cs"/>
          <w:rtl/>
          <w:lang w:bidi="ar-LB"/>
        </w:rPr>
        <w:t>دورها</w:t>
      </w:r>
      <w:r>
        <w:rPr>
          <w:rFonts w:hint="cs"/>
          <w:rtl/>
        </w:rPr>
        <w:t xml:space="preserve"> في مجال الفنون. وفي الفترة بين عامي 2001 و 2003، كان تمثيل المرأة</w:t>
      </w:r>
      <w:r>
        <w:rPr>
          <w:rFonts w:hint="cs"/>
          <w:rtl/>
          <w:lang w:bidi="ar-LB"/>
        </w:rPr>
        <w:t>،</w:t>
      </w:r>
      <w:r>
        <w:rPr>
          <w:rFonts w:hint="cs"/>
          <w:rtl/>
        </w:rPr>
        <w:t xml:space="preserve"> في المتوسط</w:t>
      </w:r>
      <w:r>
        <w:rPr>
          <w:rFonts w:hint="cs"/>
          <w:rtl/>
          <w:lang w:bidi="ar-LB"/>
        </w:rPr>
        <w:t>،</w:t>
      </w:r>
      <w:r>
        <w:rPr>
          <w:rFonts w:hint="cs"/>
          <w:rtl/>
        </w:rPr>
        <w:t xml:space="preserve"> في عضوية الهيئات الاستشارية 53 في المائة.</w:t>
      </w:r>
    </w:p>
    <w:p w:rsidR="00D23E5B" w:rsidRPr="00513889" w:rsidRDefault="00D23E5B" w:rsidP="00D23E5B">
      <w:pPr>
        <w:pStyle w:val="SingleTxt"/>
        <w:rPr>
          <w:rFonts w:hint="cs"/>
          <w:b/>
          <w:bCs/>
          <w:rtl/>
        </w:rPr>
      </w:pPr>
      <w:r w:rsidRPr="00513889">
        <w:rPr>
          <w:rFonts w:hint="eastAsia"/>
          <w:b/>
          <w:bCs/>
          <w:rtl/>
        </w:rPr>
        <w:t>”منح جائزة كيث لا</w:t>
      </w:r>
      <w:r>
        <w:rPr>
          <w:rFonts w:hint="cs"/>
          <w:b/>
          <w:bCs/>
          <w:rtl/>
          <w:lang w:bidi="ar-LB"/>
        </w:rPr>
        <w:t>ي</w:t>
      </w:r>
      <w:r w:rsidRPr="00513889">
        <w:rPr>
          <w:rFonts w:hint="eastAsia"/>
          <w:b/>
          <w:bCs/>
          <w:rtl/>
        </w:rPr>
        <w:t>ختير لعام 2000</w:t>
      </w:r>
      <w:r w:rsidRPr="00513889">
        <w:rPr>
          <w:rFonts w:hint="cs"/>
          <w:b/>
          <w:bCs/>
          <w:rtl/>
        </w:rPr>
        <w:t>“</w:t>
      </w:r>
    </w:p>
    <w:p w:rsidR="00D23E5B" w:rsidRDefault="00D23E5B" w:rsidP="00D23E5B">
      <w:pPr>
        <w:pStyle w:val="SingleTxt"/>
        <w:rPr>
          <w:rFonts w:hint="cs"/>
          <w:rtl/>
        </w:rPr>
      </w:pPr>
      <w:r>
        <w:rPr>
          <w:rFonts w:hint="cs"/>
          <w:rtl/>
        </w:rPr>
        <w:tab/>
        <w:t xml:space="preserve">يتم منح هذه الجائزة الوطنية النمساوية في </w:t>
      </w:r>
      <w:r>
        <w:rPr>
          <w:rFonts w:hint="cs"/>
          <w:rtl/>
          <w:lang w:bidi="ar-LB"/>
        </w:rPr>
        <w:t xml:space="preserve">دراسة </w:t>
      </w:r>
      <w:r>
        <w:rPr>
          <w:rFonts w:hint="cs"/>
          <w:rtl/>
        </w:rPr>
        <w:t>تاريخ المرأة في الحركة العمالية تكريما للإنجازات الخاصة في ميدان الدراسات النسائية والأنشطة التعليمية المتصلة بالمرأة في الحركة العمالية، و</w:t>
      </w:r>
      <w:r>
        <w:rPr>
          <w:rFonts w:hint="cs"/>
          <w:rtl/>
          <w:lang w:bidi="ar-LB"/>
        </w:rPr>
        <w:t xml:space="preserve">في دراسة </w:t>
      </w:r>
      <w:r>
        <w:rPr>
          <w:rFonts w:hint="cs"/>
          <w:rtl/>
        </w:rPr>
        <w:t xml:space="preserve">تاريخ المرأة </w:t>
      </w:r>
      <w:r>
        <w:rPr>
          <w:rFonts w:hint="cs"/>
          <w:rtl/>
          <w:lang w:bidi="ar-LB"/>
        </w:rPr>
        <w:t xml:space="preserve">العاملة </w:t>
      </w:r>
      <w:r>
        <w:rPr>
          <w:rFonts w:hint="cs"/>
          <w:rtl/>
        </w:rPr>
        <w:t>والحركة النسائية. وفي عام 2000، تم منح خمس نساء جائزة كيث لا</w:t>
      </w:r>
      <w:r>
        <w:rPr>
          <w:rFonts w:hint="cs"/>
          <w:rtl/>
          <w:lang w:bidi="ar-LB"/>
        </w:rPr>
        <w:t>ي</w:t>
      </w:r>
      <w:r>
        <w:rPr>
          <w:rFonts w:hint="cs"/>
          <w:rtl/>
        </w:rPr>
        <w:t xml:space="preserve">ختير. </w:t>
      </w:r>
    </w:p>
    <w:p w:rsidR="00D23E5B" w:rsidRDefault="00D23E5B" w:rsidP="00D23E5B">
      <w:pPr>
        <w:pStyle w:val="SingleTxt"/>
        <w:rPr>
          <w:rFonts w:hint="cs"/>
          <w:b/>
          <w:bCs/>
          <w:rtl/>
        </w:rPr>
      </w:pPr>
      <w:r>
        <w:rPr>
          <w:rFonts w:hint="cs"/>
          <w:b/>
          <w:bCs/>
          <w:rtl/>
        </w:rPr>
        <w:t>التخطيط المكاني والسياسات الإقليمية</w:t>
      </w:r>
    </w:p>
    <w:p w:rsidR="00D23E5B" w:rsidRDefault="00D23E5B" w:rsidP="00D23E5B">
      <w:pPr>
        <w:pStyle w:val="SingleTxt"/>
        <w:rPr>
          <w:rFonts w:hint="cs"/>
          <w:rtl/>
        </w:rPr>
      </w:pPr>
      <w:r>
        <w:rPr>
          <w:rFonts w:hint="cs"/>
          <w:rtl/>
        </w:rPr>
        <w:tab/>
        <w:t xml:space="preserve">في عام 2003، تم استكمال دراسة عنوانها </w:t>
      </w:r>
      <w:r>
        <w:rPr>
          <w:rFonts w:hint="eastAsia"/>
          <w:rtl/>
        </w:rPr>
        <w:t>”المبادئ الأساسية للتنمية الإقليمية التي تراعي الفوارق بين الجنسين</w:t>
      </w:r>
      <w:r>
        <w:rPr>
          <w:rFonts w:hint="cs"/>
          <w:rtl/>
        </w:rPr>
        <w:t>“ بالنيابة عن المستشارية الاتحادية على يد علماء وأكاديميين في ميادين الجغرافيا والدراسات الإقليمية، والاقتصادات الزراعية، وعلم الاجتماع</w:t>
      </w:r>
      <w:r w:rsidRPr="00D24F09">
        <w:rPr>
          <w:vertAlign w:val="superscript"/>
          <w:rtl/>
        </w:rPr>
        <w:t>(</w:t>
      </w:r>
      <w:r>
        <w:rPr>
          <w:rStyle w:val="FootnoteReference"/>
          <w:rtl/>
        </w:rPr>
        <w:footnoteReference w:id="4"/>
      </w:r>
      <w:r w:rsidRPr="00D24F09">
        <w:rPr>
          <w:vertAlign w:val="superscript"/>
          <w:rtl/>
        </w:rPr>
        <w:t>)</w:t>
      </w:r>
      <w:r>
        <w:rPr>
          <w:rFonts w:hint="cs"/>
          <w:rtl/>
        </w:rPr>
        <w:t xml:space="preserve"> ويتم إعداد دراسة عنوانها </w:t>
      </w:r>
      <w:r>
        <w:rPr>
          <w:rFonts w:hint="eastAsia"/>
          <w:rtl/>
        </w:rPr>
        <w:t>”تعميم مراعاة المنظور الجنساني في برامج الاتحاد الأوروبي المتعلقة بال</w:t>
      </w:r>
      <w:r>
        <w:rPr>
          <w:rFonts w:hint="cs"/>
          <w:rtl/>
        </w:rPr>
        <w:t>هدف 1 و 2 الإقليمي</w:t>
      </w:r>
      <w:r>
        <w:rPr>
          <w:rFonts w:hint="eastAsia"/>
          <w:rtl/>
        </w:rPr>
        <w:t>“ بالنيابة عن المؤتمر ا</w:t>
      </w:r>
      <w:r>
        <w:rPr>
          <w:rFonts w:hint="cs"/>
          <w:rtl/>
          <w:lang w:bidi="ar-LB"/>
        </w:rPr>
        <w:t>لأ</w:t>
      </w:r>
      <w:r>
        <w:rPr>
          <w:rFonts w:hint="eastAsia"/>
          <w:rtl/>
        </w:rPr>
        <w:t xml:space="preserve">سترالي المعني بالتخطيط المكاني </w:t>
      </w:r>
      <w:r>
        <w:rPr>
          <w:rtl/>
        </w:rPr>
        <w:t>–</w:t>
      </w:r>
      <w:r>
        <w:rPr>
          <w:rFonts w:hint="eastAsia"/>
          <w:rtl/>
        </w:rPr>
        <w:t xml:space="preserve"> </w:t>
      </w:r>
      <w:r>
        <w:rPr>
          <w:rFonts w:cs="Times New Roman"/>
        </w:rPr>
        <w:t>Ö</w:t>
      </w:r>
      <w:r>
        <w:t>ROK</w:t>
      </w:r>
      <w:r>
        <w:rPr>
          <w:rFonts w:hint="cs"/>
          <w:rtl/>
        </w:rPr>
        <w:t>.</w:t>
      </w:r>
    </w:p>
    <w:p w:rsidR="00D23E5B" w:rsidRDefault="00D23E5B" w:rsidP="00D23E5B">
      <w:pPr>
        <w:pStyle w:val="SingleTxt"/>
        <w:rPr>
          <w:rFonts w:hint="cs"/>
          <w:b/>
          <w:bCs/>
          <w:rtl/>
        </w:rPr>
      </w:pPr>
      <w:r>
        <w:rPr>
          <w:rFonts w:hint="cs"/>
          <w:b/>
          <w:bCs/>
          <w:rtl/>
        </w:rPr>
        <w:t xml:space="preserve">التدابير المتخذة للنهوض بالمرأة في </w:t>
      </w:r>
      <w:r>
        <w:rPr>
          <w:rFonts w:hint="cs"/>
          <w:b/>
          <w:bCs/>
          <w:rtl/>
          <w:lang w:bidi="ar-LB"/>
        </w:rPr>
        <w:t xml:space="preserve">برنامج </w:t>
      </w:r>
      <w:r>
        <w:rPr>
          <w:rFonts w:hint="cs"/>
          <w:b/>
          <w:bCs/>
          <w:rtl/>
        </w:rPr>
        <w:t>التعاون الإنمائي النمساوي</w:t>
      </w:r>
    </w:p>
    <w:p w:rsidR="00D23E5B" w:rsidRDefault="00D23E5B" w:rsidP="00D23E5B">
      <w:pPr>
        <w:pStyle w:val="SingleTxt"/>
        <w:rPr>
          <w:rFonts w:hint="cs"/>
          <w:rtl/>
        </w:rPr>
      </w:pPr>
      <w:r>
        <w:rPr>
          <w:rFonts w:hint="cs"/>
          <w:rtl/>
        </w:rPr>
        <w:tab/>
        <w:t>في الفترة التي يغطيها التقرير، تم إدراج تعميم مراعاة المنظور الجنساني بوصفه جزءا لا يتجزأ في جميع مراحل برنامج التعاون الإنمائي. وقد تم إدراج الجوانب الجنسانية وغير ذلك من المواضيع التي تشمل عدة جوانب في كل مر</w:t>
      </w:r>
      <w:r>
        <w:rPr>
          <w:rFonts w:hint="cs"/>
          <w:rtl/>
          <w:lang w:bidi="ar-LB"/>
        </w:rPr>
        <w:t>ا</w:t>
      </w:r>
      <w:r>
        <w:rPr>
          <w:rFonts w:hint="cs"/>
          <w:rtl/>
        </w:rPr>
        <w:t>حل التخطيط منذ البداية. وهكذا فإن مبدأ المساواة بين الجنسين مكرس في البرامج القطرية ل</w:t>
      </w:r>
      <w:r>
        <w:rPr>
          <w:rFonts w:hint="cs"/>
          <w:rtl/>
          <w:lang w:bidi="ar-LB"/>
        </w:rPr>
        <w:t>برنامج ا</w:t>
      </w:r>
      <w:r>
        <w:rPr>
          <w:rFonts w:hint="cs"/>
          <w:rtl/>
        </w:rPr>
        <w:t xml:space="preserve">لتعاون الإنمائي النمساوي بالنسبة للبلدان ذات الأولوية والبلدان الشريكة. </w:t>
      </w:r>
    </w:p>
    <w:p w:rsidR="00D23E5B" w:rsidRDefault="00D23E5B" w:rsidP="00D23E5B">
      <w:pPr>
        <w:pStyle w:val="SingleTxt"/>
        <w:rPr>
          <w:rFonts w:hint="cs"/>
          <w:rtl/>
        </w:rPr>
      </w:pPr>
      <w:r>
        <w:rPr>
          <w:rFonts w:hint="cs"/>
          <w:rtl/>
        </w:rPr>
        <w:tab/>
        <w:t xml:space="preserve">وقد تم بالفعل إدراج النهج القائم على تعميم مراعاة المنظور الجنساني في إعداد السياسات القطاعية في مجال المياه والمرافق الصحية، وتطوير مشاريع مصغرة وصغيرة ومتوسطة الحجم بالإضافة إلى التنمية الريفية. ومن أجل </w:t>
      </w:r>
      <w:r>
        <w:rPr>
          <w:rFonts w:hint="cs"/>
          <w:rtl/>
          <w:lang w:bidi="ar-LB"/>
        </w:rPr>
        <w:t>زيا</w:t>
      </w:r>
      <w:r>
        <w:rPr>
          <w:rFonts w:hint="cs"/>
          <w:rtl/>
        </w:rPr>
        <w:t xml:space="preserve">دة تعزيز النهج والسياسات التي تراعي الفوارق بين الجنسين </w:t>
      </w:r>
      <w:r>
        <w:rPr>
          <w:rFonts w:hint="cs"/>
          <w:rtl/>
          <w:lang w:bidi="ar-LB"/>
        </w:rPr>
        <w:t>ل</w:t>
      </w:r>
      <w:r>
        <w:rPr>
          <w:rFonts w:hint="cs"/>
          <w:rtl/>
        </w:rPr>
        <w:t>مناهضة الفقر</w:t>
      </w:r>
      <w:r>
        <w:rPr>
          <w:rFonts w:hint="cs"/>
          <w:rtl/>
          <w:lang w:bidi="ar-LB"/>
        </w:rPr>
        <w:t>،</w:t>
      </w:r>
      <w:r>
        <w:rPr>
          <w:rFonts w:hint="cs"/>
          <w:rtl/>
        </w:rPr>
        <w:t xml:space="preserve"> وذلك في أنشطة </w:t>
      </w:r>
      <w:r>
        <w:rPr>
          <w:rFonts w:hint="cs"/>
          <w:rtl/>
          <w:lang w:bidi="ar-LB"/>
        </w:rPr>
        <w:t xml:space="preserve">برنامج </w:t>
      </w:r>
      <w:r>
        <w:rPr>
          <w:rFonts w:hint="cs"/>
          <w:rtl/>
        </w:rPr>
        <w:t xml:space="preserve">التعاون الإنمائي النمساوي، تم في عام 2000 تحديد المبادئ التوجيهية لتعميم مراعاة المنظور الجنساني في البرامج والمشاريع، كما تم إعداد تعليمات عملية للمجالات المواضيعية الفردية على أساس المواد القائمة. </w:t>
      </w:r>
    </w:p>
    <w:p w:rsidR="00D23E5B" w:rsidRDefault="00D23E5B" w:rsidP="00D23E5B">
      <w:pPr>
        <w:pStyle w:val="SingleTxt"/>
        <w:rPr>
          <w:rFonts w:hint="cs"/>
          <w:rtl/>
        </w:rPr>
      </w:pPr>
      <w:r>
        <w:rPr>
          <w:rFonts w:hint="cs"/>
          <w:rtl/>
        </w:rPr>
        <w:tab/>
        <w:t>وفي عام 2002، ازدادت نسبة المشاريع المضطلع بها في إطار برنامج التعاون</w:t>
      </w:r>
      <w:r>
        <w:rPr>
          <w:rFonts w:hint="cs"/>
          <w:rtl/>
          <w:lang w:bidi="ar-LB"/>
        </w:rPr>
        <w:t xml:space="preserve"> </w:t>
      </w:r>
      <w:r>
        <w:rPr>
          <w:rFonts w:hint="cs"/>
          <w:rtl/>
        </w:rPr>
        <w:t>الإنمائي النمساوي الذي يعالج بصفة نشطة المسائل النسائية ويتقيد بمعايير المساواة بين الجنسين بمقدار 49.89 في المائة مقارنة بنسبة 44.61 في المائة في عام 2001 و 31.18 في المائة في عام 2000 و 39.55 في المائة في عام 1999. كما أن التعريف بالفوارق بين الجنسين، وازدياد الخبرة في تخطيط وتنفيذ المشاريع ساهما مساهمة أكبر في توعية الموظفين العاملين في مجال شؤون المرأة.</w:t>
      </w:r>
    </w:p>
    <w:p w:rsidR="00D23E5B" w:rsidRDefault="00D23E5B" w:rsidP="00D23E5B">
      <w:pPr>
        <w:pStyle w:val="SingleTxt"/>
        <w:rPr>
          <w:rFonts w:hint="cs"/>
          <w:rtl/>
        </w:rPr>
      </w:pPr>
      <w:r>
        <w:rPr>
          <w:rFonts w:hint="cs"/>
          <w:rtl/>
        </w:rPr>
        <w:tab/>
        <w:t>وبالإضافة إلى إدراج النهج القائم على تعميم مراعاة المنظور الجنساني في جميع برامج ومشاريع التعاون الإنمائي النمساوي، تم أيضا تقديم الدعم إلى التدابير التي ت</w:t>
      </w:r>
      <w:r>
        <w:rPr>
          <w:rFonts w:hint="cs"/>
          <w:rtl/>
          <w:lang w:bidi="ar-LB"/>
        </w:rPr>
        <w:t>ست</w:t>
      </w:r>
      <w:r>
        <w:rPr>
          <w:rFonts w:hint="cs"/>
          <w:rtl/>
        </w:rPr>
        <w:t>فيد</w:t>
      </w:r>
      <w:r>
        <w:rPr>
          <w:rFonts w:hint="cs"/>
          <w:rtl/>
          <w:lang w:bidi="ar-LB"/>
        </w:rPr>
        <w:t xml:space="preserve"> منها المرأة</w:t>
      </w:r>
      <w:r>
        <w:rPr>
          <w:rFonts w:hint="cs"/>
          <w:rtl/>
        </w:rPr>
        <w:t xml:space="preserve"> بصفة مباشرة وتعزز حقوقها وكفاءتها في اتخاذ القرارات. ومن بين هذه التدابير الدورات التدريبية التي تستهدف </w:t>
      </w:r>
      <w:r>
        <w:rPr>
          <w:rFonts w:hint="cs"/>
          <w:rtl/>
          <w:lang w:bidi="ar-LB"/>
        </w:rPr>
        <w:t xml:space="preserve">النساء اللاتي يمثلن </w:t>
      </w:r>
      <w:r>
        <w:rPr>
          <w:rFonts w:hint="cs"/>
          <w:rtl/>
        </w:rPr>
        <w:t xml:space="preserve">في أوغندا وجنوب أفريقيا، وإسداء المشورة القانونية التي تراعي الفوارق بين الجنسين بالإضافة إلى التربية القانونية في ناميبيا، وتمويل الملاجئ النسائية والحملات التي تهدف إلى منع العنف الموجه ضد المرأة، وكلها برامج يشارك فيها </w:t>
      </w:r>
      <w:r>
        <w:rPr>
          <w:rFonts w:hint="cs"/>
          <w:rtl/>
          <w:lang w:bidi="ar-LB"/>
        </w:rPr>
        <w:t xml:space="preserve">الرجل </w:t>
      </w:r>
      <w:r>
        <w:rPr>
          <w:rFonts w:hint="cs"/>
          <w:rtl/>
        </w:rPr>
        <w:t xml:space="preserve">بصورة متزايدة. وفي إطار </w:t>
      </w:r>
      <w:r>
        <w:rPr>
          <w:rFonts w:hint="cs"/>
          <w:rtl/>
          <w:lang w:bidi="ar-LB"/>
        </w:rPr>
        <w:t>التثقيف</w:t>
      </w:r>
      <w:r>
        <w:rPr>
          <w:rFonts w:hint="cs"/>
          <w:rtl/>
        </w:rPr>
        <w:t xml:space="preserve"> </w:t>
      </w:r>
      <w:r>
        <w:rPr>
          <w:rFonts w:hint="cs"/>
          <w:rtl/>
          <w:lang w:bidi="ar-LB"/>
        </w:rPr>
        <w:t>ب</w:t>
      </w:r>
      <w:r>
        <w:rPr>
          <w:rFonts w:hint="cs"/>
          <w:rtl/>
        </w:rPr>
        <w:t>حقوق الإنسان</w:t>
      </w:r>
      <w:r>
        <w:rPr>
          <w:rFonts w:hint="cs"/>
          <w:rtl/>
          <w:lang w:bidi="ar-LB"/>
        </w:rPr>
        <w:t>،</w:t>
      </w:r>
      <w:r>
        <w:rPr>
          <w:rFonts w:hint="cs"/>
          <w:rtl/>
        </w:rPr>
        <w:t xml:space="preserve"> </w:t>
      </w:r>
      <w:r>
        <w:rPr>
          <w:rFonts w:hint="cs"/>
          <w:rtl/>
          <w:lang w:bidi="ar-LB"/>
        </w:rPr>
        <w:t>ي</w:t>
      </w:r>
      <w:r>
        <w:rPr>
          <w:rFonts w:hint="cs"/>
          <w:rtl/>
        </w:rPr>
        <w:t xml:space="preserve">قوم </w:t>
      </w:r>
      <w:r>
        <w:rPr>
          <w:rFonts w:hint="cs"/>
          <w:rtl/>
          <w:lang w:bidi="ar-LB"/>
        </w:rPr>
        <w:t>برنامج</w:t>
      </w:r>
      <w:r>
        <w:rPr>
          <w:rFonts w:hint="cs"/>
          <w:rtl/>
        </w:rPr>
        <w:t xml:space="preserve"> </w:t>
      </w:r>
      <w:r>
        <w:rPr>
          <w:rFonts w:hint="cs"/>
          <w:rtl/>
          <w:lang w:bidi="ar-LB"/>
        </w:rPr>
        <w:t xml:space="preserve">التعاون </w:t>
      </w:r>
      <w:r>
        <w:rPr>
          <w:rFonts w:hint="cs"/>
          <w:rtl/>
        </w:rPr>
        <w:t>الإنمائي</w:t>
      </w:r>
      <w:r>
        <w:rPr>
          <w:rFonts w:hint="cs"/>
          <w:rtl/>
          <w:lang w:bidi="ar-LB"/>
        </w:rPr>
        <w:t xml:space="preserve"> </w:t>
      </w:r>
      <w:r>
        <w:rPr>
          <w:rFonts w:hint="cs"/>
          <w:rtl/>
        </w:rPr>
        <w:t xml:space="preserve">النمساوي بتمويل سلسلة من أشرطة الفيديو التدريبية وعنوانها </w:t>
      </w:r>
      <w:r>
        <w:rPr>
          <w:rFonts w:hint="eastAsia"/>
          <w:rtl/>
        </w:rPr>
        <w:t>”المرأة تس</w:t>
      </w:r>
      <w:r>
        <w:rPr>
          <w:rFonts w:hint="cs"/>
          <w:rtl/>
          <w:lang w:bidi="ar-LB"/>
        </w:rPr>
        <w:t>ا</w:t>
      </w:r>
      <w:r>
        <w:rPr>
          <w:rFonts w:hint="eastAsia"/>
          <w:rtl/>
        </w:rPr>
        <w:t>ند السماء</w:t>
      </w:r>
      <w:r>
        <w:rPr>
          <w:rFonts w:hint="cs"/>
          <w:rtl/>
        </w:rPr>
        <w:t xml:space="preserve">“ والكتيب الخاص باتفاقية القضاء على جميع أشكال التمييز ضد المرأة وعنوانه </w:t>
      </w:r>
      <w:r>
        <w:rPr>
          <w:rFonts w:hint="eastAsia"/>
          <w:rtl/>
        </w:rPr>
        <w:t>”بين الرواية والحقيق</w:t>
      </w:r>
      <w:r>
        <w:rPr>
          <w:rFonts w:hint="cs"/>
          <w:rtl/>
        </w:rPr>
        <w:t>ة</w:t>
      </w:r>
      <w:r>
        <w:rPr>
          <w:rFonts w:hint="eastAsia"/>
          <w:rtl/>
        </w:rPr>
        <w:t>“</w:t>
      </w:r>
      <w:r>
        <w:rPr>
          <w:rFonts w:hint="cs"/>
          <w:rtl/>
          <w:lang w:bidi="ar-LB"/>
        </w:rPr>
        <w:t>.</w:t>
      </w:r>
      <w:r>
        <w:rPr>
          <w:rFonts w:hint="eastAsia"/>
          <w:rtl/>
        </w:rPr>
        <w:t xml:space="preserve"> وتم إنجاز ذلك على يد الحركات الجماهيرية في</w:t>
      </w:r>
      <w:r>
        <w:rPr>
          <w:rFonts w:hint="cs"/>
          <w:rtl/>
        </w:rPr>
        <w:t xml:space="preserve"> أفريقيا وأمريكا اللاتينية وآسيا برعاية المنظمة غير الحكومية الدولية </w:t>
      </w:r>
      <w:r>
        <w:rPr>
          <w:rFonts w:hint="eastAsia"/>
          <w:rtl/>
        </w:rPr>
        <w:t>”الحركة الشعبية لتعريف الجماهير بحقوق الإنسان</w:t>
      </w:r>
      <w:r>
        <w:rPr>
          <w:rFonts w:hint="cs"/>
          <w:rtl/>
        </w:rPr>
        <w:t>“.</w:t>
      </w:r>
    </w:p>
    <w:p w:rsidR="00D23E5B" w:rsidRDefault="00D23E5B" w:rsidP="00D23E5B">
      <w:pPr>
        <w:pStyle w:val="SingleTxt"/>
        <w:rPr>
          <w:rFonts w:hint="cs"/>
          <w:rtl/>
        </w:rPr>
      </w:pPr>
      <w:r>
        <w:rPr>
          <w:rFonts w:hint="cs"/>
          <w:rtl/>
        </w:rPr>
        <w:tab/>
        <w:t>و</w:t>
      </w:r>
      <w:r>
        <w:rPr>
          <w:rFonts w:hint="cs"/>
          <w:rtl/>
          <w:lang w:bidi="ar-LB"/>
        </w:rPr>
        <w:t>ي</w:t>
      </w:r>
      <w:r>
        <w:rPr>
          <w:rFonts w:hint="cs"/>
          <w:rtl/>
        </w:rPr>
        <w:t xml:space="preserve">قوم </w:t>
      </w:r>
      <w:r>
        <w:rPr>
          <w:rFonts w:hint="cs"/>
          <w:rtl/>
          <w:lang w:bidi="ar-LB"/>
        </w:rPr>
        <w:t>برنامج</w:t>
      </w:r>
      <w:r>
        <w:rPr>
          <w:rFonts w:hint="cs"/>
          <w:rtl/>
        </w:rPr>
        <w:t xml:space="preserve"> التعاون الإنمائي النمساوي بدور نشط في الفريق العامل المعني بالمساواة بين الجنسين وتمكين المرأة التابع للجنة المساعدة الإنمائية المنبثقة عن منظمة التعاون والتنمية في الميدان الاقتصادي فضلا عن فريق الخبراء المعني بشؤون المرأة التابع للاتحاد الأوروبي. و</w:t>
      </w:r>
      <w:r>
        <w:rPr>
          <w:rFonts w:hint="cs"/>
          <w:rtl/>
          <w:lang w:bidi="ar-LB"/>
        </w:rPr>
        <w:t>ي</w:t>
      </w:r>
      <w:r>
        <w:rPr>
          <w:rFonts w:hint="cs"/>
          <w:rtl/>
        </w:rPr>
        <w:t xml:space="preserve">تمثل أحد المواضيع الرئيسية في تنفيذ قرار مجلس الأمن 1325 المؤرخ 31 تشرين الأول/أكتوبر 2000، الذي يؤكد في جملة أمور دور المرأة الهام في إيجاد حلول للصراعات ومنعها. وفي قانون التعاون الإنمائي الجديد لعام 2002 (النشرة القانونية الاتحادية الأولى رقم 49/2002)، بصيغته المعدلة في عام 2003 (النشرة القانونية الاتحادية الأولى رقم 65/2003) تم إدراج </w:t>
      </w:r>
      <w:r>
        <w:rPr>
          <w:rFonts w:hint="cs"/>
          <w:rtl/>
          <w:lang w:bidi="ar-LB"/>
        </w:rPr>
        <w:t xml:space="preserve">مبدأ </w:t>
      </w:r>
      <w:r>
        <w:rPr>
          <w:rFonts w:hint="cs"/>
          <w:rtl/>
        </w:rPr>
        <w:t>المساواة بين الجنسين في السياسات الإنمائية النمساوية. ويظل تنفيذ هذا المبدأ يشكل تحديا لا ل</w:t>
      </w:r>
      <w:r>
        <w:rPr>
          <w:rFonts w:hint="cs"/>
          <w:rtl/>
          <w:lang w:bidi="ar-LB"/>
        </w:rPr>
        <w:t>برنامج</w:t>
      </w:r>
      <w:r>
        <w:rPr>
          <w:rFonts w:hint="cs"/>
          <w:rtl/>
        </w:rPr>
        <w:t xml:space="preserve"> التعاون الإنمائي النمساوي فحسب بل أيضا فيما يتعلق بالتدابير التي تتخذها الحكومة الاتحادية النمساوية والتي لها أثر محتمل على البلدان النامية.</w:t>
      </w:r>
    </w:p>
    <w:p w:rsidR="00D23E5B" w:rsidRDefault="00D23E5B" w:rsidP="00D23E5B">
      <w:pPr>
        <w:pStyle w:val="SingleTxt"/>
        <w:rPr>
          <w:rFonts w:hint="cs"/>
          <w:rtl/>
        </w:rPr>
      </w:pPr>
      <w:r>
        <w:rPr>
          <w:rFonts w:hint="cs"/>
          <w:rtl/>
        </w:rPr>
        <w:tab/>
        <w:t xml:space="preserve">وخلال الفترة التي يغطيها التقرير </w:t>
      </w:r>
      <w:r>
        <w:rPr>
          <w:rFonts w:hint="cs"/>
          <w:rtl/>
          <w:lang w:bidi="ar-LB"/>
        </w:rPr>
        <w:t>أقيمت</w:t>
      </w:r>
      <w:r>
        <w:rPr>
          <w:rFonts w:hint="cs"/>
          <w:rtl/>
        </w:rPr>
        <w:t xml:space="preserve"> اتصالات ثنائية مع بلغاريا وبولندا وبيلاروس والجمهورية التشيكية وسلوفاكيا وصربيا ومالطة وهنغاريا وكانت هذه الاتصالات تشكل أفضل مثال على تبادل المعلومات حول موضوع العنف والمساواة بين الجنسين عن طريق تنظيم مشاريع وحلقات دراسية ومؤتمرات على أساس ثنائي. </w:t>
      </w:r>
    </w:p>
    <w:p w:rsidR="00D23E5B" w:rsidRDefault="00D23E5B" w:rsidP="00D23E5B">
      <w:pPr>
        <w:pStyle w:val="SingleTxt"/>
        <w:rPr>
          <w:rFonts w:hint="cs"/>
          <w:rtl/>
        </w:rPr>
      </w:pPr>
      <w:r>
        <w:rPr>
          <w:rFonts w:hint="cs"/>
          <w:rtl/>
        </w:rPr>
        <w:tab/>
        <w:t xml:space="preserve">وإن المنح التي يتم توزيعها على المنظمات التي تمثل مختلف الفئات الإثنية في إطار برنامج تمويل الفئات الإثنية لا يتم توزيعها من حيث المبدأ على أساس جنساني. غير أن التمويل المقدم إلى الفئات الإثنية يسمح بصفة عامة لمنظمات الأقليات الإثنية بتنظيم كثير من الأنشطة في الميدان الثقافي التي توحي بها المرأة أو تجتذب المرأة، </w:t>
      </w:r>
      <w:r>
        <w:rPr>
          <w:rFonts w:hint="cs"/>
          <w:rtl/>
          <w:lang w:bidi="ar-LB"/>
        </w:rPr>
        <w:t>أ</w:t>
      </w:r>
      <w:r>
        <w:rPr>
          <w:rFonts w:hint="cs"/>
          <w:rtl/>
        </w:rPr>
        <w:t>و</w:t>
      </w:r>
      <w:r>
        <w:rPr>
          <w:rFonts w:hint="cs"/>
          <w:rtl/>
          <w:lang w:bidi="ar-LB"/>
        </w:rPr>
        <w:t xml:space="preserve"> </w:t>
      </w:r>
      <w:r>
        <w:rPr>
          <w:rFonts w:hint="cs"/>
          <w:rtl/>
        </w:rPr>
        <w:t>تمكّن المرأة من المشاركة بشكل نشط وعلى قدم المساواة في الحياة الاجتماعية.</w:t>
      </w:r>
    </w:p>
    <w:p w:rsidR="007B4C85" w:rsidRDefault="007B4C85" w:rsidP="007B4C85">
      <w:pPr>
        <w:pStyle w:val="SingleTxt"/>
        <w:rPr>
          <w:rFonts w:hint="cs"/>
          <w:b/>
          <w:bCs/>
          <w:rtl/>
        </w:rPr>
      </w:pPr>
      <w:r w:rsidRPr="0066204D">
        <w:rPr>
          <w:rFonts w:hint="cs"/>
          <w:b/>
          <w:bCs/>
          <w:rtl/>
        </w:rPr>
        <w:t>التمييز الإيجابي في الأقاليم</w:t>
      </w:r>
    </w:p>
    <w:p w:rsidR="007B4C85" w:rsidRDefault="007B4C85" w:rsidP="007B4C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66204D">
        <w:rPr>
          <w:rFonts w:hint="cs"/>
          <w:rtl/>
        </w:rPr>
        <w:tab/>
        <w:t>•</w:t>
      </w:r>
      <w:r w:rsidRPr="0066204D">
        <w:rPr>
          <w:rFonts w:hint="cs"/>
          <w:rtl/>
        </w:rPr>
        <w:tab/>
        <w:t>هناك مراكز لإسداء المشورة</w:t>
      </w:r>
      <w:r>
        <w:rPr>
          <w:rFonts w:hint="cs"/>
          <w:rtl/>
        </w:rPr>
        <w:t xml:space="preserve"> إلى النساء تقدم معلومات واستشارات في مجال الصحة، والمسائل القانونية، وسوق العمل، لتأمين رزقهن وعودتهن إلى سوق العمل في جميع الأقاليم، بل إن لأقليم بورغيلاند مركز</w:t>
      </w:r>
      <w:r>
        <w:rPr>
          <w:rFonts w:hint="cs"/>
          <w:rtl/>
          <w:lang w:bidi="ar-LB"/>
        </w:rPr>
        <w:t>ا</w:t>
      </w:r>
      <w:r>
        <w:rPr>
          <w:rFonts w:hint="cs"/>
          <w:rtl/>
        </w:rPr>
        <w:t xml:space="preserve"> في كل مقاطعة.</w:t>
      </w:r>
    </w:p>
    <w:p w:rsidR="007B4C85" w:rsidRDefault="007B4C85" w:rsidP="00CC58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وتقدم الأقاليم تمويلا لمختلف المشاريع النسائية. وقد أتاحت فيينا (إلى جانب تمويلها لأربعة ملاجئ نسائية في فيينا وتقديم أموال مجموعها 000 390 1 يورو للرابطات النسائية في عام 2003) إمكانية تقديم منح تصل إلى 100 5 يورو لمشاريع فردية وحتى إلى مناسبات ينظمها ما يسمى </w:t>
      </w:r>
      <w:r>
        <w:rPr>
          <w:rFonts w:hint="eastAsia"/>
          <w:rtl/>
        </w:rPr>
        <w:t>”صندوق المشاريع الصغيرة</w:t>
      </w:r>
      <w:r>
        <w:rPr>
          <w:rFonts w:hint="cs"/>
          <w:rtl/>
        </w:rPr>
        <w:t xml:space="preserve">“ لإدارة البلدية رقم 57، التابع للمكتب المعني </w:t>
      </w:r>
      <w:r>
        <w:rPr>
          <w:rFonts w:hint="cs"/>
          <w:rtl/>
          <w:lang w:bidi="ar-LB"/>
        </w:rPr>
        <w:t>با</w:t>
      </w:r>
      <w:r>
        <w:rPr>
          <w:rFonts w:hint="cs"/>
          <w:rtl/>
        </w:rPr>
        <w:t>لمسائل النسائية لمدينة فيينا. و</w:t>
      </w:r>
      <w:r>
        <w:rPr>
          <w:rFonts w:hint="cs"/>
          <w:rtl/>
          <w:lang w:bidi="ar-LB"/>
        </w:rPr>
        <w:t xml:space="preserve">تعمل مختلف أنواع </w:t>
      </w:r>
      <w:r>
        <w:rPr>
          <w:rFonts w:hint="cs"/>
          <w:rtl/>
        </w:rPr>
        <w:t xml:space="preserve">الرابطات التي تتقدم بطلبات للحصول على هذه الأموال في الميادين التالية: المهاجرات، والمسائل الصحية والاجتماعية، والعنف الموجه ضد المرأة، والمشاريع التي تستهدف الفتيات والشابات، والتكنولوجيات الجديدة، وسوق العمل. ومنذ عام 2002، أتيحت للرابطات النسائية التي تأسست منذ مدة طويلة في فيينا والتي تلقت الدعم لفترة من الزمن، الفرصة لتقديم طلب للحصول على إعانات مالية لمدة ثلاث سنوات بدلا من المنح القائمة على أساس كل سنة على حدة. وقام إقليم سالزبورغ </w:t>
      </w:r>
      <w:r>
        <w:rPr>
          <w:rFonts w:hint="cs"/>
          <w:rtl/>
          <w:lang w:bidi="ar-LB"/>
        </w:rPr>
        <w:t>(</w:t>
      </w:r>
      <w:r>
        <w:rPr>
          <w:rFonts w:hint="cs"/>
          <w:rtl/>
        </w:rPr>
        <w:t>إلى جانب مراكز إسداء المشورة إلى النساء وثلاثة ملاجئ نسا</w:t>
      </w:r>
      <w:r>
        <w:rPr>
          <w:rFonts w:hint="cs"/>
          <w:rtl/>
          <w:lang w:bidi="ar-LB"/>
        </w:rPr>
        <w:t>ئية</w:t>
      </w:r>
      <w:r>
        <w:rPr>
          <w:rFonts w:hint="cs"/>
          <w:rtl/>
        </w:rPr>
        <w:t>) بتمويل مشاريع فردية ترمي إلى تحرير المرأة</w:t>
      </w:r>
      <w:r>
        <w:rPr>
          <w:rFonts w:hint="cs"/>
          <w:rtl/>
          <w:lang w:bidi="ar-LB"/>
        </w:rPr>
        <w:t>،</w:t>
      </w:r>
      <w:r>
        <w:rPr>
          <w:rFonts w:hint="cs"/>
          <w:rtl/>
        </w:rPr>
        <w:t xml:space="preserve"> و</w:t>
      </w:r>
      <w:r>
        <w:rPr>
          <w:rFonts w:hint="cs"/>
          <w:rtl/>
          <w:lang w:bidi="ar-LB"/>
        </w:rPr>
        <w:t xml:space="preserve">بتحسين </w:t>
      </w:r>
      <w:r>
        <w:rPr>
          <w:rFonts w:hint="cs"/>
          <w:rtl/>
        </w:rPr>
        <w:t>عملية تقديم المنح والأهداف المرتبطة بها، وتقييم المعايير المتبعة في تقديم المنح بحيث تكون أكثر شفافية و</w:t>
      </w:r>
      <w:r>
        <w:rPr>
          <w:rFonts w:hint="cs"/>
          <w:rtl/>
          <w:lang w:bidi="ar-LB"/>
        </w:rPr>
        <w:t>تستهدف</w:t>
      </w:r>
      <w:r>
        <w:rPr>
          <w:rFonts w:hint="cs"/>
          <w:rtl/>
        </w:rPr>
        <w:t xml:space="preserve"> العميلات. </w:t>
      </w:r>
    </w:p>
    <w:p w:rsidR="007B4C85" w:rsidRDefault="007B4C85" w:rsidP="00F26F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40" w:lineRule="exact"/>
        <w:ind w:left="1930" w:hanging="662"/>
        <w:rPr>
          <w:rFonts w:hint="cs"/>
          <w:rtl/>
        </w:rPr>
      </w:pPr>
      <w:r>
        <w:rPr>
          <w:rFonts w:hint="cs"/>
          <w:rtl/>
        </w:rPr>
        <w:tab/>
        <w:t>•</w:t>
      </w:r>
      <w:r>
        <w:rPr>
          <w:rFonts w:hint="cs"/>
          <w:rtl/>
        </w:rPr>
        <w:tab/>
        <w:t>أنشطة إنشاء الشبكات الدولية يتم الاضطلاع بها في عدة أقاليم.</w:t>
      </w:r>
    </w:p>
    <w:p w:rsidR="007B4C85" w:rsidRDefault="007B4C85" w:rsidP="00F26F5D">
      <w:pPr>
        <w:pStyle w:val="SingleTxt"/>
        <w:spacing w:line="340" w:lineRule="exact"/>
        <w:rPr>
          <w:rFonts w:hint="cs"/>
          <w:rtl/>
        </w:rPr>
      </w:pPr>
      <w:r>
        <w:rPr>
          <w:rFonts w:hint="cs"/>
          <w:rtl/>
        </w:rPr>
        <w:t>(للاطلاع على مزيد من الأنشطة انظر المرفق 1).</w:t>
      </w:r>
    </w:p>
    <w:p w:rsidR="00F26F5D" w:rsidRPr="00F26F5D" w:rsidRDefault="00F26F5D" w:rsidP="00F26F5D">
      <w:pPr>
        <w:pStyle w:val="SingleTxt"/>
        <w:spacing w:line="380" w:lineRule="exact"/>
        <w:rPr>
          <w:rFonts w:hint="cs"/>
          <w:b/>
          <w:bCs/>
          <w:rtl/>
        </w:rPr>
      </w:pPr>
      <w:r>
        <w:rPr>
          <w:rFonts w:hint="cs"/>
          <w:b/>
          <w:bCs/>
          <w:rtl/>
        </w:rPr>
        <w:t>المادة 4</w:t>
      </w:r>
    </w:p>
    <w:p w:rsidR="007B4C85" w:rsidRDefault="007B4C85" w:rsidP="00F26F5D">
      <w:pPr>
        <w:pStyle w:val="SingleTxt"/>
        <w:spacing w:line="380" w:lineRule="exact"/>
        <w:rPr>
          <w:rFonts w:hint="cs"/>
          <w:b/>
          <w:bCs/>
          <w:rtl/>
        </w:rPr>
      </w:pPr>
      <w:r>
        <w:rPr>
          <w:rFonts w:hint="cs"/>
          <w:b/>
          <w:bCs/>
          <w:rtl/>
        </w:rPr>
        <w:t xml:space="preserve">المادة 4، </w:t>
      </w:r>
      <w:r w:rsidR="00055F15">
        <w:rPr>
          <w:rFonts w:hint="cs"/>
          <w:b/>
          <w:bCs/>
          <w:rtl/>
          <w:lang w:bidi="ar-LB"/>
        </w:rPr>
        <w:t>ال</w:t>
      </w:r>
      <w:r>
        <w:rPr>
          <w:rFonts w:hint="cs"/>
          <w:b/>
          <w:bCs/>
          <w:rtl/>
        </w:rPr>
        <w:t>رقم 1</w:t>
      </w:r>
    </w:p>
    <w:p w:rsidR="007B4C85" w:rsidRDefault="00055F15" w:rsidP="00F26F5D">
      <w:pPr>
        <w:pStyle w:val="SingleTxt"/>
        <w:spacing w:line="380" w:lineRule="exact"/>
        <w:rPr>
          <w:rFonts w:hint="cs"/>
          <w:b/>
          <w:bCs/>
          <w:rtl/>
        </w:rPr>
      </w:pPr>
      <w:r>
        <w:rPr>
          <w:rFonts w:hint="cs"/>
          <w:b/>
          <w:bCs/>
          <w:rtl/>
        </w:rPr>
        <w:t>خط</w:t>
      </w:r>
      <w:r>
        <w:rPr>
          <w:rFonts w:hint="cs"/>
          <w:b/>
          <w:bCs/>
          <w:rtl/>
          <w:lang w:bidi="ar-LB"/>
        </w:rPr>
        <w:t>ط</w:t>
      </w:r>
      <w:r w:rsidR="007B4C85" w:rsidRPr="0066204D">
        <w:rPr>
          <w:rFonts w:hint="cs"/>
          <w:b/>
          <w:bCs/>
          <w:rtl/>
        </w:rPr>
        <w:t xml:space="preserve"> النهوض بالمرأة</w:t>
      </w:r>
    </w:p>
    <w:p w:rsidR="007B4C85" w:rsidRDefault="007B4C85" w:rsidP="007B4C85">
      <w:pPr>
        <w:pStyle w:val="SingleTxt"/>
        <w:rPr>
          <w:rFonts w:hint="cs"/>
          <w:rtl/>
        </w:rPr>
      </w:pPr>
      <w:r>
        <w:rPr>
          <w:rFonts w:hint="cs"/>
          <w:b/>
          <w:bCs/>
          <w:rtl/>
        </w:rPr>
        <w:tab/>
      </w:r>
      <w:r>
        <w:rPr>
          <w:rFonts w:hint="cs"/>
          <w:rtl/>
        </w:rPr>
        <w:t xml:space="preserve">على أساس قانون المساواة في المعاملة في الخدمة الاتحادية، تقوم جميع الوزارات الاتحادية وغيرها من المؤسسات التي تخضع لهذا القانون بسن خطط للنهوض بالمرأة. </w:t>
      </w:r>
      <w:r>
        <w:rPr>
          <w:rFonts w:hint="cs"/>
          <w:rtl/>
          <w:lang w:bidi="ar-LB"/>
        </w:rPr>
        <w:t>و</w:t>
      </w:r>
      <w:r>
        <w:rPr>
          <w:rFonts w:hint="cs"/>
          <w:rtl/>
        </w:rPr>
        <w:t>من خلال إعطاء الأفضلية إلى النساء اللاتي تقدمن بطلبات في المجالات التي تكون فيها ممثلة تمثيلا ناقصا</w:t>
      </w:r>
      <w:r>
        <w:rPr>
          <w:rFonts w:hint="cs"/>
          <w:rtl/>
          <w:lang w:bidi="ar-LB"/>
        </w:rPr>
        <w:t>،</w:t>
      </w:r>
      <w:r>
        <w:rPr>
          <w:rFonts w:hint="cs"/>
          <w:rtl/>
        </w:rPr>
        <w:t xml:space="preserve"> ضمن المعنى المقصود في المادة 40، الفقرة 2، من قانون المساواة في المعاملة في الخدمة الاتحادية، وشريطة ألا تكون مؤهلاتهن أقل من منافس ذكر يتمتع بأفضل المؤهلات (إلى أن يتم الوفاء بالشروط المنصوص عليها في المادتين 42 و 43 من قانون المساواة في المعاملة في الخدمة الاتحادية)</w:t>
      </w:r>
      <w:r>
        <w:rPr>
          <w:rFonts w:hint="cs"/>
          <w:rtl/>
          <w:lang w:bidi="ar-LB"/>
        </w:rPr>
        <w:t>،</w:t>
      </w:r>
      <w:r>
        <w:rPr>
          <w:rFonts w:hint="cs"/>
          <w:rtl/>
        </w:rPr>
        <w:t xml:space="preserve"> تتمثل العناصر الأساسية </w:t>
      </w:r>
      <w:r>
        <w:rPr>
          <w:rFonts w:hint="cs"/>
          <w:rtl/>
          <w:lang w:bidi="ar-LB"/>
        </w:rPr>
        <w:t>ل</w:t>
      </w:r>
      <w:r>
        <w:rPr>
          <w:rFonts w:hint="cs"/>
          <w:rtl/>
        </w:rPr>
        <w:t>لخطط الراهنة</w:t>
      </w:r>
      <w:r>
        <w:rPr>
          <w:rFonts w:hint="cs"/>
          <w:rtl/>
          <w:lang w:bidi="ar-LB"/>
        </w:rPr>
        <w:t xml:space="preserve"> التي وضعتها ا</w:t>
      </w:r>
      <w:r>
        <w:rPr>
          <w:rFonts w:hint="cs"/>
          <w:rtl/>
        </w:rPr>
        <w:t xml:space="preserve">لمستشارية الاتحادية وغيرها من الوزارات الحكومية في التدابير المتخذة لحماية كرامة المرأة في مكان العمل، وزيادة نسبة النساء المشتركات في البرامج التدريبية وغيرها من البرامج، وتعزيز المهن النسائية، وعودتهن إلى سوق العمل، والتدابير المتخذة لتسهيل التوفيق بين </w:t>
      </w:r>
      <w:r>
        <w:rPr>
          <w:rFonts w:hint="cs"/>
          <w:rtl/>
          <w:lang w:bidi="ar-LB"/>
        </w:rPr>
        <w:t xml:space="preserve">التزامات </w:t>
      </w:r>
      <w:r>
        <w:rPr>
          <w:rFonts w:hint="cs"/>
          <w:rtl/>
        </w:rPr>
        <w:t>العمل والالتزامات العائلية.</w:t>
      </w:r>
    </w:p>
    <w:p w:rsidR="007B4C85" w:rsidRDefault="007B4C85" w:rsidP="007B4C85">
      <w:pPr>
        <w:pStyle w:val="SingleTxt"/>
        <w:rPr>
          <w:rFonts w:hint="cs"/>
          <w:rtl/>
        </w:rPr>
      </w:pPr>
      <w:r>
        <w:rPr>
          <w:rFonts w:hint="cs"/>
          <w:rtl/>
        </w:rPr>
        <w:tab/>
        <w:t>ومثال على ذلك، خطة النهوض بالمرأة في الوزارة الاتحادية المعنية بالزراعة والحراجة وإدارة البيئة والمياه، وهي خطة تم وضعها في عام 2003 بموجب اللوائح.</w:t>
      </w:r>
    </w:p>
    <w:p w:rsidR="007B4C85" w:rsidRDefault="007B4C85" w:rsidP="007B4C85">
      <w:pPr>
        <w:pStyle w:val="SingleTxt"/>
        <w:rPr>
          <w:rFonts w:hint="cs"/>
          <w:rtl/>
        </w:rPr>
      </w:pPr>
      <w:r>
        <w:rPr>
          <w:rFonts w:hint="cs"/>
          <w:rtl/>
        </w:rPr>
        <w:tab/>
        <w:t>ومن بين أهداف الخطة</w:t>
      </w:r>
      <w:r>
        <w:rPr>
          <w:rFonts w:hint="cs"/>
          <w:rtl/>
          <w:lang w:bidi="ar-LB"/>
        </w:rPr>
        <w:t>،</w:t>
      </w:r>
      <w:r>
        <w:rPr>
          <w:rFonts w:hint="cs"/>
          <w:rtl/>
        </w:rPr>
        <w:t xml:space="preserve"> القضاء على الأشكال الحالية للتمييز ضد المرأة بسبب التقسيم التقليدي للعمل في المجتمع اليوم، وتسهيل التوفيق بين </w:t>
      </w:r>
      <w:r>
        <w:rPr>
          <w:rFonts w:hint="cs"/>
          <w:rtl/>
          <w:lang w:bidi="ar-LB"/>
        </w:rPr>
        <w:t>التز</w:t>
      </w:r>
      <w:r w:rsidR="004A593D">
        <w:rPr>
          <w:rFonts w:hint="cs"/>
          <w:rtl/>
          <w:lang w:bidi="ar-LB"/>
        </w:rPr>
        <w:t>ا</w:t>
      </w:r>
      <w:r>
        <w:rPr>
          <w:rFonts w:hint="cs"/>
          <w:rtl/>
          <w:lang w:bidi="ar-LB"/>
        </w:rPr>
        <w:t xml:space="preserve">مات </w:t>
      </w:r>
      <w:r>
        <w:rPr>
          <w:rFonts w:hint="cs"/>
          <w:rtl/>
        </w:rPr>
        <w:t xml:space="preserve">العمل والالتزامات العائلية، وزيادة نسبة النساء إلى أن تصل نسبتهن إلى 40 في المائة، وزيادة نسبة النساء في المناصب الإدارية، وتكريس استراتيجية تعميم مراعاة المنظور الجنساني. وتتخذ الخطة كذلك تدابير لحماية كرامة المرأة في مكان العمل. وتعطى الأولوية </w:t>
      </w:r>
      <w:r>
        <w:rPr>
          <w:rFonts w:hint="cs"/>
          <w:rtl/>
          <w:lang w:bidi="ar-LB"/>
        </w:rPr>
        <w:t xml:space="preserve">للنساء </w:t>
      </w:r>
      <w:r>
        <w:rPr>
          <w:rFonts w:hint="cs"/>
          <w:rtl/>
        </w:rPr>
        <w:t>في برامج التدريب و</w:t>
      </w:r>
      <w:r>
        <w:rPr>
          <w:rFonts w:hint="cs"/>
          <w:rtl/>
          <w:lang w:bidi="ar-LB"/>
        </w:rPr>
        <w:t>ال</w:t>
      </w:r>
      <w:r>
        <w:rPr>
          <w:rFonts w:hint="cs"/>
          <w:rtl/>
        </w:rPr>
        <w:t xml:space="preserve">دورات </w:t>
      </w:r>
      <w:r>
        <w:rPr>
          <w:rFonts w:hint="cs"/>
          <w:rtl/>
          <w:lang w:bidi="ar-LB"/>
        </w:rPr>
        <w:t>ال</w:t>
      </w:r>
      <w:r>
        <w:rPr>
          <w:rFonts w:hint="cs"/>
          <w:rtl/>
        </w:rPr>
        <w:t xml:space="preserve">تدريبية </w:t>
      </w:r>
      <w:r>
        <w:rPr>
          <w:rFonts w:hint="cs"/>
          <w:rtl/>
          <w:lang w:bidi="ar-LB"/>
        </w:rPr>
        <w:t>ال</w:t>
      </w:r>
      <w:r>
        <w:rPr>
          <w:rFonts w:hint="cs"/>
          <w:rtl/>
        </w:rPr>
        <w:t xml:space="preserve">أخرى إلى أن تصل نسبتهن إلى 40 في المائة، ويتم أيضا قبول النساء </w:t>
      </w:r>
      <w:r>
        <w:rPr>
          <w:rFonts w:hint="cs"/>
          <w:rtl/>
          <w:lang w:bidi="ar-LB"/>
        </w:rPr>
        <w:t xml:space="preserve">اللاتي يعملن </w:t>
      </w:r>
      <w:r>
        <w:rPr>
          <w:rFonts w:hint="cs"/>
          <w:rtl/>
        </w:rPr>
        <w:t>صورة غير متفرغة في هذه الدورات. والمطلوب من رؤساء الأقسام في أماكن العمل أن يشجعوا النساء المؤهلات على تقديم طلبات لشغل مناصب إدارية، ووضع أسمائهن في قائمة المؤهلين لشغل مناصب إدارية في المستقبل.</w:t>
      </w:r>
    </w:p>
    <w:p w:rsidR="007B4C85" w:rsidRDefault="007B4C85" w:rsidP="007B4C85">
      <w:pPr>
        <w:pStyle w:val="SingleTxt"/>
        <w:rPr>
          <w:rFonts w:hint="cs"/>
          <w:b/>
          <w:bCs/>
          <w:rtl/>
        </w:rPr>
      </w:pPr>
      <w:r>
        <w:rPr>
          <w:rFonts w:hint="cs"/>
          <w:b/>
          <w:bCs/>
          <w:rtl/>
        </w:rPr>
        <w:t xml:space="preserve">التوفيق بين </w:t>
      </w:r>
      <w:r>
        <w:rPr>
          <w:rFonts w:hint="cs"/>
          <w:b/>
          <w:bCs/>
          <w:rtl/>
          <w:lang w:bidi="ar-LB"/>
        </w:rPr>
        <w:t xml:space="preserve">التزامات </w:t>
      </w:r>
      <w:r>
        <w:rPr>
          <w:rFonts w:hint="cs"/>
          <w:b/>
          <w:bCs/>
          <w:rtl/>
        </w:rPr>
        <w:t>العمل والالتزامات العائلية</w:t>
      </w:r>
    </w:p>
    <w:p w:rsidR="007B4C85" w:rsidRDefault="007B4C85" w:rsidP="007B4C85">
      <w:pPr>
        <w:pStyle w:val="SingleTxt"/>
        <w:rPr>
          <w:rFonts w:hint="cs"/>
          <w:rtl/>
        </w:rPr>
      </w:pPr>
      <w:r>
        <w:rPr>
          <w:rFonts w:hint="cs"/>
          <w:rtl/>
        </w:rPr>
        <w:tab/>
        <w:t xml:space="preserve">بالإضافة إلى ذلك، يتم دعم العمل غير المتفرغ: ورب العمل ملزم بالامتثال لطلب الموظفات للعمل بشكل غير متفرغ شريطة ألا يتعارض ذلك مع ضرورة استمرار العمل المنظم. وسوف يتم أيضا إنشاء إطار تنظيمي لإعطاء </w:t>
      </w:r>
      <w:r>
        <w:rPr>
          <w:rFonts w:hint="cs"/>
          <w:rtl/>
          <w:lang w:bidi="ar-LB"/>
        </w:rPr>
        <w:t>النساء اللاتي يعملن</w:t>
      </w:r>
      <w:r>
        <w:rPr>
          <w:rFonts w:hint="cs"/>
          <w:rtl/>
        </w:rPr>
        <w:t xml:space="preserve"> بشكل غير متفرغ إمكانية شغل مناصب إدارية. وتمشيا مع اللائحة المتعلقة بخطة النهوض بالمرأة، تم زيادة عدد الوظائف التي يمكن القيام بها في المنازل، بالإضافة إلى الوظائف غير المتفرغة في الوزارة الاتحادية المعنية بالزراعة والحراجة وإدارة البيئة والمياه، على أن تعطى الوظائف من النوع الثاني بصورة أكبر إلى النساء. </w:t>
      </w:r>
    </w:p>
    <w:p w:rsidR="007007C1" w:rsidRPr="007007C1" w:rsidRDefault="007007C1" w:rsidP="007007C1">
      <w:pPr>
        <w:pStyle w:val="SingleTxt"/>
        <w:spacing w:after="0" w:line="120" w:lineRule="exact"/>
        <w:rPr>
          <w:rFonts w:hint="cs"/>
          <w:b/>
          <w:bCs/>
          <w:sz w:val="10"/>
          <w:rtl/>
          <w:lang w:bidi="ar-LB"/>
        </w:rPr>
      </w:pPr>
    </w:p>
    <w:p w:rsidR="007B4C85" w:rsidRDefault="007B4C85" w:rsidP="007B4C85">
      <w:pPr>
        <w:pStyle w:val="SingleTxt"/>
        <w:rPr>
          <w:rFonts w:hint="cs"/>
          <w:b/>
          <w:bCs/>
          <w:rtl/>
        </w:rPr>
      </w:pPr>
      <w:r>
        <w:rPr>
          <w:rFonts w:hint="cs"/>
          <w:b/>
          <w:bCs/>
          <w:rtl/>
        </w:rPr>
        <w:t xml:space="preserve">العمل غير المتفرغ والعمل من المنازل في الوزارة الاتحادية للزراعة والحراجة وإدارة البيئة والمياه والوكالات التابعة، </w:t>
      </w:r>
      <w:r>
        <w:rPr>
          <w:rFonts w:hint="cs"/>
          <w:b/>
          <w:bCs/>
          <w:rtl/>
          <w:lang w:bidi="ar-LB"/>
        </w:rPr>
        <w:t>ف</w:t>
      </w:r>
      <w:r>
        <w:rPr>
          <w:rFonts w:hint="cs"/>
          <w:b/>
          <w:bCs/>
          <w:rtl/>
        </w:rPr>
        <w:t xml:space="preserve">ي 1 تموز/يوليه 2003 </w:t>
      </w:r>
    </w:p>
    <w:p w:rsidR="007B4C85" w:rsidRPr="0066204D" w:rsidRDefault="007B4C85" w:rsidP="007B4C85">
      <w:pPr>
        <w:pStyle w:val="SingleTxt"/>
        <w:spacing w:after="0" w:line="120" w:lineRule="exact"/>
        <w:rPr>
          <w:rFonts w:hint="cs"/>
          <w:b/>
          <w:bCs/>
          <w:sz w:val="10"/>
          <w:rtl/>
        </w:rPr>
      </w:pPr>
    </w:p>
    <w:tbl>
      <w:tblPr>
        <w:bidiVisual/>
        <w:tblW w:w="7397" w:type="dxa"/>
        <w:jc w:val="center"/>
        <w:tblInd w:w="1610" w:type="dxa"/>
        <w:tblLayout w:type="fixed"/>
        <w:tblCellMar>
          <w:left w:w="0" w:type="dxa"/>
          <w:right w:w="0" w:type="dxa"/>
        </w:tblCellMar>
        <w:tblLook w:val="0000" w:firstRow="0" w:lastRow="0" w:firstColumn="0" w:lastColumn="0" w:noHBand="0" w:noVBand="0"/>
      </w:tblPr>
      <w:tblGrid>
        <w:gridCol w:w="2856"/>
        <w:gridCol w:w="1442"/>
        <w:gridCol w:w="1478"/>
        <w:gridCol w:w="1621"/>
      </w:tblGrid>
      <w:tr w:rsidR="007B4C85" w:rsidRPr="001F71F7">
        <w:tblPrEx>
          <w:tblCellMar>
            <w:top w:w="0" w:type="dxa"/>
            <w:bottom w:w="0" w:type="dxa"/>
          </w:tblCellMar>
        </w:tblPrEx>
        <w:trPr>
          <w:cantSplit/>
          <w:tblHeader/>
          <w:jc w:val="center"/>
        </w:trPr>
        <w:tc>
          <w:tcPr>
            <w:tcW w:w="2856" w:type="dxa"/>
            <w:tcBorders>
              <w:top w:val="single" w:sz="4" w:space="0" w:color="auto"/>
            </w:tcBorders>
            <w:shd w:val="clear" w:color="auto" w:fill="auto"/>
            <w:tcMar>
              <w:left w:w="0" w:type="dxa"/>
              <w:right w:w="0" w:type="dxa"/>
            </w:tcMar>
            <w:vAlign w:val="bottom"/>
          </w:tcPr>
          <w:p w:rsidR="007B4C85" w:rsidRPr="001F71F7" w:rsidRDefault="007B4C85" w:rsidP="00ED0988">
            <w:pPr>
              <w:spacing w:before="80" w:after="80" w:line="240" w:lineRule="exact"/>
              <w:ind w:left="144"/>
              <w:rPr>
                <w:rFonts w:hint="cs"/>
                <w:i/>
                <w:iCs/>
                <w:sz w:val="16"/>
                <w:szCs w:val="24"/>
                <w:rtl/>
              </w:rPr>
            </w:pPr>
          </w:p>
        </w:tc>
        <w:tc>
          <w:tcPr>
            <w:tcW w:w="2920" w:type="dxa"/>
            <w:gridSpan w:val="2"/>
            <w:tcBorders>
              <w:top w:val="single" w:sz="4" w:space="0" w:color="auto"/>
              <w:bottom w:val="single" w:sz="4" w:space="0" w:color="auto"/>
            </w:tcBorders>
            <w:shd w:val="clear" w:color="auto" w:fill="auto"/>
            <w:vAlign w:val="bottom"/>
          </w:tcPr>
          <w:p w:rsidR="007B4C85" w:rsidRPr="001F71F7" w:rsidRDefault="007B4C85" w:rsidP="00ED0988">
            <w:pPr>
              <w:spacing w:before="80" w:after="80" w:line="240" w:lineRule="exact"/>
              <w:ind w:left="144" w:right="144"/>
              <w:jc w:val="center"/>
              <w:rPr>
                <w:rFonts w:hint="cs"/>
                <w:i/>
                <w:iCs/>
                <w:sz w:val="16"/>
                <w:szCs w:val="24"/>
                <w:rtl/>
              </w:rPr>
            </w:pPr>
            <w:r w:rsidRPr="001F71F7">
              <w:rPr>
                <w:rFonts w:hint="cs"/>
                <w:i/>
                <w:iCs/>
                <w:sz w:val="16"/>
                <w:szCs w:val="24"/>
                <w:rtl/>
              </w:rPr>
              <w:t>الموظفون</w:t>
            </w:r>
          </w:p>
        </w:tc>
        <w:tc>
          <w:tcPr>
            <w:tcW w:w="1621" w:type="dxa"/>
            <w:tcBorders>
              <w:top w:val="single" w:sz="4" w:space="0" w:color="auto"/>
            </w:tcBorders>
            <w:shd w:val="clear" w:color="auto" w:fill="auto"/>
            <w:vAlign w:val="bottom"/>
          </w:tcPr>
          <w:p w:rsidR="007B4C85" w:rsidRPr="001F71F7" w:rsidRDefault="007B4C85" w:rsidP="00ED0988">
            <w:pPr>
              <w:spacing w:before="80" w:after="80" w:line="240" w:lineRule="exact"/>
              <w:ind w:left="144" w:right="144"/>
              <w:jc w:val="lowKashida"/>
              <w:rPr>
                <w:rFonts w:hint="cs"/>
                <w:i/>
                <w:iCs/>
                <w:sz w:val="16"/>
                <w:szCs w:val="24"/>
                <w:rtl/>
              </w:rPr>
            </w:pPr>
          </w:p>
        </w:tc>
      </w:tr>
      <w:tr w:rsidR="007B4C85" w:rsidRPr="001F71F7">
        <w:tblPrEx>
          <w:tblCellMar>
            <w:top w:w="0" w:type="dxa"/>
            <w:bottom w:w="0" w:type="dxa"/>
          </w:tblCellMar>
        </w:tblPrEx>
        <w:trPr>
          <w:cantSplit/>
          <w:tblHeader/>
          <w:jc w:val="center"/>
        </w:trPr>
        <w:tc>
          <w:tcPr>
            <w:tcW w:w="2856" w:type="dxa"/>
            <w:tcBorders>
              <w:bottom w:val="single" w:sz="12" w:space="0" w:color="auto"/>
            </w:tcBorders>
            <w:shd w:val="clear" w:color="auto" w:fill="auto"/>
            <w:vAlign w:val="bottom"/>
          </w:tcPr>
          <w:p w:rsidR="007B4C85" w:rsidRPr="001F71F7" w:rsidRDefault="007B4C85" w:rsidP="00ED0988">
            <w:pPr>
              <w:spacing w:after="80" w:line="240" w:lineRule="exact"/>
              <w:ind w:left="144"/>
              <w:rPr>
                <w:rFonts w:hint="cs"/>
                <w:i/>
                <w:iCs/>
                <w:sz w:val="16"/>
                <w:szCs w:val="24"/>
                <w:rtl/>
              </w:rPr>
            </w:pPr>
          </w:p>
        </w:tc>
        <w:tc>
          <w:tcPr>
            <w:tcW w:w="1442" w:type="dxa"/>
            <w:tcBorders>
              <w:top w:val="single" w:sz="4" w:space="0" w:color="auto"/>
              <w:bottom w:val="single" w:sz="12" w:space="0" w:color="auto"/>
            </w:tcBorders>
            <w:shd w:val="clear" w:color="auto" w:fill="auto"/>
            <w:vAlign w:val="bottom"/>
          </w:tcPr>
          <w:p w:rsidR="007B4C85" w:rsidRPr="001F71F7" w:rsidRDefault="007B4C85" w:rsidP="00ED0988">
            <w:pPr>
              <w:spacing w:after="80" w:line="240" w:lineRule="exact"/>
              <w:ind w:left="144"/>
              <w:rPr>
                <w:rFonts w:hint="cs"/>
                <w:i/>
                <w:iCs/>
                <w:sz w:val="16"/>
                <w:szCs w:val="24"/>
                <w:rtl/>
              </w:rPr>
            </w:pPr>
            <w:r w:rsidRPr="001F71F7">
              <w:rPr>
                <w:rFonts w:hint="cs"/>
                <w:i/>
                <w:iCs/>
                <w:sz w:val="16"/>
                <w:szCs w:val="24"/>
                <w:rtl/>
              </w:rPr>
              <w:t>النساء</w:t>
            </w:r>
          </w:p>
        </w:tc>
        <w:tc>
          <w:tcPr>
            <w:tcW w:w="1478" w:type="dxa"/>
            <w:tcBorders>
              <w:top w:val="single" w:sz="4" w:space="0" w:color="auto"/>
              <w:bottom w:val="single" w:sz="12" w:space="0" w:color="auto"/>
            </w:tcBorders>
            <w:shd w:val="clear" w:color="auto" w:fill="auto"/>
            <w:vAlign w:val="bottom"/>
          </w:tcPr>
          <w:p w:rsidR="007B4C85" w:rsidRPr="001F71F7" w:rsidRDefault="007B4C85" w:rsidP="00ED0988">
            <w:pPr>
              <w:spacing w:after="80" w:line="240" w:lineRule="exact"/>
              <w:ind w:left="144"/>
              <w:rPr>
                <w:rFonts w:hint="cs"/>
                <w:i/>
                <w:iCs/>
                <w:sz w:val="16"/>
                <w:szCs w:val="24"/>
                <w:rtl/>
              </w:rPr>
            </w:pPr>
            <w:r w:rsidRPr="001F71F7">
              <w:rPr>
                <w:rFonts w:hint="cs"/>
                <w:i/>
                <w:iCs/>
                <w:sz w:val="16"/>
                <w:szCs w:val="24"/>
                <w:rtl/>
              </w:rPr>
              <w:t>الرجال</w:t>
            </w:r>
          </w:p>
        </w:tc>
        <w:tc>
          <w:tcPr>
            <w:tcW w:w="1621" w:type="dxa"/>
            <w:tcBorders>
              <w:bottom w:val="single" w:sz="12" w:space="0" w:color="auto"/>
            </w:tcBorders>
            <w:shd w:val="clear" w:color="auto" w:fill="auto"/>
            <w:vAlign w:val="bottom"/>
          </w:tcPr>
          <w:p w:rsidR="007B4C85" w:rsidRPr="001F71F7" w:rsidRDefault="007B4C85" w:rsidP="00ED0988">
            <w:pPr>
              <w:spacing w:after="80" w:line="240" w:lineRule="exact"/>
              <w:ind w:left="144"/>
              <w:rPr>
                <w:rFonts w:hint="cs"/>
                <w:i/>
                <w:iCs/>
                <w:sz w:val="16"/>
                <w:szCs w:val="24"/>
                <w:rtl/>
              </w:rPr>
            </w:pPr>
            <w:r w:rsidRPr="001F71F7">
              <w:rPr>
                <w:rFonts w:hint="cs"/>
                <w:i/>
                <w:iCs/>
                <w:sz w:val="16"/>
                <w:szCs w:val="24"/>
                <w:rtl/>
              </w:rPr>
              <w:t>المجموع</w:t>
            </w:r>
          </w:p>
        </w:tc>
      </w:tr>
      <w:tr w:rsidR="007B4C85" w:rsidRPr="001F71F7">
        <w:tblPrEx>
          <w:tblCellMar>
            <w:top w:w="0" w:type="dxa"/>
            <w:bottom w:w="0" w:type="dxa"/>
          </w:tblCellMar>
        </w:tblPrEx>
        <w:trPr>
          <w:cantSplit/>
          <w:trHeight w:hRule="exact" w:val="115"/>
          <w:tblHeader/>
          <w:jc w:val="center"/>
        </w:trPr>
        <w:tc>
          <w:tcPr>
            <w:tcW w:w="2856" w:type="dxa"/>
            <w:tcBorders>
              <w:top w:val="single" w:sz="12" w:space="0" w:color="auto"/>
            </w:tcBorders>
            <w:shd w:val="clear" w:color="auto" w:fill="auto"/>
            <w:vAlign w:val="bottom"/>
          </w:tcPr>
          <w:p w:rsidR="007B4C85" w:rsidRPr="001F71F7" w:rsidRDefault="007B4C85" w:rsidP="00ED0988">
            <w:pPr>
              <w:spacing w:before="40" w:after="80" w:line="240" w:lineRule="exact"/>
              <w:ind w:left="144"/>
              <w:rPr>
                <w:rFonts w:hint="cs"/>
                <w:sz w:val="16"/>
                <w:szCs w:val="24"/>
                <w:rtl/>
              </w:rPr>
            </w:pPr>
          </w:p>
        </w:tc>
        <w:tc>
          <w:tcPr>
            <w:tcW w:w="1442" w:type="dxa"/>
            <w:tcBorders>
              <w:top w:val="single" w:sz="12" w:space="0" w:color="auto"/>
            </w:tcBorders>
            <w:shd w:val="clear" w:color="auto" w:fill="auto"/>
            <w:vAlign w:val="bottom"/>
          </w:tcPr>
          <w:p w:rsidR="007B4C85" w:rsidRPr="001F71F7" w:rsidRDefault="007B4C85" w:rsidP="00ED0988">
            <w:pPr>
              <w:spacing w:before="40" w:after="80" w:line="240" w:lineRule="exact"/>
              <w:ind w:left="144"/>
              <w:rPr>
                <w:rFonts w:hint="cs"/>
                <w:sz w:val="16"/>
                <w:szCs w:val="24"/>
                <w:rtl/>
              </w:rPr>
            </w:pPr>
          </w:p>
        </w:tc>
        <w:tc>
          <w:tcPr>
            <w:tcW w:w="1478" w:type="dxa"/>
            <w:tcBorders>
              <w:top w:val="single" w:sz="12" w:space="0" w:color="auto"/>
            </w:tcBorders>
            <w:shd w:val="clear" w:color="auto" w:fill="auto"/>
            <w:vAlign w:val="bottom"/>
          </w:tcPr>
          <w:p w:rsidR="007B4C85" w:rsidRPr="001F71F7" w:rsidRDefault="007B4C85" w:rsidP="00ED0988">
            <w:pPr>
              <w:spacing w:before="40" w:after="80" w:line="240" w:lineRule="exact"/>
              <w:ind w:left="144"/>
              <w:rPr>
                <w:rFonts w:hint="cs"/>
                <w:sz w:val="16"/>
                <w:szCs w:val="24"/>
                <w:rtl/>
              </w:rPr>
            </w:pPr>
          </w:p>
        </w:tc>
        <w:tc>
          <w:tcPr>
            <w:tcW w:w="1621" w:type="dxa"/>
            <w:tcBorders>
              <w:top w:val="single" w:sz="12" w:space="0" w:color="auto"/>
            </w:tcBorders>
            <w:shd w:val="clear" w:color="auto" w:fill="auto"/>
            <w:vAlign w:val="bottom"/>
          </w:tcPr>
          <w:p w:rsidR="007B4C85" w:rsidRPr="001F71F7" w:rsidRDefault="007B4C85" w:rsidP="00ED0988">
            <w:pPr>
              <w:spacing w:before="40" w:after="80" w:line="240" w:lineRule="exact"/>
              <w:ind w:left="144"/>
              <w:rPr>
                <w:rFonts w:hint="cs"/>
                <w:sz w:val="16"/>
                <w:szCs w:val="24"/>
                <w:rtl/>
              </w:rPr>
            </w:pPr>
          </w:p>
        </w:tc>
      </w:tr>
      <w:tr w:rsidR="007B4C85" w:rsidRPr="001F71F7">
        <w:tblPrEx>
          <w:tblCellMar>
            <w:top w:w="0" w:type="dxa"/>
            <w:bottom w:w="0" w:type="dxa"/>
          </w:tblCellMar>
        </w:tblPrEx>
        <w:trPr>
          <w:cantSplit/>
          <w:jc w:val="center"/>
        </w:trPr>
        <w:tc>
          <w:tcPr>
            <w:tcW w:w="2856" w:type="dxa"/>
            <w:shd w:val="clear" w:color="auto" w:fill="auto"/>
            <w:vAlign w:val="bottom"/>
          </w:tcPr>
          <w:p w:rsidR="007B4C85" w:rsidRPr="001F71F7" w:rsidRDefault="007B4C85" w:rsidP="00ED0988">
            <w:pPr>
              <w:spacing w:before="40" w:after="80" w:line="240" w:lineRule="exact"/>
              <w:ind w:left="144"/>
              <w:rPr>
                <w:rFonts w:hint="cs"/>
                <w:sz w:val="16"/>
                <w:szCs w:val="24"/>
                <w:rtl/>
                <w:lang w:bidi="ar-LB"/>
              </w:rPr>
            </w:pPr>
            <w:r>
              <w:rPr>
                <w:rFonts w:hint="cs"/>
                <w:sz w:val="16"/>
                <w:szCs w:val="24"/>
                <w:rtl/>
                <w:lang w:bidi="ar-LB"/>
              </w:rPr>
              <w:t>العم</w:t>
            </w:r>
            <w:r>
              <w:rPr>
                <w:rFonts w:hint="cs"/>
                <w:sz w:val="16"/>
                <w:szCs w:val="24"/>
                <w:rtl/>
              </w:rPr>
              <w:t>ل غير المتفرغ</w:t>
            </w:r>
          </w:p>
        </w:tc>
        <w:tc>
          <w:tcPr>
            <w:tcW w:w="1442" w:type="dxa"/>
            <w:shd w:val="clear" w:color="auto" w:fill="auto"/>
            <w:vAlign w:val="bottom"/>
          </w:tcPr>
          <w:p w:rsidR="007B4C85" w:rsidRPr="001F71F7" w:rsidRDefault="007B4C85" w:rsidP="00ED0988">
            <w:pPr>
              <w:spacing w:before="40" w:after="80" w:line="240" w:lineRule="exact"/>
              <w:ind w:left="144"/>
              <w:rPr>
                <w:rFonts w:hint="cs"/>
                <w:sz w:val="16"/>
                <w:szCs w:val="24"/>
                <w:rtl/>
              </w:rPr>
            </w:pPr>
            <w:r w:rsidRPr="001F71F7">
              <w:rPr>
                <w:rFonts w:hint="cs"/>
                <w:sz w:val="16"/>
                <w:szCs w:val="24"/>
                <w:rtl/>
              </w:rPr>
              <w:t>18</w:t>
            </w:r>
          </w:p>
        </w:tc>
        <w:tc>
          <w:tcPr>
            <w:tcW w:w="1478" w:type="dxa"/>
            <w:shd w:val="clear" w:color="auto" w:fill="auto"/>
            <w:vAlign w:val="bottom"/>
          </w:tcPr>
          <w:p w:rsidR="007B4C85" w:rsidRPr="001F71F7" w:rsidRDefault="007B4C85" w:rsidP="00ED0988">
            <w:pPr>
              <w:spacing w:before="40" w:after="80" w:line="240" w:lineRule="exact"/>
              <w:ind w:left="144"/>
              <w:rPr>
                <w:rFonts w:hint="cs"/>
                <w:sz w:val="16"/>
                <w:szCs w:val="24"/>
                <w:rtl/>
              </w:rPr>
            </w:pPr>
            <w:r w:rsidRPr="001F71F7">
              <w:rPr>
                <w:rFonts w:hint="cs"/>
                <w:sz w:val="16"/>
                <w:szCs w:val="24"/>
                <w:rtl/>
              </w:rPr>
              <w:t>12</w:t>
            </w:r>
          </w:p>
        </w:tc>
        <w:tc>
          <w:tcPr>
            <w:tcW w:w="1621" w:type="dxa"/>
            <w:shd w:val="clear" w:color="auto" w:fill="auto"/>
            <w:vAlign w:val="bottom"/>
          </w:tcPr>
          <w:p w:rsidR="007B4C85" w:rsidRPr="001F71F7" w:rsidRDefault="007B4C85" w:rsidP="00ED0988">
            <w:pPr>
              <w:spacing w:before="40" w:after="80" w:line="240" w:lineRule="exact"/>
              <w:ind w:left="144"/>
              <w:rPr>
                <w:rFonts w:hint="cs"/>
                <w:sz w:val="16"/>
                <w:szCs w:val="24"/>
                <w:rtl/>
              </w:rPr>
            </w:pPr>
            <w:r w:rsidRPr="001F71F7">
              <w:rPr>
                <w:rFonts w:hint="cs"/>
                <w:sz w:val="16"/>
                <w:szCs w:val="24"/>
                <w:rtl/>
              </w:rPr>
              <w:t>30</w:t>
            </w:r>
          </w:p>
        </w:tc>
      </w:tr>
      <w:tr w:rsidR="007B4C85" w:rsidRPr="001F71F7">
        <w:tblPrEx>
          <w:tblCellMar>
            <w:top w:w="0" w:type="dxa"/>
            <w:bottom w:w="0" w:type="dxa"/>
          </w:tblCellMar>
        </w:tblPrEx>
        <w:trPr>
          <w:cantSplit/>
          <w:jc w:val="center"/>
        </w:trPr>
        <w:tc>
          <w:tcPr>
            <w:tcW w:w="2856" w:type="dxa"/>
            <w:tcBorders>
              <w:bottom w:val="single" w:sz="12" w:space="0" w:color="auto"/>
            </w:tcBorders>
            <w:shd w:val="clear" w:color="auto" w:fill="auto"/>
            <w:vAlign w:val="bottom"/>
          </w:tcPr>
          <w:p w:rsidR="007B4C85" w:rsidRPr="001F71F7" w:rsidRDefault="007B4C85" w:rsidP="00ED0988">
            <w:pPr>
              <w:spacing w:before="40" w:after="80" w:line="240" w:lineRule="exact"/>
              <w:ind w:left="144"/>
              <w:rPr>
                <w:rFonts w:hint="cs"/>
                <w:sz w:val="16"/>
                <w:szCs w:val="24"/>
                <w:rtl/>
              </w:rPr>
            </w:pPr>
            <w:r w:rsidRPr="001F71F7">
              <w:rPr>
                <w:rFonts w:hint="cs"/>
                <w:sz w:val="16"/>
                <w:szCs w:val="24"/>
                <w:rtl/>
              </w:rPr>
              <w:t>العمل من المنزل</w:t>
            </w:r>
          </w:p>
        </w:tc>
        <w:tc>
          <w:tcPr>
            <w:tcW w:w="1442" w:type="dxa"/>
            <w:tcBorders>
              <w:bottom w:val="single" w:sz="12" w:space="0" w:color="auto"/>
            </w:tcBorders>
            <w:shd w:val="clear" w:color="auto" w:fill="auto"/>
            <w:vAlign w:val="bottom"/>
          </w:tcPr>
          <w:p w:rsidR="007B4C85" w:rsidRPr="001F71F7" w:rsidRDefault="007B4C85" w:rsidP="00ED0988">
            <w:pPr>
              <w:spacing w:before="40" w:after="80" w:line="240" w:lineRule="exact"/>
              <w:ind w:left="144"/>
              <w:rPr>
                <w:rFonts w:hint="cs"/>
                <w:sz w:val="16"/>
                <w:szCs w:val="24"/>
                <w:rtl/>
              </w:rPr>
            </w:pPr>
            <w:r w:rsidRPr="001F71F7">
              <w:rPr>
                <w:rFonts w:hint="cs"/>
                <w:sz w:val="16"/>
                <w:szCs w:val="24"/>
                <w:rtl/>
              </w:rPr>
              <w:t>409</w:t>
            </w:r>
          </w:p>
        </w:tc>
        <w:tc>
          <w:tcPr>
            <w:tcW w:w="1478" w:type="dxa"/>
            <w:tcBorders>
              <w:bottom w:val="single" w:sz="12" w:space="0" w:color="auto"/>
            </w:tcBorders>
            <w:shd w:val="clear" w:color="auto" w:fill="auto"/>
            <w:vAlign w:val="bottom"/>
          </w:tcPr>
          <w:p w:rsidR="007B4C85" w:rsidRPr="001F71F7" w:rsidRDefault="007B4C85" w:rsidP="00ED0988">
            <w:pPr>
              <w:spacing w:before="40" w:after="80" w:line="240" w:lineRule="exact"/>
              <w:ind w:left="144"/>
              <w:rPr>
                <w:rFonts w:hint="cs"/>
                <w:sz w:val="16"/>
                <w:szCs w:val="24"/>
                <w:rtl/>
              </w:rPr>
            </w:pPr>
            <w:r w:rsidRPr="001F71F7">
              <w:rPr>
                <w:rFonts w:hint="cs"/>
                <w:sz w:val="16"/>
                <w:szCs w:val="24"/>
                <w:rtl/>
              </w:rPr>
              <w:t>196</w:t>
            </w:r>
          </w:p>
        </w:tc>
        <w:tc>
          <w:tcPr>
            <w:tcW w:w="1621" w:type="dxa"/>
            <w:tcBorders>
              <w:bottom w:val="single" w:sz="12" w:space="0" w:color="auto"/>
            </w:tcBorders>
            <w:shd w:val="clear" w:color="auto" w:fill="auto"/>
            <w:vAlign w:val="bottom"/>
          </w:tcPr>
          <w:p w:rsidR="007B4C85" w:rsidRPr="001F71F7" w:rsidRDefault="007B4C85" w:rsidP="00ED0988">
            <w:pPr>
              <w:spacing w:before="40" w:after="80" w:line="240" w:lineRule="exact"/>
              <w:ind w:left="144"/>
              <w:rPr>
                <w:rFonts w:hint="cs"/>
                <w:sz w:val="16"/>
                <w:szCs w:val="24"/>
                <w:rtl/>
              </w:rPr>
            </w:pPr>
            <w:r w:rsidRPr="001F71F7">
              <w:rPr>
                <w:rFonts w:hint="cs"/>
                <w:sz w:val="16"/>
                <w:szCs w:val="24"/>
                <w:rtl/>
              </w:rPr>
              <w:t>605</w:t>
            </w:r>
          </w:p>
        </w:tc>
      </w:tr>
    </w:tbl>
    <w:p w:rsidR="007007C1" w:rsidRPr="007007C1" w:rsidRDefault="007007C1" w:rsidP="007007C1">
      <w:pPr>
        <w:pStyle w:val="SingleTxt"/>
        <w:spacing w:after="0" w:line="120" w:lineRule="exact"/>
        <w:rPr>
          <w:rFonts w:hint="cs"/>
          <w:sz w:val="10"/>
          <w:rtl/>
          <w:lang w:bidi="ar-LB"/>
        </w:rPr>
      </w:pPr>
    </w:p>
    <w:p w:rsidR="007B4C85" w:rsidRDefault="007B4C85" w:rsidP="007B4C85">
      <w:pPr>
        <w:pStyle w:val="SingleTxt"/>
        <w:rPr>
          <w:rFonts w:hint="cs"/>
          <w:rtl/>
        </w:rPr>
      </w:pPr>
      <w:r>
        <w:rPr>
          <w:rFonts w:hint="cs"/>
          <w:rtl/>
        </w:rPr>
        <w:tab/>
      </w:r>
      <w:r w:rsidRPr="001F71F7">
        <w:rPr>
          <w:rFonts w:hint="cs"/>
          <w:rtl/>
        </w:rPr>
        <w:t xml:space="preserve">تم استعراض مبدأ </w:t>
      </w:r>
      <w:r>
        <w:rPr>
          <w:rFonts w:hint="eastAsia"/>
          <w:rtl/>
        </w:rPr>
        <w:t xml:space="preserve">”التوفيق بين </w:t>
      </w:r>
      <w:r>
        <w:rPr>
          <w:rFonts w:hint="cs"/>
          <w:rtl/>
          <w:lang w:bidi="ar-LB"/>
        </w:rPr>
        <w:t xml:space="preserve">التزامات </w:t>
      </w:r>
      <w:r>
        <w:rPr>
          <w:rFonts w:hint="eastAsia"/>
          <w:rtl/>
        </w:rPr>
        <w:t>العمل والالتزامات العائلية</w:t>
      </w:r>
      <w:r>
        <w:rPr>
          <w:rFonts w:hint="cs"/>
          <w:rtl/>
        </w:rPr>
        <w:t>“ في الوزارة، وتم اعتماده بصفة أولية على أنه يناسب الأسرة وذلك حتى 3 تشرين الثاني/نوفمبر 2005. وتشارك الوزارة أيضا في حلقة تدريبية مهمتها وضع اقتراحات لزيادة الأعمال الحكومية في هذا الميدان.</w:t>
      </w:r>
    </w:p>
    <w:p w:rsidR="007B4C85" w:rsidRDefault="007B4C85" w:rsidP="007B4C85">
      <w:pPr>
        <w:pStyle w:val="SingleTxt"/>
        <w:rPr>
          <w:rFonts w:hint="cs"/>
          <w:rtl/>
        </w:rPr>
      </w:pPr>
      <w:r>
        <w:rPr>
          <w:rFonts w:hint="cs"/>
          <w:rtl/>
        </w:rPr>
        <w:tab/>
        <w:t>وإن نسبة الموظفين من الذكور والإناث في الوزارة متساوية تقريبا، غير أن المرأة ما</w:t>
      </w:r>
      <w:r>
        <w:rPr>
          <w:rFonts w:hint="eastAsia"/>
          <w:rtl/>
        </w:rPr>
        <w:t> </w:t>
      </w:r>
      <w:r>
        <w:rPr>
          <w:rFonts w:hint="cs"/>
          <w:rtl/>
        </w:rPr>
        <w:t>زالت ممثلة تمثيلا ناقصا في المناصب الإدارية. وعلى الرغم من وجود أحكام ملزمة لزيادة نسبة النساء في هذه المناصب، فإن سياسات التوظيف التقييدية في الخدمة الاتحادية التي فرضتها الحكومة لأسباب تتعلق بضغط التكاليف خلال السنوات القليلة الماضية جعلت من الصعب زيادة نسبة النساء. ومع ذلك، يمكن ملاحظة وجود اتجاه بطيء وإن لم يكن مستمر</w:t>
      </w:r>
      <w:r>
        <w:rPr>
          <w:rFonts w:hint="cs"/>
          <w:rtl/>
          <w:lang w:bidi="ar-LB"/>
        </w:rPr>
        <w:t>ا</w:t>
      </w:r>
      <w:r>
        <w:rPr>
          <w:rFonts w:hint="cs"/>
          <w:rtl/>
        </w:rPr>
        <w:t xml:space="preserve"> لزيادة عدد النساء في المناصب الإدارية.</w:t>
      </w:r>
    </w:p>
    <w:p w:rsidR="007B4C85" w:rsidRPr="001F71F7" w:rsidRDefault="007B4C85" w:rsidP="007B4C85">
      <w:pPr>
        <w:pStyle w:val="SingleTxt"/>
        <w:spacing w:after="0" w:line="120" w:lineRule="exact"/>
        <w:rPr>
          <w:rFonts w:hint="cs"/>
          <w:sz w:val="10"/>
          <w:rtl/>
        </w:rPr>
      </w:pPr>
    </w:p>
    <w:p w:rsidR="007B4C85" w:rsidRPr="001F71F7" w:rsidRDefault="007B4C85" w:rsidP="007B4C85">
      <w:pPr>
        <w:pStyle w:val="SingleTxt"/>
        <w:rPr>
          <w:rFonts w:hint="cs"/>
          <w:b/>
          <w:bCs/>
          <w:rtl/>
        </w:rPr>
      </w:pPr>
      <w:r w:rsidRPr="001F71F7">
        <w:rPr>
          <w:rFonts w:hint="cs"/>
          <w:b/>
          <w:bCs/>
          <w:rtl/>
        </w:rPr>
        <w:t>نسبة النساء في المناصب العالية</w:t>
      </w:r>
    </w:p>
    <w:p w:rsidR="007B4C85" w:rsidRPr="001F71F7" w:rsidRDefault="007B4C85" w:rsidP="007B4C85">
      <w:pPr>
        <w:pStyle w:val="SingleTxt"/>
        <w:spacing w:after="0" w:line="120" w:lineRule="exact"/>
        <w:rPr>
          <w:rFonts w:hint="cs"/>
          <w:sz w:val="10"/>
          <w:rtl/>
        </w:rPr>
      </w:pPr>
    </w:p>
    <w:tbl>
      <w:tblPr>
        <w:bidiVisual/>
        <w:tblW w:w="7425" w:type="dxa"/>
        <w:jc w:val="center"/>
        <w:tblInd w:w="1788" w:type="dxa"/>
        <w:tblLayout w:type="fixed"/>
        <w:tblCellMar>
          <w:left w:w="0" w:type="dxa"/>
          <w:right w:w="0" w:type="dxa"/>
        </w:tblCellMar>
        <w:tblLook w:val="0000" w:firstRow="0" w:lastRow="0" w:firstColumn="0" w:lastColumn="0" w:noHBand="0" w:noVBand="0"/>
      </w:tblPr>
      <w:tblGrid>
        <w:gridCol w:w="1840"/>
        <w:gridCol w:w="1030"/>
        <w:gridCol w:w="1339"/>
        <w:gridCol w:w="941"/>
        <w:gridCol w:w="1267"/>
        <w:gridCol w:w="1008"/>
      </w:tblGrid>
      <w:tr w:rsidR="007B4C85" w:rsidRPr="001F71F7">
        <w:tblPrEx>
          <w:tblCellMar>
            <w:top w:w="0" w:type="dxa"/>
            <w:bottom w:w="0" w:type="dxa"/>
          </w:tblCellMar>
        </w:tblPrEx>
        <w:trPr>
          <w:cantSplit/>
          <w:tblHeader/>
          <w:jc w:val="center"/>
        </w:trPr>
        <w:tc>
          <w:tcPr>
            <w:tcW w:w="1840" w:type="dxa"/>
            <w:tcBorders>
              <w:top w:val="single" w:sz="4" w:space="0" w:color="auto"/>
              <w:bottom w:val="single" w:sz="12" w:space="0" w:color="auto"/>
            </w:tcBorders>
            <w:shd w:val="clear" w:color="auto" w:fill="auto"/>
            <w:tcMar>
              <w:left w:w="0" w:type="dxa"/>
              <w:right w:w="0" w:type="dxa"/>
            </w:tcMar>
            <w:vAlign w:val="bottom"/>
          </w:tcPr>
          <w:p w:rsidR="007B4C85" w:rsidRPr="001F71F7" w:rsidRDefault="007B4C85" w:rsidP="00ED0988">
            <w:pPr>
              <w:spacing w:before="80" w:after="80" w:line="240" w:lineRule="exact"/>
              <w:ind w:left="144"/>
              <w:rPr>
                <w:rFonts w:hint="cs"/>
                <w:i/>
                <w:iCs/>
                <w:sz w:val="16"/>
                <w:szCs w:val="24"/>
                <w:rtl/>
              </w:rPr>
            </w:pPr>
          </w:p>
        </w:tc>
        <w:tc>
          <w:tcPr>
            <w:tcW w:w="1030" w:type="dxa"/>
            <w:tcBorders>
              <w:top w:val="single" w:sz="4" w:space="0" w:color="auto"/>
              <w:bottom w:val="single" w:sz="12" w:space="0" w:color="auto"/>
            </w:tcBorders>
            <w:shd w:val="clear" w:color="auto" w:fill="auto"/>
            <w:vAlign w:val="bottom"/>
          </w:tcPr>
          <w:p w:rsidR="007B4C85" w:rsidRPr="001F71F7" w:rsidRDefault="007B4C85" w:rsidP="00ED0988">
            <w:pPr>
              <w:spacing w:before="80" w:after="80" w:line="240" w:lineRule="exact"/>
              <w:ind w:left="144" w:right="144"/>
              <w:jc w:val="lowKashida"/>
              <w:rPr>
                <w:rFonts w:hint="cs"/>
                <w:i/>
                <w:iCs/>
                <w:sz w:val="16"/>
                <w:szCs w:val="24"/>
                <w:rtl/>
              </w:rPr>
            </w:pPr>
            <w:r w:rsidRPr="001F71F7">
              <w:rPr>
                <w:rFonts w:hint="cs"/>
                <w:i/>
                <w:iCs/>
                <w:sz w:val="16"/>
                <w:szCs w:val="24"/>
                <w:rtl/>
              </w:rPr>
              <w:t>النساء</w:t>
            </w:r>
          </w:p>
        </w:tc>
        <w:tc>
          <w:tcPr>
            <w:tcW w:w="1339" w:type="dxa"/>
            <w:tcBorders>
              <w:top w:val="single" w:sz="4" w:space="0" w:color="auto"/>
              <w:bottom w:val="single" w:sz="12" w:space="0" w:color="auto"/>
            </w:tcBorders>
            <w:shd w:val="clear" w:color="auto" w:fill="auto"/>
            <w:vAlign w:val="bottom"/>
          </w:tcPr>
          <w:p w:rsidR="007B4C85" w:rsidRPr="001F71F7" w:rsidRDefault="007B4C85" w:rsidP="00ED0988">
            <w:pPr>
              <w:spacing w:before="80" w:after="80" w:line="240" w:lineRule="exact"/>
              <w:ind w:left="144" w:right="144"/>
              <w:jc w:val="lowKashida"/>
              <w:rPr>
                <w:rFonts w:hint="cs"/>
                <w:i/>
                <w:iCs/>
                <w:sz w:val="16"/>
                <w:szCs w:val="24"/>
                <w:rtl/>
              </w:rPr>
            </w:pPr>
            <w:r w:rsidRPr="001F71F7">
              <w:rPr>
                <w:rFonts w:hint="cs"/>
                <w:i/>
                <w:iCs/>
                <w:sz w:val="16"/>
                <w:szCs w:val="24"/>
                <w:rtl/>
              </w:rPr>
              <w:t>نسبة النساء</w:t>
            </w:r>
          </w:p>
        </w:tc>
        <w:tc>
          <w:tcPr>
            <w:tcW w:w="941" w:type="dxa"/>
            <w:tcBorders>
              <w:top w:val="single" w:sz="4" w:space="0" w:color="auto"/>
              <w:bottom w:val="single" w:sz="12" w:space="0" w:color="auto"/>
            </w:tcBorders>
            <w:shd w:val="clear" w:color="auto" w:fill="auto"/>
            <w:vAlign w:val="bottom"/>
          </w:tcPr>
          <w:p w:rsidR="007B4C85" w:rsidRPr="001F71F7" w:rsidRDefault="007B4C85" w:rsidP="00ED0988">
            <w:pPr>
              <w:spacing w:before="80" w:after="80" w:line="240" w:lineRule="exact"/>
              <w:ind w:left="144" w:right="144"/>
              <w:jc w:val="lowKashida"/>
              <w:rPr>
                <w:rFonts w:hint="cs"/>
                <w:i/>
                <w:iCs/>
                <w:sz w:val="16"/>
                <w:szCs w:val="24"/>
                <w:rtl/>
              </w:rPr>
            </w:pPr>
            <w:r w:rsidRPr="001F71F7">
              <w:rPr>
                <w:rFonts w:hint="cs"/>
                <w:i/>
                <w:iCs/>
                <w:sz w:val="16"/>
                <w:szCs w:val="24"/>
                <w:rtl/>
              </w:rPr>
              <w:t>الرجال</w:t>
            </w:r>
          </w:p>
        </w:tc>
        <w:tc>
          <w:tcPr>
            <w:tcW w:w="1267" w:type="dxa"/>
            <w:tcBorders>
              <w:top w:val="single" w:sz="4" w:space="0" w:color="auto"/>
              <w:bottom w:val="single" w:sz="12" w:space="0" w:color="auto"/>
            </w:tcBorders>
            <w:shd w:val="clear" w:color="auto" w:fill="auto"/>
            <w:vAlign w:val="bottom"/>
          </w:tcPr>
          <w:p w:rsidR="007B4C85" w:rsidRPr="001F71F7" w:rsidRDefault="007B4C85" w:rsidP="00ED0988">
            <w:pPr>
              <w:spacing w:before="80" w:after="80" w:line="240" w:lineRule="exact"/>
              <w:ind w:left="144" w:right="144"/>
              <w:jc w:val="lowKashida"/>
              <w:rPr>
                <w:rFonts w:hint="cs"/>
                <w:i/>
                <w:iCs/>
                <w:sz w:val="16"/>
                <w:szCs w:val="24"/>
                <w:rtl/>
              </w:rPr>
            </w:pPr>
            <w:r w:rsidRPr="001F71F7">
              <w:rPr>
                <w:rFonts w:hint="cs"/>
                <w:i/>
                <w:iCs/>
                <w:sz w:val="16"/>
                <w:szCs w:val="24"/>
                <w:rtl/>
              </w:rPr>
              <w:t>نسبة الرجال</w:t>
            </w:r>
          </w:p>
        </w:tc>
        <w:tc>
          <w:tcPr>
            <w:tcW w:w="1008" w:type="dxa"/>
            <w:tcBorders>
              <w:top w:val="single" w:sz="4" w:space="0" w:color="auto"/>
              <w:bottom w:val="single" w:sz="12" w:space="0" w:color="auto"/>
            </w:tcBorders>
            <w:shd w:val="clear" w:color="auto" w:fill="auto"/>
            <w:vAlign w:val="bottom"/>
          </w:tcPr>
          <w:p w:rsidR="007B4C85" w:rsidRPr="001F71F7" w:rsidRDefault="007B4C85" w:rsidP="00ED0988">
            <w:pPr>
              <w:spacing w:before="80" w:after="80" w:line="240" w:lineRule="exact"/>
              <w:ind w:left="144" w:right="144"/>
              <w:jc w:val="lowKashida"/>
              <w:rPr>
                <w:rFonts w:hint="cs"/>
                <w:i/>
                <w:iCs/>
                <w:sz w:val="16"/>
                <w:szCs w:val="24"/>
                <w:rtl/>
              </w:rPr>
            </w:pPr>
            <w:r w:rsidRPr="001F71F7">
              <w:rPr>
                <w:rFonts w:hint="cs"/>
                <w:i/>
                <w:iCs/>
                <w:sz w:val="16"/>
                <w:szCs w:val="24"/>
                <w:rtl/>
              </w:rPr>
              <w:t>المجموع</w:t>
            </w:r>
          </w:p>
        </w:tc>
      </w:tr>
      <w:tr w:rsidR="007B4C85" w:rsidRPr="001F71F7">
        <w:tblPrEx>
          <w:tblCellMar>
            <w:top w:w="0" w:type="dxa"/>
            <w:bottom w:w="0" w:type="dxa"/>
          </w:tblCellMar>
        </w:tblPrEx>
        <w:trPr>
          <w:cantSplit/>
          <w:trHeight w:hRule="exact" w:val="115"/>
          <w:tblHeader/>
          <w:jc w:val="center"/>
        </w:trPr>
        <w:tc>
          <w:tcPr>
            <w:tcW w:w="1840" w:type="dxa"/>
            <w:tcBorders>
              <w:top w:val="single" w:sz="12" w:space="0" w:color="auto"/>
            </w:tcBorders>
            <w:shd w:val="clear" w:color="auto" w:fill="auto"/>
            <w:vAlign w:val="bottom"/>
          </w:tcPr>
          <w:p w:rsidR="007B4C85" w:rsidRPr="001F71F7" w:rsidRDefault="007B4C85" w:rsidP="00ED0988">
            <w:pPr>
              <w:spacing w:before="40" w:after="80" w:line="240" w:lineRule="exact"/>
              <w:ind w:left="144"/>
              <w:rPr>
                <w:rFonts w:hint="cs"/>
                <w:sz w:val="16"/>
                <w:szCs w:val="24"/>
                <w:rtl/>
              </w:rPr>
            </w:pPr>
          </w:p>
        </w:tc>
        <w:tc>
          <w:tcPr>
            <w:tcW w:w="1030" w:type="dxa"/>
            <w:tcBorders>
              <w:top w:val="single" w:sz="12" w:space="0" w:color="auto"/>
            </w:tcBorders>
            <w:shd w:val="clear" w:color="auto" w:fill="auto"/>
            <w:vAlign w:val="bottom"/>
          </w:tcPr>
          <w:p w:rsidR="007B4C85" w:rsidRPr="001F71F7" w:rsidRDefault="007B4C85" w:rsidP="00ED0988">
            <w:pPr>
              <w:spacing w:before="40" w:after="80" w:line="240" w:lineRule="exact"/>
              <w:ind w:left="144" w:right="144"/>
              <w:jc w:val="lowKashida"/>
              <w:rPr>
                <w:rFonts w:hint="cs"/>
                <w:sz w:val="16"/>
                <w:szCs w:val="24"/>
                <w:rtl/>
              </w:rPr>
            </w:pPr>
          </w:p>
        </w:tc>
        <w:tc>
          <w:tcPr>
            <w:tcW w:w="1339" w:type="dxa"/>
            <w:tcBorders>
              <w:top w:val="single" w:sz="12" w:space="0" w:color="auto"/>
            </w:tcBorders>
            <w:shd w:val="clear" w:color="auto" w:fill="auto"/>
            <w:vAlign w:val="bottom"/>
          </w:tcPr>
          <w:p w:rsidR="007B4C85" w:rsidRPr="001F71F7" w:rsidRDefault="007B4C85" w:rsidP="00ED0988">
            <w:pPr>
              <w:spacing w:before="40" w:after="80" w:line="240" w:lineRule="exact"/>
              <w:ind w:left="144" w:right="144"/>
              <w:jc w:val="lowKashida"/>
              <w:rPr>
                <w:rFonts w:hint="cs"/>
                <w:sz w:val="16"/>
                <w:szCs w:val="24"/>
                <w:rtl/>
              </w:rPr>
            </w:pPr>
          </w:p>
        </w:tc>
        <w:tc>
          <w:tcPr>
            <w:tcW w:w="941" w:type="dxa"/>
            <w:tcBorders>
              <w:top w:val="single" w:sz="12" w:space="0" w:color="auto"/>
            </w:tcBorders>
            <w:shd w:val="clear" w:color="auto" w:fill="auto"/>
            <w:vAlign w:val="bottom"/>
          </w:tcPr>
          <w:p w:rsidR="007B4C85" w:rsidRPr="001F71F7" w:rsidRDefault="007B4C85" w:rsidP="00ED0988">
            <w:pPr>
              <w:spacing w:before="40" w:after="80" w:line="240" w:lineRule="exact"/>
              <w:ind w:left="144" w:right="144"/>
              <w:jc w:val="lowKashida"/>
              <w:rPr>
                <w:rFonts w:hint="cs"/>
                <w:sz w:val="16"/>
                <w:szCs w:val="24"/>
                <w:rtl/>
              </w:rPr>
            </w:pPr>
          </w:p>
        </w:tc>
        <w:tc>
          <w:tcPr>
            <w:tcW w:w="1267" w:type="dxa"/>
            <w:tcBorders>
              <w:top w:val="single" w:sz="12" w:space="0" w:color="auto"/>
            </w:tcBorders>
            <w:shd w:val="clear" w:color="auto" w:fill="auto"/>
            <w:vAlign w:val="bottom"/>
          </w:tcPr>
          <w:p w:rsidR="007B4C85" w:rsidRPr="001F71F7" w:rsidRDefault="007B4C85" w:rsidP="00ED0988">
            <w:pPr>
              <w:spacing w:before="40" w:after="80" w:line="240" w:lineRule="exact"/>
              <w:ind w:left="144" w:right="144"/>
              <w:jc w:val="lowKashida"/>
              <w:rPr>
                <w:rFonts w:hint="cs"/>
                <w:sz w:val="16"/>
                <w:szCs w:val="24"/>
                <w:rtl/>
              </w:rPr>
            </w:pPr>
          </w:p>
        </w:tc>
        <w:tc>
          <w:tcPr>
            <w:tcW w:w="1008" w:type="dxa"/>
            <w:tcBorders>
              <w:top w:val="single" w:sz="12" w:space="0" w:color="auto"/>
            </w:tcBorders>
            <w:shd w:val="clear" w:color="auto" w:fill="auto"/>
            <w:vAlign w:val="bottom"/>
          </w:tcPr>
          <w:p w:rsidR="007B4C85" w:rsidRPr="001F71F7" w:rsidRDefault="007B4C85" w:rsidP="00ED0988">
            <w:pPr>
              <w:spacing w:before="40" w:after="80" w:line="240" w:lineRule="exact"/>
              <w:ind w:left="144" w:right="144"/>
              <w:jc w:val="lowKashida"/>
              <w:rPr>
                <w:rFonts w:hint="cs"/>
                <w:sz w:val="16"/>
                <w:szCs w:val="24"/>
                <w:rtl/>
              </w:rPr>
            </w:pPr>
          </w:p>
        </w:tc>
      </w:tr>
      <w:tr w:rsidR="007B4C85" w:rsidRPr="001F71F7">
        <w:tblPrEx>
          <w:tblCellMar>
            <w:top w:w="0" w:type="dxa"/>
            <w:bottom w:w="0" w:type="dxa"/>
          </w:tblCellMar>
        </w:tblPrEx>
        <w:trPr>
          <w:cantSplit/>
          <w:jc w:val="center"/>
        </w:trPr>
        <w:tc>
          <w:tcPr>
            <w:tcW w:w="1840" w:type="dxa"/>
            <w:shd w:val="clear" w:color="auto" w:fill="auto"/>
            <w:vAlign w:val="bottom"/>
          </w:tcPr>
          <w:p w:rsidR="007B4C85" w:rsidRPr="001F71F7" w:rsidRDefault="007B4C85" w:rsidP="00ED0988">
            <w:pPr>
              <w:spacing w:before="40" w:after="80" w:line="240" w:lineRule="exact"/>
              <w:ind w:left="144"/>
              <w:rPr>
                <w:rFonts w:hint="cs"/>
                <w:sz w:val="16"/>
                <w:szCs w:val="24"/>
                <w:rtl/>
              </w:rPr>
            </w:pPr>
            <w:r w:rsidRPr="001F71F7">
              <w:rPr>
                <w:rFonts w:hint="cs"/>
                <w:sz w:val="16"/>
                <w:szCs w:val="24"/>
                <w:rtl/>
              </w:rPr>
              <w:t>2000</w:t>
            </w:r>
          </w:p>
        </w:tc>
        <w:tc>
          <w:tcPr>
            <w:tcW w:w="1030" w:type="dxa"/>
            <w:shd w:val="clear" w:color="auto" w:fill="auto"/>
            <w:vAlign w:val="bottom"/>
          </w:tcPr>
          <w:p w:rsidR="007B4C85" w:rsidRPr="001F71F7" w:rsidRDefault="007B4C85" w:rsidP="00ED0988">
            <w:pPr>
              <w:spacing w:before="40" w:after="80" w:line="240" w:lineRule="exact"/>
              <w:ind w:left="144" w:right="144"/>
              <w:jc w:val="lowKashida"/>
              <w:rPr>
                <w:rFonts w:hint="cs"/>
                <w:sz w:val="16"/>
                <w:szCs w:val="24"/>
                <w:rtl/>
              </w:rPr>
            </w:pPr>
            <w:r w:rsidRPr="001F71F7">
              <w:rPr>
                <w:rFonts w:hint="cs"/>
                <w:sz w:val="16"/>
                <w:szCs w:val="24"/>
                <w:rtl/>
              </w:rPr>
              <w:t>48</w:t>
            </w:r>
          </w:p>
        </w:tc>
        <w:tc>
          <w:tcPr>
            <w:tcW w:w="1339" w:type="dxa"/>
            <w:shd w:val="clear" w:color="auto" w:fill="auto"/>
            <w:vAlign w:val="bottom"/>
          </w:tcPr>
          <w:p w:rsidR="007B4C85" w:rsidRPr="001F71F7" w:rsidRDefault="007B4C85" w:rsidP="00ED0988">
            <w:pPr>
              <w:spacing w:before="40" w:after="80" w:line="240" w:lineRule="exact"/>
              <w:ind w:left="144" w:right="144"/>
              <w:jc w:val="lowKashida"/>
              <w:rPr>
                <w:rFonts w:hint="cs"/>
                <w:sz w:val="16"/>
                <w:szCs w:val="24"/>
                <w:rtl/>
              </w:rPr>
            </w:pPr>
            <w:r w:rsidRPr="001F71F7">
              <w:rPr>
                <w:rFonts w:hint="cs"/>
                <w:sz w:val="16"/>
                <w:szCs w:val="24"/>
                <w:rtl/>
              </w:rPr>
              <w:t>15.5 في المائة</w:t>
            </w:r>
          </w:p>
        </w:tc>
        <w:tc>
          <w:tcPr>
            <w:tcW w:w="941" w:type="dxa"/>
            <w:shd w:val="clear" w:color="auto" w:fill="auto"/>
            <w:vAlign w:val="bottom"/>
          </w:tcPr>
          <w:p w:rsidR="007B4C85" w:rsidRPr="001F71F7" w:rsidRDefault="007B4C85" w:rsidP="00ED0988">
            <w:pPr>
              <w:spacing w:before="40" w:after="80" w:line="240" w:lineRule="exact"/>
              <w:ind w:left="144" w:right="144"/>
              <w:jc w:val="lowKashida"/>
              <w:rPr>
                <w:rFonts w:hint="cs"/>
                <w:sz w:val="16"/>
                <w:szCs w:val="24"/>
                <w:rtl/>
              </w:rPr>
            </w:pPr>
            <w:r w:rsidRPr="001F71F7">
              <w:rPr>
                <w:rFonts w:hint="cs"/>
                <w:sz w:val="16"/>
                <w:szCs w:val="24"/>
                <w:rtl/>
              </w:rPr>
              <w:t>261</w:t>
            </w:r>
          </w:p>
        </w:tc>
        <w:tc>
          <w:tcPr>
            <w:tcW w:w="1267" w:type="dxa"/>
            <w:shd w:val="clear" w:color="auto" w:fill="auto"/>
            <w:vAlign w:val="bottom"/>
          </w:tcPr>
          <w:p w:rsidR="007B4C85" w:rsidRPr="001F71F7" w:rsidRDefault="007B4C85" w:rsidP="00ED0988">
            <w:pPr>
              <w:spacing w:before="40" w:after="80" w:line="240" w:lineRule="exact"/>
              <w:ind w:left="144" w:right="144"/>
              <w:jc w:val="lowKashida"/>
              <w:rPr>
                <w:rFonts w:hint="cs"/>
                <w:sz w:val="16"/>
                <w:szCs w:val="24"/>
                <w:rtl/>
              </w:rPr>
            </w:pPr>
            <w:r w:rsidRPr="001F71F7">
              <w:rPr>
                <w:rFonts w:hint="cs"/>
                <w:sz w:val="16"/>
                <w:szCs w:val="24"/>
                <w:rtl/>
              </w:rPr>
              <w:t>84.5 في المائة</w:t>
            </w:r>
          </w:p>
        </w:tc>
        <w:tc>
          <w:tcPr>
            <w:tcW w:w="1008" w:type="dxa"/>
            <w:shd w:val="clear" w:color="auto" w:fill="auto"/>
            <w:vAlign w:val="bottom"/>
          </w:tcPr>
          <w:p w:rsidR="007B4C85" w:rsidRPr="001F71F7" w:rsidRDefault="007B4C85" w:rsidP="00ED0988">
            <w:pPr>
              <w:spacing w:before="40" w:after="80" w:line="240" w:lineRule="exact"/>
              <w:ind w:left="144" w:right="144"/>
              <w:jc w:val="lowKashida"/>
              <w:rPr>
                <w:rFonts w:hint="cs"/>
                <w:sz w:val="16"/>
                <w:szCs w:val="24"/>
                <w:rtl/>
                <w:lang w:bidi="ar-LB"/>
              </w:rPr>
            </w:pPr>
            <w:r w:rsidRPr="001F71F7">
              <w:rPr>
                <w:rFonts w:hint="cs"/>
                <w:sz w:val="16"/>
                <w:szCs w:val="24"/>
                <w:rtl/>
              </w:rPr>
              <w:t>30</w:t>
            </w:r>
            <w:r>
              <w:rPr>
                <w:rFonts w:hint="cs"/>
                <w:sz w:val="16"/>
                <w:szCs w:val="24"/>
                <w:rtl/>
                <w:lang w:bidi="ar-LB"/>
              </w:rPr>
              <w:t>9</w:t>
            </w:r>
          </w:p>
        </w:tc>
      </w:tr>
      <w:tr w:rsidR="007B4C85" w:rsidRPr="001F71F7">
        <w:tblPrEx>
          <w:tblCellMar>
            <w:top w:w="0" w:type="dxa"/>
            <w:bottom w:w="0" w:type="dxa"/>
          </w:tblCellMar>
        </w:tblPrEx>
        <w:trPr>
          <w:cantSplit/>
          <w:jc w:val="center"/>
        </w:trPr>
        <w:tc>
          <w:tcPr>
            <w:tcW w:w="1840" w:type="dxa"/>
            <w:tcBorders>
              <w:bottom w:val="single" w:sz="12" w:space="0" w:color="auto"/>
            </w:tcBorders>
            <w:shd w:val="clear" w:color="auto" w:fill="auto"/>
            <w:vAlign w:val="bottom"/>
          </w:tcPr>
          <w:p w:rsidR="007B4C85" w:rsidRPr="001F71F7" w:rsidRDefault="007B4C85" w:rsidP="00ED0988">
            <w:pPr>
              <w:spacing w:before="40" w:after="80" w:line="240" w:lineRule="exact"/>
              <w:ind w:left="144"/>
              <w:rPr>
                <w:rFonts w:hint="cs"/>
                <w:sz w:val="16"/>
                <w:szCs w:val="24"/>
                <w:rtl/>
              </w:rPr>
            </w:pPr>
            <w:r w:rsidRPr="001F71F7">
              <w:rPr>
                <w:rFonts w:hint="cs"/>
                <w:sz w:val="16"/>
                <w:szCs w:val="24"/>
                <w:rtl/>
              </w:rPr>
              <w:t>2002</w:t>
            </w:r>
          </w:p>
        </w:tc>
        <w:tc>
          <w:tcPr>
            <w:tcW w:w="1030" w:type="dxa"/>
            <w:tcBorders>
              <w:bottom w:val="single" w:sz="12" w:space="0" w:color="auto"/>
            </w:tcBorders>
            <w:shd w:val="clear" w:color="auto" w:fill="auto"/>
            <w:vAlign w:val="bottom"/>
          </w:tcPr>
          <w:p w:rsidR="007B4C85" w:rsidRPr="001F71F7" w:rsidRDefault="007B4C85" w:rsidP="00ED0988">
            <w:pPr>
              <w:spacing w:before="40" w:after="80" w:line="240" w:lineRule="exact"/>
              <w:ind w:left="144" w:right="144"/>
              <w:jc w:val="lowKashida"/>
              <w:rPr>
                <w:rFonts w:hint="cs"/>
                <w:sz w:val="16"/>
                <w:szCs w:val="24"/>
                <w:rtl/>
              </w:rPr>
            </w:pPr>
            <w:r w:rsidRPr="001F71F7">
              <w:rPr>
                <w:rFonts w:hint="cs"/>
                <w:sz w:val="16"/>
                <w:szCs w:val="24"/>
                <w:rtl/>
              </w:rPr>
              <w:t>43</w:t>
            </w:r>
          </w:p>
        </w:tc>
        <w:tc>
          <w:tcPr>
            <w:tcW w:w="1339" w:type="dxa"/>
            <w:tcBorders>
              <w:bottom w:val="single" w:sz="12" w:space="0" w:color="auto"/>
            </w:tcBorders>
            <w:shd w:val="clear" w:color="auto" w:fill="auto"/>
            <w:vAlign w:val="bottom"/>
          </w:tcPr>
          <w:p w:rsidR="007B4C85" w:rsidRPr="001F71F7" w:rsidRDefault="007B4C85" w:rsidP="00ED0988">
            <w:pPr>
              <w:spacing w:before="40" w:after="80" w:line="240" w:lineRule="exact"/>
              <w:ind w:left="144" w:right="144"/>
              <w:jc w:val="lowKashida"/>
              <w:rPr>
                <w:rFonts w:hint="cs"/>
                <w:sz w:val="16"/>
                <w:szCs w:val="24"/>
                <w:rtl/>
              </w:rPr>
            </w:pPr>
            <w:r w:rsidRPr="001F71F7">
              <w:rPr>
                <w:rFonts w:hint="cs"/>
                <w:sz w:val="16"/>
                <w:szCs w:val="24"/>
                <w:rtl/>
              </w:rPr>
              <w:t>18.1 في المائة</w:t>
            </w:r>
          </w:p>
        </w:tc>
        <w:tc>
          <w:tcPr>
            <w:tcW w:w="941" w:type="dxa"/>
            <w:tcBorders>
              <w:bottom w:val="single" w:sz="12" w:space="0" w:color="auto"/>
            </w:tcBorders>
            <w:shd w:val="clear" w:color="auto" w:fill="auto"/>
            <w:vAlign w:val="bottom"/>
          </w:tcPr>
          <w:p w:rsidR="007B4C85" w:rsidRPr="001F71F7" w:rsidRDefault="007B4C85" w:rsidP="00ED0988">
            <w:pPr>
              <w:spacing w:before="40" w:after="80" w:line="240" w:lineRule="exact"/>
              <w:ind w:left="144" w:right="144"/>
              <w:jc w:val="lowKashida"/>
              <w:rPr>
                <w:rFonts w:hint="cs"/>
                <w:sz w:val="16"/>
                <w:szCs w:val="24"/>
                <w:rtl/>
              </w:rPr>
            </w:pPr>
            <w:r w:rsidRPr="001F71F7">
              <w:rPr>
                <w:rFonts w:hint="cs"/>
                <w:sz w:val="16"/>
                <w:szCs w:val="24"/>
                <w:rtl/>
              </w:rPr>
              <w:t xml:space="preserve">194 </w:t>
            </w:r>
          </w:p>
        </w:tc>
        <w:tc>
          <w:tcPr>
            <w:tcW w:w="1267" w:type="dxa"/>
            <w:tcBorders>
              <w:bottom w:val="single" w:sz="12" w:space="0" w:color="auto"/>
            </w:tcBorders>
            <w:shd w:val="clear" w:color="auto" w:fill="auto"/>
            <w:vAlign w:val="bottom"/>
          </w:tcPr>
          <w:p w:rsidR="007B4C85" w:rsidRPr="001F71F7" w:rsidRDefault="007B4C85" w:rsidP="00ED0988">
            <w:pPr>
              <w:spacing w:before="40" w:after="80" w:line="240" w:lineRule="exact"/>
              <w:ind w:left="144" w:right="144"/>
              <w:jc w:val="lowKashida"/>
              <w:rPr>
                <w:rFonts w:hint="cs"/>
                <w:sz w:val="16"/>
                <w:szCs w:val="24"/>
                <w:rtl/>
              </w:rPr>
            </w:pPr>
            <w:r w:rsidRPr="001F71F7">
              <w:rPr>
                <w:rFonts w:hint="cs"/>
                <w:sz w:val="16"/>
                <w:szCs w:val="24"/>
                <w:rtl/>
              </w:rPr>
              <w:t>81.9 في المائة</w:t>
            </w:r>
          </w:p>
        </w:tc>
        <w:tc>
          <w:tcPr>
            <w:tcW w:w="1008" w:type="dxa"/>
            <w:tcBorders>
              <w:bottom w:val="single" w:sz="12" w:space="0" w:color="auto"/>
            </w:tcBorders>
            <w:shd w:val="clear" w:color="auto" w:fill="auto"/>
            <w:vAlign w:val="bottom"/>
          </w:tcPr>
          <w:p w:rsidR="007B4C85" w:rsidRPr="001F71F7" w:rsidRDefault="007B4C85" w:rsidP="00ED0988">
            <w:pPr>
              <w:spacing w:before="40" w:after="80" w:line="240" w:lineRule="exact"/>
              <w:ind w:left="144" w:right="144"/>
              <w:jc w:val="lowKashida"/>
              <w:rPr>
                <w:rFonts w:hint="cs"/>
                <w:sz w:val="16"/>
                <w:szCs w:val="24"/>
                <w:rtl/>
              </w:rPr>
            </w:pPr>
            <w:r w:rsidRPr="001F71F7">
              <w:rPr>
                <w:rFonts w:hint="cs"/>
                <w:sz w:val="16"/>
                <w:szCs w:val="24"/>
                <w:rtl/>
              </w:rPr>
              <w:t>237</w:t>
            </w:r>
          </w:p>
        </w:tc>
      </w:tr>
    </w:tbl>
    <w:p w:rsidR="007B4C85" w:rsidRPr="001F71F7" w:rsidRDefault="007B4C85" w:rsidP="007B4C85">
      <w:pPr>
        <w:pStyle w:val="SingleTxt"/>
        <w:spacing w:after="0" w:line="120" w:lineRule="exact"/>
        <w:rPr>
          <w:rFonts w:hint="cs"/>
          <w:b/>
          <w:bCs/>
          <w:sz w:val="10"/>
          <w:rtl/>
        </w:rPr>
      </w:pPr>
    </w:p>
    <w:p w:rsidR="007B4C85" w:rsidRPr="001F71F7" w:rsidRDefault="007B4C85" w:rsidP="007B4C85">
      <w:pPr>
        <w:pStyle w:val="SingleTxt"/>
        <w:rPr>
          <w:rFonts w:hint="cs"/>
          <w:b/>
          <w:bCs/>
          <w:rtl/>
        </w:rPr>
      </w:pPr>
      <w:r w:rsidRPr="001F71F7">
        <w:rPr>
          <w:rFonts w:hint="cs"/>
          <w:b/>
          <w:bCs/>
          <w:rtl/>
        </w:rPr>
        <w:t xml:space="preserve">استراتجيات تعميم مراعاة المنظور الجنساني </w:t>
      </w:r>
    </w:p>
    <w:p w:rsidR="007B4C85" w:rsidRDefault="007B4C85" w:rsidP="007B4C85">
      <w:pPr>
        <w:pStyle w:val="SingleTxt"/>
        <w:rPr>
          <w:rFonts w:hint="cs"/>
          <w:rtl/>
        </w:rPr>
      </w:pPr>
      <w:r>
        <w:rPr>
          <w:rFonts w:hint="cs"/>
          <w:rtl/>
        </w:rPr>
        <w:tab/>
        <w:t xml:space="preserve">في 11 تموز/يوليه 2000، تم إنشاء لجنة تنسيقية مشتركة بين الوزارات معنية بمراعاة تعميم المنظور الجنساني، وذلك بموجب قرار من مجلس الوزراء للوفاء بالسياسة النمساوية والالتزامات القانونية فيما يتعلق بتنفيذ تعميم مراعاة المنظور الجنساني على المستوى الوطني. </w:t>
      </w:r>
    </w:p>
    <w:p w:rsidR="007B4C85" w:rsidRDefault="007B4C85" w:rsidP="007B4C85">
      <w:pPr>
        <w:pStyle w:val="SingleTxt"/>
        <w:rPr>
          <w:rFonts w:hint="cs"/>
          <w:rtl/>
        </w:rPr>
      </w:pPr>
      <w:r>
        <w:rPr>
          <w:rFonts w:hint="cs"/>
          <w:rtl/>
        </w:rPr>
        <w:tab/>
        <w:t xml:space="preserve">وتضم هذه اللجنة التي </w:t>
      </w:r>
      <w:r>
        <w:rPr>
          <w:rFonts w:hint="cs"/>
          <w:rtl/>
          <w:lang w:bidi="ar-LB"/>
        </w:rPr>
        <w:t>ير</w:t>
      </w:r>
      <w:r>
        <w:rPr>
          <w:rFonts w:hint="cs"/>
          <w:rtl/>
        </w:rPr>
        <w:t>أسها وز</w:t>
      </w:r>
      <w:r>
        <w:rPr>
          <w:rFonts w:hint="cs"/>
          <w:rtl/>
          <w:lang w:bidi="ar-LB"/>
        </w:rPr>
        <w:t>ي</w:t>
      </w:r>
      <w:r>
        <w:rPr>
          <w:rFonts w:hint="cs"/>
          <w:rtl/>
        </w:rPr>
        <w:t xml:space="preserve">ر الصحة الاتحادية وشؤون المرأة ممثلين من جميع الوزارات الاتحادية، والمحكمة الدستورية، ومحكمة الاستئناف الإدارية، ومجلس مراجعة الحسابات، ومكتب أمين المظالم، فضلا عن الإدارة البرلمانية، ونقابة العمال. وهدف اللجنة التنسيقية المشتركة بين الوزارات المعنية بتعميم مراعاة المنظور الجنساني هو دعم وتسهيل عملية تعميم مراعاة المنظور الجنساني في جميع الإدارات الحكومية وعلى المستويات السياسية كلها (انظر أيضا التوصية 226). </w:t>
      </w:r>
    </w:p>
    <w:p w:rsidR="007B4C85" w:rsidRDefault="007B4C85" w:rsidP="007B4C85">
      <w:pPr>
        <w:pStyle w:val="SingleTxt"/>
        <w:rPr>
          <w:rFonts w:hint="cs"/>
          <w:rtl/>
        </w:rPr>
      </w:pPr>
      <w:r>
        <w:rPr>
          <w:rFonts w:hint="cs"/>
          <w:rtl/>
        </w:rPr>
        <w:tab/>
        <w:t>و</w:t>
      </w:r>
      <w:r>
        <w:rPr>
          <w:rFonts w:hint="cs"/>
          <w:rtl/>
          <w:lang w:bidi="ar-LB"/>
        </w:rPr>
        <w:t xml:space="preserve">تضم </w:t>
      </w:r>
      <w:r>
        <w:rPr>
          <w:rFonts w:hint="cs"/>
          <w:rtl/>
        </w:rPr>
        <w:t xml:space="preserve">المهام الأساسية للجنة تبادل معلومات وتفاصيل </w:t>
      </w:r>
      <w:r>
        <w:rPr>
          <w:rFonts w:hint="cs"/>
          <w:rtl/>
          <w:lang w:bidi="ar-LB"/>
        </w:rPr>
        <w:t>ا</w:t>
      </w:r>
      <w:r>
        <w:rPr>
          <w:rFonts w:hint="cs"/>
          <w:rtl/>
        </w:rPr>
        <w:t xml:space="preserve">لمبادرات المثالية المتخذة في الوزارات، </w:t>
      </w:r>
      <w:r>
        <w:rPr>
          <w:rFonts w:hint="cs"/>
          <w:rtl/>
          <w:lang w:bidi="ar-LB"/>
        </w:rPr>
        <w:t>و</w:t>
      </w:r>
      <w:r>
        <w:rPr>
          <w:rFonts w:hint="cs"/>
          <w:rtl/>
        </w:rPr>
        <w:t xml:space="preserve">أمثلة عن أفضل الممارسات في النمسا وفي الخارج، وتطوير المعايير </w:t>
      </w:r>
      <w:r>
        <w:rPr>
          <w:rFonts w:hint="cs"/>
          <w:rtl/>
          <w:lang w:bidi="ar-LB"/>
        </w:rPr>
        <w:t xml:space="preserve">اللازمة </w:t>
      </w:r>
      <w:r>
        <w:rPr>
          <w:rFonts w:hint="cs"/>
          <w:rtl/>
        </w:rPr>
        <w:t>لتنفيذ استراتيجية تعميم مراعاة المنظور الجنساني، ودعم وتقييم المشاريع الجارية والتدابير والتشريعات المتصلة بتطبيق تعميم مراعاة المنظور الجنساني. ووفقا للقواعد الإجرائية، تجتمع اللجنة التنسيقية المشتركة بين الوزارات مرتين في السنة على الأقل.</w:t>
      </w:r>
    </w:p>
    <w:p w:rsidR="007B4C85" w:rsidRDefault="007B4C85" w:rsidP="007B4C85">
      <w:pPr>
        <w:pStyle w:val="SingleTxt"/>
        <w:rPr>
          <w:rFonts w:hint="cs"/>
          <w:rtl/>
        </w:rPr>
      </w:pPr>
      <w:r>
        <w:rPr>
          <w:rFonts w:hint="cs"/>
          <w:rtl/>
        </w:rPr>
        <w:tab/>
        <w:t xml:space="preserve">وفي عام 2001، قامت اللجنة التنسيقية المشتركة بين الوزارات، من خلال ثلاث أفرقة عاملة معنية بـ </w:t>
      </w:r>
      <w:r>
        <w:rPr>
          <w:rFonts w:hint="eastAsia"/>
          <w:rtl/>
        </w:rPr>
        <w:t>”المشاريع والمبادئ التو</w:t>
      </w:r>
      <w:r>
        <w:rPr>
          <w:rFonts w:hint="cs"/>
          <w:rtl/>
        </w:rPr>
        <w:t>ج</w:t>
      </w:r>
      <w:r>
        <w:rPr>
          <w:rFonts w:hint="eastAsia"/>
          <w:rtl/>
        </w:rPr>
        <w:t>يهية</w:t>
      </w:r>
      <w:r>
        <w:rPr>
          <w:rFonts w:hint="cs"/>
          <w:rtl/>
        </w:rPr>
        <w:t xml:space="preserve">“ و </w:t>
      </w:r>
      <w:r>
        <w:rPr>
          <w:rFonts w:hint="eastAsia"/>
          <w:rtl/>
        </w:rPr>
        <w:t>”</w:t>
      </w:r>
      <w:r>
        <w:rPr>
          <w:rFonts w:hint="cs"/>
          <w:rtl/>
        </w:rPr>
        <w:t>الهيكلة والموارد والتمثيل</w:t>
      </w:r>
      <w:r>
        <w:rPr>
          <w:rFonts w:hint="eastAsia"/>
          <w:rtl/>
        </w:rPr>
        <w:t>“ و</w:t>
      </w:r>
      <w:r>
        <w:rPr>
          <w:rFonts w:hint="cs"/>
          <w:rtl/>
        </w:rPr>
        <w:t> ”المعلومات وزيادة الوعي والإحساس</w:t>
      </w:r>
      <w:r>
        <w:rPr>
          <w:rFonts w:hint="eastAsia"/>
          <w:rtl/>
        </w:rPr>
        <w:t xml:space="preserve">“ بوضع توصيات لإيجاد </w:t>
      </w:r>
      <w:r>
        <w:rPr>
          <w:rFonts w:hint="cs"/>
          <w:rtl/>
          <w:lang w:bidi="ar-LB"/>
        </w:rPr>
        <w:t xml:space="preserve">ما يلزم من </w:t>
      </w:r>
      <w:r>
        <w:rPr>
          <w:rFonts w:hint="eastAsia"/>
          <w:rtl/>
        </w:rPr>
        <w:t xml:space="preserve">ظروف مسبقة وأطر بهدف </w:t>
      </w:r>
      <w:r>
        <w:rPr>
          <w:rFonts w:hint="cs"/>
          <w:rtl/>
        </w:rPr>
        <w:t>تنفيذ تعميم مراعاة المنظور الجنساني</w:t>
      </w:r>
      <w:r>
        <w:rPr>
          <w:rFonts w:hint="cs"/>
          <w:rtl/>
          <w:lang w:bidi="ar-LB"/>
        </w:rPr>
        <w:t xml:space="preserve"> بشكل فعال</w:t>
      </w:r>
      <w:r>
        <w:rPr>
          <w:rFonts w:hint="cs"/>
          <w:rtl/>
        </w:rPr>
        <w:t xml:space="preserve">. وتشكل هذه التوصيات أساس قرار مجلس الوزراء المؤرخ 3 آذار/مارس 2004 الذي اعتمد برنامج عمل لتعميم مراعاة المنظور الجنساني من خلال </w:t>
      </w:r>
      <w:r>
        <w:rPr>
          <w:rFonts w:hint="cs"/>
          <w:rtl/>
          <w:lang w:bidi="ar-LB"/>
        </w:rPr>
        <w:t xml:space="preserve">اتخاذ </w:t>
      </w:r>
      <w:r>
        <w:rPr>
          <w:rFonts w:hint="cs"/>
          <w:rtl/>
        </w:rPr>
        <w:t xml:space="preserve">تدابير ملموسة </w:t>
      </w:r>
      <w:r>
        <w:rPr>
          <w:rFonts w:hint="cs"/>
          <w:rtl/>
          <w:lang w:bidi="ar-LB"/>
        </w:rPr>
        <w:t>تتبعها</w:t>
      </w:r>
      <w:r>
        <w:rPr>
          <w:rFonts w:hint="cs"/>
          <w:rtl/>
        </w:rPr>
        <w:t xml:space="preserve"> جميع الوزارات الاتحادية. </w:t>
      </w:r>
    </w:p>
    <w:p w:rsidR="007B4C85" w:rsidRDefault="007B4C85" w:rsidP="007B4C85">
      <w:pPr>
        <w:pStyle w:val="SingleTxt"/>
        <w:rPr>
          <w:rFonts w:hint="cs"/>
          <w:rtl/>
        </w:rPr>
      </w:pPr>
      <w:r>
        <w:rPr>
          <w:rFonts w:hint="cs"/>
          <w:rtl/>
        </w:rPr>
        <w:tab/>
        <w:t xml:space="preserve">وفي 9 آذار/مارس 2004، تم اعتماد قرار آخر لمجلس الوزراء بشأن تعميم مراعاة المنظور الجنساني، </w:t>
      </w:r>
      <w:r>
        <w:rPr>
          <w:rFonts w:hint="cs"/>
          <w:rtl/>
          <w:lang w:bidi="ar-LB"/>
        </w:rPr>
        <w:t>و</w:t>
      </w:r>
      <w:r>
        <w:rPr>
          <w:rFonts w:hint="cs"/>
          <w:rtl/>
        </w:rPr>
        <w:t xml:space="preserve">يسير </w:t>
      </w:r>
      <w:r>
        <w:rPr>
          <w:rFonts w:hint="cs"/>
          <w:rtl/>
          <w:lang w:bidi="ar-LB"/>
        </w:rPr>
        <w:t xml:space="preserve">هذا القرار </w:t>
      </w:r>
      <w:r>
        <w:rPr>
          <w:rFonts w:hint="cs"/>
          <w:rtl/>
        </w:rPr>
        <w:t xml:space="preserve">على منوال القرارات السابقة ويتضمن أحكاما تستهدف تنفيذ تعميم مراعاة المنظور الجنساني على الصعيد الاتحادي، </w:t>
      </w:r>
      <w:r>
        <w:rPr>
          <w:rFonts w:hint="cs"/>
          <w:rtl/>
          <w:lang w:bidi="ar-LB"/>
        </w:rPr>
        <w:t>ف</w:t>
      </w:r>
      <w:r>
        <w:rPr>
          <w:rFonts w:hint="cs"/>
          <w:rtl/>
        </w:rPr>
        <w:t>مثلا تلتزم جميع الوزارات الاتحادية بإنشاء أفرقة عاملة داخلية معنية بتعميم مراعاة المنظور الجنساني و/أو لجان دائمة، وبالاضطلاع بمشروع داخلي واحد في مجال تعميم مراعاة المنظور الجنساني في كل وزارة اتحادية في مجال سياسة الموارد البشرية</w:t>
      </w:r>
      <w:r>
        <w:rPr>
          <w:rFonts w:hint="cs"/>
          <w:rtl/>
          <w:lang w:bidi="ar-LB"/>
        </w:rPr>
        <w:t>،</w:t>
      </w:r>
      <w:r>
        <w:rPr>
          <w:rFonts w:hint="cs"/>
          <w:rtl/>
        </w:rPr>
        <w:t xml:space="preserve"> بالإضافة إلى مشروع واحد داخلي أو خارجي في مجال تعميم مراعاة المنظور الجنساني في كل وزارة اتحادية.</w:t>
      </w:r>
    </w:p>
    <w:p w:rsidR="007B4C85" w:rsidRPr="00131839" w:rsidRDefault="007B4C85" w:rsidP="007B4C85">
      <w:pPr>
        <w:pStyle w:val="SingleTxt"/>
        <w:spacing w:after="0" w:line="120" w:lineRule="exact"/>
        <w:rPr>
          <w:rFonts w:hint="cs"/>
          <w:sz w:val="10"/>
          <w:rtl/>
        </w:rPr>
      </w:pPr>
    </w:p>
    <w:p w:rsidR="007B4C85" w:rsidRDefault="007B4C85" w:rsidP="00BB3DAD">
      <w:pPr>
        <w:pStyle w:val="SingleTxt"/>
        <w:rPr>
          <w:rFonts w:hint="cs"/>
          <w:b/>
          <w:bCs/>
          <w:rtl/>
        </w:rPr>
      </w:pPr>
      <w:r w:rsidRPr="00131839">
        <w:rPr>
          <w:rFonts w:hint="cs"/>
          <w:b/>
          <w:bCs/>
          <w:rtl/>
        </w:rPr>
        <w:t xml:space="preserve">تنظيم تدريب في وزارات </w:t>
      </w:r>
      <w:r w:rsidR="00BB3DAD">
        <w:rPr>
          <w:rFonts w:hint="cs"/>
          <w:b/>
          <w:bCs/>
          <w:rtl/>
          <w:lang w:bidi="ar-LB"/>
        </w:rPr>
        <w:t xml:space="preserve">معينة </w:t>
      </w:r>
      <w:r w:rsidRPr="00131839">
        <w:rPr>
          <w:rFonts w:hint="cs"/>
          <w:b/>
          <w:bCs/>
          <w:rtl/>
        </w:rPr>
        <w:t>في مجال تعميم مراعاة المنظور الجنساني</w:t>
      </w:r>
    </w:p>
    <w:p w:rsidR="007B4C85" w:rsidRDefault="007B4C85" w:rsidP="007B4C85">
      <w:pPr>
        <w:pStyle w:val="SingleTxt"/>
        <w:rPr>
          <w:rFonts w:hint="cs"/>
          <w:rtl/>
        </w:rPr>
      </w:pPr>
      <w:r>
        <w:rPr>
          <w:rFonts w:hint="cs"/>
          <w:rtl/>
        </w:rPr>
        <w:tab/>
        <w:t>في النصف الأول من عام 2002، تم تنظيم تدريب في مجال تعميم مراعاة المنظور الجنساني لمدة نصف يوم على مدى سبعة أيام وذلك في خمس وزارات اتحادية، وفي المستشارية الاتحادية، وفي مكتب أمين المظالم، والهدف من ذلك جعل مفهوم ومحتوى تعميم مراعاة المنظور الجنساني مألوف</w:t>
      </w:r>
      <w:r>
        <w:rPr>
          <w:rFonts w:hint="cs"/>
          <w:rtl/>
          <w:lang w:bidi="ar-LB"/>
        </w:rPr>
        <w:t>ا</w:t>
      </w:r>
      <w:r>
        <w:rPr>
          <w:rFonts w:hint="cs"/>
          <w:rtl/>
        </w:rPr>
        <w:t xml:space="preserve"> للموظفين المعنيين، وإتاحة الفرصة لمناقشة مسائل ملموسة في وزارات معينة.</w:t>
      </w:r>
    </w:p>
    <w:p w:rsidR="007B4C85" w:rsidRDefault="007B4C85" w:rsidP="007B4C85">
      <w:pPr>
        <w:pStyle w:val="SingleTxt"/>
        <w:rPr>
          <w:rFonts w:hint="cs"/>
          <w:rtl/>
        </w:rPr>
      </w:pPr>
      <w:r>
        <w:rPr>
          <w:rFonts w:hint="cs"/>
          <w:rtl/>
        </w:rPr>
        <w:tab/>
        <w:t xml:space="preserve">وأنشأت أيضا اللجنة التنسيقية المشتركة بين الوزارات والمعنية بتعميم مراعاة المنظور الجنساني موقعا على شبكة الإنترنت: </w:t>
      </w:r>
      <w:hyperlink r:id="rId16" w:history="1">
        <w:r w:rsidRPr="001160E6">
          <w:rPr>
            <w:rStyle w:val="Hyperlink"/>
          </w:rPr>
          <w:t>www.imag-gendermainstreaming.at</w:t>
        </w:r>
      </w:hyperlink>
      <w:r>
        <w:rPr>
          <w:rFonts w:hint="cs"/>
          <w:rtl/>
        </w:rPr>
        <w:t xml:space="preserve">، وبدأ العمل بهذا الموقع في 1 أيار/مايو 2002، ويقدم معلومات شاملة حول تعميم مراعاة المنظور الجنساني. </w:t>
      </w:r>
    </w:p>
    <w:p w:rsidR="007B4C85" w:rsidRDefault="007B4C85" w:rsidP="007B4C85">
      <w:pPr>
        <w:pStyle w:val="SingleTxt"/>
        <w:rPr>
          <w:rFonts w:hint="cs"/>
          <w:rtl/>
        </w:rPr>
      </w:pPr>
      <w:r>
        <w:rPr>
          <w:rFonts w:hint="cs"/>
          <w:rtl/>
        </w:rPr>
        <w:tab/>
        <w:t xml:space="preserve">وهناك إشارة أيضا إلى التفاصيل الواردة في المادة 5، الحرف (أ) فيما يتعلق بالمبدأ التثقيفي </w:t>
      </w:r>
      <w:r>
        <w:rPr>
          <w:rFonts w:hint="eastAsia"/>
          <w:rtl/>
        </w:rPr>
        <w:t>”المساواة بين الجنسين</w:t>
      </w:r>
      <w:r>
        <w:rPr>
          <w:rFonts w:hint="cs"/>
          <w:rtl/>
        </w:rPr>
        <w:t>“.</w:t>
      </w:r>
    </w:p>
    <w:p w:rsidR="007B4C85" w:rsidRDefault="007B4C85" w:rsidP="007B4C85">
      <w:pPr>
        <w:pStyle w:val="SingleTxt"/>
        <w:rPr>
          <w:rFonts w:hint="cs"/>
          <w:b/>
          <w:bCs/>
          <w:rtl/>
        </w:rPr>
      </w:pPr>
      <w:r>
        <w:rPr>
          <w:rFonts w:hint="cs"/>
          <w:b/>
          <w:bCs/>
          <w:rtl/>
        </w:rPr>
        <w:t>التدابير التي اتخذتها الأقاليم</w:t>
      </w:r>
    </w:p>
    <w:p w:rsidR="007B4C85" w:rsidRDefault="007B4C85" w:rsidP="007B4C85">
      <w:pPr>
        <w:pStyle w:val="SingleTxt"/>
        <w:rPr>
          <w:rFonts w:hint="cs"/>
          <w:rtl/>
        </w:rPr>
      </w:pPr>
      <w:r>
        <w:rPr>
          <w:rFonts w:hint="cs"/>
          <w:rtl/>
        </w:rPr>
        <w:tab/>
        <w:t>تم أيضا وضع خطط واتخاذ تدابير للنهوض بالمرأة تستهدف موظفي الإقليم والسلطات المحلية. وفيما يلي بعض الأمثلة:</w:t>
      </w:r>
    </w:p>
    <w:p w:rsidR="007B4C85" w:rsidRDefault="007B4C85" w:rsidP="007B4C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على أساس قواني</w:t>
      </w:r>
      <w:r>
        <w:rPr>
          <w:rFonts w:hint="cs"/>
          <w:rtl/>
          <w:lang w:bidi="ar-LB"/>
        </w:rPr>
        <w:t xml:space="preserve"> </w:t>
      </w:r>
      <w:r>
        <w:rPr>
          <w:rFonts w:hint="cs"/>
          <w:rtl/>
        </w:rPr>
        <w:t xml:space="preserve">المساواة في المعاملة </w:t>
      </w:r>
      <w:r>
        <w:rPr>
          <w:rFonts w:hint="cs"/>
          <w:rtl/>
          <w:lang w:bidi="ar-LB"/>
        </w:rPr>
        <w:t>الخاصين با</w:t>
      </w:r>
      <w:r>
        <w:rPr>
          <w:rFonts w:hint="cs"/>
          <w:rtl/>
        </w:rPr>
        <w:t>لسلطة المحلية و</w:t>
      </w:r>
      <w:r>
        <w:rPr>
          <w:rFonts w:hint="cs"/>
          <w:rtl/>
          <w:lang w:bidi="ar-LB"/>
        </w:rPr>
        <w:t xml:space="preserve">السلطة </w:t>
      </w:r>
      <w:r>
        <w:rPr>
          <w:rFonts w:hint="cs"/>
          <w:rtl/>
        </w:rPr>
        <w:t>الإقليمية ال</w:t>
      </w:r>
      <w:r>
        <w:rPr>
          <w:rFonts w:hint="cs"/>
          <w:rtl/>
          <w:lang w:bidi="ar-LB"/>
        </w:rPr>
        <w:t>لذين</w:t>
      </w:r>
      <w:r>
        <w:rPr>
          <w:rFonts w:hint="cs"/>
          <w:rtl/>
        </w:rPr>
        <w:t xml:space="preserve"> كان</w:t>
      </w:r>
      <w:r>
        <w:rPr>
          <w:rFonts w:hint="cs"/>
          <w:rtl/>
          <w:lang w:bidi="ar-LB"/>
        </w:rPr>
        <w:t>ا</w:t>
      </w:r>
      <w:r>
        <w:rPr>
          <w:rFonts w:hint="cs"/>
          <w:rtl/>
        </w:rPr>
        <w:t xml:space="preserve"> </w:t>
      </w:r>
      <w:r>
        <w:rPr>
          <w:rFonts w:hint="cs"/>
          <w:rtl/>
          <w:lang w:bidi="ar-LB"/>
        </w:rPr>
        <w:t>نافذين</w:t>
      </w:r>
      <w:r>
        <w:rPr>
          <w:rFonts w:hint="cs"/>
          <w:rtl/>
        </w:rPr>
        <w:t xml:space="preserve"> منذ عام 1996 وعام 1998، تم </w:t>
      </w:r>
      <w:r>
        <w:rPr>
          <w:rFonts w:hint="cs"/>
          <w:rtl/>
          <w:lang w:bidi="ar-LB"/>
        </w:rPr>
        <w:t>تنظيم</w:t>
      </w:r>
      <w:r>
        <w:rPr>
          <w:rFonts w:hint="cs"/>
          <w:rtl/>
        </w:rPr>
        <w:t xml:space="preserve"> مؤتمر </w:t>
      </w:r>
      <w:r>
        <w:rPr>
          <w:rFonts w:hint="cs"/>
          <w:rtl/>
          <w:lang w:bidi="ar-LB"/>
        </w:rPr>
        <w:t>سنوي ل</w:t>
      </w:r>
      <w:r>
        <w:rPr>
          <w:rFonts w:hint="cs"/>
          <w:rtl/>
        </w:rPr>
        <w:t>موظفي السلطة الإقليمية و</w:t>
      </w:r>
      <w:r>
        <w:rPr>
          <w:rFonts w:hint="cs"/>
          <w:rtl/>
          <w:lang w:bidi="ar-LB"/>
        </w:rPr>
        <w:t xml:space="preserve">السلطة </w:t>
      </w:r>
      <w:r>
        <w:rPr>
          <w:rFonts w:hint="cs"/>
          <w:rtl/>
        </w:rPr>
        <w:t>المحلية النمساوية المسؤولين عن المساواة في المعاملة</w:t>
      </w:r>
      <w:r>
        <w:rPr>
          <w:rFonts w:hint="cs"/>
          <w:rtl/>
          <w:lang w:bidi="ar-LB"/>
        </w:rPr>
        <w:t>،</w:t>
      </w:r>
      <w:r>
        <w:rPr>
          <w:rFonts w:hint="cs"/>
          <w:rtl/>
        </w:rPr>
        <w:t xml:space="preserve"> بناء على مبادرة إقليم سالزبورغ، ويجتمع هذا المؤتمر في مكان مختلف كل سنة. والمؤتمر مفيد لتبادل الخبرات والمعرفة في ميدان قانون تكاف</w:t>
      </w:r>
      <w:r>
        <w:rPr>
          <w:rFonts w:hint="cs"/>
          <w:rtl/>
          <w:lang w:bidi="ar-LB"/>
        </w:rPr>
        <w:t>ؤ</w:t>
      </w:r>
      <w:r>
        <w:rPr>
          <w:rFonts w:hint="cs"/>
          <w:rtl/>
        </w:rPr>
        <w:t xml:space="preserve"> الفرص فضلا عن مساعدة إدراج التطورات في التشريعات الدولية والوطنية </w:t>
      </w:r>
      <w:r>
        <w:rPr>
          <w:rFonts w:hint="cs"/>
          <w:rtl/>
          <w:lang w:bidi="ar-LB"/>
        </w:rPr>
        <w:t>في</w:t>
      </w:r>
      <w:r>
        <w:rPr>
          <w:rFonts w:hint="cs"/>
          <w:rtl/>
        </w:rPr>
        <w:t xml:space="preserve"> قوانين المساواة في المعاملة </w:t>
      </w:r>
      <w:r>
        <w:rPr>
          <w:rFonts w:hint="cs"/>
          <w:rtl/>
          <w:lang w:bidi="ar-LB"/>
        </w:rPr>
        <w:t xml:space="preserve">الخاصة </w:t>
      </w:r>
      <w:r>
        <w:rPr>
          <w:rFonts w:hint="cs"/>
          <w:rtl/>
        </w:rPr>
        <w:t xml:space="preserve"> </w:t>
      </w:r>
      <w:r>
        <w:rPr>
          <w:rFonts w:hint="cs"/>
          <w:rtl/>
          <w:lang w:bidi="ar-LB"/>
        </w:rPr>
        <w:t>ب</w:t>
      </w:r>
      <w:r>
        <w:rPr>
          <w:rFonts w:hint="cs"/>
          <w:rtl/>
        </w:rPr>
        <w:t>الأقاليم.</w:t>
      </w:r>
    </w:p>
    <w:p w:rsidR="007B4C85" w:rsidRDefault="007B4C85" w:rsidP="007B4C85">
      <w:pPr>
        <w:pStyle w:val="SingleTxt"/>
        <w:ind w:left="1930" w:hanging="663"/>
        <w:rPr>
          <w:rFonts w:hint="cs"/>
          <w:rtl/>
        </w:rPr>
      </w:pPr>
      <w:r>
        <w:rPr>
          <w:rFonts w:hint="cs"/>
          <w:rtl/>
        </w:rPr>
        <w:tab/>
        <w:t xml:space="preserve">ومع وضع وتنفيذ خطط النهوض بالمرأة لموظفي السلطة الإقليمية والمستشفيات الإقليمية، يتم توعية العاملين في الخدمة المدنية في سالزبورغ </w:t>
      </w:r>
      <w:r>
        <w:rPr>
          <w:rFonts w:hint="cs"/>
          <w:rtl/>
          <w:lang w:bidi="ar-LB"/>
        </w:rPr>
        <w:t xml:space="preserve">بضرورة </w:t>
      </w:r>
      <w:r>
        <w:rPr>
          <w:rFonts w:hint="cs"/>
          <w:rtl/>
        </w:rPr>
        <w:t>دعم التدابير الاستثنائية المؤقتة.</w:t>
      </w:r>
    </w:p>
    <w:p w:rsidR="007B4C85" w:rsidRDefault="007B4C85" w:rsidP="007B4C85">
      <w:pPr>
        <w:pStyle w:val="SingleTxt"/>
        <w:ind w:left="1930" w:hanging="663"/>
        <w:rPr>
          <w:rFonts w:hint="cs"/>
          <w:rtl/>
        </w:rPr>
      </w:pPr>
      <w:r>
        <w:rPr>
          <w:rFonts w:hint="cs"/>
          <w:rtl/>
        </w:rPr>
        <w:tab/>
        <w:t>و</w:t>
      </w:r>
      <w:r>
        <w:rPr>
          <w:rFonts w:hint="cs"/>
          <w:rtl/>
          <w:lang w:bidi="ar-LB"/>
        </w:rPr>
        <w:t>اقترن</w:t>
      </w:r>
      <w:r>
        <w:rPr>
          <w:rFonts w:hint="cs"/>
          <w:rtl/>
        </w:rPr>
        <w:t xml:space="preserve"> إدراج مبدأ تعميم مراعاة المنظور الجنساني على الصعيد التشريعي والإداري (قرارات البرلمان الإقليمي والحكومة الإقليمية) </w:t>
      </w:r>
      <w:r>
        <w:rPr>
          <w:rFonts w:hint="cs"/>
          <w:rtl/>
          <w:lang w:bidi="ar-LB"/>
        </w:rPr>
        <w:t>ب</w:t>
      </w:r>
      <w:r>
        <w:rPr>
          <w:rFonts w:hint="cs"/>
          <w:rtl/>
        </w:rPr>
        <w:t>مناسبات إعلامية حول الموضوع قام بتنظيمها مكتب شؤون المرأة والفرص المتكافئة.</w:t>
      </w:r>
    </w:p>
    <w:p w:rsidR="007B4C85" w:rsidRDefault="007B4C85" w:rsidP="007B4C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وعلى أساس قانون المساواة في المعاملة في النمسا السفلى، بدأ نفاذ 15 خطة من خطط النهوض بالمرأة (لموظفي السلطة الإقليمية و 14 سلطة محلية) وذلك </w:t>
      </w:r>
      <w:r>
        <w:rPr>
          <w:rFonts w:hint="cs"/>
          <w:rtl/>
          <w:lang w:bidi="ar-LB"/>
        </w:rPr>
        <w:t>خلال</w:t>
      </w:r>
      <w:r>
        <w:rPr>
          <w:rFonts w:hint="cs"/>
          <w:rtl/>
        </w:rPr>
        <w:t xml:space="preserve"> الفترة التي يغطيها التقرير من أجل تنفيذ التدابير الملائمة لزيادة نسبة النساء في جميع فئات الموظفين وفي درجات الخدمة. وفي عام 2003، شرعت سلطة إقليم النمسا بمشروع رائد لمدة محدودة </w:t>
      </w:r>
      <w:r>
        <w:rPr>
          <w:rFonts w:hint="cs"/>
          <w:rtl/>
          <w:lang w:bidi="ar-LB"/>
        </w:rPr>
        <w:t>فاعتمدت</w:t>
      </w:r>
      <w:r>
        <w:rPr>
          <w:rFonts w:hint="cs"/>
          <w:rtl/>
        </w:rPr>
        <w:t xml:space="preserve"> فكرة المرشدين</w:t>
      </w:r>
      <w:r>
        <w:rPr>
          <w:rFonts w:hint="cs"/>
          <w:rtl/>
          <w:lang w:bidi="ar-LB"/>
        </w:rPr>
        <w:t xml:space="preserve">، استنادا إلى خطتها، لتكون بمثابة </w:t>
      </w:r>
      <w:r>
        <w:rPr>
          <w:rFonts w:hint="cs"/>
          <w:rtl/>
        </w:rPr>
        <w:t>تدريب قائم على التمييز الإيجابي.</w:t>
      </w:r>
    </w:p>
    <w:p w:rsidR="007B4C85" w:rsidRDefault="007B4C85" w:rsidP="007B4C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 نسبة النساء العاملات في الخدمة المدنية في إقليم بورغيلاند تزداد سنويا بفضل برنامج التمييز الإيجابي</w:t>
      </w:r>
      <w:r>
        <w:rPr>
          <w:rFonts w:hint="cs"/>
          <w:rtl/>
          <w:lang w:bidi="ar-LB"/>
        </w:rPr>
        <w:t>.</w:t>
      </w:r>
      <w:r>
        <w:rPr>
          <w:rFonts w:hint="cs"/>
          <w:rtl/>
        </w:rPr>
        <w:t xml:space="preserve"> </w:t>
      </w:r>
      <w:r>
        <w:rPr>
          <w:rFonts w:hint="cs"/>
          <w:rtl/>
          <w:lang w:bidi="ar-LB"/>
        </w:rPr>
        <w:t>ف</w:t>
      </w:r>
      <w:r>
        <w:rPr>
          <w:rFonts w:hint="cs"/>
          <w:rtl/>
        </w:rPr>
        <w:t>ازدادت نسبة النساء (العاملات في الخدمة المدنية وبموجب عقود) من 38.3 في المائة (31 كانون الأول/ديسمبر 1999) إلى 40.9 في المائة (30 أيلول/سبتمبر 2003) أي بنسبة 2.6 في المائة.</w:t>
      </w:r>
    </w:p>
    <w:p w:rsidR="007B4C85" w:rsidRDefault="007B4C85" w:rsidP="007B4C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تعميم مراعاة المنظور الجنساني في فيينا: يتم وضع الجانب النسائي في الاعتبار</w:t>
      </w:r>
      <w:r>
        <w:rPr>
          <w:rFonts w:hint="cs"/>
          <w:rtl/>
          <w:lang w:bidi="ar-LB"/>
        </w:rPr>
        <w:t xml:space="preserve"> أثناء</w:t>
      </w:r>
      <w:r>
        <w:rPr>
          <w:rFonts w:hint="cs"/>
          <w:rtl/>
        </w:rPr>
        <w:t xml:space="preserve"> التخطيط، وبناء المساكن، وبصفة خاصة في ميداني الرعاية الصحية والثقافة، وك</w:t>
      </w:r>
      <w:r>
        <w:rPr>
          <w:rFonts w:hint="cs"/>
          <w:rtl/>
          <w:lang w:bidi="ar-LB"/>
        </w:rPr>
        <w:t>ذلك</w:t>
      </w:r>
      <w:r>
        <w:rPr>
          <w:rFonts w:hint="cs"/>
          <w:rtl/>
        </w:rPr>
        <w:t xml:space="preserve"> </w:t>
      </w:r>
      <w:r>
        <w:rPr>
          <w:rFonts w:hint="cs"/>
          <w:rtl/>
          <w:lang w:bidi="ar-LB"/>
        </w:rPr>
        <w:t>في</w:t>
      </w:r>
      <w:r>
        <w:rPr>
          <w:rFonts w:hint="cs"/>
          <w:rtl/>
        </w:rPr>
        <w:t xml:space="preserve"> سياق الأموال التي تمنحها مدينة فيينا، مثل صندوق فيينا للاندماج، ووكالة فيينا التجارية، وصندوق فيينا لتعزيز الموظفين، الذي ي</w:t>
      </w:r>
      <w:r>
        <w:rPr>
          <w:rFonts w:hint="cs"/>
          <w:rtl/>
          <w:lang w:bidi="ar-LB"/>
        </w:rPr>
        <w:t>شي</w:t>
      </w:r>
      <w:r>
        <w:rPr>
          <w:rFonts w:hint="cs"/>
          <w:rtl/>
        </w:rPr>
        <w:t xml:space="preserve">ر بصراحة </w:t>
      </w:r>
      <w:r>
        <w:rPr>
          <w:rFonts w:hint="cs"/>
          <w:rtl/>
          <w:lang w:bidi="ar-LB"/>
        </w:rPr>
        <w:t xml:space="preserve">إلى </w:t>
      </w:r>
      <w:r>
        <w:rPr>
          <w:rFonts w:hint="cs"/>
          <w:rtl/>
        </w:rPr>
        <w:t xml:space="preserve">تعميم مراعاة المنظور الجنساني في قواعده الداخلية. وبالإضافة إلى </w:t>
      </w:r>
      <w:r>
        <w:rPr>
          <w:rFonts w:hint="eastAsia"/>
          <w:rtl/>
        </w:rPr>
        <w:t xml:space="preserve">”مكتب تنسيق التخطيط والبناء </w:t>
      </w:r>
      <w:r>
        <w:rPr>
          <w:rFonts w:hint="cs"/>
          <w:rtl/>
          <w:lang w:bidi="ar-LB"/>
        </w:rPr>
        <w:t>المعني</w:t>
      </w:r>
      <w:r>
        <w:rPr>
          <w:rFonts w:hint="eastAsia"/>
          <w:rtl/>
        </w:rPr>
        <w:t xml:space="preserve"> </w:t>
      </w:r>
      <w:r>
        <w:rPr>
          <w:rFonts w:hint="cs"/>
          <w:rtl/>
          <w:lang w:bidi="ar-LB"/>
        </w:rPr>
        <w:t>ب</w:t>
      </w:r>
      <w:r>
        <w:rPr>
          <w:rFonts w:hint="eastAsia"/>
          <w:rtl/>
        </w:rPr>
        <w:t>تلبية احتياجات الحياة اليومية والاحتياجات المحددة للنساء</w:t>
      </w:r>
      <w:r>
        <w:rPr>
          <w:rFonts w:hint="cs"/>
          <w:rtl/>
        </w:rPr>
        <w:t>“ الذي أنشئ في عام 1998، تم تعيين موظفة مسؤولة عن الصحة في مدينة فيينا في عام 1999، و</w:t>
      </w:r>
      <w:r>
        <w:rPr>
          <w:rFonts w:hint="cs"/>
          <w:rtl/>
          <w:lang w:bidi="ar-LB"/>
        </w:rPr>
        <w:t xml:space="preserve">إنشاء </w:t>
      </w:r>
      <w:r>
        <w:rPr>
          <w:rFonts w:hint="cs"/>
          <w:rtl/>
        </w:rPr>
        <w:t>مكتب استعلامات للنساء في وكالة فيينا التجارية.</w:t>
      </w:r>
    </w:p>
    <w:p w:rsidR="007B4C85" w:rsidRDefault="007B4C85" w:rsidP="007B4C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وتم في 15 آب/أغسطس 2002 اعتماد خطة النهوض بالمرأة لموظفي إقليم تيرول، ويهدف في جملة أمور إلى التوصل إلى جعل </w:t>
      </w:r>
      <w:r>
        <w:rPr>
          <w:rFonts w:hint="cs"/>
          <w:rtl/>
          <w:lang w:bidi="ar-LB"/>
        </w:rPr>
        <w:t xml:space="preserve">نسبة </w:t>
      </w:r>
      <w:r>
        <w:rPr>
          <w:rFonts w:hint="cs"/>
          <w:rtl/>
        </w:rPr>
        <w:t>الوظائف التي تشغلها المرأة تصل إلى 50 في المائة على الأقل.</w:t>
      </w:r>
    </w:p>
    <w:p w:rsidR="007B4C85" w:rsidRDefault="007B4C85" w:rsidP="007B4C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بموجب القرار المؤرخ 10 حزيران/يونيه 2002، التزمت حكومة إقليم ستيريا بتنفيذ استراتيجية تعميم مراعاة المنظور الجنساني وإنشاء فريق دائم مشترك بين الإدارات لوضع أهداف استراتيجية في مجال تعميم مراعاة المنظور الجنساني.</w:t>
      </w:r>
    </w:p>
    <w:p w:rsidR="007B4C85" w:rsidRDefault="007B4C85" w:rsidP="007B4C85">
      <w:pPr>
        <w:pStyle w:val="SingleTxt"/>
        <w:rPr>
          <w:rFonts w:hint="cs"/>
          <w:b/>
          <w:bCs/>
          <w:rtl/>
        </w:rPr>
      </w:pPr>
      <w:r>
        <w:rPr>
          <w:rFonts w:hint="cs"/>
          <w:b/>
          <w:bCs/>
          <w:rtl/>
        </w:rPr>
        <w:t>المادة 5</w:t>
      </w:r>
    </w:p>
    <w:p w:rsidR="007B4C85" w:rsidRDefault="007B4C85" w:rsidP="007B4C85">
      <w:pPr>
        <w:pStyle w:val="SingleTxt"/>
        <w:rPr>
          <w:rFonts w:hint="cs"/>
          <w:b/>
          <w:bCs/>
          <w:rtl/>
        </w:rPr>
      </w:pPr>
      <w:r>
        <w:rPr>
          <w:rFonts w:hint="cs"/>
          <w:b/>
          <w:bCs/>
          <w:rtl/>
        </w:rPr>
        <w:t>المادة 5، الحرف (أ)</w:t>
      </w:r>
    </w:p>
    <w:p w:rsidR="007B4C85" w:rsidRPr="00D37622" w:rsidRDefault="007B4C85" w:rsidP="007B4C85">
      <w:pPr>
        <w:pStyle w:val="SingleTxt"/>
        <w:rPr>
          <w:rFonts w:hint="cs"/>
          <w:b/>
          <w:bCs/>
          <w:rtl/>
        </w:rPr>
      </w:pPr>
      <w:r w:rsidRPr="00D37622">
        <w:rPr>
          <w:rFonts w:hint="cs"/>
          <w:b/>
          <w:bCs/>
          <w:rtl/>
        </w:rPr>
        <w:t>التغلب على القولبة النمطية لدور كل من الرجل والمرأة</w:t>
      </w:r>
    </w:p>
    <w:p w:rsidR="007B4C85" w:rsidRDefault="007B4C85" w:rsidP="007B4C85">
      <w:pPr>
        <w:pStyle w:val="SingleTxt"/>
        <w:rPr>
          <w:rFonts w:hint="cs"/>
          <w:rtl/>
        </w:rPr>
      </w:pPr>
      <w:r>
        <w:rPr>
          <w:rFonts w:hint="cs"/>
          <w:rtl/>
        </w:rPr>
        <w:tab/>
        <w:t xml:space="preserve">إن المبدأ التثقيفي المتعلق بـ </w:t>
      </w:r>
      <w:r>
        <w:rPr>
          <w:rFonts w:hint="eastAsia"/>
          <w:rtl/>
        </w:rPr>
        <w:t>”المساواة بين الجنسين</w:t>
      </w:r>
      <w:r>
        <w:rPr>
          <w:rFonts w:hint="cs"/>
          <w:rtl/>
        </w:rPr>
        <w:t>“ (ويمكن أن يُنظر إليه أيضا على أنه تدبير استثنائي مؤقت في إطار معنى المادة 4) الذي بدأ العمل به في عام 1995 كان قد أدرج بنجاح في المناهج المدرسية في مختلف أنواع المدارس. وقد تم الآن إعداد مواد ت</w:t>
      </w:r>
      <w:r>
        <w:rPr>
          <w:rFonts w:hint="cs"/>
          <w:rtl/>
          <w:lang w:bidi="ar-LB"/>
        </w:rPr>
        <w:t>دريس</w:t>
      </w:r>
      <w:r>
        <w:rPr>
          <w:rFonts w:hint="cs"/>
          <w:rtl/>
        </w:rPr>
        <w:t xml:space="preserve"> لاستخدامها في المدارس الابتدائية، وفي كل سنوات الدراسة الإلزامية، بالإضافة إلى المدارس التدريبية من أجل تسهيل وتع</w:t>
      </w:r>
      <w:r>
        <w:rPr>
          <w:rFonts w:hint="cs"/>
          <w:rtl/>
          <w:lang w:bidi="ar-LB"/>
        </w:rPr>
        <w:t>ج</w:t>
      </w:r>
      <w:r>
        <w:rPr>
          <w:rFonts w:hint="cs"/>
          <w:rtl/>
        </w:rPr>
        <w:t>يل تنفيذ هذا المبدأ في مختلف المناهج. وقد تم الا</w:t>
      </w:r>
      <w:r>
        <w:rPr>
          <w:rFonts w:hint="cs"/>
          <w:rtl/>
          <w:lang w:bidi="ar-LB"/>
        </w:rPr>
        <w:t>ض</w:t>
      </w:r>
      <w:r>
        <w:rPr>
          <w:rFonts w:hint="cs"/>
          <w:rtl/>
        </w:rPr>
        <w:t>طلاع بمشروع بحثي خاص من أجل تقييم مدى الوعي بهذا المبدأ التثقيفي وتنفيذه في المدارس، بالإضافة إلى تنظيم عدة دورات تدريبية حول الموضوع لهيئة التدريس.</w:t>
      </w:r>
    </w:p>
    <w:p w:rsidR="007B4C85" w:rsidRDefault="007B4C85" w:rsidP="007B4C85">
      <w:pPr>
        <w:pStyle w:val="SingleTxt"/>
        <w:rPr>
          <w:rFonts w:hint="cs"/>
          <w:rtl/>
        </w:rPr>
      </w:pPr>
      <w:r>
        <w:rPr>
          <w:rFonts w:hint="cs"/>
          <w:rtl/>
        </w:rPr>
        <w:tab/>
        <w:t xml:space="preserve">وفي سالزبورغ، تم في عام 2002 تعزيز العمل المضطلع به في السابق مع الفتيات </w:t>
      </w:r>
      <w:r>
        <w:rPr>
          <w:rFonts w:hint="cs"/>
          <w:rtl/>
          <w:lang w:bidi="ar-LB"/>
        </w:rPr>
        <w:t xml:space="preserve">من خلال </w:t>
      </w:r>
      <w:r>
        <w:rPr>
          <w:rFonts w:hint="cs"/>
          <w:rtl/>
        </w:rPr>
        <w:t xml:space="preserve">تعيين موظف خاص مسؤول عن مسائل الفتيات والبدء بمبادرة </w:t>
      </w:r>
      <w:r>
        <w:rPr>
          <w:rFonts w:hint="eastAsia"/>
          <w:rtl/>
        </w:rPr>
        <w:t>”الإنجاز</w:t>
      </w:r>
      <w:r>
        <w:rPr>
          <w:rFonts w:hint="cs"/>
          <w:rtl/>
        </w:rPr>
        <w:t xml:space="preserve">“ من أجل النهوض بالفتيات، </w:t>
      </w:r>
      <w:r>
        <w:rPr>
          <w:rFonts w:hint="cs"/>
          <w:rtl/>
          <w:lang w:bidi="ar-LB"/>
        </w:rPr>
        <w:t xml:space="preserve">التي تتخذ </w:t>
      </w:r>
      <w:r>
        <w:rPr>
          <w:rFonts w:hint="cs"/>
          <w:rtl/>
        </w:rPr>
        <w:t>تدابير مختلفة كثيرة (بعضها مذكور في المرفق 1) وترمي إلى التغلب على القولبة النمطية لدور الفتيات، والقولبة النمطية المتعلقة بسلوك الفتيات.</w:t>
      </w:r>
    </w:p>
    <w:p w:rsidR="007B4C85" w:rsidRDefault="007B4C85" w:rsidP="007B4C85">
      <w:pPr>
        <w:pStyle w:val="SingleTxt"/>
        <w:rPr>
          <w:rFonts w:hint="cs"/>
          <w:b/>
          <w:bCs/>
          <w:rtl/>
        </w:rPr>
      </w:pPr>
      <w:r>
        <w:rPr>
          <w:rFonts w:hint="cs"/>
          <w:b/>
          <w:bCs/>
          <w:rtl/>
        </w:rPr>
        <w:t xml:space="preserve">المشاركة </w:t>
      </w:r>
      <w:r>
        <w:rPr>
          <w:rFonts w:hint="cs"/>
          <w:b/>
          <w:bCs/>
          <w:rtl/>
          <w:lang w:bidi="ar-LB"/>
        </w:rPr>
        <w:t>على قدم المساواة</w:t>
      </w:r>
      <w:r>
        <w:rPr>
          <w:rFonts w:hint="cs"/>
          <w:b/>
          <w:bCs/>
          <w:rtl/>
        </w:rPr>
        <w:t xml:space="preserve"> في عمل </w:t>
      </w:r>
      <w:r>
        <w:rPr>
          <w:rFonts w:hint="cs"/>
          <w:b/>
          <w:bCs/>
          <w:rtl/>
          <w:lang w:bidi="ar-LB"/>
        </w:rPr>
        <w:t>لا يدفع له</w:t>
      </w:r>
      <w:r>
        <w:rPr>
          <w:rFonts w:hint="cs"/>
          <w:b/>
          <w:bCs/>
          <w:rtl/>
        </w:rPr>
        <w:t xml:space="preserve"> أجر داخل الأسرة</w:t>
      </w:r>
    </w:p>
    <w:p w:rsidR="007B4C85" w:rsidRDefault="007B4C85" w:rsidP="007007C1">
      <w:pPr>
        <w:pStyle w:val="SingleTxt"/>
        <w:rPr>
          <w:rFonts w:hint="cs"/>
          <w:rtl/>
        </w:rPr>
      </w:pPr>
      <w:r>
        <w:rPr>
          <w:rFonts w:hint="cs"/>
          <w:rtl/>
        </w:rPr>
        <w:tab/>
      </w:r>
      <w:r>
        <w:rPr>
          <w:rFonts w:hint="cs"/>
          <w:rtl/>
          <w:lang w:bidi="ar-LB"/>
        </w:rPr>
        <w:t xml:space="preserve">كما يتضح من </w:t>
      </w:r>
      <w:r>
        <w:rPr>
          <w:rFonts w:hint="cs"/>
          <w:rtl/>
        </w:rPr>
        <w:t>نت</w:t>
      </w:r>
      <w:r>
        <w:rPr>
          <w:rFonts w:hint="cs"/>
          <w:rtl/>
          <w:lang w:bidi="ar-LB"/>
        </w:rPr>
        <w:t>ائ</w:t>
      </w:r>
      <w:r>
        <w:rPr>
          <w:rFonts w:hint="cs"/>
          <w:rtl/>
        </w:rPr>
        <w:t xml:space="preserve">ج </w:t>
      </w:r>
      <w:r>
        <w:rPr>
          <w:rFonts w:hint="cs"/>
          <w:rtl/>
          <w:lang w:bidi="ar-LB"/>
        </w:rPr>
        <w:t>ا</w:t>
      </w:r>
      <w:r>
        <w:rPr>
          <w:rFonts w:hint="cs"/>
          <w:rtl/>
        </w:rPr>
        <w:t>لبرنامج المصغر الخاص</w:t>
      </w:r>
      <w:r w:rsidRPr="006445A5">
        <w:rPr>
          <w:rFonts w:hint="cs"/>
          <w:rtl/>
        </w:rPr>
        <w:t xml:space="preserve"> </w:t>
      </w:r>
      <w:r>
        <w:rPr>
          <w:rFonts w:hint="cs"/>
          <w:rtl/>
          <w:lang w:bidi="ar-LB"/>
        </w:rPr>
        <w:t>ل</w:t>
      </w:r>
      <w:r>
        <w:rPr>
          <w:rFonts w:hint="cs"/>
          <w:rtl/>
        </w:rPr>
        <w:t xml:space="preserve">تعداد السكان </w:t>
      </w:r>
      <w:r>
        <w:rPr>
          <w:rFonts w:hint="eastAsia"/>
          <w:rtl/>
        </w:rPr>
        <w:t xml:space="preserve">”إدارة الأسرة المعيشية </w:t>
      </w:r>
      <w:r w:rsidR="007007C1">
        <w:rPr>
          <w:rFonts w:hint="cs"/>
          <w:rtl/>
        </w:rPr>
        <w:t>-</w:t>
      </w:r>
      <w:r>
        <w:rPr>
          <w:rFonts w:hint="eastAsia"/>
          <w:rtl/>
        </w:rPr>
        <w:t xml:space="preserve"> رعاية </w:t>
      </w:r>
      <w:r>
        <w:rPr>
          <w:rFonts w:hint="cs"/>
          <w:rtl/>
        </w:rPr>
        <w:t>الأطفال</w:t>
      </w:r>
      <w:r w:rsidR="007007C1">
        <w:rPr>
          <w:rFonts w:hint="cs"/>
          <w:rtl/>
        </w:rPr>
        <w:t xml:space="preserve"> -</w:t>
      </w:r>
      <w:r>
        <w:rPr>
          <w:rFonts w:hint="cs"/>
          <w:rtl/>
        </w:rPr>
        <w:t xml:space="preserve"> رعاية الأقارب</w:t>
      </w:r>
      <w:r>
        <w:rPr>
          <w:rFonts w:hint="eastAsia"/>
          <w:rtl/>
        </w:rPr>
        <w:t>“</w:t>
      </w:r>
      <w:r w:rsidRPr="0025312C">
        <w:rPr>
          <w:vertAlign w:val="superscript"/>
          <w:rtl/>
        </w:rPr>
        <w:t>(</w:t>
      </w:r>
      <w:r>
        <w:rPr>
          <w:rStyle w:val="FootnoteReference"/>
          <w:rtl/>
        </w:rPr>
        <w:footnoteReference w:id="5"/>
      </w:r>
      <w:r w:rsidRPr="0025312C">
        <w:rPr>
          <w:vertAlign w:val="superscript"/>
          <w:rtl/>
        </w:rPr>
        <w:t>)</w:t>
      </w:r>
      <w:r>
        <w:rPr>
          <w:rFonts w:hint="cs"/>
          <w:rtl/>
        </w:rPr>
        <w:t xml:space="preserve"> ليست المشاركة </w:t>
      </w:r>
      <w:r>
        <w:rPr>
          <w:rFonts w:hint="cs"/>
          <w:rtl/>
          <w:lang w:bidi="ar-LB"/>
        </w:rPr>
        <w:t>على قدم ا</w:t>
      </w:r>
      <w:r>
        <w:rPr>
          <w:rFonts w:hint="cs"/>
          <w:rtl/>
        </w:rPr>
        <w:t>لمساو</w:t>
      </w:r>
      <w:r>
        <w:rPr>
          <w:rFonts w:hint="cs"/>
          <w:rtl/>
          <w:lang w:bidi="ar-LB"/>
        </w:rPr>
        <w:t>ا</w:t>
      </w:r>
      <w:r>
        <w:rPr>
          <w:rFonts w:hint="cs"/>
          <w:rtl/>
        </w:rPr>
        <w:t xml:space="preserve">ة في عمل </w:t>
      </w:r>
      <w:r>
        <w:rPr>
          <w:rFonts w:hint="cs"/>
          <w:rtl/>
          <w:lang w:bidi="ar-LB"/>
        </w:rPr>
        <w:t>لا يدفع له</w:t>
      </w:r>
      <w:r>
        <w:rPr>
          <w:rFonts w:hint="cs"/>
          <w:rtl/>
        </w:rPr>
        <w:t xml:space="preserve"> أجر داخل الأسرة حقيقة واقعة بعد. ومن أجل الحصول على مزيد من </w:t>
      </w:r>
      <w:r>
        <w:rPr>
          <w:rFonts w:hint="cs"/>
          <w:rtl/>
          <w:lang w:bidi="ar-LB"/>
        </w:rPr>
        <w:t xml:space="preserve">النتائج </w:t>
      </w:r>
      <w:r>
        <w:rPr>
          <w:rFonts w:hint="cs"/>
          <w:rtl/>
        </w:rPr>
        <w:t>التفاصيل</w:t>
      </w:r>
      <w:r>
        <w:rPr>
          <w:rFonts w:hint="cs"/>
          <w:rtl/>
          <w:lang w:bidi="ar-LB"/>
        </w:rPr>
        <w:t>ية</w:t>
      </w:r>
      <w:r>
        <w:rPr>
          <w:rFonts w:hint="cs"/>
          <w:rtl/>
        </w:rPr>
        <w:t xml:space="preserve"> بشأن المشاركة </w:t>
      </w:r>
      <w:r>
        <w:rPr>
          <w:rFonts w:hint="cs"/>
          <w:rtl/>
          <w:lang w:bidi="ar-LB"/>
        </w:rPr>
        <w:t xml:space="preserve">على قدم المساواة </w:t>
      </w:r>
      <w:r>
        <w:rPr>
          <w:rFonts w:hint="cs"/>
          <w:rtl/>
        </w:rPr>
        <w:t xml:space="preserve">في عمل </w:t>
      </w:r>
      <w:r>
        <w:rPr>
          <w:rFonts w:hint="cs"/>
          <w:rtl/>
          <w:lang w:bidi="ar-LB"/>
        </w:rPr>
        <w:t>لا يدفع له</w:t>
      </w:r>
      <w:r>
        <w:rPr>
          <w:rFonts w:hint="cs"/>
          <w:rtl/>
        </w:rPr>
        <w:t xml:space="preserve"> أجر ونوع هذا العمل الذي تؤديه </w:t>
      </w:r>
      <w:r>
        <w:rPr>
          <w:rFonts w:hint="cs"/>
          <w:rtl/>
          <w:lang w:bidi="ar-LB"/>
        </w:rPr>
        <w:t xml:space="preserve">كل من </w:t>
      </w:r>
      <w:r>
        <w:rPr>
          <w:rFonts w:hint="cs"/>
          <w:rtl/>
        </w:rPr>
        <w:t xml:space="preserve">المرأة والرجل داخل الأسرة، سيتعين القيام </w:t>
      </w:r>
      <w:r>
        <w:rPr>
          <w:rFonts w:hint="cs"/>
          <w:rtl/>
          <w:lang w:bidi="ar-LB"/>
        </w:rPr>
        <w:t>ثانية بـ</w:t>
      </w:r>
      <w:r>
        <w:rPr>
          <w:rFonts w:hint="eastAsia"/>
          <w:rtl/>
        </w:rPr>
        <w:t xml:space="preserve">”دراسة </w:t>
      </w:r>
      <w:r>
        <w:rPr>
          <w:rFonts w:hint="cs"/>
          <w:rtl/>
          <w:lang w:bidi="ar-LB"/>
        </w:rPr>
        <w:t>عن تنظيم الوقت</w:t>
      </w:r>
      <w:r>
        <w:rPr>
          <w:rFonts w:hint="cs"/>
          <w:rtl/>
        </w:rPr>
        <w:t>“ (</w:t>
      </w:r>
      <w:r>
        <w:rPr>
          <w:rFonts w:hint="cs"/>
          <w:rtl/>
          <w:lang w:bidi="ar-LB"/>
        </w:rPr>
        <w:t>أجريت</w:t>
      </w:r>
      <w:r>
        <w:rPr>
          <w:rFonts w:hint="cs"/>
          <w:rtl/>
        </w:rPr>
        <w:t xml:space="preserve"> </w:t>
      </w:r>
      <w:r>
        <w:rPr>
          <w:rFonts w:hint="cs"/>
          <w:rtl/>
          <w:lang w:bidi="ar-LB"/>
        </w:rPr>
        <w:t xml:space="preserve">آخر </w:t>
      </w:r>
      <w:r>
        <w:rPr>
          <w:rFonts w:hint="cs"/>
          <w:rtl/>
        </w:rPr>
        <w:t>دراسة في عام 1992). ومع ذلك، لم</w:t>
      </w:r>
      <w:r>
        <w:rPr>
          <w:rFonts w:hint="eastAsia"/>
          <w:rtl/>
        </w:rPr>
        <w:t> </w:t>
      </w:r>
      <w:r>
        <w:rPr>
          <w:rFonts w:hint="cs"/>
          <w:rtl/>
        </w:rPr>
        <w:t>يتسن حتى الآن الحصول على تمويل لإجراء مثل هذه الدراسة.</w:t>
      </w:r>
    </w:p>
    <w:p w:rsidR="007B4C85" w:rsidRDefault="007B4C85" w:rsidP="007B4C85">
      <w:pPr>
        <w:pStyle w:val="SingleTxt"/>
        <w:rPr>
          <w:rFonts w:hint="cs"/>
          <w:rtl/>
        </w:rPr>
      </w:pPr>
      <w:r>
        <w:rPr>
          <w:rFonts w:hint="cs"/>
          <w:rtl/>
        </w:rPr>
        <w:tab/>
        <w:t xml:space="preserve">بعد انتهاء </w:t>
      </w:r>
      <w:r>
        <w:rPr>
          <w:rFonts w:hint="eastAsia"/>
          <w:rtl/>
        </w:rPr>
        <w:t>”</w:t>
      </w:r>
      <w:r>
        <w:rPr>
          <w:rFonts w:hint="cs"/>
          <w:rtl/>
        </w:rPr>
        <w:t>سنة الفرص المتكافئة“ في عام 2002، نظم مكتب شؤون المرأة حملة في النمسا العليا</w:t>
      </w:r>
      <w:r>
        <w:rPr>
          <w:rFonts w:hint="cs"/>
          <w:rtl/>
          <w:lang w:bidi="ar-LB"/>
        </w:rPr>
        <w:t>،</w:t>
      </w:r>
      <w:r>
        <w:rPr>
          <w:rFonts w:hint="cs"/>
          <w:rtl/>
        </w:rPr>
        <w:t xml:space="preserve"> في خريف عام 2003، لتوعية الجمهور بمفهوم المشاركة </w:t>
      </w:r>
      <w:r>
        <w:rPr>
          <w:rFonts w:hint="cs"/>
          <w:rtl/>
          <w:lang w:bidi="ar-LB"/>
        </w:rPr>
        <w:t xml:space="preserve">على قدم المساواة في </w:t>
      </w:r>
      <w:r>
        <w:rPr>
          <w:rFonts w:hint="cs"/>
          <w:rtl/>
        </w:rPr>
        <w:t xml:space="preserve">عمل </w:t>
      </w:r>
      <w:r>
        <w:rPr>
          <w:rFonts w:hint="cs"/>
          <w:rtl/>
          <w:lang w:bidi="ar-LB"/>
        </w:rPr>
        <w:t>لا يدفع له</w:t>
      </w:r>
      <w:r>
        <w:rPr>
          <w:rFonts w:hint="cs"/>
          <w:rtl/>
        </w:rPr>
        <w:t xml:space="preserve"> أجر داخل الأسرة (</w:t>
      </w:r>
      <w:hyperlink r:id="rId17" w:history="1">
        <w:r w:rsidRPr="001160E6">
          <w:rPr>
            <w:rStyle w:val="Hyperlink"/>
          </w:rPr>
          <w:t>www.chancengleichheit.at</w:t>
        </w:r>
      </w:hyperlink>
      <w:r>
        <w:rPr>
          <w:rFonts w:hint="cs"/>
          <w:rtl/>
        </w:rPr>
        <w:t>).</w:t>
      </w:r>
    </w:p>
    <w:p w:rsidR="007B4C85" w:rsidRDefault="007B4C85" w:rsidP="007B4C85">
      <w:pPr>
        <w:pStyle w:val="SingleTxt"/>
        <w:rPr>
          <w:rFonts w:hint="cs"/>
          <w:b/>
          <w:bCs/>
          <w:rtl/>
        </w:rPr>
      </w:pPr>
      <w:r>
        <w:rPr>
          <w:rFonts w:hint="cs"/>
          <w:b/>
          <w:bCs/>
          <w:rtl/>
        </w:rPr>
        <w:t>مكافحة العنف المنزلي</w:t>
      </w:r>
    </w:p>
    <w:p w:rsidR="007B4C85" w:rsidRDefault="007B4C85" w:rsidP="007B4C85">
      <w:pPr>
        <w:pStyle w:val="SingleTxt"/>
        <w:rPr>
          <w:rFonts w:hint="cs"/>
          <w:b/>
          <w:bCs/>
          <w:rtl/>
        </w:rPr>
      </w:pPr>
      <w:r>
        <w:rPr>
          <w:rFonts w:hint="cs"/>
          <w:b/>
          <w:bCs/>
          <w:rtl/>
        </w:rPr>
        <w:t>حماية الضحايا ومراكز التدخل</w:t>
      </w:r>
    </w:p>
    <w:p w:rsidR="007B4C85" w:rsidRDefault="007B4C85" w:rsidP="007B4C85">
      <w:pPr>
        <w:pStyle w:val="SingleTxt"/>
        <w:rPr>
          <w:rFonts w:hint="cs"/>
          <w:rtl/>
        </w:rPr>
      </w:pPr>
      <w:r>
        <w:rPr>
          <w:rFonts w:hint="cs"/>
          <w:rtl/>
        </w:rPr>
        <w:tab/>
        <w:t>منذ عام 1999، كان هناك مركز تدخل في كل إقليم، بالإضافة إلى مكتب فرعي إقليمي في كل من النمسا العليا والنمسا السفلى منذ عام 2001. وكانت استمرارية عمل مراكز التدخل مضمونة بفضل إبرام عقد مدته خمس سنوات، استنادا إلى المادة 25، الفقرة</w:t>
      </w:r>
      <w:r>
        <w:rPr>
          <w:rFonts w:hint="eastAsia"/>
          <w:rtl/>
        </w:rPr>
        <w:t> </w:t>
      </w:r>
      <w:r>
        <w:rPr>
          <w:rFonts w:hint="cs"/>
          <w:rtl/>
        </w:rPr>
        <w:t>3، من قانون الشرطة، الذي بدأ نفاذه في عام 2001، بين وزارة الداخلية الاتحادية ووزارة الصحة الاتحادية وشؤون المرأة، ومراكز التدخل.</w:t>
      </w:r>
    </w:p>
    <w:p w:rsidR="007B4C85" w:rsidRDefault="007B4C85" w:rsidP="007B4C85">
      <w:pPr>
        <w:pStyle w:val="SingleTxt"/>
        <w:rPr>
          <w:rFonts w:hint="cs"/>
          <w:rtl/>
        </w:rPr>
      </w:pPr>
      <w:r>
        <w:rPr>
          <w:rFonts w:hint="cs"/>
          <w:rtl/>
        </w:rPr>
        <w:tab/>
        <w:t>ويتم الموافقة</w:t>
      </w:r>
      <w:r>
        <w:rPr>
          <w:rFonts w:hint="cs"/>
          <w:rtl/>
          <w:lang w:bidi="ar-LB"/>
        </w:rPr>
        <w:t xml:space="preserve"> كل سنة</w:t>
      </w:r>
      <w:r>
        <w:rPr>
          <w:rFonts w:hint="cs"/>
          <w:rtl/>
        </w:rPr>
        <w:t xml:space="preserve"> على الميزانية، بل تم زيادة هذه الميزانية كل سنة حتى هذا التاريخ من أجل مواكبة الحاجة المتزايدة باستمرار إلى موظفين وأماكن. وبفضل وعي الجمهور المتزايد بالقانون الاتحادي للحماية من العنف </w:t>
      </w:r>
      <w:r>
        <w:rPr>
          <w:rFonts w:hint="cs"/>
          <w:rtl/>
          <w:lang w:bidi="ar-LB"/>
        </w:rPr>
        <w:t>داخل</w:t>
      </w:r>
      <w:r>
        <w:rPr>
          <w:rFonts w:hint="cs"/>
          <w:rtl/>
        </w:rPr>
        <w:t xml:space="preserve"> الأسرة، وخدمات الدعم التي تقدمها مراكز التدخل، ازداد عدد أوامر الحظر التي يتم إصدارها، ومعها عدد الحالات التي يتم معالجتها كل سنة؛ ووفقا لإحصاءات وزارة الداخلية الاتحادية، تم إصدار 076 3 أمر حظر في عام 1999 وازداد هذا الرقم في عام 2003 إلى 180 4.</w:t>
      </w:r>
    </w:p>
    <w:p w:rsidR="007B4C85" w:rsidRDefault="007B4C85" w:rsidP="007B4C85">
      <w:pPr>
        <w:pStyle w:val="SingleTxt"/>
        <w:rPr>
          <w:rFonts w:hint="cs"/>
          <w:rtl/>
        </w:rPr>
      </w:pPr>
      <w:r>
        <w:rPr>
          <w:rFonts w:hint="cs"/>
          <w:rtl/>
        </w:rPr>
        <w:tab/>
        <w:t xml:space="preserve">وبالإضافة إلى ذلك، تم إنشاء ست وحدات </w:t>
      </w:r>
      <w:r>
        <w:rPr>
          <w:rFonts w:hint="cs"/>
          <w:rtl/>
          <w:lang w:bidi="ar-LB"/>
        </w:rPr>
        <w:t>ل</w:t>
      </w:r>
      <w:r>
        <w:rPr>
          <w:rFonts w:hint="cs"/>
          <w:rtl/>
        </w:rPr>
        <w:t>إقامة</w:t>
      </w:r>
      <w:r>
        <w:rPr>
          <w:rFonts w:hint="cs"/>
          <w:rtl/>
          <w:lang w:bidi="ar-LB"/>
        </w:rPr>
        <w:t xml:space="preserve"> ال</w:t>
      </w:r>
      <w:r>
        <w:rPr>
          <w:rFonts w:hint="cs"/>
          <w:rtl/>
        </w:rPr>
        <w:t xml:space="preserve">لاجئات و/أو لأغراض الطوارئ خلال الفترة التي يغطيها التقرير (مما رفع مجموعها إلى 27 وحدة)؛ وتم كذلك فتح ملجأ آخر للنساء في بداية عام 2004، ويجري بناء ملجأ إضافي. </w:t>
      </w:r>
    </w:p>
    <w:p w:rsidR="007B4C85" w:rsidRDefault="007B4C85" w:rsidP="007B4C85">
      <w:pPr>
        <w:pStyle w:val="SingleTxt"/>
        <w:rPr>
          <w:rFonts w:hint="cs"/>
          <w:b/>
          <w:bCs/>
          <w:rtl/>
          <w:lang w:bidi="ar-LB"/>
        </w:rPr>
      </w:pPr>
      <w:r>
        <w:rPr>
          <w:rFonts w:hint="cs"/>
          <w:b/>
          <w:bCs/>
          <w:rtl/>
          <w:lang w:bidi="ar-LB"/>
        </w:rPr>
        <w:t xml:space="preserve">إجراء </w:t>
      </w:r>
      <w:r>
        <w:rPr>
          <w:rFonts w:hint="cs"/>
          <w:b/>
          <w:bCs/>
          <w:rtl/>
        </w:rPr>
        <w:t>تعديل قانوني ي</w:t>
      </w:r>
      <w:r w:rsidR="00BB3DAD">
        <w:rPr>
          <w:rFonts w:hint="cs"/>
          <w:b/>
          <w:bCs/>
          <w:rtl/>
          <w:lang w:bidi="ar-LB"/>
        </w:rPr>
        <w:t>ُ</w:t>
      </w:r>
      <w:r>
        <w:rPr>
          <w:rFonts w:hint="cs"/>
          <w:b/>
          <w:bCs/>
          <w:rtl/>
          <w:lang w:bidi="ar-LB"/>
        </w:rPr>
        <w:t>لزم الأطباء تقديم</w:t>
      </w:r>
      <w:r>
        <w:rPr>
          <w:rFonts w:hint="cs"/>
          <w:b/>
          <w:bCs/>
          <w:rtl/>
        </w:rPr>
        <w:t xml:space="preserve"> </w:t>
      </w:r>
      <w:r>
        <w:rPr>
          <w:rFonts w:hint="cs"/>
          <w:b/>
          <w:bCs/>
          <w:rtl/>
          <w:lang w:bidi="ar-LB"/>
        </w:rPr>
        <w:t>ال</w:t>
      </w:r>
      <w:r>
        <w:rPr>
          <w:rFonts w:hint="cs"/>
          <w:b/>
          <w:bCs/>
          <w:rtl/>
        </w:rPr>
        <w:t>بلاغ</w:t>
      </w:r>
      <w:r>
        <w:rPr>
          <w:rFonts w:hint="cs"/>
          <w:b/>
          <w:bCs/>
          <w:rtl/>
          <w:lang w:bidi="ar-LB"/>
        </w:rPr>
        <w:t>ات</w:t>
      </w:r>
    </w:p>
    <w:p w:rsidR="007B4C85" w:rsidRDefault="007B4C85" w:rsidP="007B4C85">
      <w:pPr>
        <w:pStyle w:val="SingleTxt"/>
        <w:rPr>
          <w:rFonts w:hint="cs"/>
          <w:rtl/>
        </w:rPr>
      </w:pPr>
      <w:r>
        <w:rPr>
          <w:rFonts w:hint="cs"/>
          <w:rtl/>
        </w:rPr>
        <w:tab/>
        <w:t xml:space="preserve">عدّل جزئيا التعديل الثاني للقانون الاتحادي المتعلق بمهنة الطب </w:t>
      </w:r>
      <w:r>
        <w:rPr>
          <w:rFonts w:hint="cs"/>
          <w:rtl/>
          <w:lang w:bidi="ar-LB"/>
        </w:rPr>
        <w:t>(</w:t>
      </w:r>
      <w:r>
        <w:rPr>
          <w:rFonts w:hint="cs"/>
          <w:rtl/>
        </w:rPr>
        <w:t>النشرة القانونية الاتحادية الأولى رقم 110/2001</w:t>
      </w:r>
      <w:r>
        <w:rPr>
          <w:rFonts w:hint="cs"/>
          <w:rtl/>
          <w:lang w:bidi="ar-LB"/>
        </w:rPr>
        <w:t>)</w:t>
      </w:r>
      <w:r>
        <w:rPr>
          <w:rFonts w:hint="cs"/>
          <w:rtl/>
        </w:rPr>
        <w:t>، الحكم الذي ي</w:t>
      </w:r>
      <w:r>
        <w:rPr>
          <w:rFonts w:hint="cs"/>
          <w:rtl/>
          <w:lang w:bidi="ar-LB"/>
        </w:rPr>
        <w:t>لزم الأطباء تقديم البلاغات</w:t>
      </w:r>
      <w:r>
        <w:rPr>
          <w:rFonts w:hint="cs"/>
          <w:rtl/>
        </w:rPr>
        <w:t>، وفيما يلي نصه عملا بالمادة 54، الفقرة 4 من القانون الاتحادي المتعلق بمهنة الطب لعام</w:t>
      </w:r>
      <w:r>
        <w:rPr>
          <w:rFonts w:hint="eastAsia"/>
          <w:rtl/>
        </w:rPr>
        <w:t> </w:t>
      </w:r>
      <w:r>
        <w:rPr>
          <w:rFonts w:hint="cs"/>
          <w:rtl/>
        </w:rPr>
        <w:t xml:space="preserve">1998: </w:t>
      </w:r>
    </w:p>
    <w:p w:rsidR="007B4C85" w:rsidRDefault="007B4C85" w:rsidP="007B4C85">
      <w:pPr>
        <w:pStyle w:val="SingleTxt"/>
        <w:rPr>
          <w:rFonts w:hint="cs"/>
          <w:rtl/>
          <w:lang w:bidi="ar-LB"/>
        </w:rPr>
      </w:pPr>
      <w:r>
        <w:rPr>
          <w:rFonts w:hint="cs"/>
          <w:rtl/>
        </w:rPr>
        <w:tab/>
      </w:r>
      <w:r>
        <w:rPr>
          <w:rFonts w:hint="eastAsia"/>
          <w:rtl/>
        </w:rPr>
        <w:t xml:space="preserve">”المادة 54 (4) إذا كانت </w:t>
      </w:r>
      <w:r>
        <w:rPr>
          <w:rFonts w:hint="cs"/>
          <w:rtl/>
        </w:rPr>
        <w:t xml:space="preserve">هناك </w:t>
      </w:r>
      <w:r>
        <w:rPr>
          <w:rFonts w:hint="eastAsia"/>
          <w:rtl/>
        </w:rPr>
        <w:t xml:space="preserve">حالة تدعو طبيبا يمارس مهنته إلى الاعتقاد </w:t>
      </w:r>
      <w:r>
        <w:rPr>
          <w:rFonts w:hint="cs"/>
          <w:rtl/>
        </w:rPr>
        <w:t xml:space="preserve">بأن وفاة أو </w:t>
      </w:r>
      <w:r>
        <w:rPr>
          <w:rFonts w:hint="cs"/>
          <w:rtl/>
          <w:lang w:bidi="ar-LB"/>
        </w:rPr>
        <w:t>ضررا</w:t>
      </w:r>
      <w:r>
        <w:rPr>
          <w:rFonts w:hint="cs"/>
          <w:rtl/>
        </w:rPr>
        <w:t xml:space="preserve"> جسدي</w:t>
      </w:r>
      <w:r>
        <w:rPr>
          <w:rFonts w:hint="cs"/>
          <w:rtl/>
          <w:lang w:bidi="ar-LB"/>
        </w:rPr>
        <w:t>ا</w:t>
      </w:r>
      <w:r>
        <w:rPr>
          <w:rFonts w:hint="cs"/>
          <w:rtl/>
        </w:rPr>
        <w:t xml:space="preserve"> خطير</w:t>
      </w:r>
      <w:r>
        <w:rPr>
          <w:rFonts w:hint="cs"/>
          <w:rtl/>
          <w:lang w:bidi="ar-LB"/>
        </w:rPr>
        <w:t>ا</w:t>
      </w:r>
      <w:r>
        <w:rPr>
          <w:rFonts w:hint="cs"/>
          <w:rtl/>
        </w:rPr>
        <w:t xml:space="preserve"> وقع نتيجة </w:t>
      </w:r>
      <w:r>
        <w:rPr>
          <w:rFonts w:hint="cs"/>
          <w:rtl/>
          <w:lang w:bidi="ar-LB"/>
        </w:rPr>
        <w:t xml:space="preserve">ارتكاب </w:t>
      </w:r>
      <w:r>
        <w:rPr>
          <w:rFonts w:hint="cs"/>
          <w:rtl/>
        </w:rPr>
        <w:t>جريمة</w:t>
      </w:r>
      <w:r>
        <w:rPr>
          <w:rFonts w:hint="eastAsia"/>
          <w:rtl/>
        </w:rPr>
        <w:t xml:space="preserve">، </w:t>
      </w:r>
      <w:r>
        <w:rPr>
          <w:rFonts w:hint="cs"/>
          <w:rtl/>
        </w:rPr>
        <w:t xml:space="preserve">يتعين </w:t>
      </w:r>
      <w:r>
        <w:rPr>
          <w:rFonts w:hint="cs"/>
          <w:rtl/>
          <w:lang w:bidi="ar-LB"/>
        </w:rPr>
        <w:t>عليه إذن</w:t>
      </w:r>
      <w:r>
        <w:rPr>
          <w:rFonts w:hint="cs"/>
          <w:rtl/>
        </w:rPr>
        <w:t xml:space="preserve">، ما لم تنص الفقرة 5 على خلاف ذلك، أن يقدم بلاغا على الفور إلى سلطات إنفاذ القانون. والشيء نفسه ينطبق </w:t>
      </w:r>
      <w:r>
        <w:rPr>
          <w:rFonts w:hint="cs"/>
          <w:rtl/>
          <w:lang w:bidi="ar-LB"/>
        </w:rPr>
        <w:t>إذا ظن</w:t>
      </w:r>
      <w:r>
        <w:rPr>
          <w:rFonts w:hint="cs"/>
          <w:rtl/>
        </w:rPr>
        <w:t xml:space="preserve"> طبيب أن شخص</w:t>
      </w:r>
      <w:r>
        <w:rPr>
          <w:rFonts w:hint="cs"/>
          <w:rtl/>
          <w:lang w:bidi="ar-LB"/>
        </w:rPr>
        <w:t>ا</w:t>
      </w:r>
      <w:r>
        <w:rPr>
          <w:rFonts w:hint="cs"/>
          <w:rtl/>
        </w:rPr>
        <w:t xml:space="preserve"> غير قادر على </w:t>
      </w:r>
      <w:r>
        <w:rPr>
          <w:rFonts w:hint="cs"/>
          <w:rtl/>
          <w:lang w:bidi="ar-LB"/>
        </w:rPr>
        <w:t>تدبر</w:t>
      </w:r>
      <w:r>
        <w:rPr>
          <w:rFonts w:hint="cs"/>
          <w:rtl/>
        </w:rPr>
        <w:t xml:space="preserve"> شؤونه وقع ضحية إهمال أو إساءة جسدية أو جنسية أو عاطفية</w:t>
      </w:r>
      <w:r>
        <w:rPr>
          <w:rFonts w:hint="eastAsia"/>
          <w:rtl/>
        </w:rPr>
        <w:t>“</w:t>
      </w:r>
      <w:r>
        <w:rPr>
          <w:rFonts w:hint="cs"/>
          <w:rtl/>
        </w:rPr>
        <w:t xml:space="preserve">. </w:t>
      </w:r>
    </w:p>
    <w:p w:rsidR="007B4C85" w:rsidRDefault="007B4C85" w:rsidP="007B4C85">
      <w:pPr>
        <w:pStyle w:val="SingleTxt"/>
        <w:rPr>
          <w:rFonts w:hint="cs"/>
          <w:rtl/>
        </w:rPr>
      </w:pPr>
      <w:r>
        <w:rPr>
          <w:rFonts w:hint="cs"/>
          <w:rtl/>
          <w:lang w:bidi="ar-LB"/>
        </w:rPr>
        <w:tab/>
      </w:r>
      <w:r>
        <w:rPr>
          <w:rFonts w:hint="cs"/>
          <w:rtl/>
        </w:rPr>
        <w:t>و</w:t>
      </w:r>
      <w:r>
        <w:rPr>
          <w:rFonts w:hint="cs"/>
          <w:rtl/>
          <w:lang w:bidi="ar-LB"/>
        </w:rPr>
        <w:t xml:space="preserve">من شأن </w:t>
      </w:r>
      <w:r>
        <w:rPr>
          <w:rFonts w:hint="cs"/>
          <w:rtl/>
        </w:rPr>
        <w:t xml:space="preserve">هذا الحكم </w:t>
      </w:r>
      <w:r>
        <w:rPr>
          <w:rFonts w:hint="cs"/>
          <w:rtl/>
          <w:lang w:bidi="ar-LB"/>
        </w:rPr>
        <w:t xml:space="preserve">أن يجعل </w:t>
      </w:r>
      <w:r>
        <w:rPr>
          <w:rFonts w:hint="cs"/>
          <w:rtl/>
        </w:rPr>
        <w:t xml:space="preserve">واجب الطبيب تقديم بلاغ بدون </w:t>
      </w:r>
      <w:r>
        <w:rPr>
          <w:rFonts w:hint="cs"/>
          <w:rtl/>
          <w:lang w:bidi="ar-LB"/>
        </w:rPr>
        <w:t>تأخير</w:t>
      </w:r>
      <w:r>
        <w:rPr>
          <w:rFonts w:hint="cs"/>
          <w:rtl/>
        </w:rPr>
        <w:t xml:space="preserve"> </w:t>
      </w:r>
      <w:r>
        <w:rPr>
          <w:rFonts w:hint="cs"/>
          <w:rtl/>
          <w:lang w:bidi="ar-LB"/>
        </w:rPr>
        <w:t xml:space="preserve">عرفا </w:t>
      </w:r>
      <w:r>
        <w:rPr>
          <w:rFonts w:hint="cs"/>
          <w:rtl/>
        </w:rPr>
        <w:t>قانون</w:t>
      </w:r>
      <w:r>
        <w:rPr>
          <w:rFonts w:hint="cs"/>
          <w:rtl/>
          <w:lang w:bidi="ar-LB"/>
        </w:rPr>
        <w:t>ي</w:t>
      </w:r>
      <w:r>
        <w:rPr>
          <w:rFonts w:hint="cs"/>
          <w:rtl/>
        </w:rPr>
        <w:t xml:space="preserve">ا </w:t>
      </w:r>
      <w:r>
        <w:rPr>
          <w:rFonts w:hint="cs"/>
          <w:rtl/>
          <w:lang w:bidi="ar-LB"/>
        </w:rPr>
        <w:t xml:space="preserve">ملزما </w:t>
      </w:r>
      <w:r>
        <w:rPr>
          <w:rFonts w:hint="cs"/>
          <w:rtl/>
        </w:rPr>
        <w:t xml:space="preserve">في حالة وفاة شخص بالغ </w:t>
      </w:r>
      <w:r>
        <w:rPr>
          <w:rFonts w:hint="cs"/>
          <w:rtl/>
          <w:lang w:bidi="ar-LB"/>
        </w:rPr>
        <w:t>أو إصابته</w:t>
      </w:r>
      <w:r>
        <w:rPr>
          <w:rFonts w:hint="cs"/>
          <w:rtl/>
        </w:rPr>
        <w:t xml:space="preserve"> </w:t>
      </w:r>
      <w:r>
        <w:rPr>
          <w:rFonts w:hint="cs"/>
          <w:rtl/>
          <w:lang w:bidi="ar-LB"/>
        </w:rPr>
        <w:t>ب</w:t>
      </w:r>
      <w:r>
        <w:rPr>
          <w:rFonts w:hint="cs"/>
          <w:rtl/>
        </w:rPr>
        <w:t>ضرر جسدي خطير.</w:t>
      </w:r>
    </w:p>
    <w:p w:rsidR="007B4C85" w:rsidRPr="00187B8D" w:rsidRDefault="007B4C85" w:rsidP="007B4C85">
      <w:pPr>
        <w:pStyle w:val="SingleTxt"/>
        <w:rPr>
          <w:rFonts w:hint="cs"/>
          <w:b/>
          <w:bCs/>
          <w:rtl/>
        </w:rPr>
      </w:pPr>
      <w:r w:rsidRPr="00187B8D">
        <w:rPr>
          <w:rFonts w:hint="cs"/>
          <w:b/>
          <w:bCs/>
          <w:rtl/>
        </w:rPr>
        <w:t>زيادة الوعي والتدابير التدريبية</w:t>
      </w:r>
    </w:p>
    <w:p w:rsidR="007B4C85" w:rsidRDefault="007B4C85" w:rsidP="007B4C85">
      <w:pPr>
        <w:pStyle w:val="SingleTxt"/>
        <w:rPr>
          <w:rFonts w:hint="cs"/>
          <w:rtl/>
        </w:rPr>
      </w:pPr>
      <w:r>
        <w:rPr>
          <w:rFonts w:hint="cs"/>
          <w:rtl/>
        </w:rPr>
        <w:tab/>
        <w:t>منذ شهر أيلول/سبتمبر 1999، موّلت وزارة الصحة الاتحادية وشؤون المرأة ما</w:t>
      </w:r>
      <w:r>
        <w:rPr>
          <w:rFonts w:hint="eastAsia"/>
          <w:rtl/>
        </w:rPr>
        <w:t> </w:t>
      </w:r>
      <w:r>
        <w:rPr>
          <w:rFonts w:hint="cs"/>
          <w:rtl/>
        </w:rPr>
        <w:t xml:space="preserve">مجموعه 27 حلقة دراسية تدريبية حول موضوع </w:t>
      </w:r>
      <w:r>
        <w:rPr>
          <w:rFonts w:hint="eastAsia"/>
          <w:rtl/>
        </w:rPr>
        <w:t>”العنف الموجه ضد المرأة</w:t>
      </w:r>
      <w:r>
        <w:rPr>
          <w:rFonts w:hint="cs"/>
          <w:rtl/>
        </w:rPr>
        <w:t xml:space="preserve">“. ومن ناحية، كانت هذه الحلقات الدراسية التدريبية تستهدف العاملين في مرافق الدعم النسائية، ومن ناحية أخرى </w:t>
      </w:r>
      <w:r>
        <w:rPr>
          <w:rFonts w:hint="cs"/>
          <w:rtl/>
          <w:lang w:bidi="ar-LB"/>
        </w:rPr>
        <w:t xml:space="preserve">كانت </w:t>
      </w:r>
      <w:r>
        <w:rPr>
          <w:rFonts w:hint="cs"/>
          <w:rtl/>
        </w:rPr>
        <w:t>حلقات دراسية متعددة التخصصات ترمي إلى تحسين التعاون بين الفئات المهنية والفئات الفنية التي تعالج الحالات المتعلقة بالعنف الموجه ضد المرأة (من بينها فئة الضباط وفئة القضاة) فضلا عن زيادة تطوير شبكة فعالة.</w:t>
      </w:r>
    </w:p>
    <w:p w:rsidR="007B4C85" w:rsidRPr="008A7EB5" w:rsidRDefault="007B4C85" w:rsidP="007B4C85">
      <w:pPr>
        <w:pStyle w:val="SingleTxt"/>
        <w:rPr>
          <w:rFonts w:hint="cs"/>
          <w:b/>
          <w:bCs/>
          <w:rtl/>
        </w:rPr>
      </w:pPr>
      <w:r w:rsidRPr="008A7EB5">
        <w:rPr>
          <w:rFonts w:hint="cs"/>
          <w:b/>
          <w:bCs/>
          <w:rtl/>
        </w:rPr>
        <w:t>الإعلام والعلاقات العامة</w:t>
      </w:r>
    </w:p>
    <w:p w:rsidR="007B4C85" w:rsidRDefault="007B4C85" w:rsidP="007B4C85">
      <w:pPr>
        <w:pStyle w:val="SingleTxt"/>
        <w:rPr>
          <w:rFonts w:hint="cs"/>
          <w:rtl/>
        </w:rPr>
      </w:pPr>
      <w:r>
        <w:rPr>
          <w:rFonts w:hint="cs"/>
          <w:rtl/>
        </w:rPr>
        <w:tab/>
        <w:t xml:space="preserve">في عام 2001، تم إصدار نشرة إعلامية عنوانها </w:t>
      </w:r>
      <w:r>
        <w:rPr>
          <w:rFonts w:hint="eastAsia"/>
          <w:rtl/>
        </w:rPr>
        <w:t>”للمرأة حقوق</w:t>
      </w:r>
      <w:r>
        <w:rPr>
          <w:rFonts w:hint="cs"/>
          <w:rtl/>
        </w:rPr>
        <w:t>“ تع</w:t>
      </w:r>
      <w:r>
        <w:rPr>
          <w:rFonts w:hint="cs"/>
          <w:rtl/>
          <w:lang w:bidi="ar-LB"/>
        </w:rPr>
        <w:t>الج</w:t>
      </w:r>
      <w:r>
        <w:rPr>
          <w:rFonts w:hint="cs"/>
          <w:rtl/>
        </w:rPr>
        <w:t xml:space="preserve"> موضوع النساء </w:t>
      </w:r>
      <w:r>
        <w:rPr>
          <w:rFonts w:hint="cs"/>
          <w:rtl/>
          <w:lang w:bidi="ar-LB"/>
        </w:rPr>
        <w:t xml:space="preserve">اللاتي يعانين من </w:t>
      </w:r>
      <w:r>
        <w:rPr>
          <w:rFonts w:hint="cs"/>
          <w:rtl/>
        </w:rPr>
        <w:t xml:space="preserve">العنف. وتتضمن النشرة تفاصيل عن التشريعات والمعلومات الرئيسية المتعلقة بمرافق دعم الضحايا، ويتم إرسال هذه النشرة مجانا إلى جميع النساء المهتمات بالموضوع. وشهد عام 2001 أيضا نشر تقرير عن </w:t>
      </w:r>
      <w:r>
        <w:rPr>
          <w:rFonts w:hint="eastAsia"/>
          <w:rtl/>
        </w:rPr>
        <w:t>”العنف المنزلي</w:t>
      </w:r>
      <w:r>
        <w:rPr>
          <w:rFonts w:hint="cs"/>
          <w:rtl/>
        </w:rPr>
        <w:t>“ الذي يستعرض بالتفصيل أسباب وعواقب العنف المنزلي - ويتضمن فصولا عن الأطفال/النساء/الرجال/المسنين/المعوقين - ويستعرض ثانيا التدابير العلاجية اللازمة للتصدي للمشكلة، ومن ثم يمثل عملا مرجعيا شاملا حول هذا الموضوع.</w:t>
      </w:r>
    </w:p>
    <w:p w:rsidR="007B4C85" w:rsidRDefault="007B4C85" w:rsidP="007B4C85">
      <w:pPr>
        <w:pStyle w:val="SingleTxt"/>
        <w:rPr>
          <w:rFonts w:hint="cs"/>
          <w:rtl/>
        </w:rPr>
      </w:pPr>
      <w:r>
        <w:rPr>
          <w:rFonts w:hint="cs"/>
          <w:rtl/>
        </w:rPr>
        <w:tab/>
        <w:t xml:space="preserve">وفي شهر تشرين الثاني/نوفمبر 2001، تم تمويل دراسة عنوانها </w:t>
      </w:r>
      <w:r>
        <w:rPr>
          <w:rFonts w:hint="eastAsia"/>
          <w:rtl/>
        </w:rPr>
        <w:t>”أثر العنف على صحة ال</w:t>
      </w:r>
      <w:r>
        <w:rPr>
          <w:rFonts w:hint="cs"/>
          <w:rtl/>
          <w:lang w:bidi="ar-LB"/>
        </w:rPr>
        <w:t>مرأة</w:t>
      </w:r>
      <w:r>
        <w:rPr>
          <w:rFonts w:hint="eastAsia"/>
          <w:rtl/>
        </w:rPr>
        <w:t xml:space="preserve"> </w:t>
      </w:r>
      <w:r>
        <w:rPr>
          <w:rtl/>
        </w:rPr>
        <w:t>–</w:t>
      </w:r>
      <w:r>
        <w:rPr>
          <w:rFonts w:hint="eastAsia"/>
          <w:rtl/>
        </w:rPr>
        <w:t xml:space="preserve"> ي</w:t>
      </w:r>
      <w:r>
        <w:rPr>
          <w:rFonts w:hint="cs"/>
          <w:rtl/>
          <w:lang w:bidi="ar-LB"/>
        </w:rPr>
        <w:t>جعلك</w:t>
      </w:r>
      <w:r>
        <w:rPr>
          <w:rFonts w:hint="eastAsia"/>
          <w:rtl/>
        </w:rPr>
        <w:t xml:space="preserve"> </w:t>
      </w:r>
      <w:r>
        <w:rPr>
          <w:rFonts w:hint="cs"/>
          <w:rtl/>
        </w:rPr>
        <w:t>العنف مر</w:t>
      </w:r>
      <w:r>
        <w:rPr>
          <w:rFonts w:hint="cs"/>
          <w:rtl/>
          <w:lang w:bidi="ar-LB"/>
        </w:rPr>
        <w:t>ي</w:t>
      </w:r>
      <w:r>
        <w:rPr>
          <w:rFonts w:hint="cs"/>
          <w:rtl/>
        </w:rPr>
        <w:t>ض</w:t>
      </w:r>
      <w:r>
        <w:rPr>
          <w:rFonts w:hint="cs"/>
          <w:rtl/>
          <w:lang w:bidi="ar-LB"/>
        </w:rPr>
        <w:t>ا</w:t>
      </w:r>
      <w:r>
        <w:rPr>
          <w:rFonts w:hint="eastAsia"/>
          <w:rtl/>
        </w:rPr>
        <w:t>“ (للاطلاع على مزيد من التفاصيل انظر المرفق 1).</w:t>
      </w:r>
    </w:p>
    <w:p w:rsidR="007B4C85" w:rsidRDefault="007B4C85" w:rsidP="007B4C85">
      <w:pPr>
        <w:pStyle w:val="SingleTxt"/>
        <w:rPr>
          <w:b/>
          <w:bCs/>
        </w:rPr>
      </w:pPr>
      <w:r>
        <w:rPr>
          <w:rFonts w:hint="cs"/>
          <w:b/>
          <w:bCs/>
          <w:rtl/>
        </w:rPr>
        <w:t>الحملات المناهضة للعنف في عامي 1999 و 2000</w:t>
      </w:r>
    </w:p>
    <w:p w:rsidR="007B4C85" w:rsidRDefault="007B4C85" w:rsidP="004A593D">
      <w:pPr>
        <w:pStyle w:val="SingleTxt"/>
        <w:rPr>
          <w:rFonts w:hint="cs"/>
          <w:rtl/>
        </w:rPr>
      </w:pPr>
      <w:r>
        <w:rPr>
          <w:rFonts w:hint="cs"/>
          <w:rtl/>
        </w:rPr>
        <w:tab/>
        <w:t xml:space="preserve">إن الحملة المناهضة للعنف التي بوشر بها في نهاية عام 1998 استمرت بحملة إعلامية عنوانها ”وقف العنف“ في شهري حزيران/يونيه وتموز/يوليه 1999، وركزت على زيادة الوعي </w:t>
      </w:r>
      <w:r>
        <w:rPr>
          <w:rFonts w:hint="cs"/>
          <w:rtl/>
          <w:lang w:bidi="ar-LB"/>
        </w:rPr>
        <w:t xml:space="preserve">بوجود </w:t>
      </w:r>
      <w:r>
        <w:rPr>
          <w:rFonts w:hint="cs"/>
          <w:rtl/>
        </w:rPr>
        <w:t xml:space="preserve">خط </w:t>
      </w:r>
      <w:r>
        <w:rPr>
          <w:rFonts w:hint="cs"/>
          <w:rtl/>
          <w:lang w:bidi="ar-LB"/>
        </w:rPr>
        <w:t xml:space="preserve">هاتفي </w:t>
      </w:r>
      <w:r>
        <w:rPr>
          <w:rFonts w:hint="cs"/>
          <w:rtl/>
        </w:rPr>
        <w:t xml:space="preserve">ساخن تم إنشاؤه حديثا للنساء </w:t>
      </w:r>
      <w:r>
        <w:rPr>
          <w:rFonts w:hint="cs"/>
          <w:rtl/>
          <w:lang w:bidi="ar-LB"/>
        </w:rPr>
        <w:t xml:space="preserve">اللاتي يعانين من </w:t>
      </w:r>
      <w:r>
        <w:rPr>
          <w:rFonts w:hint="cs"/>
          <w:rtl/>
        </w:rPr>
        <w:t xml:space="preserve">العنف، وللجمهور بصفة عامة. والخط </w:t>
      </w:r>
      <w:r>
        <w:rPr>
          <w:rFonts w:hint="cs"/>
          <w:rtl/>
          <w:lang w:bidi="ar-LB"/>
        </w:rPr>
        <w:t xml:space="preserve">الهاتفي </w:t>
      </w:r>
      <w:r>
        <w:rPr>
          <w:rFonts w:hint="cs"/>
          <w:rtl/>
        </w:rPr>
        <w:t>الساخن المجاني على نطاق الأمة والمفتوح 24 ساعة في اليوم هو نقطة اتصال طارئة لضحايا العنف وللأشخاص في بيئتهم الاجتماعية؛ وتم تحميل مسؤولية تشغيل الخط لمكتب مركزي تديره النساء وذلك اعتبارا من 1 حزيران/يونيه 1999، واستمرت هذه العملية خلال الفترة بأكملها التي يغطيها التقرير.</w:t>
      </w:r>
    </w:p>
    <w:p w:rsidR="007B4C85" w:rsidRDefault="007B4C85" w:rsidP="007B4C85">
      <w:pPr>
        <w:pStyle w:val="SingleTxt"/>
        <w:rPr>
          <w:rFonts w:hint="cs"/>
          <w:b/>
          <w:bCs/>
          <w:rtl/>
        </w:rPr>
      </w:pPr>
      <w:r>
        <w:rPr>
          <w:rFonts w:hint="cs"/>
          <w:b/>
          <w:bCs/>
          <w:rtl/>
        </w:rPr>
        <w:t>المادة 5، الحرف (ب)</w:t>
      </w:r>
    </w:p>
    <w:p w:rsidR="007B4C85" w:rsidRDefault="007B4C85" w:rsidP="007B4C85">
      <w:pPr>
        <w:pStyle w:val="SingleTxt"/>
        <w:rPr>
          <w:rFonts w:hint="cs"/>
          <w:b/>
          <w:bCs/>
          <w:rtl/>
        </w:rPr>
      </w:pPr>
      <w:r>
        <w:rPr>
          <w:rFonts w:hint="cs"/>
          <w:b/>
          <w:bCs/>
          <w:rtl/>
        </w:rPr>
        <w:t>الحضانة المشتركة</w:t>
      </w:r>
    </w:p>
    <w:p w:rsidR="007B4C85" w:rsidRDefault="007B4C85" w:rsidP="007B4C85">
      <w:pPr>
        <w:pStyle w:val="SingleTxt"/>
        <w:rPr>
          <w:rFonts w:hint="cs"/>
          <w:rtl/>
          <w:lang w:bidi="ar-LB"/>
        </w:rPr>
      </w:pPr>
      <w:r>
        <w:rPr>
          <w:rFonts w:hint="cs"/>
          <w:rtl/>
        </w:rPr>
        <w:tab/>
        <w:t xml:space="preserve">الحضانة هي حق وواجب </w:t>
      </w:r>
      <w:r>
        <w:rPr>
          <w:rFonts w:hint="cs"/>
          <w:rtl/>
          <w:lang w:bidi="ar-LB"/>
        </w:rPr>
        <w:t>فيما يتعلق ب</w:t>
      </w:r>
      <w:r>
        <w:rPr>
          <w:rFonts w:hint="cs"/>
          <w:rtl/>
        </w:rPr>
        <w:t xml:space="preserve">رعاية وتربية الأطفال على أساس يومي، وللعمل كممثل قانوني للطفل وإدارة أصوله. وبموجب القانون يشارك الوالدان في الحضانة المشتركة لأطفالهما إلى أن </w:t>
      </w:r>
      <w:r>
        <w:rPr>
          <w:rFonts w:hint="cs"/>
          <w:rtl/>
          <w:lang w:bidi="ar-LB"/>
        </w:rPr>
        <w:t>يدركوا</w:t>
      </w:r>
      <w:r>
        <w:rPr>
          <w:rFonts w:hint="cs"/>
          <w:rtl/>
        </w:rPr>
        <w:t xml:space="preserve"> سن البلوغ. وي</w:t>
      </w:r>
      <w:r>
        <w:rPr>
          <w:rFonts w:hint="cs"/>
          <w:rtl/>
          <w:lang w:bidi="ar-LB"/>
        </w:rPr>
        <w:t>تيح</w:t>
      </w:r>
      <w:r>
        <w:rPr>
          <w:rFonts w:hint="cs"/>
          <w:rtl/>
        </w:rPr>
        <w:t xml:space="preserve"> تعديل قانون الطفل لعام 2001 (النشرة القانونية الاتحادية الأولى رقم 135/2000 والنشرة القانونية الاتحادية الأولى رقم 29/2003) للوالدين إمكانية موافقة </w:t>
      </w:r>
      <w:r>
        <w:rPr>
          <w:rFonts w:hint="cs"/>
          <w:rtl/>
          <w:lang w:bidi="ar-LB"/>
        </w:rPr>
        <w:t xml:space="preserve">الوالدين </w:t>
      </w:r>
      <w:r>
        <w:rPr>
          <w:rFonts w:hint="cs"/>
          <w:rtl/>
        </w:rPr>
        <w:t>على الحضانة المشتركة بعد الطلاق، أو فسخ الزواج</w:t>
      </w:r>
      <w:r w:rsidRPr="000E16D6">
        <w:rPr>
          <w:rFonts w:hint="cs"/>
          <w:rtl/>
        </w:rPr>
        <w:t xml:space="preserve"> </w:t>
      </w:r>
      <w:r>
        <w:rPr>
          <w:rFonts w:hint="cs"/>
          <w:rtl/>
        </w:rPr>
        <w:t>أو حل</w:t>
      </w:r>
      <w:r>
        <w:rPr>
          <w:rFonts w:hint="cs"/>
          <w:rtl/>
          <w:lang w:bidi="ar-LB"/>
        </w:rPr>
        <w:t>ه</w:t>
      </w:r>
      <w:r>
        <w:rPr>
          <w:rFonts w:hint="cs"/>
          <w:rtl/>
        </w:rPr>
        <w:t xml:space="preserve">. وفي حالة الحضانة المشتركة، يجوز لحقوق الحضانة لأحد الوالدين أن تكون مقصورة على مسائل محددة. ويجب عرض الاتفاق على المحكمة </w:t>
      </w:r>
      <w:r>
        <w:rPr>
          <w:rFonts w:hint="cs"/>
          <w:rtl/>
          <w:lang w:bidi="ar-LB"/>
        </w:rPr>
        <w:t>ويجب</w:t>
      </w:r>
      <w:r>
        <w:rPr>
          <w:rFonts w:hint="cs"/>
          <w:rtl/>
        </w:rPr>
        <w:t xml:space="preserve"> أن ي</w:t>
      </w:r>
      <w:r>
        <w:rPr>
          <w:rFonts w:hint="cs"/>
          <w:rtl/>
          <w:lang w:bidi="ar-LB"/>
        </w:rPr>
        <w:t>حدد</w:t>
      </w:r>
      <w:r>
        <w:rPr>
          <w:rFonts w:hint="cs"/>
          <w:rtl/>
        </w:rPr>
        <w:t xml:space="preserve"> </w:t>
      </w:r>
      <w:r>
        <w:rPr>
          <w:rFonts w:hint="cs"/>
          <w:rtl/>
          <w:lang w:bidi="ar-LB"/>
        </w:rPr>
        <w:t xml:space="preserve">مَن </w:t>
      </w:r>
      <w:r>
        <w:rPr>
          <w:rFonts w:hint="cs"/>
          <w:rtl/>
        </w:rPr>
        <w:t>م</w:t>
      </w:r>
      <w:r>
        <w:rPr>
          <w:rFonts w:hint="cs"/>
          <w:rtl/>
          <w:lang w:bidi="ar-LB"/>
        </w:rPr>
        <w:t>ٍٍٍٍٍِِِِ</w:t>
      </w:r>
      <w:r>
        <w:rPr>
          <w:rFonts w:hint="cs"/>
          <w:rtl/>
        </w:rPr>
        <w:t>ن الوالدين سيقيم الطفل معه معظم</w:t>
      </w:r>
      <w:r>
        <w:rPr>
          <w:rFonts w:hint="cs"/>
          <w:rtl/>
          <w:lang w:bidi="ar-LB"/>
        </w:rPr>
        <w:t>ٍِ</w:t>
      </w:r>
      <w:r>
        <w:rPr>
          <w:rFonts w:hint="cs"/>
          <w:rtl/>
        </w:rPr>
        <w:t xml:space="preserve"> الوقت، ويجب في هذه الحالة إسناد الحضانة الكاملة إلى هذا الشخص. والمحكمة ملزمة بالموافقة على اتفاق الوالدين إذا رأت أن ذلك هو من مصلحة الطفل.</w:t>
      </w:r>
    </w:p>
    <w:p w:rsidR="007B4C85" w:rsidRDefault="007B4C85" w:rsidP="007B4C85">
      <w:pPr>
        <w:pStyle w:val="SingleTxt"/>
        <w:rPr>
          <w:rFonts w:hint="cs"/>
          <w:b/>
          <w:bCs/>
          <w:rtl/>
        </w:rPr>
      </w:pPr>
      <w:r>
        <w:rPr>
          <w:rFonts w:hint="cs"/>
          <w:b/>
          <w:bCs/>
          <w:rtl/>
        </w:rPr>
        <w:t>حق الطفل في كل من الوالدين</w:t>
      </w:r>
    </w:p>
    <w:p w:rsidR="007B4C85" w:rsidRDefault="007B4C85" w:rsidP="007B4C85">
      <w:pPr>
        <w:pStyle w:val="SingleTxt"/>
        <w:rPr>
          <w:rFonts w:hint="cs"/>
          <w:rtl/>
        </w:rPr>
      </w:pPr>
      <w:r>
        <w:rPr>
          <w:rFonts w:hint="cs"/>
          <w:rtl/>
        </w:rPr>
        <w:tab/>
        <w:t xml:space="preserve">تم في عام 2001 إنشاء إدارة أبحاث </w:t>
      </w:r>
      <w:r>
        <w:rPr>
          <w:rFonts w:hint="cs"/>
          <w:rtl/>
          <w:lang w:bidi="ar-LB"/>
        </w:rPr>
        <w:t xml:space="preserve">في مجال </w:t>
      </w:r>
      <w:r>
        <w:rPr>
          <w:rFonts w:hint="cs"/>
          <w:rtl/>
        </w:rPr>
        <w:t>السياسات المتعلقة بالرجال في الوزارة الاتحادية للتأمينات الاجتماعية والأجيال</w:t>
      </w:r>
      <w:r>
        <w:rPr>
          <w:rFonts w:hint="cs"/>
          <w:rtl/>
          <w:lang w:bidi="ar-LB"/>
        </w:rPr>
        <w:t>،</w:t>
      </w:r>
      <w:r>
        <w:rPr>
          <w:rFonts w:hint="cs"/>
          <w:rtl/>
        </w:rPr>
        <w:t xml:space="preserve"> بهدف الاضطلاع بأعمال في مجال العلاقات العامة والأبحاث السياسية </w:t>
      </w:r>
      <w:r>
        <w:rPr>
          <w:rFonts w:hint="cs"/>
          <w:rtl/>
          <w:lang w:bidi="ar-LB"/>
        </w:rPr>
        <w:t>للتصدي</w:t>
      </w:r>
      <w:r>
        <w:rPr>
          <w:rFonts w:hint="cs"/>
          <w:rtl/>
        </w:rPr>
        <w:t xml:space="preserve"> </w:t>
      </w:r>
      <w:r>
        <w:rPr>
          <w:rFonts w:hint="cs"/>
          <w:rtl/>
          <w:lang w:bidi="ar-LB"/>
        </w:rPr>
        <w:t>ل</w:t>
      </w:r>
      <w:r>
        <w:rPr>
          <w:rFonts w:hint="cs"/>
          <w:rtl/>
        </w:rPr>
        <w:t>لقوالب ال</w:t>
      </w:r>
      <w:r>
        <w:rPr>
          <w:rFonts w:hint="cs"/>
          <w:rtl/>
          <w:lang w:bidi="ar-LB"/>
        </w:rPr>
        <w:t>نمط</w:t>
      </w:r>
      <w:r>
        <w:rPr>
          <w:rFonts w:hint="cs"/>
          <w:rtl/>
        </w:rPr>
        <w:t>ية لدور الرجال والفتيان. ونظرا لأهمية تطوير مفاهيم جديدة لدور الآباء</w:t>
      </w:r>
      <w:r>
        <w:rPr>
          <w:rFonts w:hint="cs"/>
          <w:rtl/>
          <w:lang w:bidi="ar-LB"/>
        </w:rPr>
        <w:t>،</w:t>
      </w:r>
      <w:r>
        <w:rPr>
          <w:rFonts w:hint="cs"/>
          <w:rtl/>
        </w:rPr>
        <w:t xml:space="preserve"> ونماذج جديدة يحتذى بها للاستعاضة </w:t>
      </w:r>
      <w:r>
        <w:rPr>
          <w:rFonts w:hint="cs"/>
          <w:rtl/>
          <w:lang w:bidi="ar-LB"/>
        </w:rPr>
        <w:t xml:space="preserve">بها </w:t>
      </w:r>
      <w:r>
        <w:rPr>
          <w:rFonts w:hint="cs"/>
          <w:rtl/>
        </w:rPr>
        <w:t>عن القوالب ال</w:t>
      </w:r>
      <w:r>
        <w:rPr>
          <w:rFonts w:hint="cs"/>
          <w:rtl/>
          <w:lang w:bidi="ar-LB"/>
        </w:rPr>
        <w:t>نمط</w:t>
      </w:r>
      <w:r>
        <w:rPr>
          <w:rFonts w:hint="cs"/>
          <w:rtl/>
        </w:rPr>
        <w:t xml:space="preserve">ية، تم في عام 2003 طلب إجراء مشروع بحثي عنوانه </w:t>
      </w:r>
      <w:r>
        <w:rPr>
          <w:rFonts w:hint="eastAsia"/>
          <w:rtl/>
        </w:rPr>
        <w:t>”عالم الآباء والأطفال، والعلاقات الأبوية الإيجابية، وهوية الذكور</w:t>
      </w:r>
      <w:r>
        <w:rPr>
          <w:rFonts w:hint="cs"/>
          <w:rtl/>
        </w:rPr>
        <w:t>“ والعمل جارٍ في هذا المشروع.</w:t>
      </w:r>
    </w:p>
    <w:p w:rsidR="007B4C85" w:rsidRDefault="007B4C85" w:rsidP="007B4C85">
      <w:pPr>
        <w:pStyle w:val="SingleTxt"/>
        <w:rPr>
          <w:rFonts w:hint="cs"/>
          <w:b/>
          <w:bCs/>
          <w:rtl/>
          <w:lang w:bidi="ar-LB"/>
        </w:rPr>
      </w:pPr>
      <w:r>
        <w:rPr>
          <w:rFonts w:hint="cs"/>
          <w:b/>
          <w:bCs/>
          <w:rtl/>
        </w:rPr>
        <w:t>المادة 6</w:t>
      </w:r>
    </w:p>
    <w:p w:rsidR="007B4C85" w:rsidRPr="000904D9" w:rsidRDefault="007B4C85" w:rsidP="007B4C85">
      <w:pPr>
        <w:pStyle w:val="SingleTxt"/>
        <w:rPr>
          <w:rFonts w:hint="cs"/>
          <w:rtl/>
        </w:rPr>
      </w:pPr>
      <w:r w:rsidRPr="000904D9">
        <w:rPr>
          <w:rFonts w:hint="cs"/>
          <w:rtl/>
        </w:rPr>
        <w:t>للحصول على معلومات حول معلومات مكافحة الاتجار بالنساء انظر التوصية</w:t>
      </w:r>
      <w:r w:rsidRPr="000904D9">
        <w:rPr>
          <w:rFonts w:hint="eastAsia"/>
          <w:rtl/>
        </w:rPr>
        <w:t> </w:t>
      </w:r>
      <w:r w:rsidRPr="000904D9">
        <w:rPr>
          <w:rFonts w:hint="cs"/>
          <w:rtl/>
        </w:rPr>
        <w:t>228</w:t>
      </w:r>
    </w:p>
    <w:p w:rsidR="007B4C85" w:rsidRDefault="007B4C85" w:rsidP="007B4C85">
      <w:pPr>
        <w:pStyle w:val="SingleTxt"/>
        <w:rPr>
          <w:rFonts w:hint="cs"/>
          <w:rtl/>
        </w:rPr>
      </w:pPr>
      <w:r>
        <w:rPr>
          <w:rFonts w:hint="cs"/>
          <w:b/>
          <w:bCs/>
          <w:rtl/>
        </w:rPr>
        <w:t xml:space="preserve">الدعارة في فيينا: </w:t>
      </w:r>
      <w:r>
        <w:rPr>
          <w:rFonts w:hint="cs"/>
          <w:rtl/>
        </w:rPr>
        <w:t>في عام 2003، كان هناك 531 امرأة مسجلة تعمل في الدعارة في فيينا (مقارنة بـ 12 رجلا). وفي السنوات السابقة، كان هذا العدد في انخفاض (فوصل إلى 474 في عام 2002) ولكن بدأ في عام 2003 في الارتفاع مرة أخرى للمرة الأولى. وربما يعود ذلك إلى أنه في نهاية عام 2002 تم التوصل إلى اتفاق مع شرطة الأجانب مفاده أنه يجوز لأصحاب طلبات اللجوء ال</w:t>
      </w:r>
      <w:r>
        <w:rPr>
          <w:rFonts w:hint="cs"/>
          <w:rtl/>
          <w:lang w:bidi="ar-LB"/>
        </w:rPr>
        <w:t>لاتي</w:t>
      </w:r>
      <w:r>
        <w:rPr>
          <w:rFonts w:hint="cs"/>
          <w:rtl/>
        </w:rPr>
        <w:t xml:space="preserve"> يحملن تصريح إقامة مؤقت</w:t>
      </w:r>
      <w:r>
        <w:rPr>
          <w:rFonts w:hint="cs"/>
          <w:rtl/>
          <w:lang w:bidi="ar-LB"/>
        </w:rPr>
        <w:t>ة</w:t>
      </w:r>
      <w:r>
        <w:rPr>
          <w:rFonts w:hint="cs"/>
          <w:rtl/>
        </w:rPr>
        <w:t xml:space="preserve"> أن يتقدم</w:t>
      </w:r>
      <w:r>
        <w:rPr>
          <w:rFonts w:hint="cs"/>
          <w:rtl/>
          <w:lang w:bidi="ar-LB"/>
        </w:rPr>
        <w:t>ن</w:t>
      </w:r>
      <w:r>
        <w:rPr>
          <w:rFonts w:hint="cs"/>
          <w:rtl/>
        </w:rPr>
        <w:t xml:space="preserve"> بطلب للحصول على ما يسمى ”بطاقة الفحص الطبية</w:t>
      </w:r>
      <w:r>
        <w:rPr>
          <w:rFonts w:hint="eastAsia"/>
          <w:rtl/>
        </w:rPr>
        <w:t xml:space="preserve">“ مما يسمح لهن بالعمل كداعرات. </w:t>
      </w:r>
      <w:r>
        <w:rPr>
          <w:rFonts w:hint="cs"/>
          <w:rtl/>
        </w:rPr>
        <w:t xml:space="preserve">وأدى ذلك إلى زيادة عدد الداعرات المسجلات، لا سيما بين النساء الأفريقيات. </w:t>
      </w:r>
    </w:p>
    <w:p w:rsidR="007B4C85" w:rsidRDefault="007B4C85" w:rsidP="007B4C85">
      <w:pPr>
        <w:pStyle w:val="SingleTxt"/>
        <w:rPr>
          <w:rFonts w:hint="cs"/>
          <w:rtl/>
        </w:rPr>
      </w:pPr>
      <w:r w:rsidRPr="00254832">
        <w:rPr>
          <w:rFonts w:hint="cs"/>
          <w:b/>
          <w:bCs/>
          <w:rtl/>
        </w:rPr>
        <w:t>الداعرات غير المسجلات:</w:t>
      </w:r>
      <w:r>
        <w:rPr>
          <w:rFonts w:hint="cs"/>
          <w:rtl/>
        </w:rPr>
        <w:t xml:space="preserve"> يعمل بصورة منتظمة حوالي 000 3 امرأة في الدعارة في الخفاء، ويقدر أن 80 في المائة منهن من غير النمساويات. </w:t>
      </w:r>
    </w:p>
    <w:p w:rsidR="007B4C85" w:rsidRDefault="007B4C85" w:rsidP="007B4C85">
      <w:pPr>
        <w:pStyle w:val="SingleTxt"/>
        <w:rPr>
          <w:rFonts w:hint="cs"/>
          <w:rtl/>
        </w:rPr>
      </w:pPr>
      <w:r w:rsidRPr="00254832">
        <w:rPr>
          <w:rFonts w:hint="cs"/>
          <w:rtl/>
        </w:rPr>
        <w:t>(المصدر: إحصائيات وتقديرات من وزارة الداخلية الاتحادية).</w:t>
      </w:r>
    </w:p>
    <w:p w:rsidR="007B4C85" w:rsidRPr="00254832" w:rsidRDefault="007B4C85" w:rsidP="007B4C85">
      <w:pPr>
        <w:pStyle w:val="SingleTxt"/>
        <w:spacing w:after="0" w:line="120" w:lineRule="exact"/>
        <w:rPr>
          <w:rFonts w:hint="cs"/>
          <w:sz w:val="10"/>
          <w:rtl/>
        </w:rPr>
      </w:pPr>
    </w:p>
    <w:p w:rsidR="007B4C85" w:rsidRPr="00254832" w:rsidRDefault="007B4C85" w:rsidP="007B4C85">
      <w:pPr>
        <w:pStyle w:val="SingleTxt"/>
        <w:rPr>
          <w:rFonts w:hint="cs"/>
          <w:b/>
          <w:bCs/>
          <w:rtl/>
        </w:rPr>
      </w:pPr>
      <w:r w:rsidRPr="00254832">
        <w:rPr>
          <w:rFonts w:hint="cs"/>
          <w:b/>
          <w:bCs/>
          <w:rtl/>
        </w:rPr>
        <w:t>التدابير المتخذة لمنع استغلال الأطفال جنسيا</w:t>
      </w:r>
    </w:p>
    <w:p w:rsidR="007B4C85" w:rsidRDefault="007B4C85" w:rsidP="007B4C85">
      <w:pPr>
        <w:pStyle w:val="SingleTxt"/>
        <w:rPr>
          <w:rFonts w:hint="cs"/>
          <w:rtl/>
        </w:rPr>
      </w:pPr>
      <w:r w:rsidRPr="00254832">
        <w:rPr>
          <w:rFonts w:hint="cs"/>
          <w:rtl/>
        </w:rPr>
        <w:tab/>
        <w:t xml:space="preserve">تمشيا </w:t>
      </w:r>
      <w:r>
        <w:rPr>
          <w:rFonts w:hint="cs"/>
          <w:rtl/>
        </w:rPr>
        <w:t xml:space="preserve">مع اللوائح الجديدة المتعلقة بالإساءة إلى الأحداث جنسيا، وهي اللوائح الموضوعة في إطار تعديل القانون الجنائي لعام 2002 (النشرة القانونية الاتحادية الأولى رقم 134/2002)، </w:t>
      </w:r>
      <w:r>
        <w:rPr>
          <w:rFonts w:hint="cs"/>
          <w:rtl/>
          <w:lang w:bidi="ar-LB"/>
        </w:rPr>
        <w:t>يعاقب الآن على</w:t>
      </w:r>
      <w:r>
        <w:rPr>
          <w:rFonts w:hint="cs"/>
          <w:rtl/>
        </w:rPr>
        <w:t xml:space="preserve"> جريمة الاتصال جنسيا </w:t>
      </w:r>
      <w:r>
        <w:rPr>
          <w:rFonts w:hint="cs"/>
          <w:rtl/>
          <w:lang w:bidi="ar-LB"/>
        </w:rPr>
        <w:t xml:space="preserve">بالقصّر مقابل </w:t>
      </w:r>
      <w:r>
        <w:rPr>
          <w:rFonts w:hint="cs"/>
          <w:rtl/>
        </w:rPr>
        <w:t>أجر بالسجن لمدة تصل إلى ثلاث سنوات.</w:t>
      </w:r>
    </w:p>
    <w:p w:rsidR="007B4C85" w:rsidRDefault="007B4C85" w:rsidP="007B4C85">
      <w:pPr>
        <w:pStyle w:val="SingleTxt"/>
        <w:rPr>
          <w:rFonts w:hint="cs"/>
          <w:rtl/>
        </w:rPr>
      </w:pPr>
      <w:r>
        <w:rPr>
          <w:rFonts w:hint="cs"/>
          <w:rtl/>
        </w:rPr>
        <w:tab/>
        <w:t>للاطلاع على التغييرات التي تم إدخالها على تعديل القانون الجنائي لعام 2004، انظر المعلومات المفصلة تحت البند 2، الحرف (ز)، القانون الجنائي والإجراءات المتصلة بالجرائم الجنسية.</w:t>
      </w:r>
    </w:p>
    <w:p w:rsidR="007B4C85" w:rsidRDefault="007B4C85" w:rsidP="007B4C85">
      <w:pPr>
        <w:pStyle w:val="SingleTxt"/>
        <w:rPr>
          <w:rFonts w:hint="cs"/>
          <w:rtl/>
        </w:rPr>
      </w:pPr>
      <w:r>
        <w:rPr>
          <w:rFonts w:hint="cs"/>
          <w:rtl/>
        </w:rPr>
        <w:tab/>
        <w:t xml:space="preserve">وفيما يتعلق بالأقاليم، يقدم إقليم النمسا العليا تمويلا للرابطات النسائية </w:t>
      </w:r>
      <w:r>
        <w:t>PIA</w:t>
      </w:r>
      <w:r>
        <w:rPr>
          <w:rFonts w:hint="cs"/>
          <w:rtl/>
        </w:rPr>
        <w:t xml:space="preserve"> و</w:t>
      </w:r>
      <w:r>
        <w:rPr>
          <w:rFonts w:hint="eastAsia"/>
          <w:rtl/>
        </w:rPr>
        <w:t> </w:t>
      </w:r>
      <w:r>
        <w:t>MAIZ</w:t>
      </w:r>
      <w:r>
        <w:rPr>
          <w:rFonts w:hint="cs"/>
          <w:rtl/>
        </w:rPr>
        <w:t xml:space="preserve"> و </w:t>
      </w:r>
      <w:r>
        <w:t>LENA</w:t>
      </w:r>
      <w:r>
        <w:rPr>
          <w:rFonts w:hint="cs"/>
          <w:rtl/>
        </w:rPr>
        <w:t>، وتركز أعمال هذه الرابطات على مسائل الدعارة والاتجار بالمرأة.</w:t>
      </w:r>
    </w:p>
    <w:p w:rsidR="007B4C85" w:rsidRDefault="007B4C85" w:rsidP="007B4C85">
      <w:pPr>
        <w:pStyle w:val="SingleTxt"/>
        <w:rPr>
          <w:rFonts w:hint="cs"/>
          <w:b/>
          <w:bCs/>
          <w:rtl/>
        </w:rPr>
      </w:pPr>
      <w:r>
        <w:rPr>
          <w:rFonts w:hint="cs"/>
          <w:b/>
          <w:bCs/>
          <w:rtl/>
        </w:rPr>
        <w:t>المادة 7</w:t>
      </w:r>
    </w:p>
    <w:p w:rsidR="007B4C85" w:rsidRDefault="007B4C85" w:rsidP="007B4C85">
      <w:pPr>
        <w:pStyle w:val="SingleTxt"/>
        <w:rPr>
          <w:rFonts w:hint="cs"/>
          <w:b/>
          <w:bCs/>
          <w:rtl/>
        </w:rPr>
      </w:pPr>
      <w:r>
        <w:rPr>
          <w:rFonts w:hint="cs"/>
          <w:b/>
          <w:bCs/>
          <w:rtl/>
        </w:rPr>
        <w:t>المادة 7، الحرف (أ)</w:t>
      </w:r>
    </w:p>
    <w:p w:rsidR="007B4C85" w:rsidRPr="00254832" w:rsidRDefault="007B4C85" w:rsidP="007B4C85">
      <w:pPr>
        <w:pStyle w:val="SingleTxt"/>
        <w:rPr>
          <w:rFonts w:hint="cs"/>
          <w:b/>
          <w:bCs/>
          <w:rtl/>
        </w:rPr>
      </w:pPr>
      <w:r w:rsidRPr="00254832">
        <w:rPr>
          <w:rFonts w:hint="cs"/>
          <w:b/>
          <w:bCs/>
          <w:rtl/>
        </w:rPr>
        <w:t xml:space="preserve">النساء اللاتي يشغلن مناصب سياسية وعامة </w:t>
      </w:r>
    </w:p>
    <w:p w:rsidR="007B4C85" w:rsidRDefault="007B4C85" w:rsidP="007B4C85">
      <w:pPr>
        <w:pStyle w:val="SingleTxt"/>
        <w:rPr>
          <w:rFonts w:hint="cs"/>
          <w:rtl/>
        </w:rPr>
      </w:pPr>
      <w:r>
        <w:rPr>
          <w:rFonts w:hint="cs"/>
          <w:rtl/>
        </w:rPr>
        <w:tab/>
        <w:t>تختلف نسبة النساء اللاتي يشغلن مناصب سياسية في كانون الأول/ديسمبر 2003 عن الأرقام التي أعطيت في التقرير القطري الخامس. واعتبارا من عام 1999، تشغل الآن ثلاث نساء وظائف في الوزارات الاتحادية، و</w:t>
      </w:r>
      <w:r>
        <w:rPr>
          <w:rFonts w:hint="cs"/>
          <w:rtl/>
          <w:lang w:bidi="ar-LB"/>
        </w:rPr>
        <w:t xml:space="preserve">تشغل </w:t>
      </w:r>
      <w:r>
        <w:rPr>
          <w:rFonts w:hint="cs"/>
          <w:rtl/>
        </w:rPr>
        <w:t xml:space="preserve">إحداهن  منصب وزيرة. وبسبب الزيادة في عدد المكاتب الحكومية من </w:t>
      </w:r>
      <w:r>
        <w:rPr>
          <w:rFonts w:hint="cs"/>
          <w:rtl/>
          <w:lang w:bidi="ar-LB"/>
        </w:rPr>
        <w:t>جراء</w:t>
      </w:r>
      <w:r>
        <w:rPr>
          <w:rFonts w:hint="cs"/>
          <w:rtl/>
        </w:rPr>
        <w:t xml:space="preserve"> إضافة منصب وزيرين، فإن نسبة النساء العاملات</w:t>
      </w:r>
      <w:r>
        <w:rPr>
          <w:rFonts w:hint="cs"/>
          <w:rtl/>
          <w:lang w:bidi="ar-LB"/>
        </w:rPr>
        <w:t xml:space="preserve"> حاليا </w:t>
      </w:r>
      <w:r>
        <w:rPr>
          <w:rFonts w:hint="cs"/>
          <w:rtl/>
        </w:rPr>
        <w:t xml:space="preserve"> في الحكومة </w:t>
      </w:r>
      <w:r>
        <w:rPr>
          <w:rFonts w:hint="cs"/>
          <w:rtl/>
          <w:lang w:bidi="ar-LB"/>
        </w:rPr>
        <w:t>و</w:t>
      </w:r>
      <w:r>
        <w:rPr>
          <w:rFonts w:hint="cs"/>
          <w:rtl/>
        </w:rPr>
        <w:t>البالغة 22.2 في المائة هي في الوقت الراهن أقل مما كانت عليه في عام 1999 (25 في المائة). ونسبة النساء الاجمالية للبرلمانيات ارتفعت من 28 في المائة (عام 1999) إلى 33.9 في المائة اليوم، وتتراوح النسبة المئوية داخل الأحزاب السياسية بين 27.7 في المائة (حزب الحرية) و 58.8 في المائة (حزب الخضر).</w:t>
      </w:r>
    </w:p>
    <w:p w:rsidR="007B4C85" w:rsidRDefault="007B4C85" w:rsidP="007B4C85">
      <w:pPr>
        <w:pStyle w:val="SingleTxt"/>
        <w:rPr>
          <w:rFonts w:hint="cs"/>
          <w:rtl/>
        </w:rPr>
      </w:pPr>
      <w:r>
        <w:rPr>
          <w:rFonts w:hint="cs"/>
          <w:rtl/>
        </w:rPr>
        <w:tab/>
        <w:t>ومن حيث عدد البرلمانيات في البرلمان الأوروبي، تفتخر النمسا بأن لها أكبر نسبة بين الدول الأعضاء في الاتحاد الأوروبي. وإن نسبة النساء بين البرلمانيات النمساويات في الاتحاد الأوروبي (38.1 في المائة) ظل بدون تغيير منذ عام 1999، بما أن الانتخابات القادمة ل</w:t>
      </w:r>
      <w:r>
        <w:rPr>
          <w:rFonts w:hint="cs"/>
          <w:rtl/>
          <w:lang w:bidi="ar-LB"/>
        </w:rPr>
        <w:t>ن</w:t>
      </w:r>
      <w:r>
        <w:rPr>
          <w:rFonts w:hint="eastAsia"/>
          <w:rtl/>
        </w:rPr>
        <w:t> </w:t>
      </w:r>
      <w:r>
        <w:rPr>
          <w:rFonts w:hint="cs"/>
          <w:rtl/>
        </w:rPr>
        <w:t>تعقد حتى عام 2004.</w:t>
      </w:r>
    </w:p>
    <w:p w:rsidR="007B4C85" w:rsidRDefault="007B4C85" w:rsidP="007B4C85">
      <w:pPr>
        <w:pStyle w:val="SingleTxt"/>
        <w:rPr>
          <w:rFonts w:hint="cs"/>
          <w:rtl/>
        </w:rPr>
      </w:pPr>
      <w:r>
        <w:rPr>
          <w:rFonts w:hint="cs"/>
          <w:rtl/>
        </w:rPr>
        <w:tab/>
        <w:t xml:space="preserve">وحدثت زيادة كبيرة في المشاركة السياسية للمرأة على صعيد الأقاليم، </w:t>
      </w:r>
      <w:r>
        <w:rPr>
          <w:rFonts w:hint="cs"/>
          <w:rtl/>
          <w:lang w:bidi="ar-LB"/>
        </w:rPr>
        <w:t>و</w:t>
      </w:r>
      <w:r>
        <w:rPr>
          <w:rFonts w:hint="cs"/>
          <w:rtl/>
        </w:rPr>
        <w:t xml:space="preserve">في كل الأقاليم تقريبا: </w:t>
      </w:r>
    </w:p>
    <w:p w:rsidR="007B4C85" w:rsidRDefault="007B4C85" w:rsidP="004A593D">
      <w:pPr>
        <w:pStyle w:val="SingleTxt"/>
        <w:rPr>
          <w:rFonts w:hint="cs"/>
          <w:rtl/>
          <w:lang w:bidi="ar-LB"/>
        </w:rPr>
      </w:pPr>
      <w:r>
        <w:rPr>
          <w:rFonts w:hint="cs"/>
          <w:rtl/>
        </w:rPr>
        <w:tab/>
        <w:t>تلاحظ أقل نسبة في إقليم كارينثيا حيث لا تتجاوز نسبة النساء في برلمان الإقليم 16.7 في المائة، على الرغم من أن هذه النسبة لا تزال أعلى من أدنى نسبة تم الإبلاغ عنها في عام 1999، أي 6 في المائة في إقليم بورغي</w:t>
      </w:r>
      <w:r>
        <w:rPr>
          <w:rFonts w:hint="cs"/>
          <w:rtl/>
          <w:lang w:bidi="ar-LB"/>
        </w:rPr>
        <w:t>ن</w:t>
      </w:r>
      <w:r>
        <w:rPr>
          <w:rFonts w:hint="cs"/>
          <w:rtl/>
        </w:rPr>
        <w:t>لاند. ونجح إقليم بورغي</w:t>
      </w:r>
      <w:r>
        <w:rPr>
          <w:rFonts w:hint="cs"/>
          <w:rtl/>
          <w:lang w:bidi="ar-LB"/>
        </w:rPr>
        <w:t>ن</w:t>
      </w:r>
      <w:r>
        <w:rPr>
          <w:rFonts w:hint="cs"/>
          <w:rtl/>
        </w:rPr>
        <w:t xml:space="preserve">لاند منذ ذلك الوقت في زيادة نسبة النساء في برلمانه الإقليمي إلى 19.4 في المائة. ويفتخر في الوقت الراهن إقليم النمسا العليا بأن لديه أعلى نسبة من النساء </w:t>
      </w:r>
      <w:r>
        <w:rPr>
          <w:rFonts w:hint="cs"/>
          <w:rtl/>
          <w:lang w:bidi="ar-LB"/>
        </w:rPr>
        <w:t>بين</w:t>
      </w:r>
      <w:r>
        <w:rPr>
          <w:rFonts w:hint="cs"/>
          <w:rtl/>
        </w:rPr>
        <w:t xml:space="preserve"> برلمان</w:t>
      </w:r>
      <w:r>
        <w:rPr>
          <w:rFonts w:hint="cs"/>
          <w:rtl/>
          <w:lang w:bidi="ar-LB"/>
        </w:rPr>
        <w:t>ات</w:t>
      </w:r>
      <w:r>
        <w:rPr>
          <w:rFonts w:hint="cs"/>
          <w:rtl/>
        </w:rPr>
        <w:t xml:space="preserve"> ا</w:t>
      </w:r>
      <w:r w:rsidR="004A593D">
        <w:rPr>
          <w:rFonts w:hint="cs"/>
          <w:rtl/>
        </w:rPr>
        <w:t>لأ</w:t>
      </w:r>
      <w:r>
        <w:rPr>
          <w:rFonts w:hint="cs"/>
          <w:rtl/>
        </w:rPr>
        <w:t>ق</w:t>
      </w:r>
      <w:r>
        <w:rPr>
          <w:rFonts w:hint="cs"/>
          <w:rtl/>
          <w:lang w:bidi="ar-LB"/>
        </w:rPr>
        <w:t>ا</w:t>
      </w:r>
      <w:r>
        <w:rPr>
          <w:rFonts w:hint="cs"/>
          <w:rtl/>
        </w:rPr>
        <w:t xml:space="preserve">ليم أي 37.5 في المائة، ويليه فورا إقليم سالزبورغ (36.1 في المائة) وفيينا (35 في المائة)، وفورارلبيرغ (33.3 في المائة) وتيرول (30.6 في المائة). ويفتخر إقليم فيينا بأن لديه أعلى نسبة من النساء </w:t>
      </w:r>
      <w:r>
        <w:rPr>
          <w:rFonts w:hint="cs"/>
          <w:rtl/>
          <w:lang w:bidi="ar-LB"/>
        </w:rPr>
        <w:t>بين</w:t>
      </w:r>
      <w:r>
        <w:rPr>
          <w:rFonts w:hint="cs"/>
          <w:rtl/>
        </w:rPr>
        <w:t xml:space="preserve"> حكوم</w:t>
      </w:r>
      <w:r>
        <w:rPr>
          <w:rFonts w:hint="cs"/>
          <w:rtl/>
          <w:lang w:bidi="ar-LB"/>
        </w:rPr>
        <w:t>ات</w:t>
      </w:r>
      <w:r>
        <w:rPr>
          <w:rFonts w:hint="cs"/>
          <w:rtl/>
        </w:rPr>
        <w:t xml:space="preserve"> الإق</w:t>
      </w:r>
      <w:r>
        <w:rPr>
          <w:rFonts w:hint="cs"/>
          <w:rtl/>
          <w:lang w:bidi="ar-LB"/>
        </w:rPr>
        <w:t>ا</w:t>
      </w:r>
      <w:r>
        <w:rPr>
          <w:rFonts w:hint="cs"/>
          <w:rtl/>
        </w:rPr>
        <w:t>ليم أي 46.7 في المائة، و</w:t>
      </w:r>
      <w:r>
        <w:rPr>
          <w:rFonts w:hint="cs"/>
          <w:rtl/>
          <w:lang w:bidi="ar-LB"/>
        </w:rPr>
        <w:t xml:space="preserve">يليه </w:t>
      </w:r>
      <w:r>
        <w:rPr>
          <w:rFonts w:hint="cs"/>
          <w:rtl/>
        </w:rPr>
        <w:t>مباشرة إقليم النمسا السفلى ونسبة النساء في حكومة الإقليم 44.4 في المائة و</w:t>
      </w:r>
      <w:r>
        <w:rPr>
          <w:rFonts w:hint="cs"/>
          <w:rtl/>
          <w:lang w:bidi="ar-LB"/>
        </w:rPr>
        <w:t xml:space="preserve">النسبة في </w:t>
      </w:r>
      <w:r>
        <w:rPr>
          <w:rFonts w:hint="cs"/>
          <w:rtl/>
        </w:rPr>
        <w:t>تيرول 37.5 في المائة عل</w:t>
      </w:r>
      <w:r>
        <w:rPr>
          <w:rFonts w:hint="cs"/>
          <w:rtl/>
          <w:lang w:bidi="ar-LB"/>
        </w:rPr>
        <w:t xml:space="preserve">ما بأن </w:t>
      </w:r>
      <w:r>
        <w:rPr>
          <w:rFonts w:hint="cs"/>
          <w:rtl/>
        </w:rPr>
        <w:t>أدنى نسبة للنساء في حكومة من حكومات الأقاليم (11.1 في المائة) هو في إقليم النمسا العليا. ويرد مزيد من البيانات في المرفق 2.</w:t>
      </w:r>
    </w:p>
    <w:p w:rsidR="007B4C85" w:rsidRDefault="007B4C85" w:rsidP="007B4C85">
      <w:pPr>
        <w:pStyle w:val="SingleTxt"/>
        <w:rPr>
          <w:rFonts w:hint="cs"/>
          <w:b/>
          <w:bCs/>
          <w:rtl/>
        </w:rPr>
      </w:pPr>
      <w:r>
        <w:rPr>
          <w:rFonts w:hint="cs"/>
          <w:b/>
          <w:bCs/>
          <w:rtl/>
        </w:rPr>
        <w:t>الأنشطة المضطلع بها في الأقاليم من أجل زيادة نسبة النساء في المكاتب السياسية</w:t>
      </w:r>
    </w:p>
    <w:p w:rsidR="007B4C85" w:rsidRDefault="007B4C85" w:rsidP="007B4C85">
      <w:pPr>
        <w:pStyle w:val="SingleTxt"/>
        <w:rPr>
          <w:rFonts w:hint="cs"/>
          <w:rtl/>
        </w:rPr>
      </w:pPr>
      <w:r>
        <w:rPr>
          <w:rFonts w:hint="cs"/>
          <w:rtl/>
        </w:rPr>
        <w:tab/>
        <w:t>تم منذ عام 2001</w:t>
      </w:r>
      <w:r>
        <w:rPr>
          <w:rFonts w:hint="cs"/>
          <w:rtl/>
          <w:lang w:bidi="ar-LB"/>
        </w:rPr>
        <w:t>،</w:t>
      </w:r>
      <w:r>
        <w:rPr>
          <w:rFonts w:hint="cs"/>
          <w:rtl/>
        </w:rPr>
        <w:t xml:space="preserve"> </w:t>
      </w:r>
      <w:r>
        <w:rPr>
          <w:rFonts w:hint="cs"/>
          <w:rtl/>
          <w:lang w:bidi="ar-LB"/>
        </w:rPr>
        <w:t xml:space="preserve">تم </w:t>
      </w:r>
      <w:r>
        <w:rPr>
          <w:rFonts w:hint="cs"/>
          <w:rtl/>
        </w:rPr>
        <w:t xml:space="preserve">تنظيم دورات دراسية في إقليم تيرول عن المرأة العاملة في مجال السياسة، كما تم تنظيم حلقات متابعة </w:t>
      </w:r>
      <w:r>
        <w:rPr>
          <w:rFonts w:hint="cs"/>
          <w:rtl/>
          <w:lang w:bidi="ar-LB"/>
        </w:rPr>
        <w:t>في هذا الشأن</w:t>
      </w:r>
      <w:r>
        <w:rPr>
          <w:rFonts w:hint="cs"/>
          <w:rtl/>
        </w:rPr>
        <w:t xml:space="preserve"> منذ عام 2003. </w:t>
      </w:r>
    </w:p>
    <w:p w:rsidR="007B4C85" w:rsidRDefault="007B4C85" w:rsidP="007B4C85">
      <w:pPr>
        <w:pStyle w:val="SingleTxt"/>
        <w:rPr>
          <w:rFonts w:hint="cs"/>
          <w:rtl/>
        </w:rPr>
      </w:pPr>
      <w:r>
        <w:rPr>
          <w:rFonts w:hint="cs"/>
          <w:rtl/>
        </w:rPr>
        <w:tab/>
        <w:t xml:space="preserve">نظم إقليم النمسا العليا في عام 2000 أول دورة تدريبية للنساء في مجال رسم السياسات، والدورة الدراسية الرابعة جارية. وبالإضافة إلى ذلك، يجري في الوقت الراهن عقد حلقة تدريبية للفتيات اللاتي يتراوح عمرهن بين 15 و 18 سنة للمرة الثالثة حول موضوع </w:t>
      </w:r>
      <w:r>
        <w:rPr>
          <w:rFonts w:hint="eastAsia"/>
          <w:rtl/>
        </w:rPr>
        <w:t xml:space="preserve">”الفتيات </w:t>
      </w:r>
      <w:r>
        <w:rPr>
          <w:rFonts w:hint="cs"/>
          <w:rtl/>
          <w:lang w:bidi="ar-LB"/>
        </w:rPr>
        <w:t xml:space="preserve">اللاتي لديهن شخصية </w:t>
      </w:r>
      <w:r>
        <w:rPr>
          <w:rFonts w:hint="eastAsia"/>
          <w:rtl/>
        </w:rPr>
        <w:t>قوي</w:t>
      </w:r>
      <w:r>
        <w:rPr>
          <w:rFonts w:hint="cs"/>
          <w:rtl/>
          <w:lang w:bidi="ar-LB"/>
        </w:rPr>
        <w:t>ة</w:t>
      </w:r>
      <w:r>
        <w:rPr>
          <w:rFonts w:hint="eastAsia"/>
          <w:rtl/>
        </w:rPr>
        <w:t xml:space="preserve"> ي</w:t>
      </w:r>
      <w:r>
        <w:rPr>
          <w:rFonts w:hint="cs"/>
          <w:rtl/>
          <w:lang w:bidi="ar-LB"/>
        </w:rPr>
        <w:t>تجه</w:t>
      </w:r>
      <w:r>
        <w:rPr>
          <w:rFonts w:hint="eastAsia"/>
          <w:rtl/>
        </w:rPr>
        <w:t xml:space="preserve">ن </w:t>
      </w:r>
      <w:r>
        <w:rPr>
          <w:rFonts w:hint="cs"/>
          <w:rtl/>
          <w:lang w:bidi="ar-LB"/>
        </w:rPr>
        <w:t>نحو</w:t>
      </w:r>
      <w:r>
        <w:rPr>
          <w:rFonts w:hint="eastAsia"/>
          <w:rtl/>
        </w:rPr>
        <w:t xml:space="preserve"> السياسة</w:t>
      </w:r>
      <w:r>
        <w:rPr>
          <w:rFonts w:hint="cs"/>
          <w:rtl/>
        </w:rPr>
        <w:t xml:space="preserve">“. </w:t>
      </w:r>
    </w:p>
    <w:p w:rsidR="007B4C85" w:rsidRDefault="007B4C85" w:rsidP="007B4C85">
      <w:pPr>
        <w:pStyle w:val="SingleTxt"/>
        <w:rPr>
          <w:rFonts w:hint="cs"/>
          <w:rtl/>
        </w:rPr>
      </w:pPr>
      <w:r>
        <w:rPr>
          <w:rFonts w:hint="cs"/>
          <w:rtl/>
        </w:rPr>
        <w:tab/>
        <w:t>ويهدف البرنامج الإرشادي الذي تديره حكومة إقليم فورارلبيرغ إلى تشجيع النساء على النظر في إمكانية العمل في مهنة سياسية.</w:t>
      </w:r>
    </w:p>
    <w:p w:rsidR="007B4C85" w:rsidRDefault="007B4C85" w:rsidP="007B4C85">
      <w:pPr>
        <w:pStyle w:val="SingleTxt"/>
        <w:rPr>
          <w:rFonts w:hint="cs"/>
          <w:rtl/>
        </w:rPr>
      </w:pPr>
      <w:r>
        <w:rPr>
          <w:rFonts w:hint="cs"/>
          <w:rtl/>
        </w:rPr>
        <w:tab/>
        <w:t xml:space="preserve">ووضع إقليم النمسا السفلى ونفذ دورات دراسية مدتها أسبوع في مجال السياسة وعنوانها </w:t>
      </w:r>
      <w:r>
        <w:rPr>
          <w:rFonts w:hint="eastAsia"/>
          <w:rtl/>
        </w:rPr>
        <w:t>”الفتيات في العمل السياسي</w:t>
      </w:r>
      <w:r>
        <w:rPr>
          <w:rFonts w:hint="cs"/>
          <w:rtl/>
        </w:rPr>
        <w:t>“.</w:t>
      </w:r>
    </w:p>
    <w:p w:rsidR="007B4C85" w:rsidRDefault="007B4C85" w:rsidP="007B4C85">
      <w:pPr>
        <w:pStyle w:val="SingleTxt"/>
        <w:rPr>
          <w:rFonts w:hint="cs"/>
          <w:rtl/>
        </w:rPr>
      </w:pPr>
      <w:r>
        <w:rPr>
          <w:rFonts w:hint="cs"/>
          <w:rtl/>
        </w:rPr>
        <w:tab/>
        <w:t xml:space="preserve">وفي إقليم ستيريا، تم الشروع في مشروعين إرشاديين للنساء </w:t>
      </w:r>
      <w:r>
        <w:rPr>
          <w:rFonts w:hint="cs"/>
          <w:rtl/>
          <w:lang w:bidi="ar-LB"/>
        </w:rPr>
        <w:t xml:space="preserve">موضوعهما </w:t>
      </w:r>
      <w:r>
        <w:rPr>
          <w:rFonts w:hint="eastAsia"/>
          <w:rtl/>
        </w:rPr>
        <w:t xml:space="preserve">”مستقبل العمل السياسي: والمرأة </w:t>
      </w:r>
      <w:r>
        <w:rPr>
          <w:rFonts w:hint="cs"/>
          <w:rtl/>
          <w:lang w:bidi="ar-LB"/>
        </w:rPr>
        <w:t>تأخذ</w:t>
      </w:r>
      <w:r>
        <w:rPr>
          <w:rFonts w:hint="eastAsia"/>
          <w:rtl/>
        </w:rPr>
        <w:t xml:space="preserve"> المسار السريع</w:t>
      </w:r>
      <w:r>
        <w:rPr>
          <w:rFonts w:hint="cs"/>
          <w:rtl/>
        </w:rPr>
        <w:t xml:space="preserve">“، ويقدم هذان المشروعان دعما للنساء في مجال التخطيط المهني والمشاركة السياسية. </w:t>
      </w:r>
    </w:p>
    <w:p w:rsidR="007B4C85" w:rsidRDefault="007B4C85" w:rsidP="007B4C85">
      <w:pPr>
        <w:pStyle w:val="SingleTxt"/>
        <w:rPr>
          <w:rFonts w:hint="cs"/>
          <w:b/>
          <w:bCs/>
          <w:rtl/>
        </w:rPr>
      </w:pPr>
      <w:r>
        <w:rPr>
          <w:rFonts w:hint="cs"/>
          <w:b/>
          <w:bCs/>
          <w:rtl/>
        </w:rPr>
        <w:t>المادة 7، الحرف (ب)</w:t>
      </w:r>
    </w:p>
    <w:p w:rsidR="007B4C85" w:rsidRDefault="007B4C85" w:rsidP="007B4C85">
      <w:pPr>
        <w:pStyle w:val="SingleTxt"/>
        <w:rPr>
          <w:rFonts w:hint="cs"/>
          <w:rtl/>
        </w:rPr>
      </w:pPr>
      <w:r>
        <w:rPr>
          <w:rFonts w:hint="cs"/>
          <w:rtl/>
        </w:rPr>
        <w:tab/>
        <w:t>يتم الاضطلاع بالأنشطة الرامية إلى زيادة نسبة النساء في الإدارة العامة، لا سيما في المناصب العليا، بموجب قانون المساواة في المعاملة في الخدمة المدنية</w:t>
      </w:r>
      <w:r>
        <w:rPr>
          <w:rFonts w:hint="cs"/>
          <w:rtl/>
          <w:lang w:bidi="ar-LB"/>
        </w:rPr>
        <w:t>،</w:t>
      </w:r>
      <w:r>
        <w:rPr>
          <w:rFonts w:hint="cs"/>
          <w:rtl/>
        </w:rPr>
        <w:t xml:space="preserve"> والتشريع المتعلق بالمساواة في المعاملة في الأقاليم</w:t>
      </w:r>
      <w:r>
        <w:rPr>
          <w:rFonts w:hint="cs"/>
          <w:rtl/>
          <w:lang w:bidi="ar-LB"/>
        </w:rPr>
        <w:t>.</w:t>
      </w:r>
      <w:r>
        <w:rPr>
          <w:rFonts w:hint="cs"/>
          <w:rtl/>
        </w:rPr>
        <w:t xml:space="preserve"> ويتم تقديم تقارير مفصلة عن ذلك كل سنتين في إطار تقارير تكافؤ الفرص (انظر أيضا المادتين 2 و 4).</w:t>
      </w:r>
    </w:p>
    <w:p w:rsidR="007B4C85" w:rsidRDefault="007B4C85" w:rsidP="007B4C85">
      <w:pPr>
        <w:pStyle w:val="SingleTxt"/>
        <w:rPr>
          <w:rFonts w:hint="cs"/>
          <w:b/>
          <w:bCs/>
          <w:rtl/>
        </w:rPr>
      </w:pPr>
      <w:r>
        <w:rPr>
          <w:rFonts w:hint="cs"/>
          <w:b/>
          <w:bCs/>
          <w:rtl/>
        </w:rPr>
        <w:t>المرأة في القوات المسلحة النمساوية</w:t>
      </w:r>
    </w:p>
    <w:p w:rsidR="007B4C85" w:rsidRDefault="007B4C85" w:rsidP="007B4C85">
      <w:pPr>
        <w:pStyle w:val="SingleTxt"/>
        <w:rPr>
          <w:rFonts w:hint="cs"/>
          <w:rtl/>
        </w:rPr>
      </w:pPr>
      <w:r>
        <w:rPr>
          <w:rFonts w:hint="cs"/>
          <w:rtl/>
        </w:rPr>
        <w:tab/>
        <w:t xml:space="preserve">فتح قانون الدفاع الوطني لعام 2001 </w:t>
      </w:r>
      <w:r>
        <w:rPr>
          <w:rFonts w:hint="cs"/>
          <w:rtl/>
          <w:lang w:bidi="ar-LB"/>
        </w:rPr>
        <w:t>(</w:t>
      </w:r>
      <w:r>
        <w:rPr>
          <w:rFonts w:hint="cs"/>
          <w:rtl/>
        </w:rPr>
        <w:t>النشرة القانونية الاتحادية الأولى رقم 146/2001</w:t>
      </w:r>
      <w:r>
        <w:rPr>
          <w:rFonts w:hint="cs"/>
          <w:rtl/>
          <w:lang w:bidi="ar-LB"/>
        </w:rPr>
        <w:t>)</w:t>
      </w:r>
      <w:r>
        <w:rPr>
          <w:rFonts w:hint="cs"/>
          <w:rtl/>
        </w:rPr>
        <w:t xml:space="preserve"> الباب أمام المرأة لشغل المناصب العامة في الجيش الاتحادي النمساوي. ويحق الآن أيضا للنساء اللاتي أكملن بنجاح تدريبهن الأساسي في الانضمام إلى الخدمة المدنية العاملة (المادة 39 من قانون القوات المسلحة الاتحادية لعام 2001). </w:t>
      </w:r>
    </w:p>
    <w:p w:rsidR="007B4C85" w:rsidRDefault="007B4C85" w:rsidP="007B4C85">
      <w:pPr>
        <w:pStyle w:val="SingleTxt"/>
        <w:rPr>
          <w:rFonts w:hint="cs"/>
          <w:rtl/>
        </w:rPr>
      </w:pPr>
      <w:r>
        <w:rPr>
          <w:rFonts w:hint="cs"/>
          <w:rtl/>
        </w:rPr>
        <w:tab/>
        <w:t>ويجوز للمرأة، بعد استكمال تدريبها الأساسي وبعد استكمال عقد الخدمة العسكرية ذات الفترة المحدودة، أن تستمر في تدريبها كضابط مكلف أو غير مكلف في إطار الأنشطة العسكرية الموجهة نحو الخدمة الفعلية، أي المشاركة في التدريبات على الأسلحة وفي المناورات العسكرية.</w:t>
      </w:r>
    </w:p>
    <w:p w:rsidR="007B4C85" w:rsidRDefault="007B4C85" w:rsidP="007B4C85">
      <w:pPr>
        <w:pStyle w:val="SingleTxt"/>
        <w:rPr>
          <w:rFonts w:hint="cs"/>
          <w:rtl/>
        </w:rPr>
      </w:pPr>
      <w:r>
        <w:rPr>
          <w:rFonts w:hint="cs"/>
          <w:rtl/>
        </w:rPr>
        <w:tab/>
        <w:t xml:space="preserve">ومنذ 1 تموز/يوليه 2001، </w:t>
      </w:r>
      <w:r>
        <w:rPr>
          <w:rFonts w:hint="cs"/>
          <w:rtl/>
          <w:lang w:bidi="ar-LB"/>
        </w:rPr>
        <w:t>و</w:t>
      </w:r>
      <w:r>
        <w:rPr>
          <w:rFonts w:hint="cs"/>
          <w:rtl/>
        </w:rPr>
        <w:t xml:space="preserve">عملا بالمادة 2، الفقرة 2، رقم 2 من قانون إرسال الجنود للمساعدة في الخارج </w:t>
      </w:r>
      <w:r>
        <w:rPr>
          <w:rFonts w:hint="cs"/>
          <w:rtl/>
          <w:lang w:bidi="ar-LB"/>
        </w:rPr>
        <w:t>(</w:t>
      </w:r>
      <w:r>
        <w:rPr>
          <w:rFonts w:hint="cs"/>
          <w:rtl/>
        </w:rPr>
        <w:t>النشرة القانونية الاتحادية الأولى رقم 55/2001</w:t>
      </w:r>
      <w:r>
        <w:rPr>
          <w:rFonts w:hint="cs"/>
          <w:rtl/>
          <w:lang w:bidi="ar-LB"/>
        </w:rPr>
        <w:t>)</w:t>
      </w:r>
      <w:r>
        <w:rPr>
          <w:rFonts w:hint="cs"/>
          <w:rtl/>
        </w:rPr>
        <w:t>، يجوز أيضا للمرأة التي تكمل أو أكملت تدريبها الأساسي أن ت</w:t>
      </w:r>
      <w:r>
        <w:rPr>
          <w:rFonts w:hint="cs"/>
          <w:rtl/>
          <w:lang w:bidi="ar-LB"/>
        </w:rPr>
        <w:t>ؤدي</w:t>
      </w:r>
      <w:r>
        <w:rPr>
          <w:rFonts w:hint="cs"/>
          <w:rtl/>
        </w:rPr>
        <w:t xml:space="preserve"> خدم</w:t>
      </w:r>
      <w:r>
        <w:rPr>
          <w:rFonts w:hint="cs"/>
          <w:rtl/>
          <w:lang w:bidi="ar-LB"/>
        </w:rPr>
        <w:t>تها</w:t>
      </w:r>
      <w:r>
        <w:rPr>
          <w:rFonts w:hint="cs"/>
          <w:rtl/>
        </w:rPr>
        <w:t xml:space="preserve"> العسكرية الفعلية في الخارج. </w:t>
      </w:r>
    </w:p>
    <w:p w:rsidR="007B4C85" w:rsidRDefault="007B4C85" w:rsidP="007B4C85">
      <w:pPr>
        <w:pStyle w:val="SingleTxt"/>
        <w:rPr>
          <w:rFonts w:hint="cs"/>
          <w:b/>
          <w:bCs/>
          <w:rtl/>
        </w:rPr>
      </w:pPr>
      <w:r>
        <w:rPr>
          <w:rFonts w:hint="cs"/>
          <w:b/>
          <w:bCs/>
          <w:rtl/>
        </w:rPr>
        <w:t>تعميم مراعاة المنظور الجنساني والإدارة الحضرية</w:t>
      </w:r>
    </w:p>
    <w:p w:rsidR="007B4C85" w:rsidRDefault="007B4C85" w:rsidP="007B4C85">
      <w:pPr>
        <w:pStyle w:val="SingleTxt"/>
        <w:rPr>
          <w:rFonts w:hint="cs"/>
          <w:rtl/>
        </w:rPr>
      </w:pPr>
      <w:r>
        <w:rPr>
          <w:rFonts w:hint="cs"/>
          <w:rtl/>
        </w:rPr>
        <w:tab/>
        <w:t xml:space="preserve">أثناء تحديث الإدارة العامة في فيينا، تم استحداث العقود الإدارية كأداة إدارية استراتيجية مركزية. وبالتعاون مع المكتب التنفيذي للإدارة والمراقبة، وهو المكتب المسؤول عن المشروع، عالجت الإدارة البلدية </w:t>
      </w:r>
      <w:r>
        <w:rPr>
          <w:rFonts w:hint="cs"/>
          <w:rtl/>
          <w:lang w:bidi="ar-LB"/>
        </w:rPr>
        <w:t xml:space="preserve">رقم </w:t>
      </w:r>
      <w:r>
        <w:rPr>
          <w:rFonts w:hint="cs"/>
          <w:rtl/>
        </w:rPr>
        <w:t xml:space="preserve">57 </w:t>
      </w:r>
      <w:r>
        <w:rPr>
          <w:rFonts w:hint="cs"/>
          <w:rtl/>
          <w:lang w:bidi="ar-LB"/>
        </w:rPr>
        <w:t>التابعة</w:t>
      </w:r>
      <w:r>
        <w:rPr>
          <w:rFonts w:hint="cs"/>
          <w:rtl/>
        </w:rPr>
        <w:t xml:space="preserve"> </w:t>
      </w:r>
      <w:r>
        <w:rPr>
          <w:rFonts w:hint="cs"/>
          <w:rtl/>
          <w:lang w:bidi="ar-LB"/>
        </w:rPr>
        <w:t>ل</w:t>
      </w:r>
      <w:r>
        <w:rPr>
          <w:rFonts w:hint="cs"/>
          <w:rtl/>
        </w:rPr>
        <w:t xml:space="preserve">مكتب شؤون المرأة في مدينة فيينا </w:t>
      </w:r>
      <w:r>
        <w:rPr>
          <w:rFonts w:hint="cs"/>
          <w:rtl/>
          <w:lang w:bidi="ar-LB"/>
        </w:rPr>
        <w:t>ال</w:t>
      </w:r>
      <w:r>
        <w:rPr>
          <w:rFonts w:hint="cs"/>
          <w:rtl/>
        </w:rPr>
        <w:t>مسألة</w:t>
      </w:r>
      <w:r>
        <w:rPr>
          <w:rFonts w:hint="cs"/>
          <w:rtl/>
          <w:lang w:bidi="ar-LB"/>
        </w:rPr>
        <w:t xml:space="preserve"> التالية:</w:t>
      </w:r>
      <w:r>
        <w:rPr>
          <w:rFonts w:hint="cs"/>
          <w:rtl/>
        </w:rPr>
        <w:t xml:space="preserve"> إلى أي مدى يمكن تعميم مراعاة المنظور الجنساني كاستراتيجية عامة في إطار المفاهيم الإدارية الجديدة</w:t>
      </w:r>
      <w:r>
        <w:rPr>
          <w:rFonts w:hint="cs"/>
          <w:rtl/>
          <w:lang w:bidi="ar-LB"/>
        </w:rPr>
        <w:t>؟</w:t>
      </w:r>
      <w:r>
        <w:rPr>
          <w:rFonts w:hint="cs"/>
          <w:rtl/>
        </w:rPr>
        <w:t xml:space="preserve"> </w:t>
      </w:r>
    </w:p>
    <w:p w:rsidR="007B4C85" w:rsidRDefault="007B4C85" w:rsidP="007B4C85">
      <w:pPr>
        <w:pStyle w:val="SingleTxt"/>
        <w:rPr>
          <w:rFonts w:hint="cs"/>
          <w:rtl/>
        </w:rPr>
      </w:pPr>
      <w:r>
        <w:rPr>
          <w:rFonts w:hint="cs"/>
          <w:rtl/>
        </w:rPr>
        <w:tab/>
        <w:t>وفي كانون الأول/ديسمبر 2001، نظمت إدارة البلدية</w:t>
      </w:r>
      <w:r>
        <w:rPr>
          <w:rFonts w:hint="cs"/>
          <w:rtl/>
          <w:lang w:bidi="ar-LB"/>
        </w:rPr>
        <w:t xml:space="preserve"> رقم </w:t>
      </w:r>
      <w:r>
        <w:rPr>
          <w:rFonts w:hint="cs"/>
          <w:rtl/>
        </w:rPr>
        <w:t xml:space="preserve">18 </w:t>
      </w:r>
      <w:r>
        <w:rPr>
          <w:rFonts w:hint="cs"/>
          <w:rtl/>
          <w:lang w:bidi="ar-LB"/>
        </w:rPr>
        <w:t>التابعة</w:t>
      </w:r>
      <w:r>
        <w:rPr>
          <w:rFonts w:hint="cs"/>
          <w:rtl/>
        </w:rPr>
        <w:t xml:space="preserve"> </w:t>
      </w:r>
      <w:r>
        <w:rPr>
          <w:rFonts w:hint="cs"/>
          <w:rtl/>
          <w:lang w:bidi="ar-LB"/>
        </w:rPr>
        <w:t>ل</w:t>
      </w:r>
      <w:r>
        <w:rPr>
          <w:rFonts w:hint="cs"/>
          <w:rtl/>
        </w:rPr>
        <w:t xml:space="preserve">هيئة التطوير والتخطيط الحضري حلقة تدريبية عن </w:t>
      </w:r>
      <w:r>
        <w:rPr>
          <w:rFonts w:hint="eastAsia"/>
          <w:rtl/>
        </w:rPr>
        <w:t>”تعميم مراعاة المنظور الجنساني في التخطيط الحضري</w:t>
      </w:r>
      <w:r>
        <w:rPr>
          <w:rFonts w:hint="cs"/>
          <w:rtl/>
        </w:rPr>
        <w:t>“. وتم نشر نتائج الحلقة التدريبية في تشرين الأول/أكتوبر 2002 بالإضافة إلى تحليل عن المشاريع الراهنة في مجال تعميم مراعاة المنظور الجنساني في ميدان التخطيط الحضري في فيينا وغيرها من المدن الأوروبية.</w:t>
      </w:r>
    </w:p>
    <w:p w:rsidR="007B4C85" w:rsidRDefault="007B4C85" w:rsidP="007B4C85">
      <w:pPr>
        <w:pStyle w:val="SingleTxt"/>
        <w:rPr>
          <w:rFonts w:hint="cs"/>
          <w:rtl/>
        </w:rPr>
      </w:pPr>
      <w:r>
        <w:rPr>
          <w:rFonts w:hint="cs"/>
          <w:rtl/>
        </w:rPr>
        <w:tab/>
        <w:t xml:space="preserve">وفي خريف عام 2003، تم تنظيم سلسلة من المناسبات عن لعبة التخطيط المعنونة </w:t>
      </w:r>
      <w:r>
        <w:rPr>
          <w:rFonts w:hint="eastAsia"/>
          <w:rtl/>
        </w:rPr>
        <w:t>”المدينة الجنسانية</w:t>
      </w:r>
      <w:r>
        <w:rPr>
          <w:rFonts w:hint="cs"/>
          <w:rtl/>
        </w:rPr>
        <w:t xml:space="preserve">“ في حلقة </w:t>
      </w:r>
      <w:r>
        <w:rPr>
          <w:rFonts w:hint="cs"/>
          <w:rtl/>
          <w:lang w:bidi="ar-LB"/>
        </w:rPr>
        <w:t>ال</w:t>
      </w:r>
      <w:r>
        <w:rPr>
          <w:rFonts w:hint="cs"/>
          <w:rtl/>
        </w:rPr>
        <w:t xml:space="preserve">عمل </w:t>
      </w:r>
      <w:r>
        <w:rPr>
          <w:rFonts w:hint="cs"/>
          <w:rtl/>
          <w:lang w:bidi="ar-LB"/>
        </w:rPr>
        <w:t>المعنية ب</w:t>
      </w:r>
      <w:r>
        <w:rPr>
          <w:rFonts w:hint="cs"/>
          <w:rtl/>
        </w:rPr>
        <w:t>تخطيط فيينا. وهذه مناسبات مدتها يوم واحد ترمي إلى توعية رؤساء المقاطعات المشاركين فيها، ومواطني فيينا، والمخططين، والمعلمين، والتلاميذ، والطلاب، والموظفين المحليين، بمسألة تعميم مراعاة المنظور الجنساني في التخطيط الحضري.</w:t>
      </w:r>
    </w:p>
    <w:p w:rsidR="007B4C85" w:rsidRDefault="007B4C85" w:rsidP="007B4C85">
      <w:pPr>
        <w:pStyle w:val="SingleTxt"/>
        <w:rPr>
          <w:rFonts w:hint="cs"/>
          <w:rtl/>
        </w:rPr>
      </w:pPr>
      <w:r>
        <w:rPr>
          <w:rFonts w:hint="cs"/>
          <w:b/>
          <w:bCs/>
          <w:rtl/>
        </w:rPr>
        <w:t>التقييم الجاري في مشاريع الإسكان المخطط لها والمعروضة للحصول على إعانات مالية عامة:</w:t>
      </w:r>
      <w:r>
        <w:rPr>
          <w:rFonts w:hint="cs"/>
          <w:rtl/>
        </w:rPr>
        <w:t xml:space="preserve"> في عام 1995، استحدثت مدينة فيينا م</w:t>
      </w:r>
      <w:r>
        <w:rPr>
          <w:rFonts w:hint="cs"/>
          <w:rtl/>
          <w:lang w:bidi="ar-LB"/>
        </w:rPr>
        <w:t>س</w:t>
      </w:r>
      <w:r>
        <w:rPr>
          <w:rFonts w:hint="cs"/>
          <w:rtl/>
        </w:rPr>
        <w:t>ا</w:t>
      </w:r>
      <w:r>
        <w:rPr>
          <w:rFonts w:hint="cs"/>
          <w:rtl/>
          <w:lang w:bidi="ar-LB"/>
        </w:rPr>
        <w:t>بق</w:t>
      </w:r>
      <w:r>
        <w:rPr>
          <w:rFonts w:hint="cs"/>
          <w:rtl/>
        </w:rPr>
        <w:t>ات نوعية لتطوير مساكن عامة. وقام المكتب التنسيقي للتخطيط والإعمار</w:t>
      </w:r>
      <w:r>
        <w:rPr>
          <w:rFonts w:hint="cs"/>
          <w:rtl/>
          <w:lang w:bidi="ar-LB"/>
        </w:rPr>
        <w:t>،</w:t>
      </w:r>
      <w:r>
        <w:rPr>
          <w:rFonts w:hint="cs"/>
          <w:rtl/>
        </w:rPr>
        <w:t xml:space="preserve"> بهدف تلبية احتياجات الحياة اليومية والاحتياجات الخاصة للمرأة</w:t>
      </w:r>
      <w:r>
        <w:rPr>
          <w:rFonts w:hint="cs"/>
          <w:rtl/>
          <w:lang w:bidi="ar-LB"/>
        </w:rPr>
        <w:t>،</w:t>
      </w:r>
      <w:r>
        <w:rPr>
          <w:rFonts w:hint="cs"/>
          <w:rtl/>
        </w:rPr>
        <w:t xml:space="preserve"> ب</w:t>
      </w:r>
      <w:r>
        <w:rPr>
          <w:rFonts w:hint="cs"/>
          <w:rtl/>
          <w:lang w:bidi="ar-LB"/>
        </w:rPr>
        <w:t xml:space="preserve">عملية </w:t>
      </w:r>
      <w:r>
        <w:rPr>
          <w:rFonts w:hint="cs"/>
          <w:rtl/>
        </w:rPr>
        <w:t>تقييم ومراقبة نوعية</w:t>
      </w:r>
      <w:r>
        <w:rPr>
          <w:rFonts w:hint="cs"/>
          <w:rtl/>
          <w:lang w:bidi="ar-LB"/>
        </w:rPr>
        <w:t>.</w:t>
      </w:r>
      <w:r>
        <w:rPr>
          <w:rFonts w:hint="cs"/>
          <w:rtl/>
        </w:rPr>
        <w:t xml:space="preserve"> فتم تقييم جميع مشاريع بناء المساكن المعروضة للحصول على تمويل عام من حيث تقيدها بالاشتراطات الوظيفية للمساكن والمهام العائلية، وامتثالها لجوانب السلامة، والخصائص المعمارية الداعمة لعلاقات الجوار الحميدة، وتصميمها لأماكن التنزه والمساحات المفتوحة. وتم بين عام 1995 ونهاية شهر حزيران/يونيه 2003، تقييم حوالي 200 7 وحدة سكنية في إطار 13 مسابقة اشترك فيها متعهدو البناء، وتم رفع توصية بـ 368 مشروع</w:t>
      </w:r>
      <w:r>
        <w:rPr>
          <w:rFonts w:hint="cs"/>
          <w:rtl/>
          <w:lang w:bidi="ar-LB"/>
        </w:rPr>
        <w:t>ا</w:t>
      </w:r>
      <w:r>
        <w:rPr>
          <w:rFonts w:hint="cs"/>
          <w:rtl/>
        </w:rPr>
        <w:t xml:space="preserve"> يضم حوالي 000 33 وحدة سكنية للحصول على تمويل على أساس تقييم قام به المجلس الاستشاري للعقارات.</w:t>
      </w:r>
    </w:p>
    <w:p w:rsidR="007B4C85" w:rsidRDefault="007B4C85" w:rsidP="007B4C85">
      <w:pPr>
        <w:pStyle w:val="SingleTxt"/>
        <w:rPr>
          <w:rFonts w:hint="cs"/>
          <w:rtl/>
        </w:rPr>
      </w:pPr>
      <w:r w:rsidRPr="0006618F">
        <w:rPr>
          <w:rFonts w:hint="cs"/>
          <w:rtl/>
        </w:rPr>
        <w:tab/>
        <w:t>وبعد النجاح</w:t>
      </w:r>
      <w:r>
        <w:rPr>
          <w:rFonts w:hint="cs"/>
          <w:rtl/>
        </w:rPr>
        <w:t xml:space="preserve"> الهائل للمشروع النموذجي الأول </w:t>
      </w:r>
      <w:r>
        <w:t>Frauen-Werk-Stadt I</w:t>
      </w:r>
      <w:r>
        <w:rPr>
          <w:rFonts w:hint="cs"/>
          <w:rtl/>
          <w:lang w:bidi="ar-LB"/>
        </w:rPr>
        <w:t xml:space="preserve"> </w:t>
      </w:r>
      <w:r>
        <w:rPr>
          <w:rFonts w:hint="cs"/>
          <w:rtl/>
        </w:rPr>
        <w:t xml:space="preserve">(1992 إلى 1997)، شرعت مدينة فيينا في مشروع متابعة ثانٍ </w:t>
      </w:r>
      <w:r>
        <w:rPr>
          <w:lang w:val="fr-CA"/>
        </w:rPr>
        <w:t>Frauen-Werk-Stadt II</w:t>
      </w:r>
      <w:r>
        <w:rPr>
          <w:rFonts w:hint="cs"/>
          <w:rtl/>
          <w:lang w:bidi="ar-LB"/>
        </w:rPr>
        <w:t xml:space="preserve"> </w:t>
      </w:r>
      <w:r>
        <w:rPr>
          <w:rFonts w:hint="cs"/>
          <w:rtl/>
        </w:rPr>
        <w:t xml:space="preserve">لتثبيت تطوير المفهوم الذي يركز على </w:t>
      </w:r>
      <w:r>
        <w:rPr>
          <w:rFonts w:hint="eastAsia"/>
          <w:rtl/>
        </w:rPr>
        <w:t>”دعم المعيشة والتخطيط الموجهين نحو تلبية احتياجات الحياة اليوم</w:t>
      </w:r>
      <w:r>
        <w:rPr>
          <w:rFonts w:hint="cs"/>
          <w:rtl/>
        </w:rPr>
        <w:t>ية والاحتياجات المحددة للمرأة</w:t>
      </w:r>
      <w:r>
        <w:rPr>
          <w:rFonts w:hint="eastAsia"/>
          <w:rtl/>
        </w:rPr>
        <w:t xml:space="preserve">“. </w:t>
      </w:r>
      <w:r>
        <w:rPr>
          <w:rFonts w:hint="cs"/>
          <w:rtl/>
        </w:rPr>
        <w:t>وبدأ المشروع في شهر آب/أغسطس 2002 ومن المقرر أن يكتمل في صيف عام 2004.</w:t>
      </w:r>
    </w:p>
    <w:p w:rsidR="007B4C85" w:rsidRDefault="007B4C85" w:rsidP="007B4C85">
      <w:pPr>
        <w:pStyle w:val="SingleTxt"/>
        <w:rPr>
          <w:rFonts w:hint="cs"/>
          <w:rtl/>
        </w:rPr>
      </w:pPr>
      <w:r>
        <w:rPr>
          <w:rFonts w:hint="cs"/>
          <w:rtl/>
        </w:rPr>
        <w:tab/>
        <w:t>وفي إطار الخطة الاستراتيجية لفيينا (المعتمدة في ربيع عام 2000)</w:t>
      </w:r>
      <w:r>
        <w:rPr>
          <w:rFonts w:hint="cs"/>
          <w:rtl/>
          <w:lang w:bidi="ar-LB"/>
        </w:rPr>
        <w:t>،</w:t>
      </w:r>
      <w:r>
        <w:rPr>
          <w:rFonts w:hint="cs"/>
          <w:rtl/>
        </w:rPr>
        <w:t xml:space="preserve"> تم البدء في المشروع الاستراتيجي </w:t>
      </w:r>
      <w:r>
        <w:rPr>
          <w:rFonts w:hint="eastAsia"/>
          <w:rtl/>
        </w:rPr>
        <w:t>”مساحات التنزه ال</w:t>
      </w:r>
      <w:r>
        <w:rPr>
          <w:rFonts w:hint="cs"/>
          <w:rtl/>
          <w:lang w:bidi="ar-LB"/>
        </w:rPr>
        <w:t>ت</w:t>
      </w:r>
      <w:r>
        <w:rPr>
          <w:rFonts w:hint="eastAsia"/>
          <w:rtl/>
        </w:rPr>
        <w:t>ي تراعي المنظور الجنساني، والمرافق الرياضية، وحدائق الأطفال والشباب في مقاطعات فيينا البلدية</w:t>
      </w:r>
      <w:r>
        <w:rPr>
          <w:rFonts w:hint="cs"/>
          <w:rtl/>
        </w:rPr>
        <w:t xml:space="preserve">“ بهدف بناء و/أو تجديد المساحات العامة تمشيا مع هذا المبدأ. وفي ربيع عام 1999، تم استخدام التصميم الجديد المخطط لبناء حديقتين كمشروع رائد لتجربة النهج المتبع في تصميم الحدائق التي تراعي المنظور الجنساني. وتم استكمال إعادة تصميم الحدائق في ربيع عام 2001. </w:t>
      </w:r>
    </w:p>
    <w:p w:rsidR="007B4C85" w:rsidRDefault="007B4C85" w:rsidP="007B4C85">
      <w:pPr>
        <w:pStyle w:val="SingleTxt"/>
        <w:rPr>
          <w:rFonts w:hint="cs"/>
          <w:rtl/>
        </w:rPr>
      </w:pPr>
      <w:r>
        <w:rPr>
          <w:rFonts w:hint="cs"/>
          <w:rtl/>
        </w:rPr>
        <w:tab/>
        <w:t>وكان هناك تفويض للقيام بمشروع تصميم تحليلي في عام 2000، اضطلع به فريق لديه خبرة في تخطيط المناظر الطبيعية ويشمل 14 حديقة وساحة في فيينا ت</w:t>
      </w:r>
      <w:r>
        <w:rPr>
          <w:rFonts w:hint="cs"/>
          <w:rtl/>
          <w:lang w:bidi="ar-LB"/>
        </w:rPr>
        <w:t xml:space="preserve"> أعيد</w:t>
      </w:r>
      <w:r>
        <w:rPr>
          <w:rFonts w:hint="cs"/>
          <w:rtl/>
        </w:rPr>
        <w:t xml:space="preserve"> تجديدها أو</w:t>
      </w:r>
      <w:r>
        <w:rPr>
          <w:rFonts w:hint="eastAsia"/>
          <w:rtl/>
        </w:rPr>
        <w:t> </w:t>
      </w:r>
      <w:r>
        <w:rPr>
          <w:rFonts w:hint="cs"/>
          <w:rtl/>
        </w:rPr>
        <w:t>تصميمها خلال السنوات القليلة الماضية. واستنادا إلى قائمة من المعايير ذات الصلة، تم تحليل المفاهيم التصميمية ا</w:t>
      </w:r>
      <w:r>
        <w:rPr>
          <w:rFonts w:hint="cs"/>
          <w:rtl/>
          <w:lang w:bidi="ar-LB"/>
        </w:rPr>
        <w:t>لتنفيذية</w:t>
      </w:r>
      <w:r>
        <w:rPr>
          <w:rFonts w:hint="cs"/>
          <w:rtl/>
        </w:rPr>
        <w:t xml:space="preserve"> ل</w:t>
      </w:r>
      <w:r>
        <w:rPr>
          <w:rFonts w:hint="cs"/>
          <w:rtl/>
          <w:lang w:bidi="ar-LB"/>
        </w:rPr>
        <w:t>تقدير</w:t>
      </w:r>
      <w:r>
        <w:rPr>
          <w:rFonts w:hint="cs"/>
          <w:rtl/>
        </w:rPr>
        <w:t xml:space="preserve"> إلى أي مدى و</w:t>
      </w:r>
      <w:r>
        <w:rPr>
          <w:rFonts w:hint="cs"/>
          <w:rtl/>
          <w:lang w:bidi="ar-LB"/>
        </w:rPr>
        <w:t>ُ</w:t>
      </w:r>
      <w:r>
        <w:rPr>
          <w:rFonts w:hint="cs"/>
          <w:rtl/>
        </w:rPr>
        <w:t>ضع في الاعتبار تخصيص المساحات التي تراعي المنظور الجنساني والأنماط السلوكية.</w:t>
      </w:r>
    </w:p>
    <w:p w:rsidR="007B4C85" w:rsidRDefault="007B4C85" w:rsidP="007B4C85">
      <w:pPr>
        <w:pStyle w:val="SingleTxt"/>
        <w:rPr>
          <w:rFonts w:hint="cs"/>
          <w:rtl/>
        </w:rPr>
      </w:pPr>
      <w:r>
        <w:rPr>
          <w:rFonts w:hint="cs"/>
          <w:rtl/>
        </w:rPr>
        <w:tab/>
        <w:t xml:space="preserve">وهناك نهج آخر اتبعته مدينة فيينا في عام 2000 وهو إشراك الفتيات في تخطيط وتصميم الحدائق. </w:t>
      </w:r>
    </w:p>
    <w:p w:rsidR="007B4C85" w:rsidRDefault="007B4C85" w:rsidP="007B4C85">
      <w:pPr>
        <w:pStyle w:val="SingleTxt"/>
        <w:rPr>
          <w:rFonts w:hint="cs"/>
          <w:b/>
          <w:bCs/>
          <w:rtl/>
        </w:rPr>
      </w:pPr>
      <w:r>
        <w:rPr>
          <w:rFonts w:hint="cs"/>
          <w:b/>
          <w:bCs/>
          <w:rtl/>
        </w:rPr>
        <w:t>المادة 8</w:t>
      </w:r>
    </w:p>
    <w:p w:rsidR="007B4C85" w:rsidRDefault="007B4C85" w:rsidP="007B4C85">
      <w:pPr>
        <w:pStyle w:val="SingleTxt"/>
        <w:rPr>
          <w:rFonts w:hint="cs"/>
          <w:b/>
          <w:bCs/>
          <w:rtl/>
        </w:rPr>
      </w:pPr>
      <w:r>
        <w:rPr>
          <w:rFonts w:hint="cs"/>
          <w:b/>
          <w:bCs/>
          <w:rtl/>
        </w:rPr>
        <w:t>تمثيل المرأة على الصعيد الدولي بما في ذلك المنظمات الدولية</w:t>
      </w:r>
    </w:p>
    <w:p w:rsidR="007B4C85" w:rsidRDefault="007B4C85" w:rsidP="007B4C85">
      <w:pPr>
        <w:pStyle w:val="SingleTxt"/>
        <w:rPr>
          <w:rFonts w:hint="cs"/>
          <w:rtl/>
        </w:rPr>
      </w:pPr>
      <w:r>
        <w:rPr>
          <w:rFonts w:hint="cs"/>
          <w:rtl/>
        </w:rPr>
        <w:tab/>
        <w:t xml:space="preserve">في 1 آب/أغسطس 2003، شغلت المرأة 49 </w:t>
      </w:r>
      <w:r>
        <w:rPr>
          <w:rFonts w:hint="cs"/>
          <w:rtl/>
          <w:lang w:bidi="ar-LB"/>
        </w:rPr>
        <w:t xml:space="preserve">منصبا </w:t>
      </w:r>
      <w:r>
        <w:rPr>
          <w:rFonts w:hint="cs"/>
          <w:rtl/>
        </w:rPr>
        <w:t xml:space="preserve">(أي 20 في المائة) مما مجموعه 245 منصبا قياديا في السلك الخارجي النمساوي في داخل </w:t>
      </w:r>
      <w:r>
        <w:rPr>
          <w:rFonts w:hint="cs"/>
          <w:rtl/>
          <w:lang w:bidi="ar-LB"/>
        </w:rPr>
        <w:t xml:space="preserve">البلد </w:t>
      </w:r>
      <w:r>
        <w:rPr>
          <w:rFonts w:hint="cs"/>
          <w:rtl/>
        </w:rPr>
        <w:t>وخارج</w:t>
      </w:r>
      <w:r>
        <w:rPr>
          <w:rFonts w:hint="cs"/>
          <w:rtl/>
          <w:lang w:bidi="ar-LB"/>
        </w:rPr>
        <w:t>ها</w:t>
      </w:r>
      <w:r>
        <w:rPr>
          <w:rFonts w:hint="cs"/>
          <w:rtl/>
        </w:rPr>
        <w:t xml:space="preserve">. فكان هناك 76 سفيرا و 7 سفيرات (6.5 في المائة) إما على مستوى السفارات الثنائية أو في التمثيليات الدائمة داخل المنظمات الدولية. وتشغل المرأة في الوقت الراهن 12 </w:t>
      </w:r>
      <w:r>
        <w:rPr>
          <w:rFonts w:hint="cs"/>
          <w:rtl/>
          <w:lang w:bidi="ar-LB"/>
        </w:rPr>
        <w:t xml:space="preserve">منصبا </w:t>
      </w:r>
      <w:r>
        <w:rPr>
          <w:rFonts w:hint="cs"/>
          <w:rtl/>
        </w:rPr>
        <w:t xml:space="preserve">(20 في المائة) </w:t>
      </w:r>
      <w:r>
        <w:rPr>
          <w:rFonts w:hint="cs"/>
          <w:rtl/>
          <w:lang w:bidi="ar-LB"/>
        </w:rPr>
        <w:t>م</w:t>
      </w:r>
      <w:r>
        <w:rPr>
          <w:rFonts w:hint="cs"/>
          <w:rtl/>
        </w:rPr>
        <w:t>ن المناصب الـ</w:t>
      </w:r>
      <w:r>
        <w:rPr>
          <w:rFonts w:hint="eastAsia"/>
          <w:rtl/>
        </w:rPr>
        <w:t> </w:t>
      </w:r>
      <w:r>
        <w:rPr>
          <w:rFonts w:hint="cs"/>
          <w:rtl/>
        </w:rPr>
        <w:t xml:space="preserve">25 المتبقية، كرئيسة مكتب في الخارج (قنصل العام، </w:t>
      </w:r>
      <w:r>
        <w:rPr>
          <w:rFonts w:hint="cs"/>
          <w:rtl/>
          <w:lang w:bidi="ar-LB"/>
        </w:rPr>
        <w:t>أ</w:t>
      </w:r>
      <w:r>
        <w:rPr>
          <w:rFonts w:hint="cs"/>
          <w:rtl/>
        </w:rPr>
        <w:t>و</w:t>
      </w:r>
      <w:r>
        <w:rPr>
          <w:rFonts w:hint="cs"/>
          <w:rtl/>
          <w:lang w:bidi="ar-LB"/>
        </w:rPr>
        <w:t xml:space="preserve"> </w:t>
      </w:r>
      <w:r>
        <w:rPr>
          <w:rFonts w:hint="cs"/>
          <w:rtl/>
        </w:rPr>
        <w:t>ر</w:t>
      </w:r>
      <w:r>
        <w:rPr>
          <w:rFonts w:hint="cs"/>
          <w:rtl/>
          <w:lang w:bidi="ar-LB"/>
        </w:rPr>
        <w:t>ئي</w:t>
      </w:r>
      <w:r>
        <w:rPr>
          <w:rFonts w:hint="cs"/>
          <w:rtl/>
        </w:rPr>
        <w:t>س</w:t>
      </w:r>
      <w:r>
        <w:rPr>
          <w:rFonts w:hint="cs"/>
          <w:rtl/>
          <w:lang w:bidi="ar-LB"/>
        </w:rPr>
        <w:t>ة</w:t>
      </w:r>
      <w:r>
        <w:rPr>
          <w:rFonts w:hint="cs"/>
          <w:rtl/>
        </w:rPr>
        <w:t xml:space="preserve"> منتديات ثقافية نمساوية وما شابه ذلك).</w:t>
      </w:r>
    </w:p>
    <w:p w:rsidR="007B4C85" w:rsidRDefault="007B4C85" w:rsidP="007B4C85">
      <w:pPr>
        <w:pStyle w:val="SingleTxt"/>
        <w:rPr>
          <w:rFonts w:hint="cs"/>
          <w:rtl/>
        </w:rPr>
      </w:pPr>
      <w:r>
        <w:rPr>
          <w:rFonts w:hint="cs"/>
          <w:rtl/>
        </w:rPr>
        <w:tab/>
        <w:t xml:space="preserve">وتدرك وزارة الخارجية الاتحادية إدراكا كاملا </w:t>
      </w:r>
      <w:r>
        <w:rPr>
          <w:rFonts w:hint="cs"/>
          <w:rtl/>
          <w:lang w:bidi="ar-LB"/>
        </w:rPr>
        <w:t>أ</w:t>
      </w:r>
      <w:r>
        <w:rPr>
          <w:rFonts w:hint="cs"/>
          <w:rtl/>
        </w:rPr>
        <w:t>ن هذه النسب المئوية ما زالت دون نسبة الـ 40 في المائة المنصوص عليها في القانون النمساوي. وعليه، فإنها تدعو بصراحة جميع الموظفات إلى أن تتقدم بطلبات لشغل المناصب القيادية. وللأسف، ما زالت التقاليد القديمة تشعرها بأن حصة المرأة في المناصب العليا في وزارة الخارجية أقل من حصة الرجل بصورة غير متناسبة. وفي الجهود المبذولة لزيادة نسبة المرأة (انظر المادة 4، خطط النهوض بالمرأة عملا بقانون المساواة في المعاملة في الخدمة)، تشجع وزارة الخارجية الاتحادية، في المناسبات الت</w:t>
      </w:r>
      <w:r>
        <w:rPr>
          <w:rFonts w:hint="cs"/>
          <w:rtl/>
          <w:lang w:bidi="ar-LB"/>
        </w:rPr>
        <w:t>ي تنظمها للتشجيع على</w:t>
      </w:r>
      <w:r>
        <w:rPr>
          <w:rFonts w:hint="cs"/>
          <w:rtl/>
        </w:rPr>
        <w:t xml:space="preserve"> </w:t>
      </w:r>
      <w:r>
        <w:rPr>
          <w:rFonts w:hint="cs"/>
          <w:rtl/>
          <w:lang w:bidi="ar-LB"/>
        </w:rPr>
        <w:t>ا</w:t>
      </w:r>
      <w:r>
        <w:rPr>
          <w:rFonts w:hint="cs"/>
          <w:rtl/>
        </w:rPr>
        <w:t xml:space="preserve">لعمل في السلك الخارجي، المرأة بصفة خاصة </w:t>
      </w:r>
      <w:r>
        <w:rPr>
          <w:rFonts w:hint="cs"/>
          <w:rtl/>
          <w:lang w:bidi="ar-LB"/>
        </w:rPr>
        <w:t>على أن تتقدم بطلب ل</w:t>
      </w:r>
      <w:r>
        <w:rPr>
          <w:rFonts w:hint="cs"/>
          <w:rtl/>
        </w:rPr>
        <w:t xml:space="preserve">شغل مناصب ذات درجة </w:t>
      </w:r>
      <w:r>
        <w:rPr>
          <w:rFonts w:hint="cs"/>
          <w:rtl/>
          <w:lang w:bidi="ar-LB"/>
        </w:rPr>
        <w:t>أعلى</w:t>
      </w:r>
      <w:r>
        <w:rPr>
          <w:rFonts w:hint="cs"/>
          <w:rtl/>
        </w:rPr>
        <w:t xml:space="preserve">. وفي عام 2003، وصلت </w:t>
      </w:r>
      <w:r>
        <w:rPr>
          <w:rFonts w:hint="cs"/>
          <w:rtl/>
          <w:lang w:bidi="ar-LB"/>
        </w:rPr>
        <w:t>نسبة النساء</w:t>
      </w:r>
      <w:r>
        <w:rPr>
          <w:rFonts w:hint="cs"/>
          <w:rtl/>
        </w:rPr>
        <w:t xml:space="preserve"> في المناصب ذات الدرجة العالية والمناصب العليا 43 في المائة. ومع ذلك، لن ت</w:t>
      </w:r>
      <w:r>
        <w:rPr>
          <w:rFonts w:hint="cs"/>
          <w:rtl/>
          <w:lang w:bidi="ar-LB"/>
        </w:rPr>
        <w:t>تضح</w:t>
      </w:r>
      <w:r>
        <w:rPr>
          <w:rFonts w:hint="cs"/>
          <w:rtl/>
        </w:rPr>
        <w:t xml:space="preserve"> سياسة التعيينات الحالية لشغل المناصب القيادية إلا على المدى الطويل.</w:t>
      </w:r>
    </w:p>
    <w:p w:rsidR="007B4C85" w:rsidRDefault="007B4C85" w:rsidP="007B4C85">
      <w:pPr>
        <w:pStyle w:val="SingleTxt"/>
        <w:rPr>
          <w:rFonts w:hint="cs"/>
          <w:b/>
          <w:bCs/>
          <w:rtl/>
        </w:rPr>
      </w:pPr>
      <w:r>
        <w:rPr>
          <w:rFonts w:hint="cs"/>
          <w:b/>
          <w:bCs/>
          <w:rtl/>
        </w:rPr>
        <w:t>الألعاب الرياضية الدولية</w:t>
      </w:r>
    </w:p>
    <w:p w:rsidR="007B4C85" w:rsidRDefault="007B4C85" w:rsidP="007B4C85">
      <w:pPr>
        <w:pStyle w:val="SingleTxt"/>
        <w:rPr>
          <w:rFonts w:hint="cs"/>
          <w:rtl/>
        </w:rPr>
      </w:pPr>
      <w:r>
        <w:rPr>
          <w:rFonts w:hint="cs"/>
          <w:rtl/>
        </w:rPr>
        <w:tab/>
        <w:t>في شباط/فبراير 2001، اجتمع في فيينا الفريق الدائم للمرأة الأوروبية والألعاب الرياضية</w:t>
      </w:r>
      <w:r w:rsidRPr="00E655D5">
        <w:rPr>
          <w:vertAlign w:val="superscript"/>
          <w:rtl/>
        </w:rPr>
        <w:t>(</w:t>
      </w:r>
      <w:r>
        <w:rPr>
          <w:rStyle w:val="FootnoteReference"/>
          <w:rtl/>
        </w:rPr>
        <w:footnoteReference w:id="6"/>
      </w:r>
      <w:r w:rsidRPr="00E655D5">
        <w:rPr>
          <w:vertAlign w:val="superscript"/>
          <w:rtl/>
        </w:rPr>
        <w:t>)</w:t>
      </w:r>
      <w:r>
        <w:rPr>
          <w:rFonts w:hint="cs"/>
          <w:rtl/>
        </w:rPr>
        <w:t xml:space="preserve"> وقد نظمت هذا الاجتماع المستشارية الاتحادية. وبالإضافة إلى التركيز على موضوع </w:t>
      </w:r>
      <w:r>
        <w:rPr>
          <w:rFonts w:hint="eastAsia"/>
          <w:rtl/>
        </w:rPr>
        <w:t>”المرأة في مناصب اتخاذ القرارات في الألعاب الرياضية</w:t>
      </w:r>
      <w:r>
        <w:rPr>
          <w:rFonts w:hint="cs"/>
          <w:rtl/>
        </w:rPr>
        <w:t xml:space="preserve">“، ناقش الاجتماع المسائل التي سوف يعالجها مؤتمر تالين. </w:t>
      </w:r>
    </w:p>
    <w:p w:rsidR="007B4C85" w:rsidRDefault="007B4C85" w:rsidP="007B4C85">
      <w:pPr>
        <w:pStyle w:val="SingleTxt"/>
        <w:rPr>
          <w:rFonts w:hint="cs"/>
          <w:rtl/>
        </w:rPr>
      </w:pPr>
      <w:r>
        <w:rPr>
          <w:rFonts w:hint="cs"/>
          <w:rtl/>
        </w:rPr>
        <w:tab/>
        <w:t>وفي الاجتماع المفتوح للمرأة الأوروبية والألعاب الرياضية المنعقد في دوبروفنيك في أيلول/سبتمبر 2003</w:t>
      </w:r>
      <w:r w:rsidRPr="00206F4B">
        <w:rPr>
          <w:vertAlign w:val="superscript"/>
          <w:rtl/>
        </w:rPr>
        <w:t>(</w:t>
      </w:r>
      <w:r>
        <w:rPr>
          <w:rStyle w:val="FootnoteReference"/>
          <w:rtl/>
        </w:rPr>
        <w:footnoteReference w:id="7"/>
      </w:r>
      <w:r w:rsidRPr="00206F4B">
        <w:rPr>
          <w:vertAlign w:val="superscript"/>
          <w:rtl/>
        </w:rPr>
        <w:t>)</w:t>
      </w:r>
      <w:r>
        <w:rPr>
          <w:rFonts w:hint="cs"/>
          <w:rtl/>
        </w:rPr>
        <w:t xml:space="preserve"> تم انتخاب النمسا رئيسة للفريق الدائم الدولي للمرأة الأوروبية والألعاب الرياضية للسنوات 2004 إلى 2006. وسوف تقوم الرئاسة النمساوية ومدتها سنتان بإبراز الجانب الدولي للمرأة الأوروبية والألعاب الرياضية</w:t>
      </w:r>
      <w:r>
        <w:rPr>
          <w:rFonts w:hint="cs"/>
          <w:rtl/>
          <w:lang w:bidi="ar-LB"/>
        </w:rPr>
        <w:t xml:space="preserve">، </w:t>
      </w:r>
      <w:r>
        <w:rPr>
          <w:rFonts w:hint="cs"/>
          <w:rtl/>
        </w:rPr>
        <w:t xml:space="preserve">في مؤتمر عام 2006  المقرر أن يحضره 300 وفد. </w:t>
      </w:r>
    </w:p>
    <w:p w:rsidR="007B4C85" w:rsidRDefault="007B4C85" w:rsidP="007B4C85">
      <w:pPr>
        <w:pStyle w:val="SingleTxt"/>
        <w:rPr>
          <w:rFonts w:hint="cs"/>
          <w:b/>
          <w:bCs/>
          <w:rtl/>
        </w:rPr>
      </w:pPr>
      <w:r>
        <w:rPr>
          <w:rFonts w:hint="cs"/>
          <w:b/>
          <w:bCs/>
          <w:rtl/>
        </w:rPr>
        <w:t>المادة 10</w:t>
      </w:r>
    </w:p>
    <w:p w:rsidR="007B4C85" w:rsidRDefault="007B4C85" w:rsidP="007B4C85">
      <w:pPr>
        <w:pStyle w:val="SingleTxt"/>
        <w:rPr>
          <w:rFonts w:hint="cs"/>
          <w:b/>
          <w:bCs/>
          <w:rtl/>
        </w:rPr>
      </w:pPr>
      <w:r>
        <w:rPr>
          <w:rFonts w:hint="cs"/>
          <w:b/>
          <w:bCs/>
          <w:rtl/>
        </w:rPr>
        <w:t>إنجاز المرأة الثقافي</w:t>
      </w:r>
    </w:p>
    <w:p w:rsidR="007B4C85" w:rsidRDefault="007B4C85" w:rsidP="007B4C85">
      <w:pPr>
        <w:pStyle w:val="SingleTxt"/>
        <w:rPr>
          <w:rFonts w:hint="cs"/>
          <w:rtl/>
        </w:rPr>
      </w:pPr>
      <w:r>
        <w:rPr>
          <w:rFonts w:hint="cs"/>
          <w:rtl/>
        </w:rPr>
        <w:tab/>
        <w:t>اعتبارا من الستينات وما بعدها، شهدت النمسا ارتفاعا عاما</w:t>
      </w:r>
      <w:r>
        <w:rPr>
          <w:rFonts w:hint="cs"/>
          <w:rtl/>
          <w:lang w:bidi="ar-LB"/>
        </w:rPr>
        <w:t xml:space="preserve"> في</w:t>
      </w:r>
      <w:r>
        <w:rPr>
          <w:rFonts w:hint="cs"/>
          <w:rtl/>
        </w:rPr>
        <w:t xml:space="preserve"> مستوى الإنجاز الثقافي </w:t>
      </w:r>
      <w:r>
        <w:rPr>
          <w:rFonts w:hint="cs"/>
          <w:rtl/>
          <w:lang w:bidi="ar-LB"/>
        </w:rPr>
        <w:t>عند</w:t>
      </w:r>
      <w:r>
        <w:rPr>
          <w:rFonts w:hint="cs"/>
          <w:rtl/>
        </w:rPr>
        <w:t xml:space="preserve"> جميع ال</w:t>
      </w:r>
      <w:r>
        <w:rPr>
          <w:rFonts w:hint="cs"/>
          <w:rtl/>
          <w:lang w:bidi="ar-LB"/>
        </w:rPr>
        <w:t>فئا</w:t>
      </w:r>
      <w:r>
        <w:rPr>
          <w:rFonts w:hint="cs"/>
          <w:rtl/>
        </w:rPr>
        <w:t>ت السكانية، وعلى أساسها ارتفع المستوى الثقافي للمرأة ارتفاعا  أك</w:t>
      </w:r>
      <w:r>
        <w:rPr>
          <w:rFonts w:hint="cs"/>
          <w:rtl/>
          <w:lang w:bidi="ar-LB"/>
        </w:rPr>
        <w:t>ب</w:t>
      </w:r>
      <w:r>
        <w:rPr>
          <w:rFonts w:hint="cs"/>
          <w:rtl/>
        </w:rPr>
        <w:t xml:space="preserve">ر من ارتفاعه عند الرجل. وعلى الرغم من أن النسبة المئوية للسكان الذين لم يكملوا تعليمهم بعد المرحلة الإلزامية انخفضت انخفاضا سريعا اعتبارا من </w:t>
      </w:r>
      <w:r>
        <w:rPr>
          <w:rFonts w:hint="cs"/>
          <w:rtl/>
          <w:lang w:bidi="ar-LB"/>
        </w:rPr>
        <w:t>عام</w:t>
      </w:r>
      <w:r>
        <w:rPr>
          <w:rFonts w:hint="cs"/>
          <w:rtl/>
        </w:rPr>
        <w:t xml:space="preserve">1971 وما بعده (وفقا لنتائج التعداد السكاني، </w:t>
      </w:r>
      <w:r>
        <w:rPr>
          <w:rFonts w:hint="cs"/>
          <w:rtl/>
          <w:lang w:bidi="ar-LB"/>
        </w:rPr>
        <w:t>و</w:t>
      </w:r>
      <w:r>
        <w:rPr>
          <w:rFonts w:hint="cs"/>
          <w:rtl/>
        </w:rPr>
        <w:t>يمكن الاطلاع على البيانات في المرفق 2)، أظهر تعداد السكان لعام 2001 أن النساء</w:t>
      </w:r>
      <w:r>
        <w:rPr>
          <w:rFonts w:hint="cs"/>
          <w:rtl/>
          <w:lang w:bidi="ar-LB"/>
        </w:rPr>
        <w:t>،</w:t>
      </w:r>
      <w:r>
        <w:rPr>
          <w:rFonts w:hint="cs"/>
          <w:rtl/>
        </w:rPr>
        <w:t xml:space="preserve"> ونسبتهن 43.6 في المائة (</w:t>
      </w:r>
      <w:r>
        <w:rPr>
          <w:rFonts w:hint="cs"/>
          <w:rtl/>
          <w:lang w:bidi="ar-LB"/>
        </w:rPr>
        <w:t>و</w:t>
      </w:r>
      <w:r>
        <w:rPr>
          <w:rFonts w:hint="cs"/>
          <w:rtl/>
        </w:rPr>
        <w:t xml:space="preserve">كانت النسبة عالية في عام 1971 </w:t>
      </w:r>
      <w:r>
        <w:rPr>
          <w:rFonts w:hint="cs"/>
          <w:rtl/>
          <w:lang w:bidi="ar-LB"/>
        </w:rPr>
        <w:t xml:space="preserve">إذ </w:t>
      </w:r>
      <w:r>
        <w:rPr>
          <w:rFonts w:hint="cs"/>
          <w:rtl/>
        </w:rPr>
        <w:t>وصلت إلى 73 في المائة)</w:t>
      </w:r>
      <w:r>
        <w:rPr>
          <w:rFonts w:hint="cs"/>
          <w:rtl/>
          <w:lang w:bidi="ar-LB"/>
        </w:rPr>
        <w:t>،</w:t>
      </w:r>
      <w:r>
        <w:rPr>
          <w:rFonts w:hint="cs"/>
          <w:rtl/>
        </w:rPr>
        <w:t xml:space="preserve"> تأث</w:t>
      </w:r>
      <w:r>
        <w:rPr>
          <w:rFonts w:hint="cs"/>
          <w:rtl/>
          <w:lang w:bidi="ar-LB"/>
        </w:rPr>
        <w:t>رن</w:t>
      </w:r>
      <w:r>
        <w:rPr>
          <w:rFonts w:hint="cs"/>
          <w:rtl/>
        </w:rPr>
        <w:t xml:space="preserve"> تأثيرا أشد من تأثر الرجل (عام 2001: 27 في المائة؛ وعام 1971: 48.9 في المائة). وتعزى هذه الفجوة الواضحة في الإنجاز الثقافي بين الرجل والمرأة، قبل كل شيء، إلى الأجيال القديمة من النساء، اللواتي اقتصر تعليمهن في الماضي على المرحلة الإلزامية، فضلا عن أن عدد البنات بصفة عامة اللاتي أكملن التدريب المهني أقل من عدد البنين. وفي الوقت الراهن، 29 في المائة من النساء اللاتي يتراوح عمرهن بين 20 و 24 سنة يذهبن إلى المدارس والكليات والجامعات وغير ذلك من المعاهد التعليمية، مقارنة بنسبة 23 في المائة عند الرجال من نفس الفئة العمرية. وحدثت بصفة خاصة زيادة هائلة في النسبة المئوية للبنات في التعليم الثانوي العالي والتعليم الجامعي: ففي السنة الدراسية 2002/2003 كانت نسبة النساء على النحو التالي: 54 في المائة من التلاميذ في المدارس الثانوية الأكاديمية، و 51 في المائة في المدارس التقنية والمهنية الثانوية العليا، و 96 في المائة في الكليات الجامعية لتدريب المعلمين وفي المهن التربوية غير المدرسية. </w:t>
      </w:r>
    </w:p>
    <w:p w:rsidR="007B4C85" w:rsidRDefault="007B4C85" w:rsidP="007B4C85">
      <w:pPr>
        <w:pStyle w:val="SingleTxt"/>
        <w:rPr>
          <w:rFonts w:hint="cs"/>
          <w:rtl/>
        </w:rPr>
      </w:pPr>
      <w:r>
        <w:rPr>
          <w:rFonts w:hint="cs"/>
          <w:rtl/>
        </w:rPr>
        <w:t xml:space="preserve">(المصدر: الوزارة الاتحادية للتعليم والعلوم والثقافة </w:t>
      </w:r>
      <w:hyperlink r:id="rId18" w:history="1">
        <w:r w:rsidRPr="001160E6">
          <w:rPr>
            <w:rStyle w:val="Hyperlink"/>
          </w:rPr>
          <w:t>www.bmbwk.gv.at</w:t>
        </w:r>
      </w:hyperlink>
      <w:r>
        <w:rPr>
          <w:rFonts w:hint="cs"/>
          <w:rtl/>
        </w:rPr>
        <w:t>).</w:t>
      </w:r>
    </w:p>
    <w:p w:rsidR="007B4C85" w:rsidRDefault="007B4C85" w:rsidP="007B4C85">
      <w:pPr>
        <w:pStyle w:val="SingleTxt"/>
        <w:rPr>
          <w:rFonts w:hint="cs"/>
          <w:rtl/>
        </w:rPr>
      </w:pPr>
      <w:r>
        <w:rPr>
          <w:rFonts w:hint="cs"/>
          <w:rtl/>
        </w:rPr>
        <w:tab/>
        <w:t>وعلى الرغم من أن كل الدورات التدريبية المهنية مفتوحة لكلا الجنسين، إلا أن هناك تمييز</w:t>
      </w:r>
      <w:r>
        <w:rPr>
          <w:rFonts w:hint="cs"/>
          <w:rtl/>
          <w:lang w:bidi="ar-LB"/>
        </w:rPr>
        <w:t>ا</w:t>
      </w:r>
      <w:r>
        <w:rPr>
          <w:rFonts w:hint="cs"/>
          <w:rtl/>
        </w:rPr>
        <w:t xml:space="preserve"> واضح</w:t>
      </w:r>
      <w:r>
        <w:rPr>
          <w:rFonts w:hint="cs"/>
          <w:rtl/>
          <w:lang w:bidi="ar-LB"/>
        </w:rPr>
        <w:t>ا</w:t>
      </w:r>
      <w:r>
        <w:rPr>
          <w:rFonts w:hint="cs"/>
          <w:rtl/>
        </w:rPr>
        <w:t xml:space="preserve"> من حيث الجنس في المدارس المهنية والبرامج الحرفية. وعليه كانت عدة مبادرات قامت بها الوزارة الاتحادية للتعليم والعلوم والثقافة وغيرها من المؤسسات ترمي إلى التصدي لهذا التفاوت القائم على التمييز بين الجنسين في اختيار التدريب والمهنة، وتم منح الأولوية لتعزيز برنامج </w:t>
      </w:r>
      <w:r>
        <w:rPr>
          <w:rFonts w:hint="eastAsia"/>
          <w:rtl/>
        </w:rPr>
        <w:t>”الفتيات والمرأة في المهن التقنية</w:t>
      </w:r>
      <w:r>
        <w:rPr>
          <w:rFonts w:hint="cs"/>
          <w:rtl/>
        </w:rPr>
        <w:t>“ (انظر أيضا المادة 10، الحرف</w:t>
      </w:r>
      <w:r>
        <w:rPr>
          <w:rFonts w:hint="eastAsia"/>
          <w:rtl/>
        </w:rPr>
        <w:t> </w:t>
      </w:r>
      <w:r>
        <w:rPr>
          <w:rFonts w:hint="cs"/>
          <w:rtl/>
        </w:rPr>
        <w:t>(ج).</w:t>
      </w:r>
    </w:p>
    <w:p w:rsidR="007B4C85" w:rsidRDefault="007B4C85" w:rsidP="007B4C85">
      <w:pPr>
        <w:pStyle w:val="SingleTxt"/>
        <w:rPr>
          <w:rFonts w:hint="cs"/>
          <w:rtl/>
        </w:rPr>
      </w:pPr>
      <w:r>
        <w:rPr>
          <w:rFonts w:hint="cs"/>
          <w:rtl/>
        </w:rPr>
        <w:tab/>
        <w:t>وفي عام 2000، بدأ 51 في المائة من البنين و 52 في المائة من البنات الذين نجحوا في امتحان القبول في الدراسات العليا (</w:t>
      </w:r>
      <w:r>
        <w:t>Matura</w:t>
      </w:r>
      <w:r>
        <w:rPr>
          <w:rFonts w:hint="cs"/>
          <w:rtl/>
        </w:rPr>
        <w:t xml:space="preserve">) هذه السنة دراساتهم للحصول على درجة علمية في الجامعات العلمية والتقنية خلال خمسة فصول. ومنذ عام 1999، ارتفعت نسبة الطالبات النمساويات والطالبات الأجنبيات الملتحقات بالجامعات النمساوية إلى 53 في المائة، وفي جامعات الفنون إلى 58 في المائة. ونسبة </w:t>
      </w:r>
      <w:r>
        <w:rPr>
          <w:rFonts w:hint="cs"/>
          <w:rtl/>
          <w:lang w:bidi="ar-LB"/>
        </w:rPr>
        <w:t>النساء</w:t>
      </w:r>
      <w:r>
        <w:rPr>
          <w:rFonts w:hint="cs"/>
          <w:rtl/>
        </w:rPr>
        <w:t xml:space="preserve"> حاليا بين المقبول</w:t>
      </w:r>
      <w:r>
        <w:rPr>
          <w:rFonts w:hint="cs"/>
          <w:rtl/>
          <w:lang w:bidi="ar-LB"/>
        </w:rPr>
        <w:t>ين</w:t>
      </w:r>
      <w:r>
        <w:rPr>
          <w:rFonts w:hint="cs"/>
          <w:rtl/>
        </w:rPr>
        <w:t xml:space="preserve"> الجدد هي 57 في المائة في الجامعات و 53 في جامعات الفنون، و</w:t>
      </w:r>
      <w:r>
        <w:rPr>
          <w:rFonts w:hint="cs"/>
          <w:rtl/>
          <w:lang w:bidi="ar-LB"/>
        </w:rPr>
        <w:t xml:space="preserve">وصلت نسبة النساء </w:t>
      </w:r>
      <w:r>
        <w:rPr>
          <w:rFonts w:hint="cs"/>
          <w:rtl/>
        </w:rPr>
        <w:t>في السنة الأكاديمية 2000/2001، بين الخريجيين الجدد</w:t>
      </w:r>
      <w:r>
        <w:rPr>
          <w:rFonts w:hint="cs"/>
          <w:rtl/>
          <w:lang w:bidi="ar-LB"/>
        </w:rPr>
        <w:t xml:space="preserve"> إلى </w:t>
      </w:r>
      <w:r>
        <w:rPr>
          <w:rFonts w:hint="cs"/>
          <w:rtl/>
        </w:rPr>
        <w:t>50 في المائة للمرة الأولى. و</w:t>
      </w:r>
      <w:r>
        <w:rPr>
          <w:rFonts w:hint="cs"/>
          <w:rtl/>
          <w:lang w:bidi="ar-LB"/>
        </w:rPr>
        <w:t>يعزز</w:t>
      </w:r>
      <w:r>
        <w:rPr>
          <w:rFonts w:hint="cs"/>
          <w:rtl/>
        </w:rPr>
        <w:t xml:space="preserve"> الاتجاه نحو </w:t>
      </w:r>
      <w:r>
        <w:rPr>
          <w:rFonts w:hint="cs"/>
          <w:rtl/>
          <w:lang w:bidi="ar-LB"/>
        </w:rPr>
        <w:t xml:space="preserve">اتباع </w:t>
      </w:r>
      <w:r>
        <w:rPr>
          <w:rFonts w:hint="cs"/>
          <w:rtl/>
        </w:rPr>
        <w:t xml:space="preserve">سلوك جنساني معين في اختيار الفرع التعليمي </w:t>
      </w:r>
      <w:r>
        <w:rPr>
          <w:rFonts w:hint="cs"/>
          <w:rtl/>
          <w:lang w:bidi="ar-LB"/>
        </w:rPr>
        <w:t xml:space="preserve">ما سبق </w:t>
      </w:r>
      <w:r>
        <w:rPr>
          <w:rFonts w:hint="cs"/>
          <w:rtl/>
        </w:rPr>
        <w:t>دراس</w:t>
      </w:r>
      <w:r>
        <w:rPr>
          <w:rFonts w:hint="cs"/>
          <w:rtl/>
          <w:lang w:bidi="ar-LB"/>
        </w:rPr>
        <w:t xml:space="preserve">ته </w:t>
      </w:r>
      <w:r>
        <w:rPr>
          <w:rFonts w:hint="cs"/>
          <w:rtl/>
        </w:rPr>
        <w:t xml:space="preserve">في ميدان معين في المرحلة الثانوية العليا أو مرحلة ما بعد المرحلة الثانوية. وعلى الرغم من أن المرأة ما زالت ممثلة تمثيلا ناقصا في فروع تعليمية معينة مثل الهندسة، والتكنولوجيا، والعلوم الطبيعية، ونسبتها في هذه الفروع 18 في المائة، ازدادت نسبتها بمقدار 3 في المائة بين عامي 1999 و 2001. ويدعم هذا الاتجاه برنامج قياسي يهدف إلى تعزيز </w:t>
      </w:r>
      <w:r>
        <w:rPr>
          <w:rFonts w:hint="eastAsia"/>
          <w:rtl/>
        </w:rPr>
        <w:t>”المرأة في الأبحاث والتكنولوجيا</w:t>
      </w:r>
      <w:r>
        <w:rPr>
          <w:rFonts w:hint="cs"/>
          <w:rtl/>
        </w:rPr>
        <w:t>“ (انظر المادة</w:t>
      </w:r>
      <w:r>
        <w:rPr>
          <w:rFonts w:hint="eastAsia"/>
          <w:rtl/>
        </w:rPr>
        <w:t> </w:t>
      </w:r>
      <w:r>
        <w:rPr>
          <w:rFonts w:hint="cs"/>
          <w:rtl/>
        </w:rPr>
        <w:t>10، الحرف (ج).</w:t>
      </w:r>
    </w:p>
    <w:p w:rsidR="007B4C85" w:rsidRDefault="007B4C85" w:rsidP="007B4C85">
      <w:pPr>
        <w:pStyle w:val="SingleTxt"/>
        <w:rPr>
          <w:rFonts w:hint="cs"/>
          <w:rtl/>
        </w:rPr>
      </w:pPr>
      <w:r>
        <w:rPr>
          <w:rFonts w:hint="cs"/>
          <w:rtl/>
        </w:rPr>
        <w:tab/>
        <w:t xml:space="preserve">وفيما يتعلق بدراسة </w:t>
      </w:r>
      <w:r>
        <w:rPr>
          <w:rFonts w:hint="cs"/>
          <w:rtl/>
          <w:lang w:bidi="ar-LB"/>
        </w:rPr>
        <w:t xml:space="preserve">بعض الفروع </w:t>
      </w:r>
      <w:r>
        <w:rPr>
          <w:rFonts w:hint="cs"/>
          <w:rtl/>
        </w:rPr>
        <w:t xml:space="preserve">في جامعات العلوم التطبيقية، </w:t>
      </w:r>
      <w:r>
        <w:rPr>
          <w:rFonts w:hint="cs"/>
          <w:rtl/>
          <w:lang w:bidi="ar-LB"/>
        </w:rPr>
        <w:t>وهو</w:t>
      </w:r>
      <w:r>
        <w:rPr>
          <w:rFonts w:hint="cs"/>
          <w:rtl/>
        </w:rPr>
        <w:t xml:space="preserve"> قطاع تعليمي تم استحداثه في عام 1994 وما زالت عملية تطويره جارية، تتفاوت </w:t>
      </w:r>
      <w:r>
        <w:rPr>
          <w:rFonts w:hint="cs"/>
          <w:rtl/>
          <w:lang w:bidi="ar-LB"/>
        </w:rPr>
        <w:t xml:space="preserve">نسبة الطالبات </w:t>
      </w:r>
      <w:r>
        <w:rPr>
          <w:rFonts w:hint="cs"/>
          <w:rtl/>
        </w:rPr>
        <w:t>تفاوتا شاسعا، و</w:t>
      </w:r>
      <w:r>
        <w:rPr>
          <w:rFonts w:hint="cs"/>
          <w:rtl/>
          <w:lang w:bidi="ar-LB"/>
        </w:rPr>
        <w:t>ت</w:t>
      </w:r>
      <w:r>
        <w:rPr>
          <w:rFonts w:hint="cs"/>
          <w:rtl/>
        </w:rPr>
        <w:t xml:space="preserve">توقف </w:t>
      </w:r>
      <w:r>
        <w:rPr>
          <w:rFonts w:hint="cs"/>
          <w:rtl/>
          <w:lang w:bidi="ar-LB"/>
        </w:rPr>
        <w:t xml:space="preserve">النسبة </w:t>
      </w:r>
      <w:r>
        <w:rPr>
          <w:rFonts w:hint="cs"/>
          <w:rtl/>
        </w:rPr>
        <w:t>على أي المواد يتم التركيز عليها. وفي حين أن نسبة الطالبات تصل إلى 71 في المائة في المواد السياحية و 58 في مواد العلوم الإنسانية، لا تتجاوز نسبتهن في مجال إدارة الأعمال وعلم الاقتصاد نسبة 51 في المائة وفي الميدان التقني نسبة 22 في المائة. غير أنه ينبغي أن يعاد النظر في هذه الأرقام بما أن 54 في المائة من جميع المواد ال</w:t>
      </w:r>
      <w:r>
        <w:rPr>
          <w:rFonts w:hint="cs"/>
          <w:rtl/>
          <w:lang w:bidi="ar-LB"/>
        </w:rPr>
        <w:t>تي يتم ت</w:t>
      </w:r>
      <w:r>
        <w:rPr>
          <w:rFonts w:hint="cs"/>
          <w:rtl/>
        </w:rPr>
        <w:t>در</w:t>
      </w:r>
      <w:r>
        <w:rPr>
          <w:rFonts w:hint="cs"/>
          <w:rtl/>
          <w:lang w:bidi="ar-LB"/>
        </w:rPr>
        <w:t>ي</w:t>
      </w:r>
      <w:r>
        <w:rPr>
          <w:rFonts w:hint="cs"/>
          <w:rtl/>
        </w:rPr>
        <w:t>س</w:t>
      </w:r>
      <w:r>
        <w:rPr>
          <w:rFonts w:hint="cs"/>
          <w:rtl/>
          <w:lang w:bidi="ar-LB"/>
        </w:rPr>
        <w:t>ها</w:t>
      </w:r>
      <w:r>
        <w:rPr>
          <w:rFonts w:hint="cs"/>
          <w:rtl/>
        </w:rPr>
        <w:t xml:space="preserve"> في جامعات العلوم التطبيقية هي في الميدان التقني ونسبة النساء في هذه المواد ازدادت بمقدار 11 في المائة خلال فصل الشتاء من عام 1999 و 22 في المائة خلال فصل الشتاء من عام 2002.</w:t>
      </w:r>
    </w:p>
    <w:p w:rsidR="007B4C85" w:rsidRDefault="007B4C85" w:rsidP="007B4C85">
      <w:pPr>
        <w:pStyle w:val="SingleTxt"/>
        <w:rPr>
          <w:rFonts w:hint="cs"/>
          <w:rtl/>
        </w:rPr>
      </w:pPr>
      <w:r>
        <w:rPr>
          <w:rFonts w:hint="cs"/>
          <w:rtl/>
        </w:rPr>
        <w:tab/>
        <w:t>والمناقشة جارية حول التدابير التي يتعين اتخاذها للسماح بتنظيم دورات تدريبية للمساعدين الطبيين وللقابلات في جامعات العلوم التطبيقية. و</w:t>
      </w:r>
      <w:r>
        <w:rPr>
          <w:rFonts w:hint="cs"/>
          <w:rtl/>
          <w:lang w:bidi="ar-LB"/>
        </w:rPr>
        <w:t>تهيمن</w:t>
      </w:r>
      <w:r>
        <w:rPr>
          <w:rFonts w:hint="cs"/>
          <w:rtl/>
        </w:rPr>
        <w:t xml:space="preserve"> المرأة في أكاديميات تدريب المعلمين، وأكاديميات تدريب المرشدين الاجتماعيين، وكليات تدريب العاملين الطبيين المساعدين، والعاملين في مجال الرعاية الصحية (مثل الممرضين/الممرضات والعاملين الصحيين الآخرين، والقابلات، والمهن الطبية/التقنية). وإن ثلاثة أرباع الطلاب في هذه المؤسسات هم من النساء، وهو رقم ظل بدون تغيير خلال السنوات الـ 15 الماضية.</w:t>
      </w:r>
    </w:p>
    <w:p w:rsidR="007B4C85" w:rsidRPr="00011D59" w:rsidRDefault="007B4C85" w:rsidP="007B4C85">
      <w:pPr>
        <w:pStyle w:val="SingleTxt"/>
        <w:rPr>
          <w:rFonts w:hint="cs"/>
          <w:b/>
          <w:bCs/>
          <w:rtl/>
        </w:rPr>
      </w:pPr>
      <w:r w:rsidRPr="00011D59">
        <w:rPr>
          <w:rFonts w:hint="cs"/>
          <w:b/>
          <w:bCs/>
          <w:rtl/>
        </w:rPr>
        <w:t>المادة 10، الحروف (أ) و (ب) و (د)</w:t>
      </w:r>
    </w:p>
    <w:p w:rsidR="007B4C85" w:rsidRDefault="007B4C85" w:rsidP="007B4C85">
      <w:pPr>
        <w:pStyle w:val="SingleTxt"/>
        <w:rPr>
          <w:rFonts w:hint="cs"/>
          <w:rtl/>
        </w:rPr>
      </w:pPr>
      <w:r>
        <w:rPr>
          <w:rFonts w:hint="cs"/>
          <w:rtl/>
        </w:rPr>
        <w:tab/>
      </w:r>
      <w:r>
        <w:rPr>
          <w:rFonts w:hint="cs"/>
          <w:rtl/>
          <w:lang w:bidi="ar-LB"/>
        </w:rPr>
        <w:t xml:space="preserve">وفي إطار القانون النمساوي، </w:t>
      </w:r>
      <w:r>
        <w:rPr>
          <w:rFonts w:hint="cs"/>
          <w:rtl/>
        </w:rPr>
        <w:t xml:space="preserve">يتم رسميا الوفاء بالشروط القانونية </w:t>
      </w:r>
      <w:r>
        <w:rPr>
          <w:rFonts w:hint="cs"/>
          <w:rtl/>
          <w:lang w:bidi="ar-LB"/>
        </w:rPr>
        <w:t>التي ت</w:t>
      </w:r>
      <w:r>
        <w:rPr>
          <w:rFonts w:hint="cs"/>
          <w:rtl/>
        </w:rPr>
        <w:t>ضمن المساواة في الحقوق بين الرجل والمرأة، و</w:t>
      </w:r>
      <w:r>
        <w:rPr>
          <w:rFonts w:hint="cs"/>
          <w:rtl/>
          <w:lang w:bidi="ar-LB"/>
        </w:rPr>
        <w:t xml:space="preserve">تطبيق </w:t>
      </w:r>
      <w:r>
        <w:rPr>
          <w:rFonts w:hint="cs"/>
          <w:rtl/>
        </w:rPr>
        <w:t xml:space="preserve">نفس الشروط </w:t>
      </w:r>
      <w:r>
        <w:rPr>
          <w:rFonts w:hint="cs"/>
          <w:rtl/>
          <w:lang w:bidi="ar-LB"/>
        </w:rPr>
        <w:t xml:space="preserve">في مجال </w:t>
      </w:r>
      <w:r>
        <w:rPr>
          <w:rFonts w:hint="cs"/>
          <w:rtl/>
        </w:rPr>
        <w:t>الت</w:t>
      </w:r>
      <w:r>
        <w:rPr>
          <w:rFonts w:hint="cs"/>
          <w:rtl/>
          <w:lang w:bidi="ar-LB"/>
        </w:rPr>
        <w:t>وجيه</w:t>
      </w:r>
      <w:r>
        <w:rPr>
          <w:rFonts w:hint="cs"/>
          <w:rtl/>
        </w:rPr>
        <w:t xml:space="preserve"> المهني، والتعليم</w:t>
      </w:r>
      <w:r>
        <w:rPr>
          <w:rFonts w:hint="cs"/>
          <w:rtl/>
          <w:lang w:bidi="ar-LB"/>
        </w:rPr>
        <w:t>،</w:t>
      </w:r>
      <w:r>
        <w:rPr>
          <w:rFonts w:hint="cs"/>
          <w:rtl/>
        </w:rPr>
        <w:t xml:space="preserve"> و</w:t>
      </w:r>
      <w:r>
        <w:rPr>
          <w:rFonts w:hint="cs"/>
          <w:rtl/>
          <w:lang w:bidi="ar-LB"/>
        </w:rPr>
        <w:t xml:space="preserve">الحصول على </w:t>
      </w:r>
      <w:r>
        <w:rPr>
          <w:rFonts w:hint="cs"/>
          <w:rtl/>
        </w:rPr>
        <w:t>الشهادات والمنح الدراسية</w:t>
      </w:r>
      <w:r>
        <w:rPr>
          <w:rFonts w:hint="cs"/>
          <w:rtl/>
          <w:lang w:bidi="ar-LB"/>
        </w:rPr>
        <w:t>،</w:t>
      </w:r>
      <w:r>
        <w:rPr>
          <w:rFonts w:hint="cs"/>
          <w:rtl/>
        </w:rPr>
        <w:t xml:space="preserve"> وما شابه ذلك (وينطبق ذلك أيضا على الفقرات الأخرى </w:t>
      </w:r>
      <w:r>
        <w:rPr>
          <w:rFonts w:hint="cs"/>
          <w:rtl/>
          <w:lang w:bidi="ar-LB"/>
        </w:rPr>
        <w:t>ل</w:t>
      </w:r>
      <w:r>
        <w:rPr>
          <w:rFonts w:hint="cs"/>
          <w:rtl/>
        </w:rPr>
        <w:t xml:space="preserve">لمادة 10). ويعزى بصفة رئيسية </w:t>
      </w:r>
      <w:r>
        <w:rPr>
          <w:rFonts w:hint="cs"/>
          <w:rtl/>
          <w:lang w:bidi="ar-LB"/>
        </w:rPr>
        <w:t>حالات الاختلال</w:t>
      </w:r>
      <w:r>
        <w:rPr>
          <w:rFonts w:hint="cs"/>
          <w:rtl/>
        </w:rPr>
        <w:t xml:space="preserve"> ال</w:t>
      </w:r>
      <w:r>
        <w:rPr>
          <w:rFonts w:hint="cs"/>
          <w:rtl/>
          <w:lang w:bidi="ar-LB"/>
        </w:rPr>
        <w:t>ت</w:t>
      </w:r>
      <w:r>
        <w:rPr>
          <w:rFonts w:hint="cs"/>
          <w:rtl/>
        </w:rPr>
        <w:t xml:space="preserve">ي </w:t>
      </w:r>
      <w:r>
        <w:rPr>
          <w:rFonts w:hint="cs"/>
          <w:rtl/>
          <w:lang w:bidi="ar-LB"/>
        </w:rPr>
        <w:t>ت</w:t>
      </w:r>
      <w:r>
        <w:rPr>
          <w:rFonts w:hint="cs"/>
          <w:rtl/>
        </w:rPr>
        <w:t xml:space="preserve">حدث رغم </w:t>
      </w:r>
      <w:r>
        <w:rPr>
          <w:rFonts w:hint="cs"/>
          <w:rtl/>
          <w:lang w:bidi="ar-LB"/>
        </w:rPr>
        <w:t>تطبيق نفس الشروط</w:t>
      </w:r>
      <w:r>
        <w:rPr>
          <w:rFonts w:hint="cs"/>
          <w:rtl/>
        </w:rPr>
        <w:t>، مثل الفرق بين البنين والبنات فيما يتعلق باختيار نوع المدرسة</w:t>
      </w:r>
      <w:r>
        <w:rPr>
          <w:rFonts w:hint="cs"/>
          <w:rtl/>
          <w:lang w:bidi="ar-LB"/>
        </w:rPr>
        <w:t>،</w:t>
      </w:r>
      <w:r>
        <w:rPr>
          <w:rFonts w:hint="cs"/>
          <w:rtl/>
        </w:rPr>
        <w:t xml:space="preserve"> إلى الحواجز المجتمعية مثل </w:t>
      </w:r>
      <w:r>
        <w:rPr>
          <w:rFonts w:hint="cs"/>
          <w:rtl/>
          <w:lang w:bidi="ar-LB"/>
        </w:rPr>
        <w:t>التحامل</w:t>
      </w:r>
      <w:r>
        <w:rPr>
          <w:rFonts w:hint="cs"/>
          <w:rtl/>
        </w:rPr>
        <w:t>، والأدوار ال</w:t>
      </w:r>
      <w:r>
        <w:rPr>
          <w:rFonts w:hint="cs"/>
          <w:rtl/>
          <w:lang w:bidi="ar-LB"/>
        </w:rPr>
        <w:t>نمط</w:t>
      </w:r>
      <w:r>
        <w:rPr>
          <w:rFonts w:hint="cs"/>
          <w:rtl/>
        </w:rPr>
        <w:t>ية المسندة إلى المرأة وما شابه ذلك، ولا يمكن ال</w:t>
      </w:r>
      <w:r>
        <w:rPr>
          <w:rFonts w:hint="cs"/>
          <w:rtl/>
          <w:lang w:bidi="ar-LB"/>
        </w:rPr>
        <w:t xml:space="preserve">تخلص من </w:t>
      </w:r>
      <w:r>
        <w:rPr>
          <w:rFonts w:hint="cs"/>
          <w:rtl/>
        </w:rPr>
        <w:t>ذلك إلا عن طريق تعديل الممارسات التعليمية، والقيام بحملات تستهدف زيادة وعي الجمهور في هذا المجال.</w:t>
      </w:r>
    </w:p>
    <w:p w:rsidR="007B4C85" w:rsidRDefault="007B4C85" w:rsidP="007B4C85">
      <w:pPr>
        <w:pStyle w:val="SingleTxt"/>
        <w:rPr>
          <w:rFonts w:hint="cs"/>
          <w:b/>
          <w:bCs/>
          <w:rtl/>
        </w:rPr>
      </w:pPr>
      <w:r>
        <w:rPr>
          <w:rFonts w:hint="cs"/>
          <w:b/>
          <w:bCs/>
          <w:rtl/>
        </w:rPr>
        <w:t>المادة 10، الحرف (ج)</w:t>
      </w:r>
    </w:p>
    <w:p w:rsidR="007B4C85" w:rsidRDefault="007B4C85" w:rsidP="007B4C85">
      <w:pPr>
        <w:pStyle w:val="SingleTxt"/>
        <w:rPr>
          <w:rFonts w:hint="cs"/>
          <w:rtl/>
        </w:rPr>
      </w:pPr>
      <w:r>
        <w:rPr>
          <w:rFonts w:hint="cs"/>
          <w:rtl/>
        </w:rPr>
        <w:tab/>
        <w:t xml:space="preserve">إثر المؤتمر العالمي المعني بالمرأة في بيجين، والتصديق على معاهدة أمستردام، أصبحت مسألة تعميم مراعاة المنظور الجنساني برنامجا رئيسيا في الوزارة الاتحادية للتعليم والعلوم والثقافة. (إعلان بيجين، البند 38: </w:t>
      </w:r>
      <w:r>
        <w:rPr>
          <w:rFonts w:hint="eastAsia"/>
          <w:rtl/>
        </w:rPr>
        <w:t>”إننا، نحن الحكومات، نعتمد هاهنا منهاج العمل التالي ونلتزم بتنفيذه، بما يكفل مراعاة الجنسين في جميع سياساتنا وبرامجنا</w:t>
      </w:r>
      <w:r>
        <w:rPr>
          <w:rFonts w:hint="cs"/>
          <w:rtl/>
        </w:rPr>
        <w:t xml:space="preserve">“). ومن أجل تنفيذ هذه الاستراتيجية داخل الوزارة، تم إنشاء الفريق العامل المعني بتعميم مراعاة المنظور الجنساني، بغية إرشاد ودعم وزارة التعليم بهدف توفير المعلومات، وتعزيز الوعي، وإسداء المشورة والدعم لراسمي السياسات من أجل تنفيذ النهج المتعلق بتعميم مراعاة المنظور الجنساني من القمة إلى القاعدة. ويتم تركيز الاهتمام الخاص على تنفيذ استخدام اللغة بطريقة تراعي المنظور الجنساني، ومن أجل تحقيق هذا الغرض، تم إعداد نشرتين عن طريقة استخدام اللغة من منظور جنساني، بالإضافة إلى كتيب يستخدمه المسؤولون عن المشاريع. وتم من الناحية العملية جمع جميع البيانات وهي متوفرة الآن على أساس يميز بين الجنسين. </w:t>
      </w:r>
    </w:p>
    <w:p w:rsidR="007B4C85" w:rsidRDefault="007B4C85" w:rsidP="007B4C85">
      <w:pPr>
        <w:pStyle w:val="SingleTxt"/>
        <w:rPr>
          <w:rFonts w:hint="cs"/>
          <w:rtl/>
        </w:rPr>
      </w:pPr>
      <w:r>
        <w:rPr>
          <w:rFonts w:hint="cs"/>
          <w:rtl/>
        </w:rPr>
        <w:tab/>
        <w:t xml:space="preserve">وتم الشروع في المشاريع التالية من أجل تنفيذ برنامج تعميم مراعاة المنظور الجنساني في كل أنحاء النظام التعليمي: </w:t>
      </w:r>
      <w:r>
        <w:rPr>
          <w:rFonts w:hint="eastAsia"/>
          <w:rtl/>
        </w:rPr>
        <w:t>”تعميم مراعاة المنظور الجنساني وتطوير المدارس</w:t>
      </w:r>
      <w:r>
        <w:rPr>
          <w:rFonts w:hint="cs"/>
          <w:rtl/>
        </w:rPr>
        <w:t xml:space="preserve">“ مشروع يتبع نهجا قائما على المبادءة في الصفوف بهدف البدء في عمليات تطوير على مستوى المدرسة كلها، وتمكين الأطر والخيارات التي تراعي المنظور الجنساني. ويهتم مشروع </w:t>
      </w:r>
      <w:r>
        <w:rPr>
          <w:rFonts w:hint="eastAsia"/>
          <w:rtl/>
        </w:rPr>
        <w:t>”تعميم مراعاة المنظور الجنساني في الأكاديميات</w:t>
      </w:r>
      <w:r>
        <w:rPr>
          <w:rFonts w:hint="cs"/>
          <w:rtl/>
        </w:rPr>
        <w:t>“ بتدريب المعلمين، علما بأن الهدف يتمثل في تطبيق مبدأ تعميم مراعاة المنظور الجنساني في المناهج الدراسية، والمحاضرات، ومشاريع التدريس والأبحاث، وتحقيق توازن بين الجنسين في التعيينات في الأجهزة الرسمية، فضلا عن تنفيذ الأنشطة الإعلامية وأنشطة التوعية.</w:t>
      </w:r>
    </w:p>
    <w:p w:rsidR="007B4C85" w:rsidRDefault="007B4C85" w:rsidP="007B4C85">
      <w:pPr>
        <w:pStyle w:val="SingleTxt"/>
        <w:rPr>
          <w:rFonts w:hint="cs"/>
          <w:rtl/>
        </w:rPr>
      </w:pPr>
      <w:r>
        <w:rPr>
          <w:rFonts w:hint="cs"/>
          <w:rtl/>
        </w:rPr>
        <w:tab/>
        <w:t>ومن أجل دعم هذه البرامج وزيادة الوعي بمسائل تعميم مراعاة المنظور الجنساني، تم تنظيم حلقتين دراسيتين: إحداهما للمنسقين المعنيين بنوع الجنس في معاهد تدريب المعلمين وا</w:t>
      </w:r>
      <w:r>
        <w:rPr>
          <w:rFonts w:hint="cs"/>
          <w:rtl/>
          <w:lang w:bidi="ar-LB"/>
        </w:rPr>
        <w:t>لأ</w:t>
      </w:r>
      <w:r>
        <w:rPr>
          <w:rFonts w:hint="cs"/>
          <w:rtl/>
        </w:rPr>
        <w:t>خر</w:t>
      </w:r>
      <w:r>
        <w:rPr>
          <w:rFonts w:hint="cs"/>
          <w:rtl/>
          <w:lang w:bidi="ar-LB"/>
        </w:rPr>
        <w:t>ى</w:t>
      </w:r>
      <w:r>
        <w:rPr>
          <w:rFonts w:hint="cs"/>
          <w:rtl/>
        </w:rPr>
        <w:t xml:space="preserve"> لهيئة التدريس في كليات الهندسة (انظر المادة 2).</w:t>
      </w:r>
    </w:p>
    <w:p w:rsidR="007B4C85" w:rsidRDefault="007B4C85" w:rsidP="007B4C85">
      <w:pPr>
        <w:pStyle w:val="SingleTxt"/>
        <w:rPr>
          <w:rFonts w:hint="cs"/>
          <w:rtl/>
        </w:rPr>
      </w:pPr>
      <w:r>
        <w:rPr>
          <w:rFonts w:hint="cs"/>
          <w:rtl/>
        </w:rPr>
        <w:tab/>
        <w:t xml:space="preserve">وكان الهدف الرئيسي خلال السنتين الماضيتين هو تعزيز مشاركة المرأة في الأبحاث، وتعزيز </w:t>
      </w:r>
      <w:r>
        <w:rPr>
          <w:rFonts w:hint="cs"/>
          <w:rtl/>
          <w:lang w:bidi="ar-LB"/>
        </w:rPr>
        <w:t xml:space="preserve">فكرة جعل الأبحاث تشمل </w:t>
      </w:r>
      <w:r>
        <w:rPr>
          <w:rFonts w:hint="cs"/>
          <w:rtl/>
        </w:rPr>
        <w:t xml:space="preserve">المسائل التي تهم المرأة ، وتشجيع الوعي بالمواضيع </w:t>
      </w:r>
      <w:r>
        <w:rPr>
          <w:rFonts w:hint="cs"/>
          <w:rtl/>
          <w:lang w:bidi="ar-LB"/>
        </w:rPr>
        <w:t>الخاصة ب</w:t>
      </w:r>
      <w:r>
        <w:rPr>
          <w:rFonts w:hint="cs"/>
          <w:rtl/>
        </w:rPr>
        <w:t xml:space="preserve">المرأة في </w:t>
      </w:r>
      <w:r>
        <w:rPr>
          <w:rFonts w:hint="cs"/>
          <w:rtl/>
          <w:lang w:bidi="ar-LB"/>
        </w:rPr>
        <w:t xml:space="preserve">مجال </w:t>
      </w:r>
      <w:r>
        <w:rPr>
          <w:rFonts w:hint="cs"/>
          <w:rtl/>
        </w:rPr>
        <w:t xml:space="preserve">الأبحاث ونشر المعلومات. </w:t>
      </w:r>
      <w:r>
        <w:rPr>
          <w:rFonts w:hint="cs"/>
          <w:rtl/>
          <w:lang w:bidi="ar-LB"/>
        </w:rPr>
        <w:t xml:space="preserve">وقد تم بالفعل تنفيذ </w:t>
      </w:r>
      <w:r>
        <w:rPr>
          <w:rFonts w:hint="cs"/>
          <w:rtl/>
        </w:rPr>
        <w:t>هدف إدماج النهج المتعلقة ب</w:t>
      </w:r>
      <w:r>
        <w:rPr>
          <w:rFonts w:hint="cs"/>
          <w:rtl/>
          <w:lang w:bidi="ar-LB"/>
        </w:rPr>
        <w:t xml:space="preserve">نوع </w:t>
      </w:r>
      <w:r>
        <w:rPr>
          <w:rFonts w:hint="cs"/>
          <w:rtl/>
        </w:rPr>
        <w:t>الجنس وزيادة نسبة ا</w:t>
      </w:r>
      <w:r>
        <w:rPr>
          <w:rFonts w:hint="cs"/>
          <w:rtl/>
          <w:lang w:bidi="ar-LB"/>
        </w:rPr>
        <w:t>لنساء</w:t>
      </w:r>
      <w:r>
        <w:rPr>
          <w:rFonts w:hint="cs"/>
          <w:rtl/>
        </w:rPr>
        <w:t xml:space="preserve"> في </w:t>
      </w:r>
      <w:r>
        <w:rPr>
          <w:rFonts w:hint="cs"/>
          <w:rtl/>
          <w:lang w:bidi="ar-LB"/>
        </w:rPr>
        <w:t xml:space="preserve">مجال </w:t>
      </w:r>
      <w:r>
        <w:rPr>
          <w:rFonts w:hint="cs"/>
          <w:rtl/>
        </w:rPr>
        <w:t>الأبحاث، لا سيما بوصفهن مسؤولات عن المشاريع ومنسقات له</w:t>
      </w:r>
      <w:r>
        <w:rPr>
          <w:rFonts w:hint="cs"/>
          <w:rtl/>
          <w:lang w:bidi="ar-LB"/>
        </w:rPr>
        <w:t>ا وذلك من</w:t>
      </w:r>
      <w:r>
        <w:rPr>
          <w:rFonts w:hint="cs"/>
          <w:rtl/>
        </w:rPr>
        <w:t xml:space="preserve"> خلال تقديم المنح إلى </w:t>
      </w:r>
      <w:r>
        <w:rPr>
          <w:rFonts w:hint="cs"/>
          <w:rtl/>
          <w:lang w:bidi="ar-LB"/>
        </w:rPr>
        <w:t>ال</w:t>
      </w:r>
      <w:r>
        <w:rPr>
          <w:rFonts w:hint="cs"/>
          <w:rtl/>
        </w:rPr>
        <w:t>مشاريع ا</w:t>
      </w:r>
      <w:r>
        <w:rPr>
          <w:rFonts w:hint="cs"/>
          <w:rtl/>
          <w:lang w:bidi="ar-LB"/>
        </w:rPr>
        <w:t>ل</w:t>
      </w:r>
      <w:r>
        <w:rPr>
          <w:rFonts w:hint="cs"/>
          <w:rtl/>
        </w:rPr>
        <w:t>بح</w:t>
      </w:r>
      <w:r>
        <w:rPr>
          <w:rFonts w:hint="cs"/>
          <w:rtl/>
          <w:lang w:bidi="ar-LB"/>
        </w:rPr>
        <w:t>ثية</w:t>
      </w:r>
      <w:r>
        <w:rPr>
          <w:rFonts w:hint="cs"/>
          <w:rtl/>
        </w:rPr>
        <w:t xml:space="preserve">. وتكللت </w:t>
      </w:r>
      <w:r>
        <w:rPr>
          <w:rFonts w:hint="cs"/>
          <w:rtl/>
          <w:lang w:bidi="ar-LB"/>
        </w:rPr>
        <w:t xml:space="preserve">بالنجاح </w:t>
      </w:r>
      <w:r>
        <w:rPr>
          <w:rFonts w:hint="cs"/>
          <w:rtl/>
        </w:rPr>
        <w:t xml:space="preserve">برامج الأبحاث التي راعت نوع الجنس </w:t>
      </w:r>
      <w:r>
        <w:rPr>
          <w:rFonts w:hint="cs"/>
          <w:rtl/>
          <w:lang w:bidi="ar-LB"/>
        </w:rPr>
        <w:t>من حيث</w:t>
      </w:r>
      <w:r>
        <w:rPr>
          <w:rFonts w:hint="cs"/>
          <w:rtl/>
        </w:rPr>
        <w:t xml:space="preserve"> تصميمها: مثل برنامج </w:t>
      </w:r>
      <w:r>
        <w:rPr>
          <w:rFonts w:hint="eastAsia"/>
          <w:rtl/>
        </w:rPr>
        <w:t>”البحث في المجال الثقافي</w:t>
      </w:r>
      <w:r>
        <w:rPr>
          <w:rFonts w:hint="cs"/>
          <w:rtl/>
        </w:rPr>
        <w:t xml:space="preserve">“ وقد ازدادت نسبة النساء المشتركات في هذا البرنامج بمقدار 50 في المائة من خلال تطبيق نظام </w:t>
      </w:r>
      <w:r>
        <w:rPr>
          <w:rFonts w:hint="cs"/>
          <w:rtl/>
          <w:lang w:bidi="ar-LB"/>
        </w:rPr>
        <w:t>لل</w:t>
      </w:r>
      <w:r>
        <w:rPr>
          <w:rFonts w:hint="cs"/>
          <w:rtl/>
        </w:rPr>
        <w:t>حوافز، وبرنامج الحلقات الذي تم بموجبه تنظيم مشاريع كان على رأسها مسؤولون نسبة النساء بينهم 40 في المائة، علما بأن جميع المشاريع تضم جانبا يتعلق بنوع الجنس في أبحاثها.</w:t>
      </w:r>
    </w:p>
    <w:p w:rsidR="007B4C85" w:rsidRDefault="007B4C85" w:rsidP="007B4C85">
      <w:pPr>
        <w:pStyle w:val="SingleTxt"/>
        <w:rPr>
          <w:rFonts w:hint="cs"/>
          <w:rtl/>
        </w:rPr>
      </w:pPr>
      <w:r>
        <w:rPr>
          <w:rFonts w:hint="cs"/>
          <w:rtl/>
        </w:rPr>
        <w:tab/>
        <w:t>ويجري تنفيذ التدابير المتخذة للنهوض بالمرأة عند تمويل معاهد الأبحاث غير الجامعية بهدف زيادة نسبة النساء في مجال الأبحاث وتحسين ظروف العمل على نحو يلائم المرأة.</w:t>
      </w:r>
    </w:p>
    <w:p w:rsidR="007B4C85" w:rsidRDefault="007B4C85" w:rsidP="007B4C85">
      <w:pPr>
        <w:pStyle w:val="SingleTxt"/>
        <w:rPr>
          <w:rFonts w:hint="cs"/>
          <w:rtl/>
        </w:rPr>
      </w:pPr>
      <w:r>
        <w:rPr>
          <w:rFonts w:hint="cs"/>
          <w:rtl/>
        </w:rPr>
        <w:tab/>
        <w:t xml:space="preserve">ويتم وضع مبادئ توجيهية لتمويل المناسبات </w:t>
      </w:r>
      <w:r>
        <w:rPr>
          <w:rFonts w:hint="cs"/>
          <w:rtl/>
          <w:lang w:bidi="ar-LB"/>
        </w:rPr>
        <w:t xml:space="preserve"> التي ت</w:t>
      </w:r>
      <w:r>
        <w:rPr>
          <w:rFonts w:hint="cs"/>
          <w:rtl/>
        </w:rPr>
        <w:t xml:space="preserve">هدف </w:t>
      </w:r>
      <w:r>
        <w:rPr>
          <w:rFonts w:hint="cs"/>
          <w:rtl/>
          <w:lang w:bidi="ar-LB"/>
        </w:rPr>
        <w:t xml:space="preserve">إلى </w:t>
      </w:r>
      <w:r>
        <w:rPr>
          <w:rFonts w:hint="cs"/>
          <w:rtl/>
        </w:rPr>
        <w:t xml:space="preserve">إبراز دور الباحثات ونتائج الأبحاث المتعلقة </w:t>
      </w:r>
      <w:r>
        <w:rPr>
          <w:rFonts w:hint="cs"/>
          <w:rtl/>
          <w:lang w:bidi="ar-LB"/>
        </w:rPr>
        <w:t>بنوع</w:t>
      </w:r>
      <w:r>
        <w:rPr>
          <w:rFonts w:hint="cs"/>
          <w:rtl/>
        </w:rPr>
        <w:t xml:space="preserve"> الجنس (مثلا من خلال زيادة نسبة النساء بين المتكلمات الرئيسيات/ المحاضرات/الموجهات، وإدراج المسائل التي تهم المرأة في المنتديات والحلقات التدريبية وما</w:t>
      </w:r>
      <w:r>
        <w:rPr>
          <w:rFonts w:hint="eastAsia"/>
          <w:rtl/>
        </w:rPr>
        <w:t> </w:t>
      </w:r>
      <w:r>
        <w:rPr>
          <w:rFonts w:hint="cs"/>
          <w:rtl/>
        </w:rPr>
        <w:t>شابه ذلك).</w:t>
      </w:r>
    </w:p>
    <w:p w:rsidR="007B4C85" w:rsidRDefault="007B4C85" w:rsidP="007B4C85">
      <w:pPr>
        <w:pStyle w:val="SingleTxt"/>
        <w:rPr>
          <w:rFonts w:hint="cs"/>
          <w:rtl/>
        </w:rPr>
      </w:pPr>
      <w:r>
        <w:rPr>
          <w:rFonts w:hint="cs"/>
          <w:rtl/>
        </w:rPr>
        <w:tab/>
        <w:t xml:space="preserve">وإثر </w:t>
      </w:r>
      <w:r>
        <w:rPr>
          <w:rFonts w:hint="eastAsia"/>
          <w:rtl/>
        </w:rPr>
        <w:t>”خطة عمل 2000 (</w:t>
      </w:r>
      <w:r>
        <w:rPr>
          <w:rFonts w:hint="cs"/>
          <w:rtl/>
          <w:lang w:bidi="ar-LB"/>
        </w:rPr>
        <w:t xml:space="preserve">اتخاذ </w:t>
      </w:r>
      <w:r>
        <w:rPr>
          <w:rFonts w:hint="eastAsia"/>
          <w:rtl/>
        </w:rPr>
        <w:t xml:space="preserve">99 تدبيرا لتعزيز المساواة في المدارس ومراكز تعليم الكبار) وهي الخطة التي بدأ نفاذها اعتبارا من عام 1997 وحتى نهاية عام 2000، بدأ العمل بخطة جديدة </w:t>
      </w:r>
      <w:r>
        <w:rPr>
          <w:rFonts w:hint="cs"/>
          <w:rtl/>
        </w:rPr>
        <w:t xml:space="preserve">”خطة عمل 2003 </w:t>
      </w:r>
      <w:r>
        <w:rPr>
          <w:rtl/>
        </w:rPr>
        <w:t>–</w:t>
      </w:r>
      <w:r>
        <w:rPr>
          <w:rFonts w:hint="cs"/>
          <w:rtl/>
        </w:rPr>
        <w:t xml:space="preserve"> تعميم مراعاة المنظور الجنساني والنهوض بالمرأة في المدارس ومراكز تعليم الكبار</w:t>
      </w:r>
      <w:r>
        <w:rPr>
          <w:rFonts w:hint="eastAsia"/>
          <w:rtl/>
        </w:rPr>
        <w:t>“ (وسوف تكون هذه الخطة سارية حتى نهاية عام 2003) مع إعطاء الأولوية إلى المجالات التالية</w:t>
      </w:r>
      <w:r>
        <w:rPr>
          <w:rFonts w:hint="cs"/>
          <w:rtl/>
        </w:rPr>
        <w:t xml:space="preserve"> </w:t>
      </w:r>
      <w:r>
        <w:rPr>
          <w:rFonts w:hint="eastAsia"/>
          <w:rtl/>
        </w:rPr>
        <w:t>”نوعية المدارس وتكاف</w:t>
      </w:r>
      <w:r>
        <w:rPr>
          <w:rFonts w:hint="cs"/>
          <w:rtl/>
          <w:lang w:bidi="ar-LB"/>
        </w:rPr>
        <w:t>ؤ</w:t>
      </w:r>
      <w:r>
        <w:rPr>
          <w:rFonts w:hint="eastAsia"/>
          <w:rtl/>
        </w:rPr>
        <w:t xml:space="preserve"> الفرص</w:t>
      </w:r>
      <w:r>
        <w:rPr>
          <w:rFonts w:hint="cs"/>
          <w:rtl/>
        </w:rPr>
        <w:t xml:space="preserve">“، و </w:t>
      </w:r>
      <w:r>
        <w:rPr>
          <w:rFonts w:hint="eastAsia"/>
          <w:rtl/>
        </w:rPr>
        <w:t>”التوجيه الوظيفي مع مراعاة المرأة، والفتيات والتكنولوجيا</w:t>
      </w:r>
      <w:r>
        <w:rPr>
          <w:rFonts w:hint="cs"/>
          <w:rtl/>
        </w:rPr>
        <w:t xml:space="preserve">“، و </w:t>
      </w:r>
      <w:r>
        <w:rPr>
          <w:rFonts w:hint="eastAsia"/>
          <w:rtl/>
        </w:rPr>
        <w:t>”تطوير الشبكات</w:t>
      </w:r>
      <w:r>
        <w:rPr>
          <w:rFonts w:hint="cs"/>
          <w:rtl/>
        </w:rPr>
        <w:t xml:space="preserve">“، و </w:t>
      </w:r>
      <w:r>
        <w:rPr>
          <w:rFonts w:hint="eastAsia"/>
          <w:rtl/>
        </w:rPr>
        <w:t>”المساواة في المعاملة والنهوض بالمرأة</w:t>
      </w:r>
      <w:r>
        <w:rPr>
          <w:rFonts w:hint="cs"/>
          <w:rtl/>
        </w:rPr>
        <w:t xml:space="preserve">“ و </w:t>
      </w:r>
      <w:r>
        <w:rPr>
          <w:rFonts w:hint="eastAsia"/>
          <w:rtl/>
        </w:rPr>
        <w:t xml:space="preserve">”تعليم البالغين </w:t>
      </w:r>
      <w:r>
        <w:rPr>
          <w:rtl/>
        </w:rPr>
        <w:t>–</w:t>
      </w:r>
      <w:r>
        <w:rPr>
          <w:rFonts w:hint="eastAsia"/>
          <w:rtl/>
        </w:rPr>
        <w:t xml:space="preserve"> المرأة </w:t>
      </w:r>
      <w:r>
        <w:rPr>
          <w:rFonts w:hint="cs"/>
          <w:rtl/>
        </w:rPr>
        <w:t>والتكنولوجيات الجديدة</w:t>
      </w:r>
      <w:r>
        <w:rPr>
          <w:rFonts w:hint="eastAsia"/>
          <w:rtl/>
        </w:rPr>
        <w:t>“</w:t>
      </w:r>
      <w:r>
        <w:rPr>
          <w:rFonts w:hint="cs"/>
          <w:rtl/>
        </w:rPr>
        <w:t xml:space="preserve">. وتمشيا مع مبدأ تعميم مراعاة المنظور الجنساني، تشترك في خطة العمل هذه وزارة التعليم بأكملها كما تمثل الخطة نهجا شاملا لتحقيق المساواة بين الجنسين استنادا إلى إعلان ومنهاج العمل المعتمد في مؤتمر الأمم المتحدة الرابع المعني بالمرأة في بيجين، فضلا عن الاتفاق الحكومي الدولي (آذار/مارس 2003) والخبرات المكتسبة من </w:t>
      </w:r>
      <w:r>
        <w:rPr>
          <w:rFonts w:hint="eastAsia"/>
          <w:rtl/>
        </w:rPr>
        <w:t>”خطة العمل لعام 2000</w:t>
      </w:r>
      <w:r>
        <w:rPr>
          <w:rFonts w:hint="cs"/>
          <w:rtl/>
        </w:rPr>
        <w:t>“.</w:t>
      </w:r>
    </w:p>
    <w:p w:rsidR="007B4C85" w:rsidRDefault="007B4C85" w:rsidP="007B4C85">
      <w:pPr>
        <w:pStyle w:val="SingleTxt"/>
        <w:rPr>
          <w:rFonts w:hint="cs"/>
          <w:rtl/>
        </w:rPr>
      </w:pPr>
      <w:r>
        <w:rPr>
          <w:rFonts w:hint="cs"/>
          <w:rtl/>
        </w:rPr>
        <w:tab/>
        <w:t xml:space="preserve">وقد انبثقت عن الأولوية التالية </w:t>
      </w:r>
      <w:r>
        <w:rPr>
          <w:rFonts w:hint="eastAsia"/>
          <w:rtl/>
        </w:rPr>
        <w:t>”التوجيه الوظيفي مع مراعاة المرأة، والفتيات والتكنولوجيا</w:t>
      </w:r>
      <w:r>
        <w:rPr>
          <w:rFonts w:hint="cs"/>
          <w:rtl/>
        </w:rPr>
        <w:t>“ سلسلة كاملة من المبادرات. فما زالت النساء والفتيات يملن إلى أن تكون اختياراتهن تقليدية وتتلاءم مع طبيعتهن فيما يتعلق بالتدريب المهني والمهن؛ ولا تزداد نسبة البنات في مدارس التقنية البحتة إلا بصورة بطيئة جدا وتصل في الوقت الراهن إلى أقل من 10 في المائة بالضبط. وترمي الآن عدة مشاريع إلى توسيع قاعدة اختيار المهن وحفز ال</w:t>
      </w:r>
      <w:r>
        <w:rPr>
          <w:rFonts w:hint="cs"/>
          <w:rtl/>
          <w:lang w:bidi="ar-LB"/>
        </w:rPr>
        <w:t>فتيا</w:t>
      </w:r>
      <w:r>
        <w:rPr>
          <w:rFonts w:hint="cs"/>
          <w:rtl/>
        </w:rPr>
        <w:t>ات على التدريب في المهن غير التقليدية.</w:t>
      </w:r>
    </w:p>
    <w:p w:rsidR="007B4C85" w:rsidRDefault="007B4C85" w:rsidP="007B4C85">
      <w:pPr>
        <w:pStyle w:val="SingleTxt"/>
        <w:rPr>
          <w:rFonts w:hint="cs"/>
          <w:rtl/>
        </w:rPr>
      </w:pPr>
      <w:r>
        <w:rPr>
          <w:rFonts w:hint="cs"/>
          <w:rtl/>
        </w:rPr>
        <w:tab/>
        <w:t xml:space="preserve">وتهدف الحملة التي أطلق عليها اسم </w:t>
      </w:r>
      <w:r>
        <w:rPr>
          <w:rFonts w:hint="eastAsia"/>
          <w:rtl/>
        </w:rPr>
        <w:t>”</w:t>
      </w:r>
      <w:r>
        <w:rPr>
          <w:rFonts w:hint="cs"/>
          <w:rtl/>
          <w:lang w:bidi="ar-LB"/>
        </w:rPr>
        <w:t>الفتيات/</w:t>
      </w:r>
      <w:r>
        <w:rPr>
          <w:rFonts w:hint="eastAsia"/>
          <w:rtl/>
        </w:rPr>
        <w:t>المرأة في المهن التقنية</w:t>
      </w:r>
      <w:r>
        <w:rPr>
          <w:rFonts w:hint="cs"/>
          <w:rtl/>
        </w:rPr>
        <w:t>“ وهي الحملة التي تنفذ في المدارس التقنية العليا والسفلى وفي الكليات منذ عام 1998 إلى توعية هيئة التدريس والأهل والتلاميذ من الذكور والإناث لمسائل مثل المساواة بين الجنسين، والتخلص من القوالب النمطية التي تخص المرأة وا</w:t>
      </w:r>
      <w:r>
        <w:rPr>
          <w:rFonts w:hint="cs"/>
          <w:rtl/>
          <w:lang w:bidi="ar-LB"/>
        </w:rPr>
        <w:t>لتحاما علي</w:t>
      </w:r>
      <w:r>
        <w:rPr>
          <w:rFonts w:hint="cs"/>
          <w:rtl/>
        </w:rPr>
        <w:t xml:space="preserve">ها، وتعزيز موقف البنات </w:t>
      </w:r>
      <w:r>
        <w:rPr>
          <w:rFonts w:hint="eastAsia"/>
          <w:rtl/>
        </w:rPr>
        <w:t xml:space="preserve">(بوصفهن أقلية) في هذه المدارس. </w:t>
      </w:r>
      <w:r>
        <w:rPr>
          <w:rFonts w:hint="cs"/>
          <w:rtl/>
        </w:rPr>
        <w:t xml:space="preserve">ومن بين التدابير المتخذة المناسبات الإعلامية، وحملات وضع الملصقات، والدورات الدراسية التفوقية، والتدريب على إلقاء </w:t>
      </w:r>
      <w:r>
        <w:rPr>
          <w:rFonts w:hint="cs"/>
          <w:rtl/>
          <w:lang w:bidi="ar-LB"/>
        </w:rPr>
        <w:t>ال</w:t>
      </w:r>
      <w:r>
        <w:rPr>
          <w:rFonts w:hint="cs"/>
          <w:rtl/>
        </w:rPr>
        <w:t xml:space="preserve">خطب، والعروض التقنية وما شابه ذلك). </w:t>
      </w:r>
    </w:p>
    <w:p w:rsidR="007B4C85" w:rsidRDefault="007B4C85" w:rsidP="007B4C85">
      <w:pPr>
        <w:pStyle w:val="SingleTxt"/>
        <w:rPr>
          <w:rFonts w:hint="cs"/>
          <w:rtl/>
        </w:rPr>
      </w:pPr>
      <w:r>
        <w:rPr>
          <w:rFonts w:hint="cs"/>
          <w:rtl/>
        </w:rPr>
        <w:tab/>
        <w:t xml:space="preserve">وهناك جانب آخر لمشروع </w:t>
      </w:r>
      <w:r>
        <w:rPr>
          <w:rFonts w:hint="eastAsia"/>
          <w:rtl/>
        </w:rPr>
        <w:t>”المرأة في المهن التقنية</w:t>
      </w:r>
      <w:r>
        <w:rPr>
          <w:rFonts w:hint="cs"/>
          <w:rtl/>
        </w:rPr>
        <w:t>“ ويهدف إلى زيادة نسبة النساء في المهن التقنية (تنظيم مناسبات إعلامية للفتيات اللاتي يتراوح عمرهن بين 16 و 19 سنة). وتم توسيع نطاق المشروع في عام 2001 ويتم الآن تنظيمه سنويا في ست جامعات، من خلال توجيه و</w:t>
      </w:r>
      <w:r>
        <w:rPr>
          <w:rFonts w:hint="cs"/>
          <w:rtl/>
          <w:lang w:bidi="ar-LB"/>
        </w:rPr>
        <w:t>إرشاد</w:t>
      </w:r>
      <w:r>
        <w:rPr>
          <w:rFonts w:hint="cs"/>
          <w:rtl/>
        </w:rPr>
        <w:t xml:space="preserve"> 000 8 إلى 000 9 تلميذة في المدارس الثانوية كل سنة. ويهدف المشروع إلى إطلاع الشابات على المواد التقنية في المعاهد التعليمية العليا، وإعطائهن أمثلة يحتذى بها من خلال الاتصال بنساء يعملن في المهن التقنية، والمساعدة على هدم الحواجز التي لا تشجع الفتيات على الدراسة </w:t>
      </w:r>
      <w:r>
        <w:rPr>
          <w:rFonts w:hint="cs"/>
          <w:rtl/>
          <w:lang w:bidi="ar-LB"/>
        </w:rPr>
        <w:t>التي تؤدي إلى ا</w:t>
      </w:r>
      <w:r>
        <w:rPr>
          <w:rFonts w:hint="cs"/>
          <w:rtl/>
        </w:rPr>
        <w:t>لحصول على شهادات تقنية.</w:t>
      </w:r>
    </w:p>
    <w:p w:rsidR="007B4C85" w:rsidRDefault="007B4C85" w:rsidP="007B4C85">
      <w:pPr>
        <w:pStyle w:val="SingleTxt"/>
        <w:rPr>
          <w:rFonts w:hint="eastAsia"/>
          <w:rtl/>
        </w:rPr>
      </w:pPr>
      <w:r>
        <w:rPr>
          <w:rFonts w:hint="cs"/>
          <w:rtl/>
        </w:rPr>
        <w:tab/>
        <w:t xml:space="preserve">وتم إدراج مشروع </w:t>
      </w:r>
      <w:r>
        <w:rPr>
          <w:rFonts w:hint="eastAsia"/>
          <w:rtl/>
        </w:rPr>
        <w:t>”على أهبة ال</w:t>
      </w:r>
      <w:r>
        <w:rPr>
          <w:rFonts w:hint="cs"/>
          <w:rtl/>
        </w:rPr>
        <w:t>استعداد</w:t>
      </w:r>
      <w:r>
        <w:rPr>
          <w:rFonts w:hint="eastAsia"/>
          <w:rtl/>
        </w:rPr>
        <w:t xml:space="preserve">“ (للبنات في الصفوف السابع إلى التاسع في المناطق الريفية) في التوجيه الوظيفي الذي تقدمه المدارس، ويرمي المشروع إلى تحسين احتمالات دخول البنات سوق العمل، </w:t>
      </w:r>
      <w:r>
        <w:rPr>
          <w:rFonts w:hint="cs"/>
          <w:rtl/>
          <w:lang w:bidi="ar-LB"/>
        </w:rPr>
        <w:t>وزيادة</w:t>
      </w:r>
      <w:r>
        <w:rPr>
          <w:rFonts w:hint="eastAsia"/>
          <w:rtl/>
        </w:rPr>
        <w:t xml:space="preserve"> إمكانياتهن الوظيفية، و</w:t>
      </w:r>
      <w:r>
        <w:rPr>
          <w:rFonts w:hint="cs"/>
          <w:rtl/>
          <w:lang w:bidi="ar-LB"/>
        </w:rPr>
        <w:t>إ</w:t>
      </w:r>
      <w:r>
        <w:rPr>
          <w:rFonts w:hint="eastAsia"/>
          <w:rtl/>
        </w:rPr>
        <w:t>رش</w:t>
      </w:r>
      <w:r>
        <w:rPr>
          <w:rFonts w:hint="cs"/>
          <w:rtl/>
          <w:lang w:bidi="ar-LB"/>
        </w:rPr>
        <w:t>ا</w:t>
      </w:r>
      <w:r>
        <w:rPr>
          <w:rFonts w:hint="eastAsia"/>
          <w:rtl/>
        </w:rPr>
        <w:t xml:space="preserve">دهن </w:t>
      </w:r>
      <w:r>
        <w:rPr>
          <w:rFonts w:hint="cs"/>
          <w:rtl/>
          <w:lang w:bidi="ar-LB"/>
        </w:rPr>
        <w:t>عند</w:t>
      </w:r>
      <w:r>
        <w:rPr>
          <w:rFonts w:hint="eastAsia"/>
          <w:rtl/>
        </w:rPr>
        <w:t xml:space="preserve"> اختيار الوظيفة المناسبة وتعزيز ثقتهن بأنفسهن.</w:t>
      </w:r>
    </w:p>
    <w:p w:rsidR="007B4C85" w:rsidRDefault="007B4C85" w:rsidP="007B4C85">
      <w:pPr>
        <w:pStyle w:val="SingleTxt"/>
        <w:rPr>
          <w:rFonts w:hint="cs"/>
          <w:rtl/>
        </w:rPr>
      </w:pPr>
      <w:r>
        <w:rPr>
          <w:rFonts w:hint="cs"/>
          <w:rtl/>
        </w:rPr>
        <w:tab/>
        <w:t xml:space="preserve">ومشروع </w:t>
      </w:r>
      <w:r>
        <w:rPr>
          <w:rFonts w:hint="eastAsia"/>
          <w:rtl/>
        </w:rPr>
        <w:t>”البنات والتكنولوجيا</w:t>
      </w:r>
      <w:r>
        <w:rPr>
          <w:rFonts w:hint="cs"/>
          <w:rtl/>
        </w:rPr>
        <w:t>“ مشروع واسع النطاق يرمي إلى تحسين احتمالات الشابات في إيجاد وظائف تتطلع إلى المستقبل (التكنولوجيا ووسائط الإعلام الجديدة) من خلال تنظيم حلقات عمل تركز على المهارات والتكنولوجيا. ومن بين التدابير المتخذة تطوير نماذج مبتكرة ترمي إلى تشجيع البنات على تجربة مهن ذات منحى تقني، و</w:t>
      </w:r>
      <w:r>
        <w:rPr>
          <w:rFonts w:hint="cs"/>
          <w:rtl/>
          <w:lang w:bidi="ar-LB"/>
        </w:rPr>
        <w:t>القيام ب</w:t>
      </w:r>
      <w:r>
        <w:rPr>
          <w:rFonts w:hint="cs"/>
          <w:rtl/>
        </w:rPr>
        <w:t>أنشطة ترمي إلى زيادة وعيهن، وبناء التعاون مع المفكرين الإقليميين، ونقل المعرفة أثناء تدريب المدرسين. والهدف الطويل الأجل هو تعزيز القدرة على المنافسة في المشاريع النمساوية من خلال استخدام إمكانيات الفتيات والنساء.</w:t>
      </w:r>
    </w:p>
    <w:p w:rsidR="007B4C85" w:rsidRDefault="007B4C85" w:rsidP="007B4C85">
      <w:pPr>
        <w:pStyle w:val="SingleTxt"/>
        <w:rPr>
          <w:rFonts w:hint="cs"/>
          <w:rtl/>
        </w:rPr>
      </w:pPr>
      <w:r>
        <w:rPr>
          <w:rFonts w:hint="cs"/>
          <w:rtl/>
        </w:rPr>
        <w:tab/>
        <w:t>ومن بين الأنشطة الأخرى للتوجيه المهني المضطلع بها داخل المشروع توفير الدعم المالي للرابطات أو المبادرات التي تقدم توجيها مهنيا خاصا بالمرأة، ودورات دراسية في ميادين التكنولوجيا، أو الحرف، أو تكنولوجيا المعلومات، علما بأن الهدف هو التصدي لميل الفتيات إلى اختيار مهن نسائية الطابع. ومن أجل توعية الجمهور بهذا المشروع، تم نشر مواد إعلامية ذات صلة ويتم تنظيم حلقات دراسية تدريبية لهيئة التدريس.</w:t>
      </w:r>
    </w:p>
    <w:p w:rsidR="007B4C85" w:rsidRPr="00D96A5B" w:rsidRDefault="007B4C85" w:rsidP="007B4C85">
      <w:pPr>
        <w:pStyle w:val="SingleTxt"/>
        <w:spacing w:after="0" w:line="120" w:lineRule="exact"/>
        <w:rPr>
          <w:rFonts w:hint="cs"/>
          <w:sz w:val="10"/>
          <w:rtl/>
        </w:rPr>
      </w:pPr>
    </w:p>
    <w:p w:rsidR="007B4C85" w:rsidRDefault="007B4C85" w:rsidP="007B4C85">
      <w:pPr>
        <w:pStyle w:val="SingleTxt"/>
        <w:rPr>
          <w:rFonts w:hint="cs"/>
          <w:b/>
          <w:bCs/>
          <w:rtl/>
        </w:rPr>
      </w:pPr>
      <w:r>
        <w:rPr>
          <w:rFonts w:hint="cs"/>
          <w:b/>
          <w:bCs/>
          <w:rtl/>
        </w:rPr>
        <w:t>مبادرات الأقاليم للنهوض بالفتيات والشابات</w:t>
      </w:r>
    </w:p>
    <w:p w:rsidR="007B4C85" w:rsidRDefault="007B4C85" w:rsidP="007B4C85">
      <w:pPr>
        <w:pStyle w:val="SingleTxt"/>
        <w:rPr>
          <w:rFonts w:hint="cs"/>
          <w:rtl/>
        </w:rPr>
      </w:pPr>
      <w:r>
        <w:rPr>
          <w:rFonts w:hint="cs"/>
          <w:rtl/>
        </w:rPr>
        <w:tab/>
        <w:t xml:space="preserve">يتم تنفيذ مشاريع </w:t>
      </w:r>
      <w:r>
        <w:rPr>
          <w:rFonts w:hint="eastAsia"/>
          <w:rtl/>
        </w:rPr>
        <w:t>”البنات والتكنولوجيا</w:t>
      </w:r>
      <w:r>
        <w:rPr>
          <w:rFonts w:hint="cs"/>
          <w:rtl/>
        </w:rPr>
        <w:t xml:space="preserve">“، و </w:t>
      </w:r>
      <w:r>
        <w:rPr>
          <w:rFonts w:hint="eastAsia"/>
          <w:rtl/>
        </w:rPr>
        <w:t>”المرأة في المهن التقنية</w:t>
      </w:r>
      <w:r>
        <w:rPr>
          <w:rFonts w:hint="cs"/>
          <w:rtl/>
        </w:rPr>
        <w:t xml:space="preserve">“ و </w:t>
      </w:r>
      <w:r>
        <w:rPr>
          <w:rFonts w:hint="eastAsia"/>
          <w:rtl/>
        </w:rPr>
        <w:t>”على أهبة الاستعداد</w:t>
      </w:r>
      <w:r>
        <w:rPr>
          <w:rFonts w:hint="cs"/>
          <w:rtl/>
        </w:rPr>
        <w:t xml:space="preserve">“ في الأقاليم. ويقوم إقليم سالزبورغ بتنسيق مشروع </w:t>
      </w:r>
      <w:r>
        <w:rPr>
          <w:rFonts w:hint="eastAsia"/>
          <w:rtl/>
        </w:rPr>
        <w:t>”البنات والتكنولوجيا</w:t>
      </w:r>
      <w:r>
        <w:rPr>
          <w:rFonts w:hint="cs"/>
          <w:rtl/>
        </w:rPr>
        <w:t>“. وبالإضافة إلى ذلك، سوف تنظم الأقاليم برنامج سنوي</w:t>
      </w:r>
      <w:r>
        <w:rPr>
          <w:rFonts w:hint="cs"/>
          <w:rtl/>
          <w:lang w:bidi="ar-LB"/>
        </w:rPr>
        <w:t xml:space="preserve"> أطلق عليه اسم </w:t>
      </w:r>
      <w:r>
        <w:rPr>
          <w:rFonts w:hint="eastAsia"/>
          <w:rtl/>
        </w:rPr>
        <w:t>”دعوة بناتنا إلى مصاحبتنا في يوم من أيام العمل</w:t>
      </w:r>
      <w:r>
        <w:rPr>
          <w:rFonts w:hint="cs"/>
          <w:rtl/>
        </w:rPr>
        <w:t>“ (</w:t>
      </w:r>
      <w:hyperlink r:id="rId19" w:history="1">
        <w:r w:rsidRPr="001160E6">
          <w:rPr>
            <w:rStyle w:val="Hyperlink"/>
          </w:rPr>
          <w:t>www.jobs4girls</w:t>
        </w:r>
      </w:hyperlink>
      <w:r>
        <w:rPr>
          <w:rFonts w:hint="cs"/>
          <w:rtl/>
        </w:rPr>
        <w:t>).</w:t>
      </w:r>
    </w:p>
    <w:p w:rsidR="007B4C85" w:rsidRDefault="007B4C85" w:rsidP="007B4C85">
      <w:pPr>
        <w:pStyle w:val="SingleTxt"/>
        <w:rPr>
          <w:rFonts w:hint="cs"/>
          <w:b/>
          <w:bCs/>
          <w:rtl/>
        </w:rPr>
      </w:pPr>
      <w:r>
        <w:rPr>
          <w:rFonts w:hint="cs"/>
          <w:b/>
          <w:bCs/>
          <w:rtl/>
        </w:rPr>
        <w:t xml:space="preserve">مبدأ </w:t>
      </w:r>
      <w:r>
        <w:rPr>
          <w:rFonts w:hint="eastAsia"/>
          <w:b/>
          <w:bCs/>
          <w:rtl/>
        </w:rPr>
        <w:t>”التعليم المختلط الهادف</w:t>
      </w:r>
      <w:r>
        <w:rPr>
          <w:rFonts w:hint="cs"/>
          <w:b/>
          <w:bCs/>
          <w:rtl/>
        </w:rPr>
        <w:t>“</w:t>
      </w:r>
    </w:p>
    <w:p w:rsidR="007B4C85" w:rsidRDefault="007B4C85" w:rsidP="007B4C85">
      <w:pPr>
        <w:pStyle w:val="SingleTxt"/>
        <w:rPr>
          <w:rFonts w:hint="cs"/>
          <w:rtl/>
        </w:rPr>
      </w:pPr>
      <w:r w:rsidRPr="00FC7C29">
        <w:rPr>
          <w:rFonts w:hint="cs"/>
          <w:rtl/>
        </w:rPr>
        <w:tab/>
        <w:t>تم إدراج</w:t>
      </w:r>
      <w:r>
        <w:rPr>
          <w:rFonts w:hint="cs"/>
          <w:rtl/>
        </w:rPr>
        <w:t xml:space="preserve"> مبدأ </w:t>
      </w:r>
      <w:r>
        <w:rPr>
          <w:rFonts w:hint="eastAsia"/>
          <w:rtl/>
        </w:rPr>
        <w:t>”التعليم المختلف الهادف</w:t>
      </w:r>
      <w:r>
        <w:rPr>
          <w:rFonts w:hint="cs"/>
          <w:rtl/>
        </w:rPr>
        <w:t>“ في مناهج المدارس الثانوية الأكاديمية والعامة (الصفوف الخامس إلى الثامن) للمرة الأولى خلال السنة الدراسية 2000-2001، بهدف تشجيع البنات والبنين على رفض الأدوار المقولبة الخاصة بكل جنس عندما يخططون لما سيفعلون</w:t>
      </w:r>
      <w:r>
        <w:rPr>
          <w:rFonts w:hint="cs"/>
          <w:rtl/>
          <w:lang w:bidi="ar-LB"/>
        </w:rPr>
        <w:t>ه</w:t>
      </w:r>
      <w:r>
        <w:rPr>
          <w:rFonts w:hint="cs"/>
          <w:rtl/>
        </w:rPr>
        <w:t xml:space="preserve"> في حياتهم والمهن التي سيختارونها. وت</w:t>
      </w:r>
      <w:r>
        <w:rPr>
          <w:rFonts w:hint="cs"/>
          <w:rtl/>
          <w:lang w:bidi="ar-LB"/>
        </w:rPr>
        <w:t>دعو</w:t>
      </w:r>
      <w:r>
        <w:rPr>
          <w:rFonts w:hint="cs"/>
          <w:rtl/>
        </w:rPr>
        <w:t xml:space="preserve"> المبادئ التعليمية في المناهج الجديدة </w:t>
      </w:r>
      <w:r>
        <w:rPr>
          <w:rFonts w:hint="cs"/>
          <w:rtl/>
          <w:lang w:bidi="ar-LB"/>
        </w:rPr>
        <w:t xml:space="preserve">إلى </w:t>
      </w:r>
      <w:r>
        <w:rPr>
          <w:rFonts w:hint="cs"/>
          <w:rtl/>
        </w:rPr>
        <w:t xml:space="preserve">أن: </w:t>
      </w:r>
      <w:r>
        <w:rPr>
          <w:rFonts w:hint="eastAsia"/>
          <w:rtl/>
        </w:rPr>
        <w:t xml:space="preserve">”لا يقتصر التعليم المختلط على تدريس البنين والبنات معا. </w:t>
      </w:r>
      <w:r>
        <w:rPr>
          <w:rFonts w:hint="cs"/>
          <w:rtl/>
        </w:rPr>
        <w:t>بل يفترض التصدي بصورة واعية للأفكار المقولبة الخاصة بكل جنس. ومن الأساسي اختيار مواضيع تلقى قبولا عند كل من البنين والبنات، وإعداد دروس تلبي احتياجات كل من البنين والبنات، وإيجاد بيئة (تعليمية) يتوفر فيها الاحترام المتبادل، وتعكس توقعات المدرسين وتفاعلهم مع البنين والبنات</w:t>
      </w:r>
      <w:r>
        <w:rPr>
          <w:rFonts w:hint="eastAsia"/>
          <w:rtl/>
        </w:rPr>
        <w:t xml:space="preserve">“. </w:t>
      </w:r>
      <w:r>
        <w:rPr>
          <w:rFonts w:hint="cs"/>
          <w:rtl/>
        </w:rPr>
        <w:t xml:space="preserve">والمطلوب من المدارس الآن أن تعزز بشكل نشط تكافؤ الفرص بين البنين والبنات، وتطوير برامج مدرسية تتناسب مع هذا الهدف. وتم في عام 1999 نشر </w:t>
      </w:r>
      <w:r>
        <w:rPr>
          <w:rFonts w:hint="eastAsia"/>
          <w:rtl/>
        </w:rPr>
        <w:t>”المبادئ التوجيهية المتعلقة بتمثيل المرأة والرجل في المواد التعليمية</w:t>
      </w:r>
      <w:r>
        <w:rPr>
          <w:rFonts w:hint="cs"/>
          <w:rtl/>
        </w:rPr>
        <w:t xml:space="preserve">“ ليكون بمثابة أداة توجيهية تساعد على إعداد وتقييم الكتب المدرسية، والأفلام التعليمية، وغير ذلك من المواد التعليمية. وتم توزيع هذا الكتب على المؤلفين ودور النشر. وتصل في الوقت الراهن نسبة النساء في لجان الخبراء التي تقيّم الكتب المدرسية والتي توجه بانتظام النظر إلى مسائل المساواة بين الجنسين إلى 43 في المائة. وتم إصدار نشرات إعلامية لتوعية البنات بمسائل </w:t>
      </w:r>
      <w:r>
        <w:rPr>
          <w:rFonts w:hint="cs"/>
          <w:rtl/>
          <w:lang w:bidi="ar-LB"/>
        </w:rPr>
        <w:t>نوع ال</w:t>
      </w:r>
      <w:r>
        <w:rPr>
          <w:rFonts w:hint="cs"/>
          <w:rtl/>
        </w:rPr>
        <w:t>جنس وتشجيعهن على اختيار مهن غير تقليدية (انظر المرفق 1).</w:t>
      </w:r>
    </w:p>
    <w:p w:rsidR="007B4C85" w:rsidRPr="00B16710" w:rsidRDefault="007B4C85" w:rsidP="007B4C85">
      <w:pPr>
        <w:pStyle w:val="SingleTxt"/>
        <w:spacing w:after="0" w:line="120" w:lineRule="exact"/>
        <w:rPr>
          <w:rFonts w:hint="cs"/>
          <w:sz w:val="10"/>
          <w:rtl/>
        </w:rPr>
      </w:pPr>
    </w:p>
    <w:p w:rsidR="007B4C85" w:rsidRDefault="007B4C85" w:rsidP="007B4C85">
      <w:pPr>
        <w:pStyle w:val="SingleTxt"/>
        <w:rPr>
          <w:rFonts w:hint="cs"/>
          <w:b/>
          <w:bCs/>
          <w:rtl/>
        </w:rPr>
      </w:pPr>
      <w:r>
        <w:rPr>
          <w:rFonts w:hint="cs"/>
          <w:b/>
          <w:bCs/>
          <w:rtl/>
        </w:rPr>
        <w:t>المرأة في مجال الأبحاث والتكنولوجيا</w:t>
      </w:r>
    </w:p>
    <w:p w:rsidR="007B4C85" w:rsidRDefault="007B4C85" w:rsidP="007B4C85">
      <w:pPr>
        <w:pStyle w:val="SingleTxt"/>
        <w:rPr>
          <w:rFonts w:hint="cs"/>
          <w:rtl/>
        </w:rPr>
      </w:pPr>
      <w:r>
        <w:rPr>
          <w:rFonts w:hint="cs"/>
          <w:rtl/>
        </w:rPr>
        <w:tab/>
        <w:t xml:space="preserve">تم في عام 2002 الانتباه بصفة خاصة إلى ميدان الأبحاث والتكنولوجيا. وما زالت المرأة ممثلة تمثيلا ناقصا في هذا القطاع المهني الهام ذي التوجه المستقبلي. وبناء على توصية مجلس تطوير الأبحاث والتكنولوجيا، تم الشروع في برنامج </w:t>
      </w:r>
      <w:r>
        <w:rPr>
          <w:rFonts w:hint="eastAsia"/>
          <w:rtl/>
        </w:rPr>
        <w:t>”</w:t>
      </w:r>
      <w:r>
        <w:rPr>
          <w:rFonts w:hint="cs"/>
          <w:rtl/>
        </w:rPr>
        <w:t xml:space="preserve">المرأة في مجال الأبحاث والتكنولوجيا“ كمبادرة مشتركة بين الوزارة الاتحادية للتعليم والعلوم والثقافة والوزارة الاتحادية للنقل والمبتكرات والتكنولوجيا من أجل دعم المرأة في مجال الأبحاث والتكنولوجيا. </w:t>
      </w:r>
    </w:p>
    <w:p w:rsidR="007B4C85" w:rsidRDefault="007B4C85" w:rsidP="007B4C85">
      <w:pPr>
        <w:pStyle w:val="SingleTxt"/>
        <w:rPr>
          <w:rFonts w:hint="cs"/>
          <w:rtl/>
        </w:rPr>
      </w:pPr>
      <w:r>
        <w:rPr>
          <w:rFonts w:hint="cs"/>
          <w:rtl/>
        </w:rPr>
        <w:tab/>
        <w:t xml:space="preserve">وإن مشروع </w:t>
      </w:r>
      <w:r>
        <w:rPr>
          <w:rFonts w:hint="eastAsia"/>
          <w:rtl/>
        </w:rPr>
        <w:t>”</w:t>
      </w:r>
      <w:r>
        <w:rPr>
          <w:rFonts w:hint="cs"/>
          <w:rtl/>
        </w:rPr>
        <w:t>المرأة في مجال الأبحاث والتكنولوجيا“ برنامج شامل يهدف إلى تشجيع المرأة في مجال العلوم الطبيعية والميادين التقنية، ويتم تمويله مع الصندوق الاجتماعي الأوروبي. وسيجري تنفيذ البرنامج من عام 2002 إلى عام 2006، وهدفه تسهيل فرص وصول المرأة للدراسة والتدريب في مجال العلوم الطبيعية والتكنولوجيا، ودعم المرأة التي تشغل م</w:t>
      </w:r>
      <w:r>
        <w:rPr>
          <w:rFonts w:hint="cs"/>
          <w:rtl/>
          <w:lang w:bidi="ar-LB"/>
        </w:rPr>
        <w:t>ناصب</w:t>
      </w:r>
      <w:r>
        <w:rPr>
          <w:rFonts w:hint="cs"/>
          <w:rtl/>
        </w:rPr>
        <w:t xml:space="preserve"> في مجال العلوم الطبيعية والميادين التقنية، وتعزيز الخيارات المهنية أمام المرأة في مجال العلوم والتكنولوجيا، وجعل تمويل الأبحاث والهياكل الأساسية البحثية متاحة للمرأة، وتوعية المسؤولين بالقضايا الجنسانية، والاضطلاع بأبحاث مشتركة وتنفيذ برامج مشتركة بين التخصصات. </w:t>
      </w:r>
    </w:p>
    <w:p w:rsidR="007B4C85" w:rsidRDefault="007B4C85" w:rsidP="007B4C85">
      <w:pPr>
        <w:pStyle w:val="SingleTxt"/>
        <w:rPr>
          <w:rFonts w:hint="cs"/>
          <w:rtl/>
        </w:rPr>
      </w:pPr>
      <w:r>
        <w:rPr>
          <w:rFonts w:hint="cs"/>
          <w:rtl/>
        </w:rPr>
        <w:tab/>
        <w:t>ويتضمن البرنامج اتخاذ تدابير في مجال التدريب والتوعية، وتشجيع الأبحاث التجهيزية لدعم سياسات تقوم على المساواة بين الجنسين فضلا عن الأبحاث الاجتماعية والثقافية والعلمية في ميدان القضايا الجنسانية والتكنولوجيا (</w:t>
      </w:r>
      <w:r>
        <w:rPr>
          <w:rFonts w:hint="eastAsia"/>
          <w:rtl/>
        </w:rPr>
        <w:t xml:space="preserve">”تكنولوجيا المعلومات ونوع الجنس </w:t>
      </w:r>
      <w:r>
        <w:rPr>
          <w:rFonts w:hint="cs"/>
          <w:rtl/>
        </w:rPr>
        <w:t>-</w:t>
      </w:r>
      <w:r>
        <w:rPr>
          <w:rFonts w:hint="eastAsia"/>
          <w:rtl/>
        </w:rPr>
        <w:t xml:space="preserve"> ما </w:t>
      </w:r>
      <w:r>
        <w:rPr>
          <w:rFonts w:hint="cs"/>
          <w:rtl/>
        </w:rPr>
        <w:t>هي علاقة التكنولوجيا بنوع الجنس؟</w:t>
      </w:r>
      <w:r>
        <w:rPr>
          <w:rFonts w:hint="eastAsia"/>
          <w:rtl/>
        </w:rPr>
        <w:t xml:space="preserve">“). </w:t>
      </w:r>
      <w:r>
        <w:rPr>
          <w:rFonts w:hint="cs"/>
          <w:rtl/>
        </w:rPr>
        <w:t xml:space="preserve">وبالإضافة إلى ذلك، وفي إطار هذا البرنامج البحثي، سوف يتم تنظيم دورات تدريبية خاصة وإنشاء زمالات متعددة التخصصات لزيادة مهارات المتخصصين في العلوم </w:t>
      </w:r>
      <w:r>
        <w:rPr>
          <w:rFonts w:hint="cs"/>
          <w:rtl/>
          <w:lang w:bidi="ar-LB"/>
        </w:rPr>
        <w:t>بين</w:t>
      </w:r>
      <w:r>
        <w:rPr>
          <w:rFonts w:hint="cs"/>
          <w:rtl/>
        </w:rPr>
        <w:t xml:space="preserve"> الشابات.</w:t>
      </w:r>
    </w:p>
    <w:p w:rsidR="007B4C85" w:rsidRDefault="007B4C85" w:rsidP="007B4C85">
      <w:pPr>
        <w:pStyle w:val="SingleTxt"/>
        <w:rPr>
          <w:rFonts w:hint="cs"/>
          <w:b/>
          <w:bCs/>
          <w:rtl/>
        </w:rPr>
      </w:pPr>
      <w:r w:rsidRPr="00E733EF">
        <w:rPr>
          <w:rFonts w:hint="cs"/>
          <w:b/>
          <w:bCs/>
          <w:rtl/>
        </w:rPr>
        <w:t>مجموعة</w:t>
      </w:r>
      <w:r>
        <w:rPr>
          <w:rFonts w:hint="cs"/>
          <w:b/>
          <w:bCs/>
          <w:rtl/>
        </w:rPr>
        <w:t xml:space="preserve"> التدابير المتخذة التي تشكل برنامجا تكنولوجيا للمرأة، من عام 1999 إلى عام 2000، ومتابعة مشروع التكنولوجيا الخاص بالمرأة</w:t>
      </w:r>
    </w:p>
    <w:p w:rsidR="007B4C85" w:rsidRDefault="007B4C85" w:rsidP="007B4C85">
      <w:pPr>
        <w:pStyle w:val="SingleTxt"/>
        <w:rPr>
          <w:rFonts w:hint="cs"/>
          <w:rtl/>
        </w:rPr>
      </w:pPr>
      <w:r>
        <w:rPr>
          <w:rFonts w:hint="cs"/>
          <w:rtl/>
        </w:rPr>
        <w:tab/>
        <w:t xml:space="preserve">إن </w:t>
      </w:r>
      <w:r>
        <w:rPr>
          <w:rFonts w:hint="eastAsia"/>
          <w:rtl/>
        </w:rPr>
        <w:t>”برنامج التكنولوجيا الخاص بالمرأة</w:t>
      </w:r>
      <w:r>
        <w:rPr>
          <w:rFonts w:hint="cs"/>
          <w:rtl/>
        </w:rPr>
        <w:t xml:space="preserve">“مشروع رائد بدأ تنفيذه في عام 1999 بدعم من الوزارة الاتحادية المعنية بشؤون المرأة، والوزارة الاتحادية للشؤون الاقتصادية والعمالة، وإقليم كارينثيا، ومدينة فيلاخ. وبناء على ذلك، تم تكليف مركز الأبحاث للتكنولوجيا والعمالة والثقافة في جامعة غراتس </w:t>
      </w:r>
      <w:r>
        <w:rPr>
          <w:rFonts w:hint="cs"/>
          <w:rtl/>
          <w:lang w:bidi="ar-LB"/>
        </w:rPr>
        <w:t>ب</w:t>
      </w:r>
      <w:r>
        <w:rPr>
          <w:rFonts w:hint="cs"/>
          <w:rtl/>
        </w:rPr>
        <w:t xml:space="preserve">إجراء دراسة بحثية حول موضوع </w:t>
      </w:r>
      <w:r>
        <w:rPr>
          <w:rFonts w:hint="eastAsia"/>
          <w:rtl/>
        </w:rPr>
        <w:t>”مجموعة التدابير المتخذة التي تشكل برنامجا تكنولوجيا للمرأة</w:t>
      </w:r>
      <w:r>
        <w:rPr>
          <w:rFonts w:hint="cs"/>
          <w:rtl/>
        </w:rPr>
        <w:t>“. وتم الاضطلاع بدراسة إفرادية عن الظروف الإطارية في إقليم فيلاخ بالتعاون مع المؤسسات والمشاريع التعليمية، وتم إعداد كُتيب لهذا الغرض يتضمن اقتراحات تشمل عدة مؤسسات، فضلا عن التوجيهات العملية لتنفيذ التدابير الرامية إلى زيادة نسبة النساء في الكليات التقنية والتدريبية، وكليات العلوم التقنية، والمهن التقنية التي تتطلب مهارات عالية في مناطق أخرى في النمسا. وتم عرض الدراسة البحثية في ربيع عام 2000.</w:t>
      </w:r>
    </w:p>
    <w:p w:rsidR="007B4C85" w:rsidRDefault="007B4C85" w:rsidP="007B4C85">
      <w:pPr>
        <w:pStyle w:val="SingleTxt"/>
        <w:rPr>
          <w:rFonts w:hint="cs"/>
          <w:rtl/>
        </w:rPr>
      </w:pPr>
      <w:r>
        <w:rPr>
          <w:rFonts w:hint="cs"/>
          <w:rtl/>
        </w:rPr>
        <w:tab/>
        <w:t xml:space="preserve">ومن أجل توسيع نطاق هذا المشروع وتعميقه، تم العمل في مشروع متابعة حول موضوع </w:t>
      </w:r>
      <w:r>
        <w:rPr>
          <w:rFonts w:hint="eastAsia"/>
          <w:rtl/>
        </w:rPr>
        <w:t>”المرأة والتكنولوجيات الجديدة</w:t>
      </w:r>
      <w:r>
        <w:rPr>
          <w:rFonts w:hint="cs"/>
          <w:rtl/>
        </w:rPr>
        <w:t xml:space="preserve">“ (وتم استكماله في كانون الأول/ديسمبر 2003). ويركز المشروع على إعداد وتنفيذ تدابير ترمي إلى زيادة نسبة النساء في ميدان التكنولوجيات الجديدة (لا سيما تكنولوجيا المعلومات) وذلك عن طريق القيام بعدد من المشاريع الرائدة بالتعاون مع مشاريع مختارة قائمة على المشاركة. والهدف هو تمكين المرأة </w:t>
      </w:r>
      <w:r>
        <w:rPr>
          <w:rFonts w:hint="cs"/>
          <w:rtl/>
          <w:lang w:bidi="ar-LB"/>
        </w:rPr>
        <w:t xml:space="preserve">من </w:t>
      </w:r>
      <w:r>
        <w:rPr>
          <w:rFonts w:hint="cs"/>
          <w:rtl/>
        </w:rPr>
        <w:t xml:space="preserve"> اغتنام الفرص المتاحة لها في مجال تكنولوجيا المعلومات من حيث الدخل، والترقية، والتخطيط المهني.</w:t>
      </w:r>
    </w:p>
    <w:p w:rsidR="007B4C85" w:rsidRDefault="007B4C85" w:rsidP="007B4C85">
      <w:pPr>
        <w:pStyle w:val="SingleTxt"/>
        <w:rPr>
          <w:rFonts w:hint="cs"/>
          <w:b/>
          <w:bCs/>
          <w:rtl/>
        </w:rPr>
      </w:pPr>
      <w:r>
        <w:rPr>
          <w:rFonts w:hint="cs"/>
          <w:b/>
          <w:bCs/>
          <w:rtl/>
        </w:rPr>
        <w:t>الدراسات النسائية</w:t>
      </w:r>
    </w:p>
    <w:p w:rsidR="007B4C85" w:rsidRDefault="007B4C85" w:rsidP="007B4C85">
      <w:pPr>
        <w:pStyle w:val="SingleTxt"/>
        <w:rPr>
          <w:rFonts w:hint="cs"/>
          <w:rtl/>
        </w:rPr>
      </w:pPr>
      <w:r>
        <w:rPr>
          <w:rFonts w:hint="cs"/>
          <w:b/>
          <w:bCs/>
          <w:rtl/>
        </w:rPr>
        <w:tab/>
      </w:r>
      <w:r>
        <w:rPr>
          <w:rFonts w:hint="cs"/>
          <w:rtl/>
        </w:rPr>
        <w:t>تم إدراج الدراسات النسائية و/أو الدراسات النسائية وأبحاث الأنوثة في المناهج الجامعية في كل أنحاء النمسا في إطار قانون ال</w:t>
      </w:r>
      <w:r>
        <w:rPr>
          <w:rFonts w:hint="cs"/>
          <w:rtl/>
          <w:lang w:bidi="ar-LB"/>
        </w:rPr>
        <w:t>دراس</w:t>
      </w:r>
      <w:r>
        <w:rPr>
          <w:rFonts w:hint="cs"/>
          <w:rtl/>
        </w:rPr>
        <w:t xml:space="preserve">ات الجامعية لعام 1997. ويتم الآن تقديم الدراسات النسائية في شكل دورات دراسية اختيارية في جميع الجامعات (باستثناء جامعة لوبين الجبلية وجامعة المناجم والتعدين والمواد في لوبين). وإن المكاتب التنسيقية للدراسات النسائية وأبحاث الأنوثة في كل جامعة من الجامعات مكلفة بتنسيق وتنظيم تدريس وأبحاث خاصة بالمرأة. وفي عام 2001، تم افتتاح أول معهد للدراسات النسائية وأبحاث الأنوثة في جامعة لينتس. وتم تأسيس معهد للدراسات النسائية وأبحاث الأنوثة </w:t>
      </w:r>
      <w:r>
        <w:rPr>
          <w:rFonts w:hint="eastAsia"/>
          <w:rtl/>
        </w:rPr>
        <w:t>”</w:t>
      </w:r>
      <w:r>
        <w:t>Gend Up</w:t>
      </w:r>
      <w:r>
        <w:rPr>
          <w:rFonts w:hint="eastAsia"/>
          <w:rtl/>
        </w:rPr>
        <w:t xml:space="preserve">“ في جامعة سالزبورغ في عام 2002. </w:t>
      </w:r>
      <w:r>
        <w:rPr>
          <w:rFonts w:hint="cs"/>
          <w:rtl/>
        </w:rPr>
        <w:t>ويقدم المعهد في كل فصل دراسي سلسلة من المحاضرات التي تتناول مواضيع خاصة بالمرأة.</w:t>
      </w:r>
    </w:p>
    <w:p w:rsidR="007B4C85" w:rsidRDefault="007B4C85" w:rsidP="007B4C85">
      <w:pPr>
        <w:pStyle w:val="SingleTxt"/>
        <w:rPr>
          <w:rFonts w:hint="cs"/>
          <w:rtl/>
        </w:rPr>
      </w:pPr>
      <w:r>
        <w:rPr>
          <w:rFonts w:hint="cs"/>
          <w:rtl/>
        </w:rPr>
        <w:tab/>
        <w:t>وفي نفس الوقت، تم تنظيم عدة حلقات دراسية في الجامعات النمساوية للأساتذة الزائرين المتخصصين في الدراسات النسائية وأبحاث الأنوثة.</w:t>
      </w:r>
    </w:p>
    <w:p w:rsidR="007B4C85" w:rsidRDefault="007B4C85" w:rsidP="007B4C85">
      <w:pPr>
        <w:pStyle w:val="SingleTxt"/>
        <w:rPr>
          <w:rFonts w:hint="cs"/>
          <w:rtl/>
        </w:rPr>
      </w:pPr>
      <w:r>
        <w:rPr>
          <w:rFonts w:hint="cs"/>
          <w:rtl/>
        </w:rPr>
        <w:tab/>
        <w:t>وتلقت الأبحاث الخاصة بالمرأة والتدريس في هذا المجال دعما سياقيا من خلال استحداث دورة دراسية جامعية في الدراسات النسائية في جامعة فيينا في عام 2000. ويقوم أساتذة متعددو التخصصات بالتدريس في هذه الدورة، ويحضرها الطلاب الجامعيون الذين يحض</w:t>
      </w:r>
      <w:r>
        <w:rPr>
          <w:rFonts w:hint="cs"/>
          <w:rtl/>
          <w:lang w:bidi="ar-LB"/>
        </w:rPr>
        <w:t>ّ</w:t>
      </w:r>
      <w:r>
        <w:rPr>
          <w:rFonts w:hint="cs"/>
          <w:rtl/>
        </w:rPr>
        <w:t>رون أطروحاتهم في مواضيع بحثية متعددة التخصصات. ووسعت جامعة فيينا الاقتصادية مناهجها لتضم مجالا اختصاصيا جديدا</w:t>
      </w:r>
      <w:r>
        <w:rPr>
          <w:rFonts w:hint="cs"/>
          <w:rtl/>
          <w:lang w:bidi="ar-LB"/>
        </w:rPr>
        <w:t xml:space="preserve"> هو</w:t>
      </w:r>
      <w:r>
        <w:rPr>
          <w:rFonts w:hint="cs"/>
          <w:rtl/>
        </w:rPr>
        <w:t xml:space="preserve"> </w:t>
      </w:r>
      <w:r>
        <w:rPr>
          <w:rFonts w:hint="eastAsia"/>
          <w:rtl/>
        </w:rPr>
        <w:t>”نوع الجنس والتنوع في المنظمات</w:t>
      </w:r>
      <w:r>
        <w:rPr>
          <w:rFonts w:hint="cs"/>
          <w:rtl/>
        </w:rPr>
        <w:t>“.</w:t>
      </w:r>
    </w:p>
    <w:p w:rsidR="007B4C85" w:rsidRDefault="007B4C85" w:rsidP="007B4C85">
      <w:pPr>
        <w:pStyle w:val="SingleTxt"/>
        <w:rPr>
          <w:rFonts w:hint="cs"/>
          <w:b/>
          <w:bCs/>
          <w:rtl/>
        </w:rPr>
      </w:pPr>
      <w:r>
        <w:rPr>
          <w:rFonts w:hint="cs"/>
          <w:b/>
          <w:bCs/>
          <w:rtl/>
        </w:rPr>
        <w:t>النهوض بالمرأة في مجال العلوم والأبحاث</w:t>
      </w:r>
    </w:p>
    <w:p w:rsidR="007B4C85" w:rsidRDefault="007B4C85" w:rsidP="007B4C85">
      <w:pPr>
        <w:pStyle w:val="SingleTxt"/>
        <w:rPr>
          <w:rFonts w:hint="cs"/>
          <w:rtl/>
        </w:rPr>
      </w:pPr>
      <w:r>
        <w:rPr>
          <w:rFonts w:hint="cs"/>
          <w:rtl/>
        </w:rPr>
        <w:tab/>
        <w:t xml:space="preserve">إن </w:t>
      </w:r>
      <w:r>
        <w:rPr>
          <w:rFonts w:hint="eastAsia"/>
          <w:rtl/>
        </w:rPr>
        <w:t>”الكتاب الأبيض المعني بالنهوض بالمرأة في مجال العلوم</w:t>
      </w:r>
      <w:r>
        <w:rPr>
          <w:rFonts w:hint="cs"/>
          <w:rtl/>
        </w:rPr>
        <w:t>“ الذي نُشر في عام 1999 هو وثيقة برنامجية أصدرتها الوزارة الاتحادية وتضم 25 اقتراحا لاتخاذ تدابير محددة تتصل بالدراسات الأكاديمية، ورفع شأن المرأة في العلوم والفنون، وما يسمى بالمواد المشتركة لعدة قطاعات مثل تخصيص الأموال في الجامعات، وتمويل الأبحاث، ورعاية الأطفال، وإنشاء شبكات للجامعات والمجتمعات الأكاديمية غير الجامعية، وتحسين الخدمات</w:t>
      </w:r>
      <w:r>
        <w:rPr>
          <w:rFonts w:hint="cs"/>
          <w:rtl/>
          <w:lang w:bidi="ar-LB"/>
        </w:rPr>
        <w:t>،</w:t>
      </w:r>
      <w:r>
        <w:rPr>
          <w:rFonts w:hint="cs"/>
          <w:rtl/>
        </w:rPr>
        <w:t xml:space="preserve"> وأخيرا تعزيز أبحاث الأنوثة والدراسات النسائية (انظر أيضا التوصية 240). وفيما يلي بعض التدابير الرئيسية المنفذة خلال الفترة قيد الاستعراض:</w:t>
      </w:r>
    </w:p>
    <w:p w:rsidR="007B4C85" w:rsidRPr="002018D2" w:rsidRDefault="007B4C85" w:rsidP="007B4C85">
      <w:pPr>
        <w:pStyle w:val="SingleTxt"/>
        <w:rPr>
          <w:rFonts w:hint="cs"/>
          <w:b/>
          <w:bCs/>
          <w:rtl/>
        </w:rPr>
      </w:pPr>
      <w:r w:rsidRPr="002018D2">
        <w:rPr>
          <w:rFonts w:hint="cs"/>
          <w:b/>
          <w:bCs/>
          <w:rtl/>
        </w:rPr>
        <w:t>1 -</w:t>
      </w:r>
      <w:r w:rsidRPr="002018D2">
        <w:rPr>
          <w:rFonts w:hint="cs"/>
          <w:b/>
          <w:bCs/>
          <w:rtl/>
        </w:rPr>
        <w:tab/>
        <w:t>التدابير الهيكلية</w:t>
      </w:r>
    </w:p>
    <w:p w:rsidR="007B4C85" w:rsidRDefault="007B4C85" w:rsidP="007B4C85">
      <w:pPr>
        <w:pStyle w:val="SingleTxt"/>
        <w:rPr>
          <w:rFonts w:hint="cs"/>
          <w:rtl/>
        </w:rPr>
      </w:pPr>
      <w:r>
        <w:rPr>
          <w:rFonts w:hint="cs"/>
          <w:rtl/>
        </w:rPr>
        <w:tab/>
        <w:t>خلال الفترة قيد الاستعراض، تم إنشاء مكاتب تنسيقية للدراسات النسائية وأبحاث الأنوثة في جميع الجامعات، وأصبحت هذه المكاتب راسخة بشدة بوصفها مؤسسات جامعية. وتم تكليفها بمهام إعداد برامج خاصة بالمرأة في الجامعات، وتنسيق الدراسات النسائية، وتوعية الطالبات والمتخصصات في العلوم وإرشادهن بشأن جميع المسائل التي تتعلق بأبحاث المرأة والتدريس.</w:t>
      </w:r>
    </w:p>
    <w:p w:rsidR="007B4C85" w:rsidRPr="002018D2" w:rsidRDefault="007B4C85" w:rsidP="007B4C85">
      <w:pPr>
        <w:pStyle w:val="SingleTxt"/>
        <w:rPr>
          <w:rFonts w:hint="cs"/>
          <w:b/>
          <w:bCs/>
          <w:rtl/>
        </w:rPr>
      </w:pPr>
      <w:r w:rsidRPr="002018D2">
        <w:rPr>
          <w:rFonts w:hint="cs"/>
          <w:b/>
          <w:bCs/>
          <w:rtl/>
        </w:rPr>
        <w:t>2 -</w:t>
      </w:r>
      <w:r w:rsidRPr="002018D2">
        <w:rPr>
          <w:rFonts w:hint="cs"/>
          <w:b/>
          <w:bCs/>
          <w:rtl/>
        </w:rPr>
        <w:tab/>
        <w:t xml:space="preserve">التدابير المتخذة لتسهيل التوفيق بين </w:t>
      </w:r>
      <w:r w:rsidR="00B13CC0">
        <w:rPr>
          <w:rFonts w:hint="cs"/>
          <w:b/>
          <w:bCs/>
          <w:rtl/>
          <w:lang w:bidi="ar-LB"/>
        </w:rPr>
        <w:t xml:space="preserve">التزامات </w:t>
      </w:r>
      <w:r w:rsidRPr="002018D2">
        <w:rPr>
          <w:rFonts w:hint="cs"/>
          <w:b/>
          <w:bCs/>
          <w:rtl/>
        </w:rPr>
        <w:t xml:space="preserve">العمل والالتزامات العائلية </w:t>
      </w:r>
    </w:p>
    <w:p w:rsidR="007B4C85" w:rsidRDefault="007B4C85" w:rsidP="007B4C85">
      <w:pPr>
        <w:pStyle w:val="SingleTxt"/>
        <w:rPr>
          <w:rFonts w:hint="cs"/>
          <w:rtl/>
        </w:rPr>
      </w:pPr>
      <w:r>
        <w:rPr>
          <w:rFonts w:hint="cs"/>
          <w:rtl/>
        </w:rPr>
        <w:tab/>
        <w:t xml:space="preserve">خلال الفترة قيد الاستعراض، تم إنشاء </w:t>
      </w:r>
      <w:r>
        <w:rPr>
          <w:rFonts w:hint="eastAsia"/>
          <w:rtl/>
        </w:rPr>
        <w:t>”مكاتب اتصال لرعاية الأطفال</w:t>
      </w:r>
      <w:r>
        <w:rPr>
          <w:rFonts w:hint="cs"/>
          <w:rtl/>
        </w:rPr>
        <w:t xml:space="preserve">“ في أربع جامعات نمساوية (غراتس، وفيينا، ولينتس وسالزبورغ) وتم تكليفها بتوفير المعلومات والإرشاد فضلا عن إيجاد أماكن لرعاية الأطفال. وبالإضافة إلى ذلك، تم إنشاء موقع على شبكة الإنترنت </w:t>
      </w:r>
      <w:r>
        <w:rPr>
          <w:rFonts w:hint="cs"/>
          <w:rtl/>
          <w:lang w:bidi="ar-LB"/>
        </w:rPr>
        <w:t>ي</w:t>
      </w:r>
      <w:r>
        <w:rPr>
          <w:rFonts w:hint="cs"/>
          <w:rtl/>
        </w:rPr>
        <w:t xml:space="preserve">تعلق برعاية الأطفال وعنوانها </w:t>
      </w:r>
      <w:hyperlink r:id="rId20" w:history="1">
        <w:r w:rsidRPr="001160E6">
          <w:rPr>
            <w:rStyle w:val="Hyperlink"/>
          </w:rPr>
          <w:t>www.unikid.at</w:t>
        </w:r>
      </w:hyperlink>
      <w:r>
        <w:rPr>
          <w:rFonts w:hint="cs"/>
          <w:rtl/>
        </w:rPr>
        <w:t>.</w:t>
      </w:r>
    </w:p>
    <w:p w:rsidR="007B4C85" w:rsidRPr="002018D2" w:rsidRDefault="0077705B" w:rsidP="007B4C85">
      <w:pPr>
        <w:pStyle w:val="SingleTxt"/>
        <w:rPr>
          <w:rFonts w:hint="cs"/>
          <w:b/>
          <w:bCs/>
          <w:rtl/>
        </w:rPr>
      </w:pPr>
      <w:r>
        <w:rPr>
          <w:rFonts w:hint="cs"/>
          <w:b/>
          <w:bCs/>
          <w:rtl/>
        </w:rPr>
        <w:t>3 -</w:t>
      </w:r>
      <w:r>
        <w:rPr>
          <w:rFonts w:hint="cs"/>
          <w:b/>
          <w:bCs/>
          <w:rtl/>
        </w:rPr>
        <w:tab/>
        <w:t xml:space="preserve">تدابير ترمي إلى </w:t>
      </w:r>
      <w:r>
        <w:rPr>
          <w:rFonts w:hint="cs"/>
          <w:b/>
          <w:bCs/>
          <w:rtl/>
          <w:lang w:bidi="ar-LB"/>
        </w:rPr>
        <w:t>تحسين</w:t>
      </w:r>
      <w:r w:rsidR="007B4C85" w:rsidRPr="002018D2">
        <w:rPr>
          <w:rFonts w:hint="cs"/>
          <w:b/>
          <w:bCs/>
          <w:rtl/>
        </w:rPr>
        <w:t xml:space="preserve"> المهارات </w:t>
      </w:r>
    </w:p>
    <w:p w:rsidR="007B4C85" w:rsidRDefault="007B4C85" w:rsidP="0077705B">
      <w:pPr>
        <w:pStyle w:val="SingleTxt"/>
        <w:rPr>
          <w:rFonts w:hint="cs"/>
          <w:rtl/>
        </w:rPr>
      </w:pPr>
      <w:r>
        <w:rPr>
          <w:rFonts w:hint="cs"/>
          <w:rtl/>
        </w:rPr>
        <w:tab/>
        <w:t xml:space="preserve">خلال الفترة قيد الاستعراض، تم تعزيز التدابير الرامية إلى </w:t>
      </w:r>
      <w:r w:rsidR="0077705B">
        <w:rPr>
          <w:rFonts w:hint="cs"/>
          <w:rtl/>
          <w:lang w:bidi="ar-LB"/>
        </w:rPr>
        <w:t>تحسين</w:t>
      </w:r>
      <w:r>
        <w:rPr>
          <w:rFonts w:hint="cs"/>
          <w:rtl/>
        </w:rPr>
        <w:t xml:space="preserve"> مهارات الأشخاص الذين يودون الدخول في المهن الأكاديمية، وتم اتخاذ تدابير جديدة في هذا الصدد.</w:t>
      </w:r>
    </w:p>
    <w:p w:rsidR="007B4C85" w:rsidRDefault="007B4C85" w:rsidP="007B4C85">
      <w:pPr>
        <w:pStyle w:val="SingleTxt"/>
        <w:rPr>
          <w:rFonts w:hint="cs"/>
          <w:rtl/>
        </w:rPr>
      </w:pPr>
      <w:r>
        <w:rPr>
          <w:rFonts w:hint="cs"/>
          <w:rtl/>
        </w:rPr>
        <w:tab/>
        <w:t xml:space="preserve">وتم إنشاء </w:t>
      </w:r>
      <w:r>
        <w:rPr>
          <w:rFonts w:hint="eastAsia"/>
          <w:rtl/>
        </w:rPr>
        <w:t xml:space="preserve">”برنامج </w:t>
      </w:r>
      <w:r>
        <w:t>Hertha Frinberg</w:t>
      </w:r>
      <w:r>
        <w:rPr>
          <w:rFonts w:hint="eastAsia"/>
          <w:rtl/>
        </w:rPr>
        <w:t>“</w:t>
      </w:r>
      <w:r>
        <w:rPr>
          <w:rFonts w:hint="cs"/>
          <w:rtl/>
        </w:rPr>
        <w:t xml:space="preserve"> في عام 1998 بهدف ضم متخصصات مؤهلات في العلوم في مجال التدريس والأبحاث في الجامعات. وفي عام 2003، التزمت الوزارة الاتحادية للتعليم والعلوم والثقافة بتمويل 10 مناصب جديدة كل سنة، تقدم إلى كل منها الإعانة المالية لمدة ثلاث سنوات (بزيادة نسبتها 100 في المائة). وقد تم تخصيص ما</w:t>
      </w:r>
      <w:r>
        <w:rPr>
          <w:rFonts w:hint="eastAsia"/>
          <w:rtl/>
        </w:rPr>
        <w:t> </w:t>
      </w:r>
      <w:r>
        <w:rPr>
          <w:rFonts w:hint="cs"/>
          <w:rtl/>
        </w:rPr>
        <w:t>مجموعه 51 منصب</w:t>
      </w:r>
      <w:r>
        <w:rPr>
          <w:rFonts w:hint="cs"/>
          <w:rtl/>
          <w:lang w:bidi="ar-LB"/>
        </w:rPr>
        <w:t>ا</w:t>
      </w:r>
      <w:r>
        <w:rPr>
          <w:rFonts w:hint="cs"/>
          <w:rtl/>
        </w:rPr>
        <w:t xml:space="preserve"> في الفترة قيد الاستعراض.</w:t>
      </w:r>
    </w:p>
    <w:p w:rsidR="007B4C85" w:rsidRDefault="007B4C85" w:rsidP="007B4C85">
      <w:pPr>
        <w:pStyle w:val="SingleTxt"/>
        <w:rPr>
          <w:rFonts w:hint="cs"/>
          <w:rtl/>
        </w:rPr>
      </w:pPr>
      <w:r>
        <w:rPr>
          <w:rFonts w:hint="cs"/>
          <w:rtl/>
        </w:rPr>
        <w:tab/>
        <w:t xml:space="preserve">يرمي كل من </w:t>
      </w:r>
      <w:r>
        <w:rPr>
          <w:rFonts w:hint="eastAsia"/>
          <w:rtl/>
        </w:rPr>
        <w:t xml:space="preserve">”برنامج </w:t>
      </w:r>
      <w:r>
        <w:t>Charlotte Bühler</w:t>
      </w:r>
      <w:r>
        <w:rPr>
          <w:rFonts w:hint="eastAsia"/>
          <w:rtl/>
        </w:rPr>
        <w:t xml:space="preserve">“ وبرنامج الدراسات العليا </w:t>
      </w:r>
      <w:r>
        <w:rPr>
          <w:rFonts w:hint="cs"/>
          <w:rtl/>
        </w:rPr>
        <w:t>”البرنامج النمساوي للدراسات والتكنولوجيا المتقدمة</w:t>
      </w:r>
      <w:r>
        <w:rPr>
          <w:rFonts w:hint="eastAsia"/>
          <w:rtl/>
        </w:rPr>
        <w:t xml:space="preserve">“ إلى تعزيز الأبحاث في مجال الدراسات العليا، وقد تم إنشاء هذين البرنامجين منذ عشر سنوات. </w:t>
      </w:r>
      <w:r>
        <w:rPr>
          <w:rFonts w:hint="cs"/>
          <w:rtl/>
        </w:rPr>
        <w:t xml:space="preserve">وخلال الفترة قيد الاستعراض، تم تقديم 51 منحة في إطار برنامج </w:t>
      </w:r>
      <w:r>
        <w:t>Charlotte Bühler</w:t>
      </w:r>
      <w:r>
        <w:rPr>
          <w:rFonts w:hint="cs"/>
          <w:rtl/>
        </w:rPr>
        <w:t xml:space="preserve"> وتم تخصيص 21 منصبا للنساء في إطار البرنامج النمساوي للأبحاث والتكنولوجيا المتقدمة.</w:t>
      </w:r>
    </w:p>
    <w:p w:rsidR="007B4C85" w:rsidRDefault="007B4C85" w:rsidP="007B4C85">
      <w:pPr>
        <w:pStyle w:val="SingleTxt"/>
        <w:rPr>
          <w:rFonts w:hint="cs"/>
          <w:rtl/>
          <w:lang w:bidi="ar-LB"/>
        </w:rPr>
      </w:pPr>
      <w:r>
        <w:rPr>
          <w:rFonts w:hint="cs"/>
          <w:rtl/>
        </w:rPr>
        <w:tab/>
        <w:t xml:space="preserve">وتم مؤخرا إنشاء البرنامج الموسع للأبحاث والتكنولوجيا المتقدمة خلال الفترة قيد الاستعراض للباحثات </w:t>
      </w:r>
      <w:r>
        <w:rPr>
          <w:rFonts w:hint="cs"/>
          <w:rtl/>
          <w:lang w:bidi="ar-LB"/>
        </w:rPr>
        <w:t>اللاتي حصلن على</w:t>
      </w:r>
      <w:r>
        <w:rPr>
          <w:rFonts w:hint="cs"/>
          <w:rtl/>
        </w:rPr>
        <w:t xml:space="preserve"> شهادة </w:t>
      </w:r>
      <w:r>
        <w:rPr>
          <w:rFonts w:hint="cs"/>
          <w:rtl/>
          <w:lang w:bidi="ar-LB"/>
        </w:rPr>
        <w:t>ال</w:t>
      </w:r>
      <w:r>
        <w:rPr>
          <w:rFonts w:hint="cs"/>
          <w:rtl/>
        </w:rPr>
        <w:t>دكتوراه، واللاتي لديهن خبرة في مجال الأبحاث وتوقفن عن العمل في مهنتهن بسبب واجباتهن العائلية، وللنساء الأكاديميات اللاتي سلكن مجالا تعليميا بديلا. والفئة المستهدفة في هذا البرنامج هي فئة النساء المؤهلات للحصول على منح بحثية بموجب شروط قياسية (الحد الأقصى للعمر 35 سنة بالنسبة لهؤلاء اللاتي يعددن رسالة الدكتوراه و 40 سنة بالنسبة لهؤلاء اللاتي لديهن مؤهلات ما بعد الدكتوراه)، إذا كان السبب هو إنشاء أسرة وتربية الأطفال. وحتى الآن، حصل خمسة أشخاص، أربعة منهم من النساء، على منحة مدتها ثلاث سنوات للعمل في هذا البرنامج.</w:t>
      </w:r>
    </w:p>
    <w:p w:rsidR="007B4C85" w:rsidRDefault="007B4C85" w:rsidP="004A593D">
      <w:pPr>
        <w:pStyle w:val="SingleTxt"/>
        <w:rPr>
          <w:rFonts w:hint="cs"/>
          <w:rtl/>
          <w:lang w:bidi="ar-LB"/>
        </w:rPr>
      </w:pPr>
      <w:r>
        <w:rPr>
          <w:rFonts w:hint="cs"/>
          <w:rtl/>
          <w:lang w:bidi="ar-LB"/>
        </w:rPr>
        <w:tab/>
        <w:t xml:space="preserve">وفي عام 2003، تم أنشاء </w:t>
      </w:r>
      <w:r>
        <w:rPr>
          <w:rFonts w:hint="eastAsia"/>
          <w:rtl/>
        </w:rPr>
        <w:t>”</w:t>
      </w:r>
      <w:r>
        <w:rPr>
          <w:rFonts w:hint="cs"/>
          <w:rtl/>
          <w:lang w:bidi="ar-LB"/>
        </w:rPr>
        <w:t>المرأة في مجال الأبحاث والتكنولوجيا</w:t>
      </w:r>
      <w:r>
        <w:rPr>
          <w:rFonts w:hint="eastAsia"/>
          <w:rtl/>
        </w:rPr>
        <w:t>“</w:t>
      </w:r>
      <w:r>
        <w:rPr>
          <w:rFonts w:hint="cs"/>
          <w:rtl/>
          <w:lang w:bidi="ar-LB"/>
        </w:rPr>
        <w:t xml:space="preserve"> بوصفه برنامجا جديدا مصمما بصفة خاصة للشابات العالمات في مجالات التكنولوجيا والعلوم الطبيعية والطب وعلوم الحياة والرياضيات. وتضم الفئة المستهدفة خريجات مؤهلات تأهيلا عاليا في سبيل إعداد رسالة الدكتوراه في التكنولوجيا والعلوم الطبيعية، والخريجات اللاتي يعددن رسالة الدكتوراه في علوم الحياة والرياضيات، فضلا عن الطالبات اللاتي حصلن على منحة دراسية ووصلن إلى المرحلة الثالثة من البرنامج الدراسي في الطب. ويتم في الوقت الراهن إعطاء خمس منح في إطار هذا البرنامج.</w:t>
      </w:r>
    </w:p>
    <w:p w:rsidR="007B4C85" w:rsidRDefault="007B4C85" w:rsidP="007007C1">
      <w:pPr>
        <w:pStyle w:val="SingleTxt"/>
        <w:rPr>
          <w:rFonts w:hint="cs"/>
          <w:b/>
          <w:bCs/>
          <w:rtl/>
          <w:lang w:bidi="ar-LB"/>
        </w:rPr>
      </w:pPr>
      <w:r>
        <w:rPr>
          <w:rFonts w:hint="cs"/>
          <w:b/>
          <w:bCs/>
          <w:rtl/>
          <w:lang w:bidi="ar-LB"/>
        </w:rPr>
        <w:t xml:space="preserve">4 </w:t>
      </w:r>
      <w:r w:rsidR="007007C1">
        <w:rPr>
          <w:rFonts w:hint="cs"/>
          <w:b/>
          <w:bCs/>
          <w:rtl/>
          <w:lang w:bidi="ar-LB"/>
        </w:rPr>
        <w:t>-</w:t>
      </w:r>
      <w:r>
        <w:rPr>
          <w:rFonts w:hint="cs"/>
          <w:b/>
          <w:bCs/>
          <w:rtl/>
          <w:lang w:bidi="ar-LB"/>
        </w:rPr>
        <w:t xml:space="preserve"> زيادة الوعي والعلاقات العامة</w:t>
      </w:r>
    </w:p>
    <w:p w:rsidR="007B4C85" w:rsidRDefault="007B4C85" w:rsidP="007B4C85">
      <w:pPr>
        <w:pStyle w:val="SingleTxt"/>
        <w:rPr>
          <w:rFonts w:hint="cs"/>
          <w:rtl/>
          <w:lang w:bidi="ar-LB"/>
        </w:rPr>
      </w:pPr>
      <w:r>
        <w:rPr>
          <w:rFonts w:hint="cs"/>
          <w:rtl/>
          <w:lang w:bidi="ar-LB"/>
        </w:rPr>
        <w:tab/>
        <w:t xml:space="preserve">منح الجوائز: تم منذ عام 1977 وكل سنتين منح </w:t>
      </w:r>
      <w:r>
        <w:rPr>
          <w:rFonts w:hint="eastAsia"/>
          <w:rtl/>
        </w:rPr>
        <w:t>”</w:t>
      </w:r>
      <w:r>
        <w:rPr>
          <w:rFonts w:hint="cs"/>
          <w:rtl/>
          <w:lang w:bidi="ar-LB"/>
        </w:rPr>
        <w:t xml:space="preserve">جائزة الدولة </w:t>
      </w:r>
      <w:r>
        <w:rPr>
          <w:lang w:val="fr-CA" w:bidi="ar-LB"/>
        </w:rPr>
        <w:t>Gabriele Possanner</w:t>
      </w:r>
      <w:r>
        <w:rPr>
          <w:rFonts w:hint="eastAsia"/>
          <w:rtl/>
        </w:rPr>
        <w:t>“</w:t>
      </w:r>
      <w:r>
        <w:t xml:space="preserve">  </w:t>
      </w:r>
      <w:r>
        <w:rPr>
          <w:rFonts w:hint="cs"/>
          <w:rtl/>
          <w:lang w:bidi="ar-LB"/>
        </w:rPr>
        <w:t xml:space="preserve">وجائزتين تشجيعيتين تحملان نفس الاسم </w:t>
      </w:r>
      <w:r>
        <w:t xml:space="preserve">  </w:t>
      </w:r>
      <w:r>
        <w:rPr>
          <w:rFonts w:hint="cs"/>
          <w:rtl/>
          <w:lang w:bidi="ar-LB"/>
        </w:rPr>
        <w:t>إلى اللاتي حققن إنجازات علمية في مجال تعزيز الديمقراطية على أساس نوع الجنس. وفي عام 2003، تم توزيع الجوائز للمرة الرابعة.</w:t>
      </w:r>
    </w:p>
    <w:p w:rsidR="007B4C85" w:rsidRDefault="007B4C85" w:rsidP="007B4C85">
      <w:pPr>
        <w:pStyle w:val="SingleTxt"/>
        <w:rPr>
          <w:rFonts w:hint="cs"/>
          <w:rtl/>
          <w:lang w:bidi="ar-LB"/>
        </w:rPr>
      </w:pPr>
      <w:r>
        <w:rPr>
          <w:rFonts w:hint="cs"/>
          <w:rtl/>
          <w:lang w:bidi="ar-LB"/>
        </w:rPr>
        <w:tab/>
        <w:t xml:space="preserve">المنشورات والدراسات: تم في عام 1992 بدء إصدار سلسلة المنشورات </w:t>
      </w:r>
      <w:r>
        <w:rPr>
          <w:rFonts w:hint="eastAsia"/>
          <w:rtl/>
        </w:rPr>
        <w:t>”</w:t>
      </w:r>
      <w:r>
        <w:rPr>
          <w:rFonts w:hint="cs"/>
          <w:rtl/>
          <w:lang w:bidi="ar-LB"/>
        </w:rPr>
        <w:t>مواد للنهوض بالمرأة في مجال العلوم</w:t>
      </w:r>
      <w:r>
        <w:rPr>
          <w:rFonts w:hint="eastAsia"/>
          <w:rtl/>
        </w:rPr>
        <w:t>“</w:t>
      </w:r>
      <w:r>
        <w:rPr>
          <w:rFonts w:hint="cs"/>
          <w:rtl/>
          <w:lang w:bidi="ar-LB"/>
        </w:rPr>
        <w:t>. وتم حتى الآن نشر ستة عشر مجلدا، ستة منها خلال الفترة قيد الاستعراض. والهدف من نشر السلسلة هو إبراز حالة المرأة في مجال العلوم وزيادة الوعي بضرورة إيجاد حلول إستراتيجية.</w:t>
      </w:r>
    </w:p>
    <w:p w:rsidR="007B4C85" w:rsidRDefault="007B4C85" w:rsidP="001160E6">
      <w:pPr>
        <w:pStyle w:val="SingleTxt"/>
        <w:rPr>
          <w:rFonts w:hint="cs"/>
          <w:rtl/>
          <w:lang w:bidi="ar-LB"/>
        </w:rPr>
      </w:pPr>
      <w:r>
        <w:rPr>
          <w:rFonts w:hint="cs"/>
          <w:rtl/>
          <w:lang w:bidi="ar-LB"/>
        </w:rPr>
        <w:tab/>
        <w:t xml:space="preserve">وبالإضافة إلى ذلك، أعدت وزارة التعليم والعلوم والثقافة موقعا خاصا على شبكة الإنترنت عنوانه </w:t>
      </w:r>
      <w:hyperlink r:id="rId21" w:history="1">
        <w:r w:rsidRPr="001160E6">
          <w:rPr>
            <w:rStyle w:val="Hyperlink"/>
            <w:lang w:val="fr-CA" w:bidi="ar-LB"/>
          </w:rPr>
          <w:t>www.bmbwk.gv.at</w:t>
        </w:r>
        <w:r w:rsidRPr="001160E6">
          <w:rPr>
            <w:rStyle w:val="Hyperlink"/>
            <w:lang w:bidi="ar-LB"/>
          </w:rPr>
          <w:t>/</w:t>
        </w:r>
        <w:r w:rsidRPr="001160E6">
          <w:rPr>
            <w:rStyle w:val="Hyperlink"/>
            <w:lang w:val="fr-CA" w:bidi="ar-LB"/>
          </w:rPr>
          <w:t>womenscience</w:t>
        </w:r>
      </w:hyperlink>
      <w:r w:rsidRPr="001160E6">
        <w:rPr>
          <w:rFonts w:hint="cs"/>
          <w:rtl/>
          <w:lang w:bidi="ar-LB"/>
        </w:rPr>
        <w:t xml:space="preserve"> </w:t>
      </w:r>
      <w:r>
        <w:rPr>
          <w:rFonts w:hint="cs"/>
          <w:rtl/>
          <w:lang w:bidi="ar-LB"/>
        </w:rPr>
        <w:t>ويقدم معلومات عن التدابير المتخذة للنهوض بالمرأة في مجال العلوم والأبحاث.</w:t>
      </w:r>
    </w:p>
    <w:p w:rsidR="007B4C85" w:rsidRPr="00E406DC" w:rsidRDefault="007B4C85" w:rsidP="007B4C85">
      <w:pPr>
        <w:pStyle w:val="SingleTxt"/>
        <w:rPr>
          <w:rFonts w:hint="cs"/>
          <w:b/>
          <w:bCs/>
          <w:rtl/>
        </w:rPr>
      </w:pPr>
      <w:r w:rsidRPr="00E406DC">
        <w:rPr>
          <w:rFonts w:hint="cs"/>
          <w:b/>
          <w:bCs/>
          <w:rtl/>
        </w:rPr>
        <w:t>5 -</w:t>
      </w:r>
      <w:r w:rsidRPr="00E406DC">
        <w:rPr>
          <w:rFonts w:hint="cs"/>
          <w:b/>
          <w:bCs/>
          <w:rtl/>
        </w:rPr>
        <w:tab/>
        <w:t>تعزيز الوضع المهني للمرأة في مجال العلوم والتكنولوجيا</w:t>
      </w:r>
    </w:p>
    <w:p w:rsidR="007B4C85" w:rsidRDefault="007B4C85" w:rsidP="007B4C85">
      <w:pPr>
        <w:pStyle w:val="SingleTxt"/>
        <w:rPr>
          <w:rFonts w:hint="cs"/>
          <w:rtl/>
        </w:rPr>
      </w:pPr>
      <w:r>
        <w:rPr>
          <w:rFonts w:hint="cs"/>
          <w:rtl/>
        </w:rPr>
        <w:tab/>
        <w:t xml:space="preserve">خلال الفترة قيد الاستعراض، ازدادت نسبة النساء بين الأساتذة، والمعيدين، وغيرهم من العاملين الأكاديميين بمقدار 1 في المائة على التوالي (انظر المرفق 2، الجدول: الأساتذة المتفرغون في الجامعات وجامعات الفنون والموسيقى). ومنذ عام 1999، عززت الوزارة الاتحادية للتعليم والعلوم والثقافة جهودها لتنفيذ التدابير الرامية إلى زيادة المناصب المهنية بين النساء في مجال العلوم والتكنولوجيا. وفي عام 1999، ضم الصندوق الاجتماعي الأوروبي (الهدف 3) برنامجا عنوانه </w:t>
      </w:r>
      <w:r>
        <w:rPr>
          <w:rFonts w:hint="eastAsia"/>
          <w:rtl/>
        </w:rPr>
        <w:t>”المرأة والعلوم</w:t>
      </w:r>
      <w:r>
        <w:rPr>
          <w:rFonts w:hint="cs"/>
          <w:rtl/>
        </w:rPr>
        <w:t>“ في وثيقته التخطيطية وخصص منحة قدرها 4.1 مليون يورو لهذا الغرض.</w:t>
      </w:r>
    </w:p>
    <w:p w:rsidR="007B4C85" w:rsidRDefault="007B4C85" w:rsidP="004A593D">
      <w:pPr>
        <w:pStyle w:val="SingleTxt"/>
        <w:rPr>
          <w:rFonts w:hint="cs"/>
          <w:rtl/>
        </w:rPr>
      </w:pPr>
      <w:r>
        <w:rPr>
          <w:rFonts w:hint="cs"/>
          <w:rtl/>
        </w:rPr>
        <w:tab/>
        <w:t xml:space="preserve">ويقدم البرنامج الموارد اللازمة لتنفيذ التدابير الرامية إلى النهوض بالمرأة في مجال العلوم والأبحاث في الجامعات، بما في ذلك مثلا برنامج للحد من التمثيل الناقص للمرأة و/أو إنشاء ثقافة جنسانية موازية في جامعة غراتس؛ وبرنامج توجيهي للخريجات اللاتي يكتبن </w:t>
      </w:r>
      <w:r w:rsidR="004A593D">
        <w:rPr>
          <w:rFonts w:hint="cs"/>
          <w:rtl/>
        </w:rPr>
        <w:t>إ</w:t>
      </w:r>
      <w:r>
        <w:rPr>
          <w:rFonts w:hint="cs"/>
          <w:rtl/>
        </w:rPr>
        <w:t xml:space="preserve">طروحاتهن، وللنساء اللاتي يكتبن إطروحاتهن في المرحلة التالية لمرحلة الدكتوراه في جامعة فيينا، وبرامج تنمية الموارد البشرية المعروفة باسم </w:t>
      </w:r>
      <w:r>
        <w:rPr>
          <w:rFonts w:hint="eastAsia"/>
          <w:rtl/>
        </w:rPr>
        <w:t>”الروابط المهنية</w:t>
      </w:r>
      <w:r>
        <w:rPr>
          <w:rFonts w:hint="cs"/>
          <w:rtl/>
        </w:rPr>
        <w:t>“ في جامعتي لينتس وسالزبورغ وترمي إلى تعزيز النساء الأكاديميات وتشجيعهن على تخطيط مهنتهن تمشيا مع مبادئ مراعاة تعميم المنظور الجنساني.</w:t>
      </w:r>
    </w:p>
    <w:p w:rsidR="007B4C85" w:rsidRDefault="007B4C85" w:rsidP="007B4C85">
      <w:pPr>
        <w:pStyle w:val="SingleTxt"/>
        <w:rPr>
          <w:rFonts w:hint="cs"/>
          <w:rtl/>
        </w:rPr>
      </w:pPr>
      <w:r>
        <w:rPr>
          <w:rFonts w:hint="cs"/>
          <w:rtl/>
        </w:rPr>
        <w:tab/>
        <w:t xml:space="preserve">وفي عام 2002، تم تنظيم دورة دراسية مدتها خمس سنوات لفترة ما بعد الدكتوراه في تكنولوجيات الإنترنت وذلك في جامعة فيينا التكنولوجية. وهو برنامج فريد يقوم على كتابة </w:t>
      </w:r>
      <w:r>
        <w:rPr>
          <w:rFonts w:hint="cs"/>
          <w:rtl/>
          <w:lang w:bidi="ar-LB"/>
        </w:rPr>
        <w:t>أ</w:t>
      </w:r>
      <w:r>
        <w:rPr>
          <w:rFonts w:hint="cs"/>
          <w:rtl/>
        </w:rPr>
        <w:t xml:space="preserve">طروحة تجمع بين الأبحاث العلمية والتكنولوجية العليا والتدابير التي تدعم الحياة المهنية للطالبات والمتخصصات في العلوم وتنفيذ الهياكل الأساسية للاتصالات ذات الصلة. </w:t>
      </w:r>
    </w:p>
    <w:p w:rsidR="007B4C85" w:rsidRDefault="007B4C85" w:rsidP="007B4C85">
      <w:pPr>
        <w:pStyle w:val="SingleTxt"/>
        <w:rPr>
          <w:rFonts w:hint="cs"/>
          <w:rtl/>
        </w:rPr>
      </w:pPr>
      <w:r>
        <w:rPr>
          <w:rFonts w:hint="cs"/>
          <w:rtl/>
        </w:rPr>
        <w:tab/>
        <w:t xml:space="preserve">والتدابير الأخرى التي تدخل ضمن نطاق نفس البرنامج تستهدف الخريجات من جامعات الفنون. وفي إطار المشروع </w:t>
      </w:r>
      <w:r>
        <w:rPr>
          <w:rFonts w:hint="eastAsia"/>
          <w:rtl/>
        </w:rPr>
        <w:t>”الأولي</w:t>
      </w:r>
      <w:r>
        <w:rPr>
          <w:rFonts w:hint="cs"/>
          <w:rtl/>
        </w:rPr>
        <w:t>“ مثلا، يتم تقديم المساعدة إلى الفنانات اللاتي يرغبن في تأسيس مشروعهن الخاص بهن.</w:t>
      </w:r>
    </w:p>
    <w:p w:rsidR="007B4C85" w:rsidRPr="00C42576" w:rsidRDefault="007B4C85" w:rsidP="007B4C85">
      <w:pPr>
        <w:pStyle w:val="SingleTxt"/>
        <w:spacing w:after="0" w:line="120" w:lineRule="exact"/>
        <w:rPr>
          <w:rFonts w:hint="cs"/>
          <w:sz w:val="10"/>
          <w:rtl/>
        </w:rPr>
      </w:pPr>
    </w:p>
    <w:p w:rsidR="007B4C85" w:rsidRDefault="007B4C85" w:rsidP="007B4C85">
      <w:pPr>
        <w:pStyle w:val="SingleTxt"/>
        <w:rPr>
          <w:rFonts w:hint="cs"/>
          <w:b/>
          <w:bCs/>
          <w:rtl/>
        </w:rPr>
      </w:pPr>
      <w:r>
        <w:rPr>
          <w:rFonts w:hint="cs"/>
          <w:b/>
          <w:bCs/>
          <w:rtl/>
        </w:rPr>
        <w:t>التدابير القانونية المتخذة والرامية إلى تحقيق المساواة الفعلية بين الرجل والمرأة في الجامعات</w:t>
      </w:r>
    </w:p>
    <w:p w:rsidR="007B4C85" w:rsidRDefault="007B4C85" w:rsidP="007B4C85">
      <w:pPr>
        <w:pStyle w:val="SingleTxt"/>
        <w:rPr>
          <w:rFonts w:hint="cs"/>
          <w:rtl/>
          <w:lang w:bidi="ar-LB"/>
        </w:rPr>
      </w:pPr>
      <w:r>
        <w:rPr>
          <w:rFonts w:hint="cs"/>
          <w:rtl/>
        </w:rPr>
        <w:tab/>
        <w:t>تم البدء في عملية إصلاح جامعة فيينا في أوائل التسعينات. وفي السنوات التالية، تم تحويل جامعات البلد ب</w:t>
      </w:r>
      <w:r>
        <w:rPr>
          <w:rFonts w:hint="cs"/>
          <w:rtl/>
          <w:lang w:bidi="ar-LB"/>
        </w:rPr>
        <w:t>انتظام</w:t>
      </w:r>
      <w:r>
        <w:rPr>
          <w:rFonts w:hint="cs"/>
          <w:rtl/>
        </w:rPr>
        <w:t xml:space="preserve"> من جامعات حكومية إلى جامعات مستقلة، بحيث ت</w:t>
      </w:r>
      <w:r>
        <w:rPr>
          <w:rFonts w:hint="cs"/>
          <w:rtl/>
          <w:lang w:bidi="ar-LB"/>
        </w:rPr>
        <w:t>صبح</w:t>
      </w:r>
      <w:r>
        <w:rPr>
          <w:rFonts w:hint="cs"/>
          <w:rtl/>
        </w:rPr>
        <w:t xml:space="preserve"> مؤسسات مسؤولة عن نفسها وفعالة. وفي عام 2002، تم اعتماد القانون الاتحادي لتنظيم الجامعات والدراسات الجامعية (قانون الجامعات لعام 2002) وقد بدأ نفاذه في 1 كانون الثاني/يناير 2004.</w:t>
      </w:r>
    </w:p>
    <w:p w:rsidR="007B4C85" w:rsidRDefault="007B4C85" w:rsidP="007B4C85">
      <w:pPr>
        <w:pStyle w:val="SingleTxt"/>
        <w:rPr>
          <w:rFonts w:hint="cs"/>
          <w:rtl/>
        </w:rPr>
      </w:pPr>
      <w:r>
        <w:rPr>
          <w:rFonts w:hint="cs"/>
          <w:rtl/>
        </w:rPr>
        <w:t xml:space="preserve">وعند مقارنة الأحكام السابقة بالأحكام التي بدأ نفاذها في 1 كانون الثاني/يناير 2004، ينبغي أن توضع في الاعتبار حقيقة مفادها أن مؤسسات الدولة في طريقها إلى أن تصبح كيانات عامة مستقلة بصورة كاملة، لم تعد الأحكام السابقة منطبقة عليها. وكانت الأحكام (السابقة) ترمي إلى الإسراع </w:t>
      </w:r>
      <w:r>
        <w:rPr>
          <w:rFonts w:hint="cs"/>
          <w:rtl/>
          <w:lang w:bidi="ar-LB"/>
        </w:rPr>
        <w:t>في</w:t>
      </w:r>
      <w:r>
        <w:rPr>
          <w:rFonts w:hint="cs"/>
          <w:rtl/>
        </w:rPr>
        <w:t xml:space="preserve"> تحقيق المساواة الفعلية بين الرجل والمرأة وسوف تظل سارية المفعول في الوقت الراهن؛ غير أن الإجراءات المنصوص عليها قد تم تعديلها لتتمشى مع الأحكام القانونية الجديدة التي تنظم الجامعات المستقلة استقلالا تاما، و</w:t>
      </w:r>
      <w:r>
        <w:rPr>
          <w:rFonts w:hint="cs"/>
          <w:rtl/>
          <w:lang w:bidi="ar-LB"/>
        </w:rPr>
        <w:t>تحافظ ف</w:t>
      </w:r>
      <w:r>
        <w:rPr>
          <w:rFonts w:hint="cs"/>
          <w:rtl/>
        </w:rPr>
        <w:t>ي نفس الوقت على المقاييس السابقة.</w:t>
      </w:r>
    </w:p>
    <w:p w:rsidR="007B4C85" w:rsidRDefault="007B4C85" w:rsidP="007B4C85">
      <w:pPr>
        <w:pStyle w:val="SingleTxt"/>
        <w:rPr>
          <w:rFonts w:hint="cs"/>
          <w:rtl/>
        </w:rPr>
      </w:pPr>
      <w:r>
        <w:rPr>
          <w:rFonts w:hint="cs"/>
          <w:rtl/>
        </w:rPr>
        <w:tab/>
        <w:t xml:space="preserve">وقد كشف تحليل </w:t>
      </w:r>
      <w:r>
        <w:rPr>
          <w:rFonts w:hint="cs"/>
          <w:rtl/>
          <w:lang w:bidi="ar-LB"/>
        </w:rPr>
        <w:t>ا</w:t>
      </w:r>
      <w:r>
        <w:rPr>
          <w:rFonts w:hint="cs"/>
          <w:rtl/>
        </w:rPr>
        <w:t xml:space="preserve">لوضع الراهن للجامعات أن النساء الأكاديميات (الفنانات) والمدرسات الجامعيات </w:t>
      </w:r>
      <w:r>
        <w:rPr>
          <w:rFonts w:hint="cs"/>
          <w:rtl/>
          <w:lang w:bidi="ar-LB"/>
        </w:rPr>
        <w:t xml:space="preserve">ممثلة </w:t>
      </w:r>
      <w:r>
        <w:rPr>
          <w:rFonts w:hint="cs"/>
          <w:rtl/>
        </w:rPr>
        <w:t>تمثيلا ناقصا، لا سيما في المناصب القيادية. وما زال الرجل يهيمن على المهن الأكاديمية والعلمية. ومن ثم، يجب أن تظل المساواة بين الجنسين أحد الأهداف الرئيسية في جدول أعمال إصلاح الجامعات. وسيظل التمييز الإيجابي واعتماد برامج التمييز الإيجابي أحد الأسس التي تقوم عليها الجامعات.</w:t>
      </w:r>
    </w:p>
    <w:p w:rsidR="007B4C85" w:rsidRDefault="007B4C85" w:rsidP="007B4C85">
      <w:pPr>
        <w:pStyle w:val="SingleTxt"/>
        <w:rPr>
          <w:rFonts w:hint="cs"/>
          <w:rtl/>
        </w:rPr>
      </w:pPr>
      <w:r>
        <w:rPr>
          <w:rFonts w:hint="cs"/>
          <w:rtl/>
        </w:rPr>
        <w:tab/>
        <w:t>وتنعكس أهمية هذه المسألة في القاعدة التي تنص على ضرورة استخدام لغة ملائمة جنسانيا و</w:t>
      </w:r>
      <w:r>
        <w:rPr>
          <w:rFonts w:hint="cs"/>
          <w:rtl/>
          <w:lang w:bidi="ar-LB"/>
        </w:rPr>
        <w:t>في</w:t>
      </w:r>
      <w:r>
        <w:rPr>
          <w:rFonts w:hint="cs"/>
          <w:rtl/>
        </w:rPr>
        <w:t xml:space="preserve"> أن قانون الجامعات الجديد لعام 2002 سيتضمن للمرة الأولى قسما منفصلا مخصصا للمساواة بين الرجل والمرأة (الفرع الأول، القسم 3 </w:t>
      </w:r>
      <w:r>
        <w:rPr>
          <w:rFonts w:hint="eastAsia"/>
          <w:rtl/>
        </w:rPr>
        <w:t>”المساواة بين المرأة والرجل</w:t>
      </w:r>
      <w:r>
        <w:rPr>
          <w:rFonts w:hint="cs"/>
          <w:rtl/>
        </w:rPr>
        <w:t>“).</w:t>
      </w:r>
    </w:p>
    <w:p w:rsidR="007B4C85" w:rsidRDefault="007B4C85" w:rsidP="007B4C85">
      <w:pPr>
        <w:pStyle w:val="SingleTxt"/>
        <w:rPr>
          <w:rFonts w:hint="cs"/>
          <w:rtl/>
        </w:rPr>
      </w:pPr>
      <w:r>
        <w:rPr>
          <w:rFonts w:hint="cs"/>
          <w:rtl/>
        </w:rPr>
        <w:tab/>
        <w:t>وقياسا على قانون تنظيم الجامعات لعام 1993، والقانون الاتحادي لتنظيم جامعات الفنون، ينص قانون الجامعات الجديد على إنشاء فريق عامل معني بمسائل المساواة</w:t>
      </w:r>
      <w:r>
        <w:rPr>
          <w:rFonts w:hint="cs"/>
          <w:rtl/>
          <w:lang w:bidi="ar-LB"/>
        </w:rPr>
        <w:t>،</w:t>
      </w:r>
      <w:r>
        <w:rPr>
          <w:rFonts w:hint="cs"/>
          <w:rtl/>
        </w:rPr>
        <w:t xml:space="preserve"> يتمتع بمجموعة كبيرة من الحقوق </w:t>
      </w:r>
      <w:r>
        <w:rPr>
          <w:rFonts w:hint="cs"/>
          <w:rtl/>
          <w:lang w:bidi="ar-LB"/>
        </w:rPr>
        <w:t>في ا</w:t>
      </w:r>
      <w:r>
        <w:rPr>
          <w:rFonts w:hint="cs"/>
          <w:rtl/>
        </w:rPr>
        <w:t>لحصول على المعلومات، والمشاركة والرصد فيما يتعلق بالمساواة وشؤون الموظفين. وإحدى المهام الرئيسية للفريق العامل هي التصدي للتمييز على أساس الجنس الملاحظ في الهيئات الجامعية، وإسداء المشورة والدعم للعاملين في الجامعات وهيئاتها حول المسائل المتصلة بالمساواة بين الرجل والمرأة والنهوض بالمرأة، امتثالا لمبدأ تعميم مراعاة المنظور الجنساني الذي يشكل جزءا من المبادئ التوجيهية (انظر ال</w:t>
      </w:r>
      <w:r>
        <w:rPr>
          <w:rFonts w:hint="cs"/>
          <w:rtl/>
          <w:lang w:bidi="ar-LB"/>
        </w:rPr>
        <w:t>مادة</w:t>
      </w:r>
      <w:r>
        <w:rPr>
          <w:rFonts w:hint="cs"/>
          <w:rtl/>
        </w:rPr>
        <w:t xml:space="preserve"> 2، الرقم 9) ومهام الجامعات (انظر ال</w:t>
      </w:r>
      <w:r>
        <w:rPr>
          <w:rFonts w:hint="cs"/>
          <w:rtl/>
          <w:lang w:bidi="ar-LB"/>
        </w:rPr>
        <w:t>مادة</w:t>
      </w:r>
      <w:r>
        <w:rPr>
          <w:rFonts w:hint="cs"/>
          <w:rtl/>
        </w:rPr>
        <w:t xml:space="preserve"> 3، الرقم 9).</w:t>
      </w:r>
    </w:p>
    <w:p w:rsidR="007B4C85" w:rsidRDefault="007B4C85" w:rsidP="007B4C85">
      <w:pPr>
        <w:pStyle w:val="SingleTxt"/>
        <w:rPr>
          <w:rFonts w:hint="cs"/>
          <w:rtl/>
        </w:rPr>
      </w:pPr>
      <w:r>
        <w:rPr>
          <w:rFonts w:hint="cs"/>
          <w:rtl/>
        </w:rPr>
        <w:tab/>
        <w:t>وامتثالا للاستقلال الكامل للجامعات، لن ت</w:t>
      </w:r>
      <w:r>
        <w:rPr>
          <w:rFonts w:hint="cs"/>
          <w:rtl/>
          <w:lang w:bidi="ar-LB"/>
        </w:rPr>
        <w:t>ُ</w:t>
      </w:r>
      <w:r>
        <w:rPr>
          <w:rFonts w:hint="cs"/>
          <w:rtl/>
        </w:rPr>
        <w:t xml:space="preserve">تخذ القرارات النهائية بشأن الإجراءات المتبعة في الشكاوى على مستوى الوزير الاتحادي ولكن على مستوى الجامعة. وبالإضافة إلى ذلك، سوف يتم تسوية الخلافات الخطيرة في الجامعات عن طريق الوساطة. ومن أجل تحقيق هذه الغاية، تنص المادة 43 من قانون الجامعات لعام 2002 على إنشاء لجنة تحكيم في كل جامعة. وسوف تكون هذه اللجان جماعية بطبيعتها </w:t>
      </w:r>
      <w:r>
        <w:rPr>
          <w:rFonts w:hint="cs"/>
          <w:rtl/>
          <w:lang w:bidi="ar-LB"/>
        </w:rPr>
        <w:t>وتتمتع</w:t>
      </w:r>
      <w:r>
        <w:rPr>
          <w:rFonts w:hint="cs"/>
          <w:rtl/>
        </w:rPr>
        <w:t xml:space="preserve"> بسلط</w:t>
      </w:r>
      <w:r>
        <w:rPr>
          <w:rFonts w:hint="cs"/>
          <w:rtl/>
          <w:lang w:bidi="ar-LB"/>
        </w:rPr>
        <w:t>ة</w:t>
      </w:r>
      <w:r>
        <w:rPr>
          <w:rFonts w:hint="cs"/>
          <w:rtl/>
        </w:rPr>
        <w:t xml:space="preserve"> اتخاذ القرارات ولا</w:t>
      </w:r>
      <w:r>
        <w:rPr>
          <w:rFonts w:hint="eastAsia"/>
          <w:rtl/>
        </w:rPr>
        <w:t> </w:t>
      </w:r>
      <w:r>
        <w:rPr>
          <w:rFonts w:hint="cs"/>
          <w:rtl/>
          <w:lang w:bidi="ar-LB"/>
        </w:rPr>
        <w:t>تتقيد</w:t>
      </w:r>
      <w:r>
        <w:rPr>
          <w:rFonts w:hint="cs"/>
          <w:rtl/>
        </w:rPr>
        <w:t xml:space="preserve"> </w:t>
      </w:r>
      <w:r>
        <w:rPr>
          <w:rFonts w:hint="cs"/>
          <w:rtl/>
          <w:lang w:bidi="ar-LB"/>
        </w:rPr>
        <w:t>ب</w:t>
      </w:r>
      <w:r>
        <w:rPr>
          <w:rFonts w:hint="cs"/>
          <w:rtl/>
        </w:rPr>
        <w:t>أي تعليمات.</w:t>
      </w:r>
    </w:p>
    <w:p w:rsidR="007B4C85" w:rsidRDefault="007B4C85" w:rsidP="007B4C85">
      <w:pPr>
        <w:pStyle w:val="SingleTxt"/>
        <w:rPr>
          <w:rFonts w:hint="cs"/>
          <w:rtl/>
        </w:rPr>
      </w:pPr>
      <w:r>
        <w:rPr>
          <w:rFonts w:hint="cs"/>
          <w:rtl/>
        </w:rPr>
        <w:tab/>
        <w:t>وبموجب المادة 44 من قانون الجامعات لعام 2002، ينطبق قانون المساواة في الخدمة الاتحادية على جميع العاملين في الجامعات وعلى الأشخاص الذين يتقدمون بطلبات للعمل في الجامعات أو للدراسة كطلاب. وفيما يتعلق بخطط العمل الإيجابية المتعلقة بالمرأة، سوف</w:t>
      </w:r>
      <w:r>
        <w:rPr>
          <w:rFonts w:hint="cs"/>
          <w:rtl/>
          <w:lang w:bidi="ar-LB"/>
        </w:rPr>
        <w:t xml:space="preserve"> </w:t>
      </w:r>
      <w:r>
        <w:rPr>
          <w:rFonts w:hint="cs"/>
          <w:rtl/>
        </w:rPr>
        <w:t>يتعين على الجامعات أن تدرج أهدافا تتناسب مع قوانينها على ألا تكون هذه الأهداف دون المعايير السابقة. و</w:t>
      </w:r>
      <w:r>
        <w:rPr>
          <w:rFonts w:hint="cs"/>
          <w:rtl/>
          <w:lang w:bidi="ar-LB"/>
        </w:rPr>
        <w:t>من خصائص</w:t>
      </w:r>
      <w:r>
        <w:rPr>
          <w:rFonts w:hint="cs"/>
          <w:rtl/>
        </w:rPr>
        <w:t xml:space="preserve"> خطط العمل الإيجابية الخاصة بالمرأة التي يجب أن تكون مكرسة في الأنظمة الداخلية للجامعات أن تنفذ اللوائح المتعلقة بالمادة 41 من قانون المساواة في المعاملة في الخدمة المدنية، ومن ثم ينبغي عدم تحديد حصص للنساء تقل عن تلك الحصص المنصوص عليها في هذا القانون. ومن ناحية أخرى، للجامعات حرية الموافقة على أحكام للتمييز الإيجابي لصالح المرأة. </w:t>
      </w:r>
    </w:p>
    <w:p w:rsidR="007B4C85" w:rsidRDefault="007B4C85" w:rsidP="007B4C85">
      <w:pPr>
        <w:pStyle w:val="SingleTxt"/>
        <w:rPr>
          <w:rFonts w:hint="cs"/>
          <w:b/>
          <w:bCs/>
          <w:rtl/>
        </w:rPr>
      </w:pPr>
      <w:r>
        <w:rPr>
          <w:rFonts w:hint="cs"/>
          <w:b/>
          <w:bCs/>
          <w:rtl/>
        </w:rPr>
        <w:t>إنشاء مجلس استشاري لسياسات المرأة في الجامعات</w:t>
      </w:r>
    </w:p>
    <w:p w:rsidR="007B4C85" w:rsidRDefault="007B4C85" w:rsidP="007B4C85">
      <w:pPr>
        <w:pStyle w:val="SingleTxt"/>
        <w:rPr>
          <w:rFonts w:hint="cs"/>
          <w:rtl/>
        </w:rPr>
      </w:pPr>
      <w:r>
        <w:rPr>
          <w:rFonts w:hint="cs"/>
          <w:rtl/>
        </w:rPr>
        <w:tab/>
        <w:t xml:space="preserve">تم إنشاء المجلس في عام 2003، وتم تكليفه بمهمة إطلاع الوزير الاتحادي على النواقص الهيكلية وإسداء المشورة إليه حول أفضل وسائل العلاج في جميع المسائل المتصلة بالنهوض بالمرأة في الجامعات. والهدف النهائي هو التأكد من الامتثال لأحكام النهوض بالمرأة والأحكام المناهضة للتمييز المنصوص عليها في قانون الجامعات لعام 2002. </w:t>
      </w:r>
    </w:p>
    <w:p w:rsidR="007B4C85" w:rsidRDefault="007B4C85" w:rsidP="007B4C85">
      <w:pPr>
        <w:pStyle w:val="SingleTxt"/>
        <w:rPr>
          <w:rFonts w:hint="cs"/>
          <w:rtl/>
        </w:rPr>
      </w:pPr>
      <w:r>
        <w:rPr>
          <w:rFonts w:hint="cs"/>
          <w:b/>
          <w:bCs/>
          <w:rtl/>
        </w:rPr>
        <w:t xml:space="preserve">تعليم البالغين في فيينا: </w:t>
      </w:r>
      <w:r>
        <w:rPr>
          <w:rFonts w:hint="cs"/>
          <w:rtl/>
        </w:rPr>
        <w:t>خلال السنتين الماضيتين، بدأت رابطة فيينا لمراكز تعليم البالغين تنفيذ تعميم مراعاة المنظور الجنساني</w:t>
      </w:r>
      <w:r>
        <w:rPr>
          <w:rFonts w:hint="cs"/>
          <w:rtl/>
          <w:lang w:bidi="ar-LB"/>
        </w:rPr>
        <w:t>.</w:t>
      </w:r>
      <w:r>
        <w:rPr>
          <w:rFonts w:hint="cs"/>
          <w:rtl/>
        </w:rPr>
        <w:t xml:space="preserve"> وهناك مشروع يرمي إلى جعل تعميم مراعاة المنظور الجنساني أمر</w:t>
      </w:r>
      <w:r>
        <w:rPr>
          <w:rFonts w:hint="cs"/>
          <w:rtl/>
          <w:lang w:bidi="ar-LB"/>
        </w:rPr>
        <w:t>ا</w:t>
      </w:r>
      <w:r>
        <w:rPr>
          <w:rFonts w:hint="cs"/>
          <w:rtl/>
        </w:rPr>
        <w:t xml:space="preserve"> إلزامي</w:t>
      </w:r>
      <w:r>
        <w:rPr>
          <w:rFonts w:hint="cs"/>
          <w:rtl/>
          <w:lang w:bidi="ar-LB"/>
        </w:rPr>
        <w:t>ا</w:t>
      </w:r>
      <w:r>
        <w:rPr>
          <w:rFonts w:hint="cs"/>
          <w:rtl/>
        </w:rPr>
        <w:t xml:space="preserve"> للعمل في القطاع العام وقد تم تقديم هذا المشروع في عام 2002 في مؤتمر </w:t>
      </w:r>
      <w:r>
        <w:rPr>
          <w:rFonts w:hint="eastAsia"/>
          <w:rtl/>
        </w:rPr>
        <w:t>”مراكز تعليم البالغين وتعميم مراعاة المنظور الجنساني</w:t>
      </w:r>
      <w:r>
        <w:rPr>
          <w:rFonts w:hint="cs"/>
          <w:rtl/>
        </w:rPr>
        <w:t xml:space="preserve">“. وبالإضافة إلى ذلك، جعلت </w:t>
      </w:r>
      <w:r>
        <w:rPr>
          <w:rFonts w:hint="cs"/>
          <w:rtl/>
          <w:lang w:bidi="ar-LB"/>
        </w:rPr>
        <w:t xml:space="preserve">هذه </w:t>
      </w:r>
      <w:r>
        <w:rPr>
          <w:rFonts w:hint="cs"/>
          <w:rtl/>
        </w:rPr>
        <w:t xml:space="preserve">الرابطة من تعميم مراعاة المنظور الجنساني جزءا من تدريب موظفيها ومديري الدراسة. </w:t>
      </w:r>
    </w:p>
    <w:p w:rsidR="007B4C85" w:rsidRDefault="007B4C85" w:rsidP="007B4C85">
      <w:pPr>
        <w:pStyle w:val="SingleTxt"/>
        <w:rPr>
          <w:rFonts w:hint="cs"/>
          <w:rtl/>
        </w:rPr>
      </w:pPr>
      <w:r w:rsidRPr="00B46F7C">
        <w:rPr>
          <w:rFonts w:hint="cs"/>
          <w:rtl/>
        </w:rPr>
        <w:tab/>
        <w:t>وفي عام 1999</w:t>
      </w:r>
      <w:r>
        <w:rPr>
          <w:rFonts w:hint="cs"/>
          <w:rtl/>
        </w:rPr>
        <w:t xml:space="preserve">، أنشأت الرابطة كلية </w:t>
      </w:r>
      <w:r>
        <w:t>Rosa Mayreder</w:t>
      </w:r>
      <w:r>
        <w:rPr>
          <w:rFonts w:hint="cs"/>
          <w:rtl/>
        </w:rPr>
        <w:t xml:space="preserve"> - وهي مؤسسة تعليمية تديرها المرأة من أجل المرأة. وتقدم الكلية دورات دراسية في المرحلة </w:t>
      </w:r>
      <w:r>
        <w:rPr>
          <w:rFonts w:hint="cs"/>
          <w:rtl/>
          <w:lang w:bidi="ar-LB"/>
        </w:rPr>
        <w:t xml:space="preserve">الدراسية </w:t>
      </w:r>
      <w:r>
        <w:rPr>
          <w:rFonts w:hint="cs"/>
          <w:rtl/>
        </w:rPr>
        <w:t>الثالثة ذات الصبغة الدولية في مجالات الفنون والعلوم والتربية.</w:t>
      </w:r>
    </w:p>
    <w:p w:rsidR="007B4C85" w:rsidRDefault="007B4C85" w:rsidP="007B4C85">
      <w:pPr>
        <w:pStyle w:val="SingleTxt"/>
        <w:rPr>
          <w:rFonts w:hint="cs"/>
          <w:b/>
          <w:bCs/>
          <w:rtl/>
        </w:rPr>
      </w:pPr>
      <w:r>
        <w:rPr>
          <w:rFonts w:hint="cs"/>
          <w:b/>
          <w:bCs/>
          <w:rtl/>
        </w:rPr>
        <w:t>المادة 10، الحرف (هـ)</w:t>
      </w:r>
    </w:p>
    <w:p w:rsidR="007B4C85" w:rsidRDefault="007B4C85" w:rsidP="007B4C85">
      <w:pPr>
        <w:pStyle w:val="SingleTxt"/>
        <w:rPr>
          <w:rFonts w:hint="cs"/>
          <w:rtl/>
        </w:rPr>
      </w:pPr>
      <w:r>
        <w:rPr>
          <w:rFonts w:hint="cs"/>
          <w:rtl/>
        </w:rPr>
        <w:tab/>
        <w:t>تدعم الوزارة الاتحادية للتربية والعلوم والثقافة، بموجب برنامجها لتعليم البالغين، برامج محو الأمية. وتستهدف هذه البرامج بصفة رئيسية المهاجرين، الذين يتم إعدادهم لحضور دورات دراسية تؤدي إلى امتحانات الثانوية العامة من الدرجة الثانية. وهذه الدورات الدراسية مفتوحة للنساء والرجال على حد سواء. وقد تم تقديم دورات تدريبية خاصة لمدرسي محو الأمية للمرة الأولى في خريف عام 2003.</w:t>
      </w:r>
    </w:p>
    <w:p w:rsidR="007B4C85" w:rsidRDefault="007B4C85" w:rsidP="004A593D">
      <w:pPr>
        <w:pStyle w:val="SingleTxt"/>
        <w:rPr>
          <w:rFonts w:hint="cs"/>
          <w:rtl/>
        </w:rPr>
      </w:pPr>
      <w:r>
        <w:rPr>
          <w:rFonts w:hint="cs"/>
          <w:rtl/>
        </w:rPr>
        <w:tab/>
        <w:t>ومن المهام الأساسية الأخرى تخفيض عدد التلاميذ الذين يجدون صعوبات في القراءة. والصعوبات في القراءة تحول دون المشاركة بصورة سليمة في المجالات المجتمعية الرئيسية. وفي عام 2002، تم وضع خطة (القدرة على القراءة)</w:t>
      </w:r>
      <w:r>
        <w:rPr>
          <w:rFonts w:hint="cs"/>
          <w:rtl/>
          <w:lang w:bidi="ar-LB"/>
        </w:rPr>
        <w:t xml:space="preserve"> </w:t>
      </w:r>
      <w:r>
        <w:rPr>
          <w:rFonts w:hint="cs"/>
          <w:rtl/>
        </w:rPr>
        <w:t xml:space="preserve">على </w:t>
      </w:r>
      <w:r>
        <w:rPr>
          <w:rFonts w:hint="cs"/>
          <w:rtl/>
          <w:lang w:bidi="ar-LB"/>
        </w:rPr>
        <w:t>مستوى</w:t>
      </w:r>
      <w:r>
        <w:rPr>
          <w:rFonts w:hint="cs"/>
          <w:rtl/>
        </w:rPr>
        <w:t xml:space="preserve"> الأمة  وتتألف </w:t>
      </w:r>
      <w:r>
        <w:rPr>
          <w:rFonts w:hint="cs"/>
          <w:rtl/>
          <w:lang w:bidi="ar-LB"/>
        </w:rPr>
        <w:t>في</w:t>
      </w:r>
      <w:r>
        <w:rPr>
          <w:rFonts w:hint="cs"/>
          <w:rtl/>
        </w:rPr>
        <w:t xml:space="preserve"> جملة أمور من برامج مدرسية وبرامج غير مدرسية للتلاميذ الذين يجدون صعوبة في القراءة، و</w:t>
      </w:r>
      <w:r>
        <w:rPr>
          <w:rFonts w:hint="cs"/>
          <w:rtl/>
          <w:lang w:bidi="ar-LB"/>
        </w:rPr>
        <w:t xml:space="preserve">من </w:t>
      </w:r>
      <w:r>
        <w:rPr>
          <w:rFonts w:hint="cs"/>
          <w:rtl/>
        </w:rPr>
        <w:t>دورات تدريبية داخلية للمدرسين، ووسائل للمساعدة على التدريس، ومراكز استشارة (تيسير القراءة)</w:t>
      </w:r>
      <w:r>
        <w:rPr>
          <w:rFonts w:hint="cs"/>
          <w:rtl/>
          <w:lang w:bidi="ar-LB"/>
        </w:rPr>
        <w:t>،</w:t>
      </w:r>
      <w:r>
        <w:rPr>
          <w:rFonts w:hint="cs"/>
          <w:rtl/>
        </w:rPr>
        <w:t xml:space="preserve"> وعملية فرز المهارات المتعلقة بالقراءة. وتم وضع جميع البرامج والد</w:t>
      </w:r>
      <w:r>
        <w:rPr>
          <w:rFonts w:hint="cs"/>
          <w:rtl/>
          <w:lang w:bidi="ar-LB"/>
        </w:rPr>
        <w:t>ورا</w:t>
      </w:r>
      <w:r>
        <w:rPr>
          <w:rFonts w:hint="cs"/>
          <w:rtl/>
        </w:rPr>
        <w:t xml:space="preserve">ت الدراسية </w:t>
      </w:r>
      <w:r>
        <w:rPr>
          <w:rFonts w:hint="cs"/>
          <w:rtl/>
          <w:lang w:bidi="ar-LB"/>
        </w:rPr>
        <w:t>بحيث</w:t>
      </w:r>
      <w:r>
        <w:rPr>
          <w:rFonts w:hint="cs"/>
          <w:rtl/>
        </w:rPr>
        <w:t xml:space="preserve"> تتلاءم مع احتياجات كل من الجنسين.</w:t>
      </w:r>
    </w:p>
    <w:p w:rsidR="007B4C85" w:rsidRDefault="007B4C85" w:rsidP="007B4C85">
      <w:pPr>
        <w:pStyle w:val="SingleTxt"/>
        <w:rPr>
          <w:rFonts w:hint="cs"/>
          <w:b/>
          <w:bCs/>
          <w:rtl/>
        </w:rPr>
      </w:pPr>
      <w:r>
        <w:rPr>
          <w:rFonts w:hint="cs"/>
          <w:b/>
          <w:bCs/>
          <w:rtl/>
        </w:rPr>
        <w:t>التدابير التعليمية التي تستهدف المهاجرات</w:t>
      </w:r>
    </w:p>
    <w:p w:rsidR="007B4C85" w:rsidRDefault="007B4C85" w:rsidP="007B4C85">
      <w:pPr>
        <w:pStyle w:val="SingleTxt"/>
        <w:rPr>
          <w:rFonts w:hint="cs"/>
          <w:rtl/>
        </w:rPr>
      </w:pPr>
      <w:r>
        <w:rPr>
          <w:rFonts w:hint="cs"/>
          <w:rtl/>
        </w:rPr>
        <w:tab/>
        <w:t>التهميش الاجتماعي يضر ويهدد المهاجرات. فالأحكام التقليدية، والأدوار التي تسند بصفة محددة إلى المرأة</w:t>
      </w:r>
      <w:r>
        <w:rPr>
          <w:rFonts w:hint="cs"/>
          <w:rtl/>
          <w:lang w:bidi="ar-LB"/>
        </w:rPr>
        <w:t>،</w:t>
      </w:r>
      <w:r>
        <w:rPr>
          <w:rFonts w:hint="cs"/>
          <w:rtl/>
        </w:rPr>
        <w:t xml:space="preserve"> والواجبات العائلية، وفرص التعليم والتدريب القليلة </w:t>
      </w:r>
      <w:r>
        <w:rPr>
          <w:rFonts w:hint="cs"/>
          <w:rtl/>
          <w:lang w:bidi="ar-LB"/>
        </w:rPr>
        <w:t>ت</w:t>
      </w:r>
      <w:r>
        <w:rPr>
          <w:rFonts w:hint="cs"/>
          <w:rtl/>
        </w:rPr>
        <w:t xml:space="preserve">منعها من الاندماج في المجتمع. والأسر المعيشية للمهاجرات معرضة بشكل كبير للهبوط تحت خط الفقر. والتدابير المتخذة تهدف إلى تسهيل </w:t>
      </w:r>
      <w:r>
        <w:rPr>
          <w:rFonts w:hint="cs"/>
          <w:rtl/>
          <w:lang w:bidi="ar-LB"/>
        </w:rPr>
        <w:t>ح</w:t>
      </w:r>
      <w:r>
        <w:rPr>
          <w:rFonts w:hint="cs"/>
          <w:rtl/>
        </w:rPr>
        <w:t xml:space="preserve">صول المهاجرات </w:t>
      </w:r>
      <w:r>
        <w:rPr>
          <w:rFonts w:hint="cs"/>
          <w:rtl/>
          <w:lang w:bidi="ar-LB"/>
        </w:rPr>
        <w:t>ع</w:t>
      </w:r>
      <w:r>
        <w:rPr>
          <w:rFonts w:hint="cs"/>
          <w:rtl/>
        </w:rPr>
        <w:t>لى التعليم والتدريب الأولي</w:t>
      </w:r>
      <w:r>
        <w:rPr>
          <w:rFonts w:hint="cs"/>
          <w:rtl/>
          <w:lang w:bidi="ar-LB"/>
        </w:rPr>
        <w:t>،</w:t>
      </w:r>
      <w:r>
        <w:rPr>
          <w:rFonts w:hint="cs"/>
          <w:rtl/>
        </w:rPr>
        <w:t xml:space="preserve"> ودعم فرصهن في سوق العمل من خلال مساعدتهن على الحصول على المهارات الرئيسية. والشروط المس</w:t>
      </w:r>
      <w:r>
        <w:rPr>
          <w:rFonts w:hint="cs"/>
          <w:rtl/>
          <w:lang w:bidi="ar-LB"/>
        </w:rPr>
        <w:t>بق</w:t>
      </w:r>
      <w:r>
        <w:rPr>
          <w:rFonts w:hint="cs"/>
          <w:rtl/>
        </w:rPr>
        <w:t>ة لاندماج المهاجرات في المجتمع هي قبل كل شيء إجادة اللغة، واكتساب المهارات الأساسية في تكنولوجيا المعلومات، وفي مجال التعليم الذاتي. ويتم تقديم دورات دراسية في كل هذه المجالات. وتم إنشاء مكاتب استشارة مدرسية وبرامج تدريس خاصة باللغة الألمانية لتلاميذ الأسر المهاجرة في جميع الأقاليم.</w:t>
      </w:r>
    </w:p>
    <w:p w:rsidR="007B4C85" w:rsidRDefault="007B4C85" w:rsidP="007B4C85">
      <w:pPr>
        <w:pStyle w:val="SingleTxt"/>
        <w:rPr>
          <w:rFonts w:hint="cs"/>
          <w:b/>
          <w:bCs/>
          <w:rtl/>
        </w:rPr>
      </w:pPr>
      <w:r>
        <w:rPr>
          <w:rFonts w:hint="cs"/>
          <w:b/>
          <w:bCs/>
          <w:rtl/>
        </w:rPr>
        <w:t>المادة 10، الحرف (و)</w:t>
      </w:r>
    </w:p>
    <w:p w:rsidR="007B4C85" w:rsidRDefault="007B4C85" w:rsidP="007B4C85">
      <w:pPr>
        <w:pStyle w:val="SingleTxt"/>
        <w:rPr>
          <w:rFonts w:hint="cs"/>
          <w:rtl/>
        </w:rPr>
      </w:pPr>
      <w:r>
        <w:rPr>
          <w:rFonts w:hint="cs"/>
          <w:rtl/>
        </w:rPr>
        <w:tab/>
        <w:t>أحد الأهداف الرئيسية لتعليم البالغين هو الحصول على مؤهلات من</w:t>
      </w:r>
      <w:r>
        <w:rPr>
          <w:rFonts w:hint="cs"/>
          <w:rtl/>
          <w:lang w:bidi="ar-LB"/>
        </w:rPr>
        <w:t xml:space="preserve"> جراء متابعة </w:t>
      </w:r>
      <w:r>
        <w:rPr>
          <w:rFonts w:hint="cs"/>
          <w:rtl/>
        </w:rPr>
        <w:t xml:space="preserve"> التعليم الثانوي للاستفادة منه في الحياة. وعلى هذا الأساس، اتخذت الوزارة الاتحادية للت</w:t>
      </w:r>
      <w:r>
        <w:rPr>
          <w:rFonts w:hint="cs"/>
          <w:rtl/>
          <w:lang w:bidi="ar-LB"/>
        </w:rPr>
        <w:t>عليم</w:t>
      </w:r>
      <w:r>
        <w:rPr>
          <w:rFonts w:hint="cs"/>
          <w:rtl/>
        </w:rPr>
        <w:t xml:space="preserve"> والعلوم والثقافة تدابير لتسهيل ما يسمى بالفرصة الثانية للتعليم. وإن الدراسة التي تؤدي إلى الامتحانات الثانوية السفلى هي جزء من هذا المخطط (انظر أيضا المادة 10، الحرف (هـ)). وفيما يتعلق بالتعليم العالي، يستطيع طلاب الفرصة الثانية أن يدخلوا الامتحانات التي تسمح لهم بمتابعة دورات دراسية معينة، أو امتحانات القبول في الجامعات للطلاب الخارجيين و/أو امتحان القبول في الجامعات للطلاب الذين أكملوا تدريبهم المهني، مما يسمح لهم بالالتحاق بالتعليم العالي بصفة عامة أي الجامعات، ومؤسسات التعليم الجامعي، وكليات الفنون التطبيقية، والأكاديميات. وتقدم مراكز تعليم البالغين دورات تحضيرية لدخول هذه الامتحانات. (وبموجب تعديل تم إدخاله على قانون التعليم المدرسي، يستطيع التلاميذ الذين لم يكملوا دراستهم الثانوية أو السنة السابقة للتدريب المهني أن يدخلوا، اعتبارا من السنة الدراسية 2003-2004 امتحان انتهاء الدراسة الثانوية مجانا في الصف العاشر و/أو الحادي عشر من الدراسة. وعدد هؤلاء التلاميذ يصل إلى حوالي 300 في السنة). </w:t>
      </w:r>
    </w:p>
    <w:p w:rsidR="007B4C85" w:rsidRDefault="007B4C85" w:rsidP="007B4C85">
      <w:pPr>
        <w:pStyle w:val="SingleTxt"/>
        <w:rPr>
          <w:rFonts w:hint="cs"/>
          <w:rtl/>
        </w:rPr>
      </w:pPr>
      <w:r>
        <w:rPr>
          <w:rFonts w:hint="cs"/>
          <w:rtl/>
        </w:rPr>
        <w:tab/>
        <w:t>وكشفت الدراسات الشاملة لعدة قطاعات</w:t>
      </w:r>
      <w:r w:rsidRPr="00A455C4">
        <w:rPr>
          <w:vertAlign w:val="superscript"/>
          <w:rtl/>
        </w:rPr>
        <w:t>(</w:t>
      </w:r>
      <w:r>
        <w:rPr>
          <w:rStyle w:val="FootnoteReference"/>
          <w:rtl/>
        </w:rPr>
        <w:footnoteReference w:id="8"/>
      </w:r>
      <w:r w:rsidRPr="00A455C4">
        <w:rPr>
          <w:vertAlign w:val="superscript"/>
          <w:rtl/>
        </w:rPr>
        <w:t>)</w:t>
      </w:r>
      <w:r>
        <w:rPr>
          <w:rFonts w:hint="cs"/>
          <w:vertAlign w:val="superscript"/>
          <w:rtl/>
        </w:rPr>
        <w:t xml:space="preserve"> </w:t>
      </w:r>
      <w:r>
        <w:rPr>
          <w:rFonts w:hint="cs"/>
          <w:rtl/>
        </w:rPr>
        <w:t xml:space="preserve">أن معدل النجاح في السنة الأكاديمية 1999-2000 للطالبات اللاتي أكملن دراساتهن في الجامعات والكليات التطبيقية كانت 56 في المائة مقارنة بنسبة 57 في المائة بالنسبة للطلاب الذكور. وفي السنة الأكاديمية 2000/2001، كان معدل النجاح بين النساء 64 في المائة، وبين الرجال 62 في المائة. وفي السنة الأكاديمية 2001/2002، كان معدل النجاح بالنسبة للنساء 62 في المائة وبالنسبة للرجال 64 في المائة. وهذه الأرقام متقلبة ضمن مجال قياسي ولا يمكن اعتبارها مؤشرا لانخفاض نسبة النجاح بين النساء. </w:t>
      </w:r>
    </w:p>
    <w:p w:rsidR="007B4C85" w:rsidRDefault="007B4C85" w:rsidP="007B4C85">
      <w:pPr>
        <w:pStyle w:val="SingleTxt"/>
        <w:rPr>
          <w:rFonts w:hint="cs"/>
          <w:rtl/>
        </w:rPr>
      </w:pPr>
      <w:r>
        <w:rPr>
          <w:rFonts w:hint="cs"/>
          <w:rtl/>
        </w:rPr>
        <w:tab/>
        <w:t xml:space="preserve">وإن الدراسة المعنونة </w:t>
      </w:r>
      <w:r>
        <w:rPr>
          <w:rFonts w:hint="eastAsia"/>
          <w:rtl/>
        </w:rPr>
        <w:t>”شبكة الإنترنت بوصفها وسيط ل</w:t>
      </w:r>
      <w:r>
        <w:rPr>
          <w:rFonts w:hint="cs"/>
          <w:rtl/>
          <w:lang w:bidi="ar-LB"/>
        </w:rPr>
        <w:t>زيادة</w:t>
      </w:r>
      <w:r>
        <w:rPr>
          <w:rFonts w:hint="eastAsia"/>
          <w:rtl/>
        </w:rPr>
        <w:t xml:space="preserve"> المهارات مع الإشارة بصفة خاصة إلى منظور نوع الجنس فيما يتعلق بالبطالة بين الشباب</w:t>
      </w:r>
      <w:r>
        <w:rPr>
          <w:rFonts w:hint="cs"/>
          <w:rtl/>
        </w:rPr>
        <w:t>“ استكشفت الفرص المتاحة لفئة المراهقين العاطلين عن العمل والمتضررين اجتماعيا لكي يندمجوا في مجتمع المعلومات، على أن توضع في الاعتبار الجوانب الخاصة بنوع الجنس. وتمثلت الفكرة في تحليل الاحتياجات المتعلقة بنوع الجنس بهدف منع التحيز تجاه الذكور عند تقديم الدعم وتوفير المعرفة.</w:t>
      </w:r>
    </w:p>
    <w:p w:rsidR="007B4C85" w:rsidRDefault="007B4C85" w:rsidP="007B4C85">
      <w:pPr>
        <w:pStyle w:val="SingleTxt"/>
        <w:rPr>
          <w:rFonts w:hint="cs"/>
          <w:b/>
          <w:bCs/>
          <w:rtl/>
        </w:rPr>
      </w:pPr>
      <w:r>
        <w:rPr>
          <w:rFonts w:hint="cs"/>
          <w:b/>
          <w:bCs/>
          <w:rtl/>
        </w:rPr>
        <w:t>المادة 10، الحرف (ز)</w:t>
      </w:r>
    </w:p>
    <w:p w:rsidR="007B4C85" w:rsidRDefault="007B4C85" w:rsidP="007B4C85">
      <w:pPr>
        <w:pStyle w:val="SingleTxt"/>
        <w:rPr>
          <w:rFonts w:hint="cs"/>
          <w:rtl/>
        </w:rPr>
      </w:pPr>
      <w:r>
        <w:rPr>
          <w:rFonts w:hint="cs"/>
          <w:rtl/>
        </w:rPr>
        <w:tab/>
        <w:t xml:space="preserve">يهدف المنهاج الدراسي الإلزامي </w:t>
      </w:r>
      <w:r>
        <w:rPr>
          <w:rFonts w:hint="eastAsia"/>
          <w:rtl/>
        </w:rPr>
        <w:t>”التدريبات البدنية والرياضية</w:t>
      </w:r>
      <w:r>
        <w:rPr>
          <w:rFonts w:hint="cs"/>
          <w:rtl/>
        </w:rPr>
        <w:t>“ إلى تقديم تمرينات تعويضية وتشجيع النشاط. وبالإضافة إلى ذلك، تلق</w:t>
      </w:r>
      <w:r>
        <w:rPr>
          <w:rFonts w:hint="cs"/>
          <w:rtl/>
          <w:lang w:bidi="ar-LB"/>
        </w:rPr>
        <w:t>ّ</w:t>
      </w:r>
      <w:r>
        <w:rPr>
          <w:rFonts w:hint="cs"/>
          <w:rtl/>
        </w:rPr>
        <w:t xml:space="preserve">ى 000 270 تلميذا تدريبا مكثفا في كل من الألعاب الرياضية الصيفية والشتوية في رحلات رياضية مدرسية مدتها أسبوع واحد كل سنة. ويتم التخلص من التمييز ضد المرأة في التدريبات البدنية بالاعتماد على المناهج المتصلة بالجوانب الاجتماعية وعملية التطوير الذاتي وما شابه ذلك. </w:t>
      </w:r>
    </w:p>
    <w:p w:rsidR="007B4C85" w:rsidRDefault="007B4C85" w:rsidP="007B4C85">
      <w:pPr>
        <w:pStyle w:val="SingleTxt"/>
        <w:rPr>
          <w:rFonts w:hint="cs"/>
          <w:b/>
          <w:bCs/>
          <w:rtl/>
        </w:rPr>
      </w:pPr>
      <w:r>
        <w:rPr>
          <w:rFonts w:hint="cs"/>
          <w:b/>
          <w:bCs/>
          <w:rtl/>
        </w:rPr>
        <w:t>المادة 10، الحرف (ح)</w:t>
      </w:r>
    </w:p>
    <w:p w:rsidR="007B4C85" w:rsidRDefault="007B4C85" w:rsidP="007B4C85">
      <w:pPr>
        <w:pStyle w:val="SingleTxt"/>
        <w:rPr>
          <w:rFonts w:hint="cs"/>
          <w:rtl/>
        </w:rPr>
      </w:pPr>
      <w:r>
        <w:rPr>
          <w:rFonts w:hint="cs"/>
          <w:rtl/>
        </w:rPr>
        <w:tab/>
        <w:t xml:space="preserve">مادة </w:t>
      </w:r>
      <w:r>
        <w:rPr>
          <w:rFonts w:hint="eastAsia"/>
          <w:rtl/>
        </w:rPr>
        <w:t>”تحسين الصحة والتثقيف الجنسي</w:t>
      </w:r>
      <w:r>
        <w:rPr>
          <w:rFonts w:hint="cs"/>
          <w:rtl/>
        </w:rPr>
        <w:t xml:space="preserve">“ تدخل في المناهج الدراسية </w:t>
      </w:r>
      <w:r>
        <w:rPr>
          <w:rFonts w:hint="cs"/>
          <w:rtl/>
          <w:lang w:bidi="ar-LB"/>
        </w:rPr>
        <w:t xml:space="preserve">في </w:t>
      </w:r>
      <w:r>
        <w:rPr>
          <w:rFonts w:hint="cs"/>
          <w:rtl/>
        </w:rPr>
        <w:t xml:space="preserve">جميع أنواع المدارس في إطار ما يسمى </w:t>
      </w:r>
      <w:r>
        <w:rPr>
          <w:rFonts w:hint="eastAsia"/>
          <w:rtl/>
        </w:rPr>
        <w:t>”المبدأ التعليمي</w:t>
      </w:r>
      <w:r>
        <w:rPr>
          <w:rFonts w:hint="cs"/>
          <w:rtl/>
        </w:rPr>
        <w:t>“</w:t>
      </w:r>
      <w:r>
        <w:rPr>
          <w:rFonts w:hint="cs"/>
          <w:rtl/>
          <w:lang w:bidi="ar-LB"/>
        </w:rPr>
        <w:t>.</w:t>
      </w:r>
      <w:r>
        <w:rPr>
          <w:rFonts w:hint="cs"/>
          <w:rtl/>
        </w:rPr>
        <w:t xml:space="preserve"> وهي فكرة ترمي إلى تحسين تنسيق المادة الشاملة لعدة مواضيع </w:t>
      </w:r>
      <w:r>
        <w:rPr>
          <w:rFonts w:hint="eastAsia"/>
          <w:rtl/>
        </w:rPr>
        <w:t>(التي سوف تدرس مثلا في علم الأحي</w:t>
      </w:r>
      <w:r>
        <w:rPr>
          <w:rFonts w:hint="cs"/>
          <w:rtl/>
        </w:rPr>
        <w:t xml:space="preserve">اء، والعلوم المنزلية والتغذية، والتدريبات البدنية والألعاب الرياضية. وبالإضافة إلى ذلك، فإن المواضيع الاختيارية، والمواد العملية الاختيارية والمشاريع (مثل مسابقات الفيديو والإذاعة للشباب حول موضوع فيروس نقص المناعة البشرية/الإيدز في عام 2000) تشجع المهارات الشخصية للتلاميذ، وتعزز هياكل الاتصالات والمدارس في بيئتها. وفيما يتعلق بحقوق الإنسان، </w:t>
      </w:r>
      <w:r>
        <w:rPr>
          <w:rFonts w:hint="cs"/>
          <w:rtl/>
          <w:lang w:bidi="ar-LB"/>
        </w:rPr>
        <w:t>و</w:t>
      </w:r>
      <w:r>
        <w:rPr>
          <w:rFonts w:hint="cs"/>
          <w:rtl/>
        </w:rPr>
        <w:t>حقوق المرأة انظر التوصية 241.</w:t>
      </w:r>
    </w:p>
    <w:p w:rsidR="007B4C85" w:rsidRDefault="007B4C85" w:rsidP="007B4C85">
      <w:pPr>
        <w:pStyle w:val="SingleTxt"/>
        <w:rPr>
          <w:rFonts w:hint="cs"/>
          <w:b/>
          <w:bCs/>
          <w:rtl/>
        </w:rPr>
      </w:pPr>
      <w:r>
        <w:rPr>
          <w:rFonts w:hint="cs"/>
          <w:b/>
          <w:bCs/>
          <w:rtl/>
        </w:rPr>
        <w:t>المادة 11</w:t>
      </w:r>
    </w:p>
    <w:p w:rsidR="007B4C85" w:rsidRDefault="007B4C85" w:rsidP="007B4C85">
      <w:pPr>
        <w:pStyle w:val="SingleTxt"/>
        <w:rPr>
          <w:rFonts w:hint="cs"/>
          <w:rtl/>
        </w:rPr>
      </w:pPr>
      <w:r>
        <w:rPr>
          <w:rFonts w:hint="cs"/>
          <w:rtl/>
        </w:rPr>
        <w:tab/>
        <w:t xml:space="preserve">تؤكد نتائج التعداد السكاني </w:t>
      </w:r>
      <w:r>
        <w:rPr>
          <w:rFonts w:hint="cs"/>
          <w:rtl/>
          <w:lang w:bidi="ar-LB"/>
        </w:rPr>
        <w:t>الأخ</w:t>
      </w:r>
      <w:r>
        <w:rPr>
          <w:rFonts w:hint="cs"/>
          <w:rtl/>
        </w:rPr>
        <w:t>ير أن المرأة من حيث مشاركتها في العمالة، قد قطعت شوطا طويلا خلال العقود الثلاثة الماضية. فبين عام 1971 و 2001 ازداد عدد النساء اللاتي يعملن بأجر، بخلاف النساء اللاتي يعملن بصورة غير متفرغة، بما يعادل تقريبا الثلث؛ ومنذ عام 1991 ازدادت النسبة إلى 10 في المائة (كانت الزيادة بالنسبة للرجال بين عامي 1971 و 2001 مقدارها 6 في المائة). وفي عام 2001، كان معدل مشاركة المرأة في سوق العمل 61,8 في المائة، ومشاركة الرجل 80 في المائة (بخلاف العاملين بشكل غير متفرغ أي لمدة 11 ساعة في الأسبوع). وفي عام 2003، استمرت زيادة نسبة النساء العاملات بأجر</w:t>
      </w:r>
      <w:r>
        <w:rPr>
          <w:rFonts w:hint="cs"/>
          <w:rtl/>
          <w:lang w:bidi="ar-LB"/>
        </w:rPr>
        <w:t>،</w:t>
      </w:r>
      <w:r>
        <w:rPr>
          <w:rFonts w:hint="cs"/>
          <w:rtl/>
        </w:rPr>
        <w:t xml:space="preserve"> وظلت حادة بالأرقام النسبية. واستمرت العمالة التبعية بين النساء في الارتفاع بين عامي 1999 و 2003، علما بأن الزيادة في العمل غير المتفرغ كان</w:t>
      </w:r>
      <w:r>
        <w:rPr>
          <w:rFonts w:hint="cs"/>
          <w:rtl/>
          <w:lang w:bidi="ar-LB"/>
        </w:rPr>
        <w:t>ت</w:t>
      </w:r>
      <w:r>
        <w:rPr>
          <w:rFonts w:hint="cs"/>
          <w:rtl/>
        </w:rPr>
        <w:t xml:space="preserve"> حاد</w:t>
      </w:r>
      <w:r>
        <w:rPr>
          <w:rFonts w:hint="cs"/>
          <w:rtl/>
          <w:lang w:bidi="ar-LB"/>
        </w:rPr>
        <w:t>ة</w:t>
      </w:r>
      <w:r>
        <w:rPr>
          <w:rFonts w:hint="cs"/>
          <w:rtl/>
        </w:rPr>
        <w:t xml:space="preserve"> بصفة خاصة. وفي عام 2003، كانت المرأة تمثل 44 في المائة من العمالة التي يتعين عليها دفع التأمينات الاجتماعية أو العمالة القياسية (784 352 1 امرأة و 585 717 1 رجلا، بخلاف الأشخاص الذين في إجازة أمومة/أبوة وفي الخدمة العسكرية). ومقارنة بالمقاييس الدولية فإن البطالة بين النساء منخفضة، وإن كانت في حالة ازدياد منذ عام 2001. والمتوسط السنوي للعاطلين على العمل المسجلين هو 362 100 امرأة و 717 139 رجلا في عام 2003. وفي الوقت الراهن، يعمل أكثر من ثلث النساء على أساس غير متفرغ، بينما نسبة الرجال في هذا الصدد هي أقل من 5 في المائة (1-35 ساعة في الأسبوع، عام 2002). وللحصول على مزيد من التفاصيل عن دخل المرأة، وعن التدابير الرامية إلى تحسين فرص عملهن، وعن التدابير التي اتخذتها دائرة العمالة العامة في مجال المساواة، انظر التوصيتين 233 و 234. والمساواة بين الجنسين ه</w:t>
      </w:r>
      <w:r>
        <w:rPr>
          <w:rFonts w:hint="cs"/>
          <w:rtl/>
          <w:lang w:bidi="ar-LB"/>
        </w:rPr>
        <w:t>ي</w:t>
      </w:r>
      <w:r>
        <w:rPr>
          <w:rFonts w:hint="cs"/>
          <w:rtl/>
        </w:rPr>
        <w:t xml:space="preserve"> إحدى الأولويات في خطة العمل الوطنية المتعلقة بالعمالة وفي الخطوات التي تتضمنها الخطة لتنفيذ الاستراتيجية الأوروبية للعمالة (</w:t>
      </w:r>
      <w:hyperlink r:id="rId22" w:history="1">
        <w:r w:rsidRPr="001160E6">
          <w:rPr>
            <w:rStyle w:val="Hyperlink"/>
          </w:rPr>
          <w:t>http://bmwa.gv.at/BMWA/default.htm</w:t>
        </w:r>
      </w:hyperlink>
      <w:r>
        <w:rPr>
          <w:rFonts w:hint="cs"/>
          <w:rtl/>
        </w:rPr>
        <w:t>).</w:t>
      </w:r>
    </w:p>
    <w:p w:rsidR="007B4C85" w:rsidRPr="00655897" w:rsidRDefault="007B4C85" w:rsidP="007B4C85">
      <w:pPr>
        <w:pStyle w:val="SingleTxt"/>
        <w:rPr>
          <w:rFonts w:hint="cs"/>
          <w:b/>
          <w:bCs/>
          <w:rtl/>
        </w:rPr>
      </w:pPr>
      <w:r w:rsidRPr="00655897">
        <w:rPr>
          <w:rFonts w:hint="cs"/>
          <w:b/>
          <w:bCs/>
          <w:rtl/>
        </w:rPr>
        <w:t xml:space="preserve">المادة 11، الرقم 1، الحرف (أ) </w:t>
      </w:r>
    </w:p>
    <w:p w:rsidR="007B4C85" w:rsidRPr="00655897" w:rsidRDefault="007B4C85" w:rsidP="007B4C85">
      <w:pPr>
        <w:pStyle w:val="SingleTxt"/>
        <w:rPr>
          <w:rFonts w:hint="cs"/>
          <w:b/>
          <w:bCs/>
          <w:rtl/>
        </w:rPr>
      </w:pPr>
      <w:r w:rsidRPr="00655897">
        <w:rPr>
          <w:rFonts w:hint="cs"/>
          <w:b/>
          <w:bCs/>
          <w:rtl/>
        </w:rPr>
        <w:t>ضمان حق المرأة في العمل</w:t>
      </w:r>
    </w:p>
    <w:p w:rsidR="007B4C85" w:rsidRDefault="007B4C85" w:rsidP="007B4C85">
      <w:pPr>
        <w:pStyle w:val="SingleTxt"/>
        <w:rPr>
          <w:rFonts w:hint="cs"/>
          <w:rtl/>
        </w:rPr>
      </w:pPr>
      <w:r>
        <w:rPr>
          <w:rFonts w:hint="cs"/>
          <w:rtl/>
        </w:rPr>
        <w:tab/>
        <w:t xml:space="preserve">إن التركيز والتمييز في سوق العمل يعني أن المرأة ممثلة إلى حد كبير تمثيلا ناقصا في بعض المناصب والمهن والتخصصات والقطاعات (وهي المجالات التي تدر عادة دخلا أعلى). وإن حصول المرأة على وظيفة من هذا النوع صعب بصفة خاصة، ولذلك يتعين اتخاذ تدابير شاملة لتغيير الحالة السائدة. </w:t>
      </w:r>
    </w:p>
    <w:p w:rsidR="007B4C85" w:rsidRDefault="007B4C85" w:rsidP="007B4C85">
      <w:pPr>
        <w:pStyle w:val="SingleTxt"/>
        <w:rPr>
          <w:rFonts w:hint="cs"/>
          <w:rtl/>
        </w:rPr>
      </w:pPr>
      <w:r>
        <w:rPr>
          <w:rFonts w:hint="cs"/>
          <w:rtl/>
        </w:rPr>
        <w:tab/>
        <w:t>وفي هذا السياق، ينبغي الإشارة إلى التعليقات على المادة 10 والتوصية 232، ال</w:t>
      </w:r>
      <w:r>
        <w:rPr>
          <w:rFonts w:hint="cs"/>
          <w:rtl/>
          <w:lang w:bidi="ar-LB"/>
        </w:rPr>
        <w:t>لتين</w:t>
      </w:r>
      <w:r>
        <w:rPr>
          <w:rFonts w:hint="cs"/>
          <w:rtl/>
        </w:rPr>
        <w:t xml:space="preserve"> تتصل</w:t>
      </w:r>
      <w:r>
        <w:rPr>
          <w:rFonts w:hint="cs"/>
          <w:rtl/>
          <w:lang w:bidi="ar-LB"/>
        </w:rPr>
        <w:t>ان في ج</w:t>
      </w:r>
      <w:r>
        <w:rPr>
          <w:rFonts w:hint="cs"/>
          <w:rtl/>
        </w:rPr>
        <w:t>ملة أمور بالتدابير المتخذة للنهوض بالمرأة في المهن غير التقليدية، في مجال التكنولوجيا والعلوم الطبيعية. وأمثلة على ذلك: مشروع ”</w:t>
      </w:r>
      <w:r>
        <w:t>femtech</w:t>
      </w:r>
      <w:r>
        <w:rPr>
          <w:rFonts w:hint="cs"/>
          <w:rtl/>
        </w:rPr>
        <w:t xml:space="preserve">“ ويهدف بصفة خاصة إلى زيادة نسبة النساء اللاتي </w:t>
      </w:r>
      <w:r>
        <w:rPr>
          <w:rFonts w:hint="cs"/>
          <w:rtl/>
          <w:lang w:bidi="ar-LB"/>
        </w:rPr>
        <w:t>ي</w:t>
      </w:r>
      <w:r>
        <w:rPr>
          <w:rFonts w:hint="cs"/>
          <w:rtl/>
        </w:rPr>
        <w:t>شارك</w:t>
      </w:r>
      <w:r>
        <w:rPr>
          <w:rFonts w:hint="cs"/>
          <w:rtl/>
          <w:lang w:bidi="ar-LB"/>
        </w:rPr>
        <w:t>ن</w:t>
      </w:r>
      <w:r>
        <w:rPr>
          <w:rFonts w:hint="cs"/>
          <w:rtl/>
        </w:rPr>
        <w:t xml:space="preserve"> في البرامج التكنولوجية و</w:t>
      </w:r>
      <w:r>
        <w:rPr>
          <w:rFonts w:hint="cs"/>
          <w:rtl/>
          <w:lang w:bidi="ar-LB"/>
        </w:rPr>
        <w:t>ي</w:t>
      </w:r>
      <w:r>
        <w:rPr>
          <w:rFonts w:hint="cs"/>
          <w:rtl/>
        </w:rPr>
        <w:t>در</w:t>
      </w:r>
      <w:r>
        <w:rPr>
          <w:rFonts w:hint="cs"/>
          <w:rtl/>
          <w:lang w:bidi="ar-LB"/>
        </w:rPr>
        <w:t>ن</w:t>
      </w:r>
      <w:r>
        <w:rPr>
          <w:rFonts w:hint="cs"/>
          <w:rtl/>
        </w:rPr>
        <w:t>ها و</w:t>
      </w:r>
      <w:r>
        <w:rPr>
          <w:rFonts w:hint="cs"/>
          <w:rtl/>
          <w:lang w:bidi="ar-LB"/>
        </w:rPr>
        <w:t>ي</w:t>
      </w:r>
      <w:r>
        <w:rPr>
          <w:rFonts w:hint="cs"/>
          <w:rtl/>
        </w:rPr>
        <w:t>قيم</w:t>
      </w:r>
      <w:r>
        <w:rPr>
          <w:rFonts w:hint="cs"/>
          <w:rtl/>
          <w:lang w:bidi="ar-LB"/>
        </w:rPr>
        <w:t>ن</w:t>
      </w:r>
      <w:r>
        <w:rPr>
          <w:rFonts w:hint="cs"/>
          <w:rtl/>
        </w:rPr>
        <w:t>ها، وهي البرامج التي وضعتها الوزارة الاتحادية للنقل والابتكارات والتكنولوجيا.</w:t>
      </w:r>
    </w:p>
    <w:p w:rsidR="007B4C85" w:rsidRDefault="007B4C85" w:rsidP="007B4C85">
      <w:pPr>
        <w:pStyle w:val="SingleTxt"/>
        <w:rPr>
          <w:rFonts w:hint="cs"/>
          <w:rtl/>
        </w:rPr>
      </w:pPr>
      <w:r>
        <w:rPr>
          <w:rFonts w:hint="cs"/>
          <w:rtl/>
        </w:rPr>
        <w:tab/>
        <w:t xml:space="preserve">وحللت الدراسة </w:t>
      </w:r>
      <w:r>
        <w:rPr>
          <w:rFonts w:hint="cs"/>
          <w:rtl/>
          <w:lang w:bidi="ar-LB"/>
        </w:rPr>
        <w:t xml:space="preserve">المعنونة </w:t>
      </w:r>
      <w:r>
        <w:rPr>
          <w:rFonts w:hint="cs"/>
          <w:rtl/>
        </w:rPr>
        <w:t>”المرأة والتكنولوجيا“ وضع المرأة في برامج الأبحاث والتطوير التي ت</w:t>
      </w:r>
      <w:r>
        <w:rPr>
          <w:rFonts w:hint="cs"/>
          <w:rtl/>
          <w:lang w:bidi="ar-LB"/>
        </w:rPr>
        <w:t>ُ</w:t>
      </w:r>
      <w:r>
        <w:rPr>
          <w:rFonts w:hint="cs"/>
          <w:rtl/>
        </w:rPr>
        <w:t>قدم إليها إعانات مالية كبيرة</w:t>
      </w:r>
      <w:r>
        <w:rPr>
          <w:rFonts w:hint="cs"/>
          <w:rtl/>
          <w:lang w:bidi="ar-LB"/>
        </w:rPr>
        <w:t>،</w:t>
      </w:r>
      <w:r>
        <w:rPr>
          <w:rFonts w:hint="cs"/>
          <w:rtl/>
        </w:rPr>
        <w:t xml:space="preserve"> </w:t>
      </w:r>
      <w:r>
        <w:rPr>
          <w:rFonts w:hint="cs"/>
          <w:rtl/>
          <w:lang w:bidi="ar-LB"/>
        </w:rPr>
        <w:t>وحللت كذلك</w:t>
      </w:r>
      <w:r>
        <w:rPr>
          <w:rFonts w:hint="cs"/>
          <w:rtl/>
        </w:rPr>
        <w:t xml:space="preserve"> التدابير المتخذة (مثل البرامج التوجيهية، وإيجاد ظروف تلائم الأسر)</w:t>
      </w:r>
      <w:r>
        <w:rPr>
          <w:rFonts w:hint="cs"/>
          <w:rtl/>
          <w:lang w:bidi="ar-LB"/>
        </w:rPr>
        <w:t>.</w:t>
      </w:r>
      <w:r>
        <w:rPr>
          <w:rFonts w:hint="cs"/>
          <w:rtl/>
        </w:rPr>
        <w:t xml:space="preserve"> وتهدف هذه الدراسة إلى زيادة عدد النساء المشاركات وزيادة دخلهن، وتعزيز الترقية، ودعم مشاركتهن (لا سيما في المناصب القيادية، مثل منصب المنسقين) في </w:t>
      </w:r>
      <w:r>
        <w:rPr>
          <w:rFonts w:hint="cs"/>
          <w:rtl/>
          <w:lang w:bidi="ar-LB"/>
        </w:rPr>
        <w:t xml:space="preserve">عمليات </w:t>
      </w:r>
      <w:r>
        <w:rPr>
          <w:rFonts w:hint="cs"/>
          <w:rtl/>
        </w:rPr>
        <w:t xml:space="preserve">التخطيط في مجال البحث والتطوير. </w:t>
      </w:r>
    </w:p>
    <w:p w:rsidR="007B4C85" w:rsidRDefault="007B4C85" w:rsidP="007B4C85">
      <w:pPr>
        <w:pStyle w:val="SingleTxt"/>
        <w:rPr>
          <w:rFonts w:hint="cs"/>
          <w:rtl/>
        </w:rPr>
      </w:pPr>
      <w:r>
        <w:rPr>
          <w:rFonts w:hint="cs"/>
          <w:rtl/>
        </w:rPr>
        <w:tab/>
        <w:t xml:space="preserve">ومبادرة ”المرأة في مجال التكنولوجيا والأبحاث“ هي مبادرة تهدف إلى تنفيذ نتائج الدراسة بصورة عملية. والهدف العام هو تعزيز وجود المرأة في المناصب التنفيذية ومناصب المسؤولية في ميدان العلوم والتكنولوجيا وفي قطاع الشركات، بالإضافة إلى الأبحاث المضطلع بها خارج إطار الجامعات. وهناك خطط لإنشاء فرقة عمل وفريق مؤلف من الشخصيات من الإدارة العامة والعلوم والأبحاث وأصحاب المصلحة والخدمات العامة، ومن المؤسسات المسؤولة عن التدريب. وسوف يتم تقييم التقدم المحرز في تحقيق هذا الهدف، من خلال وضع آلية للرصد؛ وسيتم تكليف مركز للامتياز من أجل تنفيذ هذا البرنامج. </w:t>
      </w:r>
    </w:p>
    <w:p w:rsidR="007B4C85" w:rsidRDefault="007B4C85" w:rsidP="007B4C85">
      <w:pPr>
        <w:pStyle w:val="SingleTxt"/>
        <w:rPr>
          <w:rFonts w:hint="cs"/>
          <w:rtl/>
        </w:rPr>
      </w:pPr>
      <w:r>
        <w:rPr>
          <w:rFonts w:hint="cs"/>
          <w:rtl/>
        </w:rPr>
        <w:tab/>
        <w:t>جائزة ”المرأة في مجال التكنولوجيا البيئية“ جائزة منحتها الجمعية النمساوية للبيئة والتكنولوجيا. وترعى الوزارة الاتحادية للنقل والابتكارات والتكنولوجيا هذه الجائزة، وقد تم منحها منذ عام 2001 إلى المرأة التي حققت إنجازا كبيرا في ميدان التكنولوجيا البيئية.</w:t>
      </w:r>
    </w:p>
    <w:p w:rsidR="007B4C85" w:rsidRDefault="007B4C85" w:rsidP="007B4C85">
      <w:pPr>
        <w:pStyle w:val="SingleTxt"/>
        <w:rPr>
          <w:rFonts w:hint="cs"/>
          <w:rtl/>
        </w:rPr>
      </w:pPr>
      <w:r>
        <w:rPr>
          <w:rFonts w:hint="cs"/>
          <w:rtl/>
        </w:rPr>
        <w:tab/>
        <w:t>وفيما يتعلق بالتدابير المذكورة في التقرير الدوري الخامس للنمسا في سياق تعزيز العمل غير المتفرغ في القطاع العام، يتعين الإشارة إلى أن لجميع موظفي القطاع العام الحق القانوني في العمل غير المتفرغ إلى أن يذهب أطفالهم إلى المدارس (وكان ذلك ينطبق في السابق على موظفي الخدمة المدنية فقط).</w:t>
      </w:r>
    </w:p>
    <w:p w:rsidR="007B4C85" w:rsidRDefault="007B4C85" w:rsidP="007B4C85">
      <w:pPr>
        <w:pStyle w:val="SingleTxt"/>
        <w:rPr>
          <w:rFonts w:hint="cs"/>
          <w:rtl/>
        </w:rPr>
      </w:pPr>
      <w:r>
        <w:rPr>
          <w:rFonts w:hint="cs"/>
          <w:rtl/>
        </w:rPr>
        <w:tab/>
        <w:t xml:space="preserve">وبموجب التعديل الذي أدخل على المادة 50 (ب) من قانون الخدمة العامة لعام 1979، الذي بدأ نفاذه في 1 كانون الثاني/يناير 2004 (النشرة القانونية الاتحادية الأولى رقم 130/2003)، يتم تخفيض عدد ساعات العمل </w:t>
      </w:r>
      <w:r>
        <w:rPr>
          <w:rFonts w:hint="cs"/>
          <w:rtl/>
          <w:lang w:bidi="ar-LB"/>
        </w:rPr>
        <w:t xml:space="preserve">الأسبوعية </w:t>
      </w:r>
      <w:r>
        <w:rPr>
          <w:rFonts w:hint="cs"/>
          <w:rtl/>
        </w:rPr>
        <w:t>لموظفي الخدمة المدنية الذين تقدموا بطلبات وحصلوا على استحقاق لرعاية الأطفال، وذلك خلال فترة الحصول على الاستحقاق بأكملها على ألا تتجاوز الشهر السادس والثلاثين من عمر الطفل، حتى إذا كانت فترة العمل تناقصت وأصبحت أقل من نصف عدد ساعات العمل القياسية المطلوبة في العمل المتفرغ. وبالنسبة للعمل في القطاع الخاص، يمكن التوصل إلى اتفاق بالتراضي حول عدد ساعات العمل ف</w:t>
      </w:r>
      <w:r>
        <w:rPr>
          <w:rFonts w:hint="cs"/>
          <w:rtl/>
          <w:lang w:bidi="ar-LB"/>
        </w:rPr>
        <w:t>يما يتعلق ب</w:t>
      </w:r>
      <w:r>
        <w:rPr>
          <w:rFonts w:hint="cs"/>
          <w:rtl/>
        </w:rPr>
        <w:t xml:space="preserve">عقود العمل </w:t>
      </w:r>
      <w:r>
        <w:rPr>
          <w:rFonts w:hint="cs"/>
          <w:rtl/>
          <w:lang w:bidi="ar-LB"/>
        </w:rPr>
        <w:t xml:space="preserve">المبرمة </w:t>
      </w:r>
      <w:r>
        <w:rPr>
          <w:rFonts w:hint="cs"/>
          <w:rtl/>
        </w:rPr>
        <w:t xml:space="preserve">بموجب قانون عقود الموظفين لعام 1948،. غير أن القانون لا ينطبق على العقود </w:t>
      </w:r>
      <w:r>
        <w:rPr>
          <w:rFonts w:hint="cs"/>
          <w:rtl/>
          <w:lang w:bidi="ar-LB"/>
        </w:rPr>
        <w:t xml:space="preserve">إلا </w:t>
      </w:r>
      <w:r>
        <w:rPr>
          <w:rFonts w:hint="cs"/>
          <w:rtl/>
        </w:rPr>
        <w:t xml:space="preserve">إذا كان عدد ساعات العمل تتجاوز ثلث ساعات العمل القياسية </w:t>
      </w:r>
      <w:r>
        <w:rPr>
          <w:rFonts w:hint="cs"/>
          <w:rtl/>
          <w:lang w:bidi="ar-LB"/>
        </w:rPr>
        <w:t>عند</w:t>
      </w:r>
      <w:r>
        <w:rPr>
          <w:rFonts w:hint="cs"/>
          <w:rtl/>
        </w:rPr>
        <w:t xml:space="preserve"> العمل في وظائف على أساس التفرغ.</w:t>
      </w:r>
    </w:p>
    <w:p w:rsidR="007B4C85" w:rsidRDefault="007B4C85" w:rsidP="007B4C85">
      <w:pPr>
        <w:pStyle w:val="SingleTxt"/>
        <w:rPr>
          <w:rFonts w:hint="cs"/>
          <w:b/>
          <w:bCs/>
          <w:rtl/>
        </w:rPr>
      </w:pPr>
      <w:r>
        <w:rPr>
          <w:rFonts w:hint="cs"/>
          <w:b/>
          <w:bCs/>
          <w:rtl/>
        </w:rPr>
        <w:t xml:space="preserve">مشروع </w:t>
      </w:r>
      <w:r>
        <w:rPr>
          <w:rFonts w:hint="eastAsia"/>
          <w:b/>
          <w:bCs/>
          <w:rtl/>
        </w:rPr>
        <w:t>”مساعدو الأفرقة</w:t>
      </w:r>
      <w:r>
        <w:rPr>
          <w:rFonts w:hint="cs"/>
          <w:b/>
          <w:bCs/>
          <w:rtl/>
        </w:rPr>
        <w:t>“</w:t>
      </w:r>
    </w:p>
    <w:p w:rsidR="007B4C85" w:rsidRDefault="007B4C85" w:rsidP="007B4C85">
      <w:pPr>
        <w:pStyle w:val="SingleTxt"/>
        <w:rPr>
          <w:rFonts w:hint="cs"/>
          <w:rtl/>
        </w:rPr>
      </w:pPr>
      <w:r w:rsidRPr="00E34F97">
        <w:rPr>
          <w:rFonts w:hint="cs"/>
          <w:rtl/>
        </w:rPr>
        <w:tab/>
      </w:r>
      <w:r>
        <w:rPr>
          <w:rFonts w:hint="cs"/>
          <w:rtl/>
          <w:lang w:bidi="ar-LB"/>
        </w:rPr>
        <w:t>يفترض</w:t>
      </w:r>
      <w:r w:rsidRPr="00E34F97">
        <w:rPr>
          <w:rFonts w:hint="cs"/>
          <w:rtl/>
        </w:rPr>
        <w:t xml:space="preserve"> استحداث</w:t>
      </w:r>
      <w:r>
        <w:rPr>
          <w:rFonts w:hint="cs"/>
          <w:rtl/>
        </w:rPr>
        <w:t xml:space="preserve"> </w:t>
      </w:r>
      <w:r>
        <w:rPr>
          <w:rFonts w:hint="eastAsia"/>
          <w:rtl/>
        </w:rPr>
        <w:t>”الملفات الإلكترونية</w:t>
      </w:r>
      <w:r>
        <w:rPr>
          <w:rFonts w:hint="cs"/>
          <w:rtl/>
        </w:rPr>
        <w:t xml:space="preserve">“ والتغييرات في نظام المحاسبة الوطني إدخال تغييرات أساسية في توصيف وظائف الكتبة. فخلال عام 2002، وضعت المستشارية الاتحادية وصفا لمنصب </w:t>
      </w:r>
      <w:r>
        <w:rPr>
          <w:rFonts w:hint="eastAsia"/>
          <w:rtl/>
        </w:rPr>
        <w:t>”مساعد الأفرقة</w:t>
      </w:r>
      <w:r>
        <w:rPr>
          <w:rFonts w:hint="cs"/>
          <w:rtl/>
        </w:rPr>
        <w:t>“ وأضافته إلى قائمة وظائف الخدمة المدنية. ويؤدي مساعدو الأفرقة مهمات التنسيق بين كبار المسؤولين والموظفين المسؤولين عن مجالات محددة من الأنشطة. ويتضمن وصف منصب مساعد الأفرقة</w:t>
      </w:r>
      <w:r>
        <w:rPr>
          <w:rFonts w:hint="cs"/>
          <w:rtl/>
          <w:lang w:bidi="ar-LB"/>
        </w:rPr>
        <w:t>،</w:t>
      </w:r>
      <w:r>
        <w:rPr>
          <w:rFonts w:hint="cs"/>
          <w:rtl/>
        </w:rPr>
        <w:t xml:space="preserve"> </w:t>
      </w:r>
      <w:r>
        <w:rPr>
          <w:rFonts w:hint="cs"/>
          <w:rtl/>
          <w:lang w:bidi="ar-LB"/>
        </w:rPr>
        <w:t xml:space="preserve">إذا قورن </w:t>
      </w:r>
      <w:r>
        <w:rPr>
          <w:rFonts w:hint="cs"/>
          <w:rtl/>
        </w:rPr>
        <w:t>بوصف وظيفة الكتبة، أنشطة متخصصة جديدة بالإضافة إلى الضرب على الآلة الكاتبة، والمراسلة، وجدولة الاجتماعات وما شابه ذلك. ومن شأن هذا المشروع بالنسبة للكتبة</w:t>
      </w:r>
      <w:r>
        <w:rPr>
          <w:rFonts w:hint="cs"/>
          <w:rtl/>
          <w:lang w:bidi="ar-LB"/>
        </w:rPr>
        <w:t>،</w:t>
      </w:r>
      <w:r>
        <w:rPr>
          <w:rFonts w:hint="cs"/>
          <w:rtl/>
        </w:rPr>
        <w:t xml:space="preserve"> ومعظمهم من النساء، أن ي</w:t>
      </w:r>
      <w:r>
        <w:rPr>
          <w:rFonts w:hint="cs"/>
          <w:rtl/>
          <w:lang w:bidi="ar-LB"/>
        </w:rPr>
        <w:t>تيح لهن</w:t>
      </w:r>
      <w:r>
        <w:rPr>
          <w:rFonts w:hint="cs"/>
          <w:rtl/>
        </w:rPr>
        <w:t xml:space="preserve"> فرص</w:t>
      </w:r>
      <w:r>
        <w:rPr>
          <w:rFonts w:hint="cs"/>
          <w:rtl/>
          <w:lang w:bidi="ar-LB"/>
        </w:rPr>
        <w:t>ا</w:t>
      </w:r>
      <w:r>
        <w:rPr>
          <w:rFonts w:hint="cs"/>
          <w:rtl/>
        </w:rPr>
        <w:t xml:space="preserve"> جديدة ل</w:t>
      </w:r>
      <w:r>
        <w:rPr>
          <w:rFonts w:hint="cs"/>
          <w:rtl/>
          <w:lang w:bidi="ar-LB"/>
        </w:rPr>
        <w:t>شغل</w:t>
      </w:r>
      <w:r>
        <w:rPr>
          <w:rFonts w:hint="cs"/>
          <w:rtl/>
        </w:rPr>
        <w:t xml:space="preserve"> وظائف أعلى رتبة</w:t>
      </w:r>
      <w:r>
        <w:rPr>
          <w:rFonts w:hint="cs"/>
          <w:rtl/>
          <w:lang w:bidi="ar-LB"/>
        </w:rPr>
        <w:t xml:space="preserve">، </w:t>
      </w:r>
      <w:r>
        <w:rPr>
          <w:rFonts w:hint="cs"/>
          <w:rtl/>
        </w:rPr>
        <w:t>و</w:t>
      </w:r>
      <w:r>
        <w:rPr>
          <w:rFonts w:hint="cs"/>
          <w:rtl/>
          <w:lang w:bidi="ar-LB"/>
        </w:rPr>
        <w:t xml:space="preserve">التدريب على وظائف </w:t>
      </w:r>
      <w:r>
        <w:rPr>
          <w:rFonts w:hint="cs"/>
          <w:rtl/>
        </w:rPr>
        <w:t>ذات منحنى مستقبلي، وتحمل مسؤولية مهام أكثر تنوعا، والرغبة في التصدي بصورة مستمرة للتحديات المتغيرة وضغوط العمل اليومي، وفي نهاية المطاف، تحسين وضعهن المهني ودخلهن.</w:t>
      </w:r>
    </w:p>
    <w:p w:rsidR="007B4C85" w:rsidRDefault="007B4C85" w:rsidP="007B4C85">
      <w:pPr>
        <w:pStyle w:val="SingleTxt"/>
        <w:rPr>
          <w:rFonts w:hint="cs"/>
          <w:rtl/>
        </w:rPr>
      </w:pPr>
      <w:r>
        <w:rPr>
          <w:rFonts w:hint="cs"/>
          <w:rtl/>
        </w:rPr>
        <w:tab/>
        <w:t>ومنذ أن بدأ العمل بالمشروع في تشرين الثاني/نوفمبر 2002، تم تدريب 30 امرأة كمساعدات للأفرقة. ونتيجة لذلك، تم رف</w:t>
      </w:r>
      <w:r>
        <w:rPr>
          <w:rFonts w:hint="cs"/>
          <w:rtl/>
          <w:lang w:bidi="ar-LB"/>
        </w:rPr>
        <w:t>ع</w:t>
      </w:r>
      <w:r>
        <w:rPr>
          <w:rFonts w:hint="cs"/>
          <w:rtl/>
        </w:rPr>
        <w:t xml:space="preserve"> </w:t>
      </w:r>
      <w:r>
        <w:rPr>
          <w:rFonts w:hint="cs"/>
          <w:rtl/>
          <w:lang w:bidi="ar-LB"/>
        </w:rPr>
        <w:t>رتب</w:t>
      </w:r>
      <w:r>
        <w:rPr>
          <w:rFonts w:hint="cs"/>
          <w:rtl/>
        </w:rPr>
        <w:t>ة 29 منهن، وعلى هذا الأساس ازدادت مرتباتهن. وتم أيضا تدريب 14 امرأة أخرى في عام 2003، وترتب على ذلك ازد</w:t>
      </w:r>
      <w:r>
        <w:rPr>
          <w:rFonts w:hint="cs"/>
          <w:rtl/>
          <w:lang w:bidi="ar-LB"/>
        </w:rPr>
        <w:t>ي</w:t>
      </w:r>
      <w:r>
        <w:rPr>
          <w:rFonts w:hint="cs"/>
          <w:rtl/>
        </w:rPr>
        <w:t>اد دخلهن. وهناك خطط ترمي إلى توسيع نطاق المشروع ليشمل الوزارات الأخرى.</w:t>
      </w:r>
    </w:p>
    <w:p w:rsidR="007B4C85" w:rsidRDefault="007B4C85" w:rsidP="007B4C85">
      <w:pPr>
        <w:pStyle w:val="SingleTxt"/>
        <w:rPr>
          <w:rFonts w:hint="cs"/>
          <w:rtl/>
        </w:rPr>
      </w:pPr>
      <w:r>
        <w:rPr>
          <w:rFonts w:hint="cs"/>
          <w:rtl/>
        </w:rPr>
        <w:tab/>
        <w:t>وأدرجت المستشارية الاتحادية، في أمر التدريب الأولي لعام 2003 (النشرة القانونية الاتحادية الأولى رقم 7/2003)</w:t>
      </w:r>
      <w:r>
        <w:rPr>
          <w:rFonts w:hint="cs"/>
          <w:rtl/>
          <w:lang w:bidi="ar-LB"/>
        </w:rPr>
        <w:t>،</w:t>
      </w:r>
      <w:r>
        <w:rPr>
          <w:rFonts w:hint="cs"/>
          <w:rtl/>
        </w:rPr>
        <w:t xml:space="preserve"> تعميم مراعاة المنظور الجنساني بوصفه وحدة منفصلة.</w:t>
      </w:r>
    </w:p>
    <w:p w:rsidR="007B4C85" w:rsidRDefault="007B4C85" w:rsidP="007B4C85">
      <w:pPr>
        <w:pStyle w:val="SingleTxt"/>
        <w:rPr>
          <w:rFonts w:hint="cs"/>
          <w:b/>
          <w:bCs/>
          <w:sz w:val="10"/>
          <w:rtl/>
        </w:rPr>
      </w:pPr>
      <w:r>
        <w:rPr>
          <w:rFonts w:hint="cs"/>
          <w:b/>
          <w:bCs/>
          <w:sz w:val="10"/>
          <w:rtl/>
        </w:rPr>
        <w:t>المعوقون من النساء في سوق العمل</w:t>
      </w:r>
    </w:p>
    <w:p w:rsidR="007B4C85" w:rsidRDefault="007B4C85" w:rsidP="007B4C85">
      <w:pPr>
        <w:pStyle w:val="SingleTxt"/>
        <w:rPr>
          <w:rFonts w:hint="cs"/>
          <w:sz w:val="10"/>
          <w:rtl/>
        </w:rPr>
      </w:pPr>
      <w:r>
        <w:rPr>
          <w:rFonts w:hint="cs"/>
          <w:sz w:val="10"/>
          <w:rtl/>
        </w:rPr>
        <w:tab/>
        <w:t>ينص برنامج سوق العمل</w:t>
      </w:r>
      <w:r>
        <w:rPr>
          <w:rFonts w:hint="cs"/>
          <w:sz w:val="10"/>
          <w:rtl/>
          <w:lang w:bidi="ar-LB"/>
        </w:rPr>
        <w:t>،</w:t>
      </w:r>
      <w:r>
        <w:rPr>
          <w:rFonts w:hint="cs"/>
          <w:sz w:val="10"/>
          <w:rtl/>
        </w:rPr>
        <w:t xml:space="preserve"> الذي تم إعداده </w:t>
      </w:r>
      <w:r>
        <w:rPr>
          <w:rFonts w:hint="cs"/>
          <w:sz w:val="10"/>
          <w:rtl/>
          <w:lang w:bidi="ar-LB"/>
        </w:rPr>
        <w:t xml:space="preserve">للمعوقين </w:t>
      </w:r>
      <w:r>
        <w:rPr>
          <w:rFonts w:hint="cs"/>
          <w:sz w:val="10"/>
          <w:rtl/>
        </w:rPr>
        <w:t>على نطاق الأمة</w:t>
      </w:r>
      <w:r>
        <w:rPr>
          <w:rFonts w:hint="cs"/>
          <w:sz w:val="10"/>
          <w:rtl/>
          <w:lang w:bidi="ar-LB"/>
        </w:rPr>
        <w:t>،</w:t>
      </w:r>
      <w:r>
        <w:rPr>
          <w:rFonts w:hint="cs"/>
          <w:sz w:val="10"/>
          <w:rtl/>
        </w:rPr>
        <w:t xml:space="preserve"> على ضرورة زيادة الجهود المبذولة لإدخال المعوقات في سوق العمل. </w:t>
      </w:r>
    </w:p>
    <w:p w:rsidR="007B4C85" w:rsidRDefault="007B4C85" w:rsidP="007B4C85">
      <w:pPr>
        <w:pStyle w:val="SingleTxt"/>
        <w:rPr>
          <w:rFonts w:hint="cs"/>
          <w:sz w:val="10"/>
          <w:rtl/>
        </w:rPr>
      </w:pPr>
      <w:r>
        <w:rPr>
          <w:rFonts w:hint="cs"/>
          <w:sz w:val="10"/>
          <w:rtl/>
        </w:rPr>
        <w:tab/>
        <w:t xml:space="preserve">وفي إطار حملة تعزيز العمالة التي تقوم بها الحكومة، تم تخصيص الأموال (ما يسمى </w:t>
      </w:r>
      <w:r>
        <w:rPr>
          <w:rFonts w:hint="eastAsia"/>
          <w:sz w:val="10"/>
          <w:rtl/>
        </w:rPr>
        <w:t>”</w:t>
      </w:r>
      <w:r>
        <w:rPr>
          <w:rFonts w:hint="cs"/>
          <w:sz w:val="10"/>
          <w:rtl/>
        </w:rPr>
        <w:t>البلايين للمعوقين</w:t>
      </w:r>
      <w:r>
        <w:rPr>
          <w:rFonts w:hint="eastAsia"/>
          <w:sz w:val="10"/>
          <w:rtl/>
        </w:rPr>
        <w:t>“</w:t>
      </w:r>
      <w:r>
        <w:rPr>
          <w:rFonts w:hint="cs"/>
          <w:sz w:val="10"/>
          <w:rtl/>
          <w:lang w:bidi="ar-LB"/>
        </w:rPr>
        <w:t>)</w:t>
      </w:r>
      <w:r>
        <w:rPr>
          <w:rFonts w:hint="cs"/>
          <w:sz w:val="10"/>
          <w:rtl/>
        </w:rPr>
        <w:t xml:space="preserve"> من أجل اتخاذ تدابير لزيادة المهارات (مثل التدريب الحرفي والتدريب أثناء العمل وما شابه ذلك)</w:t>
      </w:r>
      <w:r>
        <w:rPr>
          <w:rFonts w:hint="cs"/>
          <w:sz w:val="10"/>
          <w:rtl/>
          <w:lang w:bidi="ar-LB"/>
        </w:rPr>
        <w:t>،</w:t>
      </w:r>
      <w:r>
        <w:rPr>
          <w:rFonts w:hint="cs"/>
          <w:sz w:val="10"/>
          <w:rtl/>
        </w:rPr>
        <w:t xml:space="preserve"> واتخاذ تدابير أخرى ترمي إلى رفع مستوى التوظيف (مثلا في المطاعم و</w:t>
      </w:r>
      <w:r>
        <w:rPr>
          <w:rFonts w:hint="cs"/>
          <w:sz w:val="10"/>
          <w:rtl/>
          <w:lang w:bidi="ar-LB"/>
        </w:rPr>
        <w:t xml:space="preserve">في </w:t>
      </w:r>
      <w:r>
        <w:rPr>
          <w:rFonts w:hint="cs"/>
          <w:sz w:val="10"/>
          <w:rtl/>
        </w:rPr>
        <w:t>خدمات تقديم الطعام وفي قطاع الخدمات) بهدف توظيف المعوقات على المدى الطويل في سوق العمل. وبالتعاون الوثيق مع المنظمات المكلفة بمشاريع فردية، سوف تبذل الجهود لتقديم التدريب المهني المتكامل و/أو الاستعدادات المهنية لا سيما بالنسبة للشباب. أما</w:t>
      </w:r>
      <w:r>
        <w:rPr>
          <w:rFonts w:hint="eastAsia"/>
          <w:sz w:val="10"/>
          <w:rtl/>
        </w:rPr>
        <w:t> </w:t>
      </w:r>
      <w:r>
        <w:rPr>
          <w:rFonts w:hint="cs"/>
          <w:sz w:val="10"/>
          <w:rtl/>
        </w:rPr>
        <w:t xml:space="preserve">بالنسبة للمعوقات الأكبر سنا فسوف يعاد تدريبهن لشغل وظائف ذات مستقبل أفضل (مثلا </w:t>
      </w:r>
      <w:r>
        <w:rPr>
          <w:rFonts w:hint="cs"/>
          <w:sz w:val="10"/>
          <w:rtl/>
          <w:lang w:bidi="ar-LB"/>
        </w:rPr>
        <w:t>وظائف</w:t>
      </w:r>
      <w:r>
        <w:rPr>
          <w:rFonts w:hint="cs"/>
          <w:sz w:val="10"/>
          <w:rtl/>
        </w:rPr>
        <w:t xml:space="preserve"> في قطاع تكنولوجيا المعلومات).</w:t>
      </w:r>
    </w:p>
    <w:p w:rsidR="007B4C85" w:rsidRDefault="007B4C85" w:rsidP="007B4C85">
      <w:pPr>
        <w:pStyle w:val="SingleTxt"/>
        <w:rPr>
          <w:rFonts w:hint="cs"/>
          <w:sz w:val="10"/>
          <w:rtl/>
        </w:rPr>
      </w:pPr>
      <w:r>
        <w:rPr>
          <w:rFonts w:hint="cs"/>
          <w:sz w:val="10"/>
          <w:rtl/>
        </w:rPr>
        <w:tab/>
        <w:t xml:space="preserve">وفي عام 2002، تم إعداد دراسة عنوانها </w:t>
      </w:r>
      <w:r>
        <w:rPr>
          <w:rFonts w:hint="eastAsia"/>
          <w:sz w:val="10"/>
          <w:rtl/>
        </w:rPr>
        <w:t xml:space="preserve">”المرأة </w:t>
      </w:r>
      <w:r>
        <w:rPr>
          <w:rFonts w:hint="cs"/>
          <w:sz w:val="10"/>
          <w:rtl/>
        </w:rPr>
        <w:t>-</w:t>
      </w:r>
      <w:r>
        <w:rPr>
          <w:rFonts w:hint="eastAsia"/>
          <w:sz w:val="10"/>
          <w:rtl/>
        </w:rPr>
        <w:t xml:space="preserve"> لا </w:t>
      </w:r>
      <w:r>
        <w:rPr>
          <w:rFonts w:hint="cs"/>
          <w:sz w:val="10"/>
          <w:rtl/>
        </w:rPr>
        <w:t>تعيقها الحواجز</w:t>
      </w:r>
      <w:r>
        <w:rPr>
          <w:rFonts w:hint="eastAsia"/>
          <w:sz w:val="10"/>
          <w:rtl/>
        </w:rPr>
        <w:t xml:space="preserve">“ بهدف إعداد تدابير تناسب المعوقات بل حتى تلبي احتياجاتهن. </w:t>
      </w:r>
      <w:r>
        <w:rPr>
          <w:rFonts w:hint="cs"/>
          <w:sz w:val="10"/>
          <w:rtl/>
        </w:rPr>
        <w:t>و</w:t>
      </w:r>
      <w:r>
        <w:rPr>
          <w:rFonts w:hint="cs"/>
          <w:sz w:val="10"/>
          <w:rtl/>
          <w:lang w:bidi="ar-LB"/>
        </w:rPr>
        <w:t xml:space="preserve">سوف تستخدم نتائج الدراسة </w:t>
      </w:r>
      <w:r>
        <w:rPr>
          <w:rFonts w:hint="cs"/>
          <w:sz w:val="10"/>
          <w:rtl/>
        </w:rPr>
        <w:t>بمجرد الانتهاء من</w:t>
      </w:r>
      <w:r>
        <w:rPr>
          <w:rFonts w:hint="cs"/>
          <w:sz w:val="10"/>
          <w:rtl/>
          <w:lang w:bidi="ar-LB"/>
        </w:rPr>
        <w:t>ها</w:t>
      </w:r>
      <w:r>
        <w:rPr>
          <w:rFonts w:hint="cs"/>
          <w:sz w:val="10"/>
          <w:rtl/>
        </w:rPr>
        <w:t xml:space="preserve"> في تعزيز التكامل المهني.</w:t>
      </w:r>
    </w:p>
    <w:p w:rsidR="007B4C85" w:rsidRDefault="007B4C85" w:rsidP="007B4C85">
      <w:pPr>
        <w:pStyle w:val="SingleTxt"/>
        <w:rPr>
          <w:rFonts w:hint="cs"/>
          <w:sz w:val="10"/>
          <w:rtl/>
        </w:rPr>
      </w:pPr>
      <w:r>
        <w:rPr>
          <w:rFonts w:hint="cs"/>
          <w:sz w:val="10"/>
          <w:rtl/>
        </w:rPr>
        <w:tab/>
        <w:t>وفي إطار حملة الحكومة الاتحادية في مجال العمالة، سوف يتم في كل من عامي 2001 و 2002</w:t>
      </w:r>
      <w:r>
        <w:rPr>
          <w:rFonts w:hint="cs"/>
          <w:sz w:val="10"/>
          <w:rtl/>
          <w:lang w:bidi="ar-LB"/>
        </w:rPr>
        <w:t xml:space="preserve"> </w:t>
      </w:r>
      <w:r>
        <w:rPr>
          <w:rFonts w:hint="cs"/>
          <w:sz w:val="10"/>
          <w:rtl/>
        </w:rPr>
        <w:t>مساندة المعوقين، علما بأن 40 في المائة منهم في النمسا من النساء. و</w:t>
      </w:r>
      <w:r>
        <w:rPr>
          <w:rFonts w:hint="cs"/>
          <w:sz w:val="10"/>
          <w:rtl/>
          <w:lang w:bidi="ar-LB"/>
        </w:rPr>
        <w:t xml:space="preserve">تصل </w:t>
      </w:r>
      <w:r>
        <w:rPr>
          <w:rFonts w:hint="cs"/>
          <w:sz w:val="10"/>
          <w:rtl/>
        </w:rPr>
        <w:t xml:space="preserve"> نسبة النساء بين هؤلاء الذين يستفيدون بصورة ملموسة من الحملة إلى 38 في المائة في كل من السنتين.</w:t>
      </w:r>
    </w:p>
    <w:p w:rsidR="007B4C85" w:rsidRPr="00716A87" w:rsidRDefault="007B4C85" w:rsidP="007B4C85">
      <w:pPr>
        <w:pStyle w:val="SingleTxt"/>
        <w:rPr>
          <w:rFonts w:hint="cs"/>
          <w:b/>
          <w:bCs/>
          <w:rtl/>
        </w:rPr>
      </w:pPr>
      <w:r w:rsidRPr="00716A87">
        <w:rPr>
          <w:rFonts w:hint="cs"/>
          <w:b/>
          <w:bCs/>
          <w:rtl/>
        </w:rPr>
        <w:t>المشاركة في مشاريع الاتحاد الأوروبي</w:t>
      </w:r>
    </w:p>
    <w:p w:rsidR="007B4C85" w:rsidRDefault="007B4C85" w:rsidP="007B4C85">
      <w:pPr>
        <w:pStyle w:val="SingleTxt"/>
        <w:rPr>
          <w:rFonts w:hint="cs"/>
          <w:rtl/>
        </w:rPr>
      </w:pPr>
      <w:r>
        <w:rPr>
          <w:rFonts w:hint="cs"/>
          <w:rtl/>
        </w:rPr>
        <w:tab/>
        <w:t xml:space="preserve">إن مبادرة </w:t>
      </w:r>
      <w:r>
        <w:rPr>
          <w:rFonts w:hint="eastAsia"/>
          <w:rtl/>
        </w:rPr>
        <w:t>”المساواة</w:t>
      </w:r>
      <w:r>
        <w:rPr>
          <w:rFonts w:hint="cs"/>
          <w:rtl/>
        </w:rPr>
        <w:t>“ مبادرة اجتماعية بدأ العمل بها من أجل إيجاد سبل جديدة لتنفيذ سياسات العمالة والتصدي للتمييز، واللامساواة، والاستبعاد الاجتماعي. وأنشأت حكومة بورغي</w:t>
      </w:r>
      <w:r>
        <w:rPr>
          <w:rFonts w:hint="cs"/>
          <w:rtl/>
          <w:lang w:bidi="ar-LB"/>
        </w:rPr>
        <w:t>ن</w:t>
      </w:r>
      <w:r>
        <w:rPr>
          <w:rFonts w:hint="cs"/>
          <w:rtl/>
        </w:rPr>
        <w:t>لاند شر</w:t>
      </w:r>
      <w:r>
        <w:rPr>
          <w:rFonts w:hint="cs"/>
          <w:rtl/>
          <w:lang w:bidi="ar-LB"/>
        </w:rPr>
        <w:t>ا</w:t>
      </w:r>
      <w:r>
        <w:rPr>
          <w:rFonts w:hint="cs"/>
          <w:rtl/>
        </w:rPr>
        <w:t xml:space="preserve">كتين إنمائيتين في إطار مبادرة </w:t>
      </w:r>
      <w:r>
        <w:rPr>
          <w:rFonts w:hint="eastAsia"/>
          <w:rtl/>
        </w:rPr>
        <w:t>”المساواة</w:t>
      </w:r>
      <w:r>
        <w:rPr>
          <w:rFonts w:hint="cs"/>
          <w:rtl/>
        </w:rPr>
        <w:t>“ بهدف اتخاذ تدابير تنفيذية من شأنها أن تساعد على الحد من الفصل القائم على نوع الجنس في سوق العمل.</w:t>
      </w:r>
    </w:p>
    <w:p w:rsidR="007B4C85" w:rsidRDefault="007B4C85" w:rsidP="007B4C85">
      <w:pPr>
        <w:pStyle w:val="SingleTxt"/>
        <w:rPr>
          <w:rFonts w:hint="cs"/>
          <w:rtl/>
        </w:rPr>
      </w:pPr>
      <w:r>
        <w:rPr>
          <w:rFonts w:hint="cs"/>
          <w:rtl/>
        </w:rPr>
        <w:tab/>
        <w:t xml:space="preserve">وترمي بصفة رئيسية الشراكة الإنمائية المعنونة </w:t>
      </w:r>
      <w:r>
        <w:rPr>
          <w:rFonts w:hint="eastAsia"/>
          <w:rtl/>
        </w:rPr>
        <w:t>”النهوض بالمرأة وتعميم مراعاة المنظور الجنساني</w:t>
      </w:r>
      <w:r>
        <w:rPr>
          <w:rFonts w:hint="cs"/>
          <w:rtl/>
        </w:rPr>
        <w:t xml:space="preserve">“إلى رفع درجة المهارات ومواصلة التعليم بالإضافة إلى نشر المعرفة المتخصصة في مجال تعميم مراعاة المنظور الجنساني. والشراكة الإنمائية الثانية معروفة باسم </w:t>
      </w:r>
      <w:r>
        <w:rPr>
          <w:rFonts w:hint="eastAsia"/>
          <w:rtl/>
        </w:rPr>
        <w:t xml:space="preserve">”المرأة في تكنولوجيا المعلومات </w:t>
      </w:r>
      <w:r>
        <w:rPr>
          <w:rFonts w:hint="cs"/>
          <w:rtl/>
        </w:rPr>
        <w:t>وتكنولوجيا الاتصالات الجديدة في بورغي</w:t>
      </w:r>
      <w:r>
        <w:rPr>
          <w:rFonts w:hint="cs"/>
          <w:rtl/>
          <w:lang w:bidi="ar-LB"/>
        </w:rPr>
        <w:t>ن</w:t>
      </w:r>
      <w:r>
        <w:rPr>
          <w:rFonts w:hint="cs"/>
          <w:rtl/>
        </w:rPr>
        <w:t>لاند</w:t>
      </w:r>
      <w:r>
        <w:rPr>
          <w:rFonts w:hint="eastAsia"/>
          <w:rtl/>
        </w:rPr>
        <w:t xml:space="preserve">“ وترمي إلى وضع وتنفيذ استراتيجيات من شأنها من ناحية فتح باب التكنولوجيات الجديدة أمام المرأة، ومن ناحية أخرى، تشجيعهن على الاستفادة من هذه التكنولوجيات. </w:t>
      </w:r>
      <w:r>
        <w:rPr>
          <w:rFonts w:hint="cs"/>
          <w:rtl/>
        </w:rPr>
        <w:t>والهدف الآخر يتمثل في التشجيع على إحداث تغيير دائم في مواقف المرأة والفتيات تجاه المهن غير التقليدية.</w:t>
      </w:r>
    </w:p>
    <w:p w:rsidR="007B4C85" w:rsidRDefault="007B4C85" w:rsidP="007B4C85">
      <w:pPr>
        <w:pStyle w:val="SingleTxt"/>
        <w:rPr>
          <w:rFonts w:hint="cs"/>
          <w:rtl/>
        </w:rPr>
      </w:pPr>
      <w:r>
        <w:rPr>
          <w:rFonts w:hint="cs"/>
          <w:rtl/>
        </w:rPr>
        <w:tab/>
        <w:t>و</w:t>
      </w:r>
      <w:r>
        <w:rPr>
          <w:rFonts w:hint="cs"/>
          <w:rtl/>
          <w:lang w:bidi="ar-LB"/>
        </w:rPr>
        <w:t xml:space="preserve">يشترك </w:t>
      </w:r>
      <w:r>
        <w:rPr>
          <w:rFonts w:hint="cs"/>
          <w:rtl/>
        </w:rPr>
        <w:t>المفوض المعني بشؤون المرأة في إقليم سالزبورغ في عدة مشاريع وبرامج للاتحاد الأوروبي ترمي إلى الحد من التمييز ضد المرأة وتعزيز تكاف</w:t>
      </w:r>
      <w:r>
        <w:rPr>
          <w:rFonts w:hint="cs"/>
          <w:rtl/>
          <w:lang w:bidi="ar-LB"/>
        </w:rPr>
        <w:t>ؤ</w:t>
      </w:r>
      <w:r>
        <w:rPr>
          <w:rFonts w:hint="cs"/>
          <w:rtl/>
        </w:rPr>
        <w:t xml:space="preserve"> الفرص في ساحة العمل. وهناك </w:t>
      </w:r>
      <w:r>
        <w:rPr>
          <w:rFonts w:hint="cs"/>
          <w:rtl/>
          <w:lang w:bidi="ar-LB"/>
        </w:rPr>
        <w:t>بعض الأ</w:t>
      </w:r>
      <w:r>
        <w:rPr>
          <w:rFonts w:hint="cs"/>
          <w:rtl/>
        </w:rPr>
        <w:t xml:space="preserve">مثلة على ذلك من بينها: </w:t>
      </w:r>
      <w:r>
        <w:rPr>
          <w:rFonts w:hint="eastAsia"/>
          <w:rtl/>
        </w:rPr>
        <w:t>”المساواة في سالزبورغ</w:t>
      </w:r>
      <w:r>
        <w:rPr>
          <w:rFonts w:hint="cs"/>
          <w:rtl/>
        </w:rPr>
        <w:t xml:space="preserve">“ وهي شراكة إنمائية تنطوي على تكافؤ الفرص (2002-2005)؛ ومشروع </w:t>
      </w:r>
      <w:r>
        <w:t>MAP</w:t>
      </w:r>
      <w:r>
        <w:rPr>
          <w:rFonts w:hint="cs"/>
          <w:rtl/>
        </w:rPr>
        <w:t xml:space="preserve"> وهو مشروع إرشادي ي</w:t>
      </w:r>
      <w:r>
        <w:rPr>
          <w:rFonts w:hint="cs"/>
          <w:rtl/>
          <w:lang w:bidi="ar-LB"/>
        </w:rPr>
        <w:t>يستخدم</w:t>
      </w:r>
      <w:r>
        <w:rPr>
          <w:rFonts w:hint="cs"/>
          <w:rtl/>
        </w:rPr>
        <w:t xml:space="preserve"> </w:t>
      </w:r>
      <w:r>
        <w:rPr>
          <w:rFonts w:hint="cs"/>
          <w:rtl/>
          <w:lang w:bidi="ar-LB"/>
        </w:rPr>
        <w:t>ك</w:t>
      </w:r>
      <w:r>
        <w:rPr>
          <w:rFonts w:hint="cs"/>
          <w:rtl/>
        </w:rPr>
        <w:t xml:space="preserve">أداة لتنمية الموارد البشرية؛ ومشروع أقاليمي </w:t>
      </w:r>
      <w:r>
        <w:t>III A</w:t>
      </w:r>
      <w:r>
        <w:rPr>
          <w:rFonts w:hint="cs"/>
          <w:rtl/>
        </w:rPr>
        <w:t xml:space="preserve"> يستهدف المرأة والمشاريع الصغيرة والمتوسطة الحجم في الأقاليم الواقعة على حدود النمسا مع ألمانيا، وسويسرا، والجمهورية التشيكية، ويرمي إلى تعزيز تكافؤ الفرص للمرأة العاملة عن طريق تحسين مهاراتها و</w:t>
      </w:r>
      <w:r>
        <w:rPr>
          <w:rFonts w:hint="cs"/>
          <w:rtl/>
          <w:lang w:bidi="ar-LB"/>
        </w:rPr>
        <w:t xml:space="preserve">من خلال </w:t>
      </w:r>
      <w:r>
        <w:rPr>
          <w:rFonts w:hint="cs"/>
          <w:rtl/>
        </w:rPr>
        <w:t>البرامج الإرشادية والتشجيع على التنمية الإقليمية.</w:t>
      </w:r>
    </w:p>
    <w:p w:rsidR="007B4C85" w:rsidRDefault="007B4C85" w:rsidP="007B4C85">
      <w:pPr>
        <w:pStyle w:val="SingleTxt"/>
        <w:rPr>
          <w:rFonts w:hint="cs"/>
          <w:rtl/>
        </w:rPr>
      </w:pPr>
      <w:r>
        <w:rPr>
          <w:rFonts w:hint="cs"/>
          <w:rtl/>
        </w:rPr>
        <w:tab/>
        <w:t>للاطلاع على مزيد من المشاريع انظر المرفق 1.</w:t>
      </w:r>
    </w:p>
    <w:p w:rsidR="007007C1" w:rsidRDefault="007007C1" w:rsidP="007B4C85">
      <w:pPr>
        <w:pStyle w:val="SingleTxt"/>
        <w:rPr>
          <w:rFonts w:hint="cs"/>
          <w:rtl/>
        </w:rPr>
      </w:pPr>
    </w:p>
    <w:p w:rsidR="007007C1" w:rsidRDefault="007007C1" w:rsidP="007B4C85">
      <w:pPr>
        <w:pStyle w:val="SingleTxt"/>
        <w:rPr>
          <w:rFonts w:hint="cs"/>
          <w:rtl/>
        </w:rPr>
      </w:pPr>
    </w:p>
    <w:p w:rsidR="007007C1" w:rsidRDefault="007007C1" w:rsidP="007B4C85">
      <w:pPr>
        <w:pStyle w:val="SingleTxt"/>
        <w:rPr>
          <w:rFonts w:hint="cs"/>
          <w:rtl/>
        </w:rPr>
      </w:pPr>
    </w:p>
    <w:p w:rsidR="007B4C85" w:rsidRDefault="007B4C85" w:rsidP="007B4C85">
      <w:pPr>
        <w:pStyle w:val="SingleTxt"/>
        <w:rPr>
          <w:rFonts w:hint="cs"/>
          <w:b/>
          <w:bCs/>
          <w:rtl/>
        </w:rPr>
      </w:pPr>
      <w:r>
        <w:rPr>
          <w:rFonts w:hint="cs"/>
          <w:b/>
          <w:bCs/>
          <w:rtl/>
        </w:rPr>
        <w:t>المادة 11، الرقم 1، الحرف (ب)</w:t>
      </w:r>
    </w:p>
    <w:p w:rsidR="007B4C85" w:rsidRDefault="007B4C85" w:rsidP="007B4C85">
      <w:pPr>
        <w:pStyle w:val="SingleTxt"/>
        <w:rPr>
          <w:rFonts w:hint="cs"/>
          <w:b/>
          <w:bCs/>
          <w:rtl/>
        </w:rPr>
      </w:pPr>
      <w:r>
        <w:rPr>
          <w:rFonts w:hint="cs"/>
          <w:b/>
          <w:bCs/>
          <w:rtl/>
        </w:rPr>
        <w:t xml:space="preserve">تعديل قانون المساواة في المعاملة لعام 2001 </w:t>
      </w:r>
    </w:p>
    <w:p w:rsidR="007B4C85" w:rsidRDefault="007B4C85" w:rsidP="007B4C85">
      <w:pPr>
        <w:pStyle w:val="SingleTxt"/>
        <w:rPr>
          <w:rFonts w:hint="cs"/>
          <w:rtl/>
        </w:rPr>
      </w:pPr>
      <w:r>
        <w:rPr>
          <w:rFonts w:hint="cs"/>
          <w:rtl/>
        </w:rPr>
        <w:tab/>
        <w:t xml:space="preserve">خلال الفترة قيد الاستعراض، تم تعديل قانون المساواة في المعاملة مرتين: التعديل الوارد في النشرة القانونية الاتحادية الأولى رقم 129/2001 (انظر الملاحظات الواردة في التوصية 235) وهو تعديل يتضمن تغييرات تتصل بالاتفاقية. وبالنسبة لتعديل/إعادة سن قانون المساواة في المعاملة انظر التوصية 235. </w:t>
      </w:r>
    </w:p>
    <w:p w:rsidR="007B4C85" w:rsidRDefault="007B4C85" w:rsidP="007B4C85">
      <w:pPr>
        <w:pStyle w:val="SingleTxt"/>
        <w:rPr>
          <w:rFonts w:hint="cs"/>
          <w:b/>
          <w:bCs/>
          <w:rtl/>
        </w:rPr>
      </w:pPr>
      <w:r>
        <w:rPr>
          <w:rFonts w:hint="cs"/>
          <w:b/>
          <w:bCs/>
          <w:rtl/>
        </w:rPr>
        <w:t>المادة 11، الرقم 1، الحرف (ج)</w:t>
      </w:r>
    </w:p>
    <w:p w:rsidR="007B4C85" w:rsidRPr="009F3D3D" w:rsidRDefault="007B4C85" w:rsidP="007B4C85">
      <w:pPr>
        <w:pStyle w:val="SingleTxt"/>
        <w:rPr>
          <w:rFonts w:hint="cs"/>
          <w:b/>
          <w:bCs/>
          <w:rtl/>
        </w:rPr>
      </w:pPr>
      <w:r w:rsidRPr="009F3D3D">
        <w:rPr>
          <w:rFonts w:hint="cs"/>
          <w:b/>
          <w:bCs/>
          <w:rtl/>
        </w:rPr>
        <w:t>العطلة الدراسية</w:t>
      </w:r>
    </w:p>
    <w:p w:rsidR="007B4C85" w:rsidRDefault="007B4C85" w:rsidP="007B4C85">
      <w:pPr>
        <w:pStyle w:val="SingleTxt"/>
        <w:rPr>
          <w:rFonts w:hint="cs"/>
          <w:rtl/>
        </w:rPr>
      </w:pPr>
      <w:r>
        <w:rPr>
          <w:rFonts w:hint="cs"/>
          <w:rtl/>
        </w:rPr>
        <w:tab/>
        <w:t>عملا بالتعديل الوارد في النشرة القانونية الاتحادية الأولى رقم 179/1999، تم تعديل الحكم الوارد في ال</w:t>
      </w:r>
      <w:r>
        <w:rPr>
          <w:rFonts w:hint="cs"/>
          <w:rtl/>
          <w:lang w:bidi="ar-LB"/>
        </w:rPr>
        <w:t>مادة</w:t>
      </w:r>
      <w:r>
        <w:rPr>
          <w:rFonts w:hint="cs"/>
          <w:rtl/>
        </w:rPr>
        <w:t xml:space="preserve"> 11 من قانون تعديل عقود العمل فيما يتعلق بالحد الأدنى </w:t>
      </w:r>
      <w:r>
        <w:rPr>
          <w:rFonts w:hint="cs"/>
          <w:rtl/>
          <w:lang w:bidi="ar-LB"/>
        </w:rPr>
        <w:t>لفترة ا</w:t>
      </w:r>
      <w:r>
        <w:rPr>
          <w:rFonts w:hint="cs"/>
          <w:rtl/>
        </w:rPr>
        <w:t>لعطلة الدراسية، فقد تم تخفيض الحد الأدنى من ستة أشهر إلى ثلاثة أشهر. وينتظر أن يشجع هذا التعديل أرباب العمل على منح إجازة دراسية، بما أنه من الأسهل عادة اتخاذ ترتيبات للتغيب لفترات أقصر. وينطبق الحكم على العمال من الرجال والنساء، وهو أيضا حافز غير مباشر ل</w:t>
      </w:r>
      <w:r>
        <w:rPr>
          <w:rFonts w:hint="cs"/>
          <w:rtl/>
          <w:lang w:bidi="ar-LB"/>
        </w:rPr>
        <w:t>تحسين</w:t>
      </w:r>
      <w:r>
        <w:rPr>
          <w:rFonts w:hint="cs"/>
          <w:rtl/>
        </w:rPr>
        <w:t xml:space="preserve"> مهارات الموظفات.</w:t>
      </w:r>
    </w:p>
    <w:p w:rsidR="007B4C85" w:rsidRDefault="007B4C85" w:rsidP="007B4C85">
      <w:pPr>
        <w:pStyle w:val="SingleTxt"/>
        <w:rPr>
          <w:rFonts w:hint="cs"/>
          <w:b/>
          <w:bCs/>
          <w:rtl/>
        </w:rPr>
      </w:pPr>
      <w:r>
        <w:rPr>
          <w:rFonts w:hint="cs"/>
          <w:b/>
          <w:bCs/>
          <w:rtl/>
        </w:rPr>
        <w:t>المبادرات في الأقاليم</w:t>
      </w:r>
    </w:p>
    <w:p w:rsidR="007B4C85" w:rsidRDefault="007B4C85" w:rsidP="007B4C85">
      <w:pPr>
        <w:pStyle w:val="SingleTxt"/>
        <w:rPr>
          <w:rFonts w:hint="cs"/>
          <w:rtl/>
        </w:rPr>
      </w:pPr>
      <w:r>
        <w:rPr>
          <w:rFonts w:hint="cs"/>
          <w:rtl/>
        </w:rPr>
        <w:tab/>
        <w:t>هناك مجموعة كبيرة من الأنشطة التي يتم الاضطلاع بها في الأقاليم من أجل النهوض بالمرأة في سوق العمل: المشاريع الإرشادية، والمشاريع المتعلقة بتغيير موقف الفتيات تجاه التكنولوجيا والمتعلقة بالتوفيق بين التزامات العمل والالتزامات العائلية، والدورات التدريبية الجديدة، واليوم الخاص بالفتيات، والمعلومات المتعلقة بالتحرش الجنسي في أماكن العمل. وفيما يلي بعض الأمثلة:</w:t>
      </w:r>
    </w:p>
    <w:p w:rsidR="007B4C85" w:rsidRDefault="007B4C85" w:rsidP="007B4C85">
      <w:pPr>
        <w:pStyle w:val="SingleTxt"/>
        <w:rPr>
          <w:rFonts w:hint="cs"/>
          <w:rtl/>
        </w:rPr>
      </w:pPr>
      <w:r>
        <w:rPr>
          <w:rFonts w:hint="cs"/>
          <w:rtl/>
        </w:rPr>
        <w:tab/>
        <w:t xml:space="preserve">في سالزبورغ، أتيحت للمرأة للمرة الأولى فرصة شغل وظيفة سائق قطار؛ وتم تنظيم دورات دراسية لمحو الأمية في مجال الحواسيب </w:t>
      </w:r>
      <w:r>
        <w:rPr>
          <w:rFonts w:hint="cs"/>
          <w:rtl/>
          <w:lang w:bidi="ar-LB"/>
        </w:rPr>
        <w:t xml:space="preserve">وصاحب ذلك </w:t>
      </w:r>
      <w:r>
        <w:rPr>
          <w:rFonts w:hint="cs"/>
          <w:rtl/>
        </w:rPr>
        <w:t xml:space="preserve">حكم بتوفير مراكز لرعاية الأطفال للمرأة في المناطق الريفية في كارينثيا؛ وتم وضع مشروع عنوانه </w:t>
      </w:r>
      <w:r>
        <w:rPr>
          <w:rFonts w:hint="eastAsia"/>
          <w:rtl/>
        </w:rPr>
        <w:t>”</w:t>
      </w:r>
      <w:r>
        <w:t>NOEL</w:t>
      </w:r>
      <w:r>
        <w:rPr>
          <w:rFonts w:hint="eastAsia"/>
          <w:rtl/>
        </w:rPr>
        <w:t>“</w:t>
      </w:r>
      <w:r>
        <w:rPr>
          <w:rFonts w:hint="cs"/>
          <w:rtl/>
        </w:rPr>
        <w:t xml:space="preserve"> ويهدف إلى تحقيق تكاف</w:t>
      </w:r>
      <w:r>
        <w:rPr>
          <w:rFonts w:hint="cs"/>
          <w:rtl/>
          <w:lang w:bidi="ar-LB"/>
        </w:rPr>
        <w:t>ؤ</w:t>
      </w:r>
      <w:r>
        <w:rPr>
          <w:rFonts w:hint="cs"/>
          <w:rtl/>
        </w:rPr>
        <w:t xml:space="preserve"> الفرص في سوق العمل في المستقبل في إقليم النمسا السفلى؛ واتخاذ تدابير لزيادة مهارات المرأة في مناطق إقليم النمسا العليا؛ واستحداث نظام لدفع المرتبات بهدف النهوض بالمرأة العاملة في إدارة إقليم فورارلبيرغ؛ والشروع في مشروع إرشادي لموظفي الخدمات العامة في إقليم تيرول؛ والبدء بمشروع </w:t>
      </w:r>
      <w:r>
        <w:t>DARING</w:t>
      </w:r>
      <w:r>
        <w:rPr>
          <w:rFonts w:hint="cs"/>
          <w:rtl/>
        </w:rPr>
        <w:t xml:space="preserve"> في إقليم فيينا، وهو برنامج للنساء ذات المهارات المحدودة والنساء اللاتي يتجاوز عمرهن 40 سنة ويرغبن في تغيير عملهن، ومشروع </w:t>
      </w:r>
      <w:r>
        <w:t>GO UP</w:t>
      </w:r>
      <w:r>
        <w:rPr>
          <w:rFonts w:hint="cs"/>
          <w:rtl/>
        </w:rPr>
        <w:t xml:space="preserve"> وهو مشروع مدته سنة واحدة ويرمي إلى توعية الشركات في فيينا بفكرة الإدارة التي تستهدف تحقيق المساواة (انظر الكتيب المعنون </w:t>
      </w:r>
      <w:r>
        <w:rPr>
          <w:rFonts w:hint="eastAsia"/>
          <w:rtl/>
        </w:rPr>
        <w:t>”سبع خطوات لتحقيق المساواة و</w:t>
      </w:r>
      <w:r>
        <w:rPr>
          <w:rFonts w:hint="cs"/>
          <w:rtl/>
          <w:lang w:bidi="ar-LB"/>
        </w:rPr>
        <w:t xml:space="preserve">انظر كذلك </w:t>
      </w:r>
      <w:r>
        <w:rPr>
          <w:rFonts w:hint="eastAsia"/>
          <w:rtl/>
        </w:rPr>
        <w:t xml:space="preserve">الموقع </w:t>
      </w:r>
      <w:hyperlink r:id="rId23" w:history="1">
        <w:r w:rsidRPr="001160E6">
          <w:rPr>
            <w:rStyle w:val="Hyperlink"/>
          </w:rPr>
          <w:t>www.gleichstellung.info</w:t>
        </w:r>
      </w:hyperlink>
      <w:r>
        <w:rPr>
          <w:rFonts w:hint="cs"/>
          <w:rtl/>
        </w:rPr>
        <w:t>).</w:t>
      </w:r>
    </w:p>
    <w:p w:rsidR="007B4C85" w:rsidRDefault="007B4C85" w:rsidP="007B4C85">
      <w:pPr>
        <w:pStyle w:val="SingleTxt"/>
        <w:rPr>
          <w:rFonts w:hint="cs"/>
          <w:rtl/>
        </w:rPr>
      </w:pPr>
      <w:r>
        <w:rPr>
          <w:rFonts w:hint="cs"/>
          <w:rtl/>
        </w:rPr>
        <w:tab/>
        <w:t>(انظر أيضا التوصيتين 233 و 234).</w:t>
      </w:r>
    </w:p>
    <w:p w:rsidR="007B4C85" w:rsidRDefault="007B4C85" w:rsidP="007B4C85">
      <w:pPr>
        <w:pStyle w:val="SingleTxt"/>
        <w:rPr>
          <w:rFonts w:hint="cs"/>
          <w:b/>
          <w:bCs/>
          <w:rtl/>
        </w:rPr>
      </w:pPr>
      <w:r>
        <w:rPr>
          <w:rFonts w:hint="cs"/>
          <w:b/>
          <w:bCs/>
          <w:rtl/>
        </w:rPr>
        <w:t>المادة 11، الرقم 1، الحرف (د)</w:t>
      </w:r>
    </w:p>
    <w:p w:rsidR="007B4C85" w:rsidRDefault="007B4C85" w:rsidP="007B4C85">
      <w:pPr>
        <w:pStyle w:val="SingleTxt"/>
        <w:rPr>
          <w:rFonts w:hint="cs"/>
          <w:rtl/>
        </w:rPr>
      </w:pPr>
      <w:r>
        <w:rPr>
          <w:rFonts w:hint="cs"/>
          <w:rtl/>
        </w:rPr>
        <w:tab/>
        <w:t>انظر التعليقات في التوصيتين 233 و 234.</w:t>
      </w:r>
    </w:p>
    <w:p w:rsidR="007B4C85" w:rsidRDefault="007B4C85" w:rsidP="007B4C85">
      <w:pPr>
        <w:pStyle w:val="SingleTxt"/>
        <w:rPr>
          <w:rFonts w:hint="cs"/>
          <w:b/>
          <w:bCs/>
          <w:rtl/>
        </w:rPr>
      </w:pPr>
      <w:r>
        <w:rPr>
          <w:rFonts w:hint="cs"/>
          <w:b/>
          <w:bCs/>
          <w:rtl/>
        </w:rPr>
        <w:t>المادة 11، الرقم 1، الحرف (هـ)</w:t>
      </w:r>
    </w:p>
    <w:p w:rsidR="007B4C85" w:rsidRDefault="007B4C85" w:rsidP="007B4C85">
      <w:pPr>
        <w:pStyle w:val="SingleTxt"/>
        <w:rPr>
          <w:rFonts w:hint="cs"/>
          <w:b/>
          <w:bCs/>
          <w:rtl/>
        </w:rPr>
      </w:pPr>
      <w:r>
        <w:rPr>
          <w:rFonts w:hint="cs"/>
          <w:b/>
          <w:bCs/>
          <w:rtl/>
        </w:rPr>
        <w:t>المعاشات التقاعدية</w:t>
      </w:r>
    </w:p>
    <w:p w:rsidR="007B4C85" w:rsidRDefault="007B4C85" w:rsidP="007B4C85">
      <w:pPr>
        <w:pStyle w:val="SingleTxt"/>
        <w:rPr>
          <w:rFonts w:hint="cs"/>
          <w:rtl/>
        </w:rPr>
      </w:pPr>
      <w:r>
        <w:rPr>
          <w:rFonts w:hint="cs"/>
          <w:rtl/>
        </w:rPr>
        <w:tab/>
      </w:r>
      <w:r>
        <w:rPr>
          <w:rFonts w:hint="cs"/>
          <w:rtl/>
          <w:lang w:bidi="ar-LB"/>
        </w:rPr>
        <w:t xml:space="preserve">في عام 2002، كان المتقاعد يحصل، </w:t>
      </w:r>
      <w:r>
        <w:rPr>
          <w:rFonts w:hint="cs"/>
          <w:rtl/>
        </w:rPr>
        <w:t xml:space="preserve">بموجب </w:t>
      </w:r>
      <w:r>
        <w:rPr>
          <w:rFonts w:hint="cs"/>
          <w:rtl/>
          <w:lang w:bidi="ar-LB"/>
        </w:rPr>
        <w:t>ال</w:t>
      </w:r>
      <w:r>
        <w:rPr>
          <w:rFonts w:hint="cs"/>
          <w:rtl/>
        </w:rPr>
        <w:t xml:space="preserve">مخطط </w:t>
      </w:r>
      <w:r>
        <w:rPr>
          <w:rFonts w:hint="cs"/>
          <w:rtl/>
          <w:lang w:bidi="ar-LB"/>
        </w:rPr>
        <w:t>القانوني ل</w:t>
      </w:r>
      <w:r>
        <w:rPr>
          <w:rFonts w:hint="cs"/>
          <w:rtl/>
        </w:rPr>
        <w:t>لمعاش</w:t>
      </w:r>
      <w:r>
        <w:rPr>
          <w:rFonts w:hint="cs"/>
          <w:rtl/>
          <w:lang w:bidi="ar-LB"/>
        </w:rPr>
        <w:t>ات</w:t>
      </w:r>
      <w:r>
        <w:rPr>
          <w:rFonts w:hint="cs"/>
          <w:rtl/>
        </w:rPr>
        <w:t xml:space="preserve"> التقاعدي</w:t>
      </w:r>
      <w:r>
        <w:rPr>
          <w:rFonts w:hint="cs"/>
          <w:rtl/>
          <w:lang w:bidi="ar-LB"/>
        </w:rPr>
        <w:t>ة</w:t>
      </w:r>
      <w:r>
        <w:rPr>
          <w:rFonts w:hint="cs"/>
          <w:rtl/>
        </w:rPr>
        <w:t xml:space="preserve">، </w:t>
      </w:r>
      <w:r>
        <w:rPr>
          <w:rFonts w:hint="cs"/>
          <w:rtl/>
          <w:lang w:bidi="ar-LB"/>
        </w:rPr>
        <w:t xml:space="preserve">على </w:t>
      </w:r>
      <w:r>
        <w:rPr>
          <w:rFonts w:hint="cs"/>
          <w:rtl/>
        </w:rPr>
        <w:t xml:space="preserve">معاش تقاعدي </w:t>
      </w:r>
      <w:r>
        <w:rPr>
          <w:rFonts w:hint="cs"/>
          <w:rtl/>
          <w:lang w:bidi="ar-LB"/>
        </w:rPr>
        <w:t xml:space="preserve">يبلغ شهريا في المتوسط </w:t>
      </w:r>
      <w:r>
        <w:rPr>
          <w:rFonts w:hint="cs"/>
          <w:rtl/>
        </w:rPr>
        <w:t>(بالنسبة للمسنين والعاجزين)</w:t>
      </w:r>
      <w:r>
        <w:rPr>
          <w:rFonts w:hint="cs"/>
          <w:rtl/>
          <w:lang w:bidi="ar-LB"/>
        </w:rPr>
        <w:t>،</w:t>
      </w:r>
      <w:r>
        <w:rPr>
          <w:rFonts w:hint="cs"/>
          <w:rtl/>
        </w:rPr>
        <w:t xml:space="preserve"> </w:t>
      </w:r>
      <w:r>
        <w:rPr>
          <w:rFonts w:hint="cs"/>
          <w:rtl/>
          <w:lang w:bidi="ar-LB"/>
        </w:rPr>
        <w:t>بعد إ</w:t>
      </w:r>
      <w:r>
        <w:rPr>
          <w:rFonts w:hint="cs"/>
          <w:rtl/>
        </w:rPr>
        <w:t>ضاف</w:t>
      </w:r>
      <w:r>
        <w:rPr>
          <w:rFonts w:hint="cs"/>
          <w:rtl/>
          <w:lang w:bidi="ar-LB"/>
        </w:rPr>
        <w:t>ة</w:t>
      </w:r>
      <w:r>
        <w:rPr>
          <w:rFonts w:hint="cs"/>
          <w:rtl/>
        </w:rPr>
        <w:t xml:space="preserve"> علاوة معادلة</w:t>
      </w:r>
      <w:r>
        <w:rPr>
          <w:rFonts w:hint="cs"/>
          <w:rtl/>
          <w:lang w:bidi="ar-LB"/>
        </w:rPr>
        <w:t xml:space="preserve"> إليه،</w:t>
      </w:r>
      <w:r>
        <w:rPr>
          <w:rFonts w:hint="cs"/>
          <w:rtl/>
        </w:rPr>
        <w:t xml:space="preserve"> 400 1 يورو بالنسبة للرجل ومبلغ 655 يورو بالنسبة للمرأة (باستثناء المعاشات التقاعدية الجزئية بموجب الاتفاقات الدولية). و</w:t>
      </w:r>
      <w:r>
        <w:rPr>
          <w:rFonts w:hint="cs"/>
          <w:rtl/>
          <w:lang w:bidi="ar-LB"/>
        </w:rPr>
        <w:t>ُ</w:t>
      </w:r>
      <w:r>
        <w:rPr>
          <w:rFonts w:hint="cs"/>
          <w:rtl/>
        </w:rPr>
        <w:t>ت</w:t>
      </w:r>
      <w:r>
        <w:rPr>
          <w:rFonts w:hint="cs"/>
          <w:rtl/>
          <w:lang w:bidi="ar-LB"/>
        </w:rPr>
        <w:t>ضاف</w:t>
      </w:r>
      <w:r>
        <w:rPr>
          <w:rFonts w:hint="cs"/>
          <w:rtl/>
        </w:rPr>
        <w:t xml:space="preserve"> علاوات المعادلة </w:t>
      </w:r>
      <w:r>
        <w:rPr>
          <w:rFonts w:hint="cs"/>
          <w:rtl/>
          <w:lang w:bidi="ar-LB"/>
        </w:rPr>
        <w:t xml:space="preserve">إلى </w:t>
      </w:r>
      <w:r>
        <w:rPr>
          <w:rFonts w:hint="cs"/>
          <w:rtl/>
        </w:rPr>
        <w:t xml:space="preserve">المعاشات التقاعدية </w:t>
      </w:r>
      <w:r>
        <w:rPr>
          <w:rFonts w:hint="cs"/>
          <w:rtl/>
          <w:lang w:bidi="ar-LB"/>
        </w:rPr>
        <w:t xml:space="preserve">على أساس أدنى </w:t>
      </w:r>
      <w:r>
        <w:rPr>
          <w:rFonts w:hint="cs"/>
          <w:rtl/>
        </w:rPr>
        <w:t xml:space="preserve">معدل مرجعي، ويتوقف ذلك على </w:t>
      </w:r>
      <w:r>
        <w:rPr>
          <w:rFonts w:hint="cs"/>
          <w:rtl/>
          <w:lang w:bidi="ar-LB"/>
        </w:rPr>
        <w:t xml:space="preserve">أي </w:t>
      </w:r>
      <w:r>
        <w:rPr>
          <w:rFonts w:hint="cs"/>
          <w:rtl/>
        </w:rPr>
        <w:t xml:space="preserve">دخل آخر يحصل عليه المتقاعد أو شريكه/شريكها. وبالنسبة لعام 2003، تم تحديد المعدلات المرجعية بمبلغ 643.54 يورو لغير المتزوجين و 965.53 </w:t>
      </w:r>
      <w:r>
        <w:rPr>
          <w:rFonts w:hint="cs"/>
          <w:rtl/>
          <w:lang w:bidi="ar-LB"/>
        </w:rPr>
        <w:t xml:space="preserve">يورو </w:t>
      </w:r>
      <w:r>
        <w:rPr>
          <w:rFonts w:hint="cs"/>
          <w:rtl/>
        </w:rPr>
        <w:t xml:space="preserve">للمتزوجين. وتحصل النساء على حوالي 70 في المائة من علاوات المعادلة. وفي عام 2002، كان متوسط بدلات البطالة شهريا 625 يورو للمرأة و 734 يورو للرجل (بما في ذلك علاوات الأسرة). </w:t>
      </w:r>
    </w:p>
    <w:p w:rsidR="007B4C85" w:rsidRDefault="007B4C85" w:rsidP="007B4C85">
      <w:pPr>
        <w:pStyle w:val="SingleTxt"/>
        <w:rPr>
          <w:rFonts w:hint="cs"/>
          <w:rtl/>
        </w:rPr>
      </w:pPr>
      <w:r>
        <w:rPr>
          <w:rFonts w:hint="cs"/>
          <w:rtl/>
        </w:rPr>
        <w:tab/>
        <w:t>وبسبب التوقف عن العمل (لأسباب عائلية بصفة رئيسية) تجمع المرأة المتعاقدة عادة عدد سنوات تأمين أقل مما يجمعه الرجل. والآن بعد إضافة الفترات التي أمضتها المرأة في رعاية أطفالها، أصبحت سنوات الخدمة متعادلة إلى حد ما. ومع ذلك، لا يعوض نظام المعاشات التقاعدية عن الدخل المنخفض الذي تتقاضاه المرأة أثناء حياتها العملية.</w:t>
      </w:r>
    </w:p>
    <w:p w:rsidR="007B4C85" w:rsidRDefault="007B4C85" w:rsidP="007B4C85">
      <w:pPr>
        <w:pStyle w:val="SingleTxt"/>
        <w:rPr>
          <w:rFonts w:hint="cs"/>
          <w:rtl/>
        </w:rPr>
      </w:pPr>
      <w:r>
        <w:rPr>
          <w:rFonts w:hint="cs"/>
          <w:rtl/>
        </w:rPr>
        <w:tab/>
        <w:t>وللحصول على مزيد من التفاصيل حول المعاشات التقاعدية انظر التعليقات على التوصية 236. وفيما يتعلق بالتأمين الصحي، ينبغي الإشارة إلى أنه بموجب الأحكام الجديدة التي تنظم التأمين المشترك بدون دفع أقساط، الذي بدأ نفاذه في 1 كانون الثاني/يناير 2001، سيظل الأقارب</w:t>
      </w:r>
      <w:r>
        <w:rPr>
          <w:rFonts w:hint="cs"/>
          <w:rtl/>
          <w:lang w:bidi="ar-LB"/>
        </w:rPr>
        <w:t>،</w:t>
      </w:r>
      <w:r>
        <w:rPr>
          <w:rFonts w:hint="cs"/>
          <w:rtl/>
        </w:rPr>
        <w:t xml:space="preserve"> الذين يستفيدون من تأمين طويل الأجل من الدرجة 4 أو الذين يعتنون بشخص يستفيد من هذا النوع من التأمين</w:t>
      </w:r>
      <w:r>
        <w:rPr>
          <w:rFonts w:hint="cs"/>
          <w:rtl/>
          <w:lang w:bidi="ar-LB"/>
        </w:rPr>
        <w:t>،</w:t>
      </w:r>
      <w:r>
        <w:rPr>
          <w:rFonts w:hint="cs"/>
          <w:rtl/>
        </w:rPr>
        <w:t xml:space="preserve"> </w:t>
      </w:r>
      <w:r>
        <w:rPr>
          <w:rFonts w:hint="cs"/>
          <w:rtl/>
          <w:lang w:bidi="ar-LB"/>
        </w:rPr>
        <w:t xml:space="preserve">يتمتعون بتأمين </w:t>
      </w:r>
      <w:r>
        <w:rPr>
          <w:rFonts w:hint="cs"/>
          <w:rtl/>
        </w:rPr>
        <w:t>بدون دفع أقساط.</w:t>
      </w:r>
    </w:p>
    <w:p w:rsidR="007007C1" w:rsidRDefault="007007C1" w:rsidP="007B4C85">
      <w:pPr>
        <w:pStyle w:val="SingleTxt"/>
        <w:rPr>
          <w:rFonts w:hint="cs"/>
          <w:rtl/>
        </w:rPr>
      </w:pPr>
    </w:p>
    <w:p w:rsidR="007B4C85" w:rsidRDefault="007B4C85" w:rsidP="007B4C85">
      <w:pPr>
        <w:pStyle w:val="SingleTxt"/>
        <w:rPr>
          <w:rFonts w:hint="cs"/>
          <w:b/>
          <w:bCs/>
          <w:rtl/>
        </w:rPr>
      </w:pPr>
      <w:r>
        <w:rPr>
          <w:rFonts w:hint="cs"/>
          <w:b/>
          <w:bCs/>
          <w:rtl/>
        </w:rPr>
        <w:t>المادة 11، الرقم 1، الحرف (و)</w:t>
      </w:r>
    </w:p>
    <w:p w:rsidR="007B4C85" w:rsidRDefault="007B4C85" w:rsidP="007B4C85">
      <w:pPr>
        <w:pStyle w:val="SingleTxt"/>
        <w:rPr>
          <w:rFonts w:hint="cs"/>
          <w:rtl/>
        </w:rPr>
      </w:pPr>
      <w:r>
        <w:rPr>
          <w:rFonts w:hint="cs"/>
          <w:rtl/>
        </w:rPr>
        <w:tab/>
        <w:t>عملا بتنقيح الأمر الذي ينظم الحظر و/أو التقييد المفروض على عمل المرأة، لن يتم الاحتفاظ إلا بالقواعد المطبقة على أساس الفرق بين الجنسين وعلى أساس النتائج العلمية. وأمثلة على ذلك: العمل في المناجم تحت الأرض (مع بعض الاستثناءات)، والتعرض للرصاص على نحو يتجاوز القيمة المحددة وهي 0.02 م</w:t>
      </w:r>
      <w:r>
        <w:rPr>
          <w:rFonts w:hint="cs"/>
          <w:rtl/>
          <w:lang w:bidi="ar-LB"/>
        </w:rPr>
        <w:t>لغ</w:t>
      </w:r>
      <w:r>
        <w:rPr>
          <w:rFonts w:hint="cs"/>
          <w:rtl/>
        </w:rPr>
        <w:t>/</w:t>
      </w:r>
      <w:r>
        <w:rPr>
          <w:rFonts w:hint="cs"/>
          <w:rtl/>
          <w:lang w:bidi="ar-LB"/>
        </w:rPr>
        <w:t>م</w:t>
      </w:r>
      <w:r w:rsidRPr="00560D40">
        <w:rPr>
          <w:rFonts w:hint="cs"/>
          <w:vertAlign w:val="superscript"/>
          <w:rtl/>
          <w:lang w:bidi="ar-LB"/>
        </w:rPr>
        <w:t>3</w:t>
      </w:r>
      <w:r>
        <w:rPr>
          <w:rFonts w:hint="cs"/>
          <w:rtl/>
        </w:rPr>
        <w:t>، والعمل الذي يتطلب مجهودا جسديا.</w:t>
      </w:r>
    </w:p>
    <w:p w:rsidR="007B4C85" w:rsidRDefault="007B4C85" w:rsidP="007B4C85">
      <w:pPr>
        <w:pStyle w:val="SingleTxt"/>
        <w:rPr>
          <w:rFonts w:hint="cs"/>
          <w:rtl/>
        </w:rPr>
      </w:pPr>
      <w:r>
        <w:rPr>
          <w:rFonts w:hint="cs"/>
          <w:rtl/>
        </w:rPr>
        <w:tab/>
        <w:t xml:space="preserve">وتتخذ بعض الإدارات والوزارات الحكومية تدابير وقائية تتجاوز ما يفرضه القانون من أجل حماية صحة موظفيها. فمثلا </w:t>
      </w:r>
      <w:r>
        <w:rPr>
          <w:rFonts w:hint="cs"/>
          <w:rtl/>
          <w:lang w:bidi="ar-LB"/>
        </w:rPr>
        <w:t xml:space="preserve">لا </w:t>
      </w:r>
      <w:r>
        <w:rPr>
          <w:rFonts w:hint="cs"/>
          <w:rtl/>
        </w:rPr>
        <w:t>تقدم إدارة شؤون الموظفين في المستشارية الاتحادية تقارير عن حمل الموظفات إلى مديرية تفتيش العمالة فحسب بل أيضا إلى الموظف المسؤول عن الصحة المهنية. وعند الإخطار، يتم تفتيش مكان العمل الذي تعمل فيه المرأة المعنية لمعرفة مدى ملاءمته و/أو الحاجة إلى إجراء تغييرات. وتتبع المرأة في معظم الحالات البرامج التي تشجع على العناية بالصحة</w:t>
      </w:r>
      <w:r>
        <w:rPr>
          <w:rFonts w:hint="cs"/>
          <w:rtl/>
          <w:lang w:bidi="ar-LB"/>
        </w:rPr>
        <w:t xml:space="preserve">، ويتم عرض هذه البرامج </w:t>
      </w:r>
      <w:r>
        <w:rPr>
          <w:rFonts w:hint="cs"/>
          <w:rtl/>
        </w:rPr>
        <w:t>على الموظفين بالتعاون مع الموظف المسؤول عن الصحة المهنية، ومن بين هذه البرامج قطع الإدمان عن النيكوتين، والعلاج القائم على الانقطاع عن الطعام، والأكل الصحي في مكان العمل.</w:t>
      </w:r>
    </w:p>
    <w:p w:rsidR="007B4C85" w:rsidRDefault="007B4C85" w:rsidP="007B4C85">
      <w:pPr>
        <w:pStyle w:val="SingleTxt"/>
        <w:rPr>
          <w:rFonts w:hint="cs"/>
          <w:b/>
          <w:bCs/>
          <w:rtl/>
        </w:rPr>
      </w:pPr>
      <w:r>
        <w:rPr>
          <w:rFonts w:hint="cs"/>
          <w:b/>
          <w:bCs/>
          <w:rtl/>
        </w:rPr>
        <w:t>المادة 11، الرقم 2</w:t>
      </w:r>
    </w:p>
    <w:p w:rsidR="007B4C85" w:rsidRDefault="007B4C85" w:rsidP="007B4C85">
      <w:pPr>
        <w:pStyle w:val="SingleTxt"/>
        <w:rPr>
          <w:rFonts w:hint="cs"/>
          <w:b/>
          <w:bCs/>
          <w:rtl/>
        </w:rPr>
      </w:pPr>
      <w:r>
        <w:rPr>
          <w:rFonts w:hint="cs"/>
          <w:b/>
          <w:bCs/>
          <w:rtl/>
        </w:rPr>
        <w:t>قانون حماية الأمومة وقانون إجازة الأمومة/الأبوة (المعروف سابقا باسم قانون إجازة الوالدين)</w:t>
      </w:r>
    </w:p>
    <w:p w:rsidR="007B4C85" w:rsidRDefault="007B4C85" w:rsidP="007B4C85">
      <w:pPr>
        <w:pStyle w:val="SingleTxt"/>
        <w:rPr>
          <w:rFonts w:hint="cs"/>
          <w:rtl/>
        </w:rPr>
      </w:pPr>
      <w:r>
        <w:rPr>
          <w:rFonts w:hint="cs"/>
          <w:rtl/>
        </w:rPr>
        <w:tab/>
        <w:t xml:space="preserve">تم سن تعديلين رئيسيين في الفترة قيد الاستعراض: تعديل قانون حماية الأمومة وقانون إجازة الوالدين </w:t>
      </w:r>
      <w:r>
        <w:rPr>
          <w:rFonts w:hint="cs"/>
          <w:rtl/>
          <w:lang w:bidi="ar-LB"/>
        </w:rPr>
        <w:t>(</w:t>
      </w:r>
      <w:r>
        <w:rPr>
          <w:rFonts w:hint="cs"/>
          <w:rtl/>
        </w:rPr>
        <w:t>النشرة القانونية الاتحادية الأولى رقم 153/1999</w:t>
      </w:r>
      <w:r>
        <w:rPr>
          <w:rFonts w:hint="cs"/>
          <w:rtl/>
          <w:lang w:bidi="ar-LB"/>
        </w:rPr>
        <w:t>)</w:t>
      </w:r>
      <w:r>
        <w:rPr>
          <w:rFonts w:hint="cs"/>
          <w:rtl/>
        </w:rPr>
        <w:t xml:space="preserve">، وقد تم تنفيذهما بموجب </w:t>
      </w:r>
      <w:r>
        <w:rPr>
          <w:rFonts w:hint="cs"/>
          <w:rtl/>
          <w:lang w:bidi="ar-LB"/>
        </w:rPr>
        <w:t>النشرة ال</w:t>
      </w:r>
      <w:r>
        <w:rPr>
          <w:rFonts w:hint="cs"/>
          <w:rtl/>
        </w:rPr>
        <w:t>توجيه</w:t>
      </w:r>
      <w:r>
        <w:rPr>
          <w:rFonts w:hint="cs"/>
          <w:rtl/>
          <w:lang w:bidi="ar-LB"/>
        </w:rPr>
        <w:t>ية</w:t>
      </w:r>
      <w:r>
        <w:rPr>
          <w:rFonts w:hint="cs"/>
          <w:rtl/>
        </w:rPr>
        <w:t xml:space="preserve"> </w:t>
      </w:r>
      <w:r>
        <w:rPr>
          <w:rFonts w:hint="cs"/>
          <w:rtl/>
          <w:lang w:bidi="ar-LB"/>
        </w:rPr>
        <w:t>ل</w:t>
      </w:r>
      <w:r>
        <w:rPr>
          <w:rFonts w:hint="cs"/>
          <w:rtl/>
        </w:rPr>
        <w:t xml:space="preserve">لاتحاد الأوروبي </w:t>
      </w:r>
      <w:r>
        <w:t>96/34/EC</w:t>
      </w:r>
      <w:r>
        <w:rPr>
          <w:rFonts w:hint="cs"/>
          <w:rtl/>
        </w:rPr>
        <w:t xml:space="preserve"> المتعلق</w:t>
      </w:r>
      <w:r>
        <w:rPr>
          <w:rFonts w:hint="cs"/>
          <w:rtl/>
          <w:lang w:bidi="ar-LB"/>
        </w:rPr>
        <w:t>ة</w:t>
      </w:r>
      <w:r>
        <w:rPr>
          <w:rFonts w:hint="cs"/>
          <w:rtl/>
        </w:rPr>
        <w:t xml:space="preserve"> بإجازة الوالدين في القانون النمساوي، وبذلك أتيحت مرونة أكبر لفائدة الموظفين: </w:t>
      </w:r>
    </w:p>
    <w:p w:rsidR="007B4C85" w:rsidRDefault="007B4C85" w:rsidP="007B4C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الموعد النهائي للإخطار يتسم بمرونة أكبر</w:t>
      </w:r>
    </w:p>
    <w:p w:rsidR="007B4C85" w:rsidRDefault="007B4C85" w:rsidP="007B4C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يمكن قسمة إجازة الوالدين مرتين بين الأم والأب</w:t>
      </w:r>
    </w:p>
    <w:p w:rsidR="007B4C85" w:rsidRDefault="007B4C85" w:rsidP="007B4C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عندما يتم تبادل واجبات رعاية الأطفال بين الأب والأم يحق لهما حينئذٍ إجازة مشتركة لمدة شهر</w:t>
      </w:r>
    </w:p>
    <w:p w:rsidR="007B4C85" w:rsidRDefault="007B4C85" w:rsidP="007B4C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يمكن ترحيل ثلاثة أشهر من إجازة الوالدين والاستفادة منها في أي فترة من الفترات إلى أن يصبح عمر الطفل سبع سنوات، بل يمكن تجاوز هذا العم</w:t>
      </w:r>
      <w:r>
        <w:rPr>
          <w:rFonts w:hint="cs"/>
          <w:rtl/>
          <w:lang w:bidi="ar-LB"/>
        </w:rPr>
        <w:t>ر</w:t>
      </w:r>
      <w:r>
        <w:rPr>
          <w:rFonts w:hint="cs"/>
          <w:rtl/>
        </w:rPr>
        <w:t xml:space="preserve"> إذا تأخر الطفل في دخول المدرسة</w:t>
      </w:r>
    </w:p>
    <w:p w:rsidR="007B4C85" w:rsidRDefault="007B4C85" w:rsidP="007B4C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القواعد التي تنظم العمل غير المتفرغ عند ولادة الطفل تتسم بمرونة أكبر</w:t>
      </w:r>
    </w:p>
    <w:p w:rsidR="007B4C85" w:rsidRDefault="007B4C85" w:rsidP="007B4C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يحق للآباء إجازة أبوة بغض النظر عن ما يحق للأم.</w:t>
      </w:r>
    </w:p>
    <w:p w:rsidR="007B4C85" w:rsidRDefault="007B4C85" w:rsidP="007B4C85">
      <w:pPr>
        <w:pStyle w:val="SingleTxt"/>
        <w:rPr>
          <w:rFonts w:hint="cs"/>
          <w:rtl/>
        </w:rPr>
      </w:pPr>
      <w:r>
        <w:rPr>
          <w:rFonts w:hint="cs"/>
          <w:rtl/>
        </w:rPr>
        <w:tab/>
        <w:t xml:space="preserve">وبالإضافة إلى ذلك، </w:t>
      </w:r>
      <w:r>
        <w:rPr>
          <w:rFonts w:hint="cs"/>
          <w:rtl/>
          <w:lang w:bidi="ar-LB"/>
        </w:rPr>
        <w:t>ينص</w:t>
      </w:r>
      <w:r>
        <w:rPr>
          <w:rFonts w:hint="cs"/>
          <w:rtl/>
        </w:rPr>
        <w:t xml:space="preserve"> التعديل </w:t>
      </w:r>
      <w:r>
        <w:rPr>
          <w:rFonts w:hint="cs"/>
          <w:rtl/>
          <w:lang w:bidi="ar-LB"/>
        </w:rPr>
        <w:t xml:space="preserve">على </w:t>
      </w:r>
      <w:r>
        <w:rPr>
          <w:rFonts w:hint="cs"/>
          <w:rtl/>
        </w:rPr>
        <w:t>حق الأم أو الأب اللذين في إجازة الوالدين أن يطلعهما رب العمل على جميع التطورات الرئيسية في الشركة، مثل إعادة الهيكلة، وغير ذلك من التدابير التدريبية.</w:t>
      </w:r>
    </w:p>
    <w:p w:rsidR="007B4C85" w:rsidRDefault="007B4C85" w:rsidP="007B4C85">
      <w:pPr>
        <w:pStyle w:val="SingleTxt"/>
        <w:rPr>
          <w:rFonts w:hint="cs"/>
          <w:rtl/>
        </w:rPr>
      </w:pPr>
      <w:r>
        <w:rPr>
          <w:rFonts w:hint="cs"/>
          <w:rtl/>
        </w:rPr>
        <w:tab/>
        <w:t>وتنطبق هذه القواعد الجديدة على والدي الطفل الذي يولد في 1 كانون الثاني/يناير 2000 وما بعد هذا التاريخ. وتشجع هذه القواعد على المشاركة في واجبات رعاية الطفل بروح من الشراكة وله</w:t>
      </w:r>
      <w:r>
        <w:rPr>
          <w:rFonts w:hint="cs"/>
          <w:rtl/>
          <w:lang w:bidi="ar-LB"/>
        </w:rPr>
        <w:t>ذه القواعد</w:t>
      </w:r>
      <w:r>
        <w:rPr>
          <w:rFonts w:hint="cs"/>
          <w:rtl/>
        </w:rPr>
        <w:t xml:space="preserve"> آثار مفيدة على المرأة العاملة. وقياسا على ذلك، استحدث إقليم فيينا فكرة قسمة إجازة الوالدين أو تأجيلها، بالإضافة إلى مخطط يتسم بمرونة أكبر </w:t>
      </w:r>
      <w:r>
        <w:rPr>
          <w:rFonts w:hint="cs"/>
          <w:rtl/>
          <w:lang w:bidi="ar-LB"/>
        </w:rPr>
        <w:t>لل</w:t>
      </w:r>
      <w:r>
        <w:rPr>
          <w:rFonts w:hint="cs"/>
          <w:rtl/>
        </w:rPr>
        <w:t xml:space="preserve">عمل غير </w:t>
      </w:r>
      <w:r>
        <w:rPr>
          <w:rFonts w:hint="cs"/>
          <w:rtl/>
          <w:lang w:bidi="ar-LB"/>
        </w:rPr>
        <w:t>ال</w:t>
      </w:r>
      <w:r>
        <w:rPr>
          <w:rFonts w:hint="cs"/>
          <w:rtl/>
        </w:rPr>
        <w:t>متفرغ يستفيد منه الموظفون (النشرة القانونية لإقليم فيينا رقم 51/2000).</w:t>
      </w:r>
    </w:p>
    <w:p w:rsidR="007B4C85" w:rsidRDefault="007B4C85" w:rsidP="007B4C85">
      <w:pPr>
        <w:pStyle w:val="SingleTxt"/>
        <w:rPr>
          <w:rFonts w:hint="cs"/>
          <w:rtl/>
        </w:rPr>
      </w:pPr>
      <w:r>
        <w:rPr>
          <w:rFonts w:hint="cs"/>
          <w:rtl/>
        </w:rPr>
        <w:tab/>
        <w:t xml:space="preserve">وتصادف تعديل قانون حماية الأمومة و/أو قانون إجازة الوالدين - الذي أعيد تسميته قانون إجازة الأبوة/الأمومة - مع استحداث الاستحقاقات المتعلقة برعاية الأطفال في 1 كانون الثاني/يناير 2002، وهدفه الرئيسي تحسين </w:t>
      </w:r>
      <w:r>
        <w:rPr>
          <w:rFonts w:hint="cs"/>
          <w:rtl/>
          <w:lang w:bidi="ar-LB"/>
        </w:rPr>
        <w:t>إمكانية</w:t>
      </w:r>
      <w:r>
        <w:rPr>
          <w:rFonts w:hint="cs"/>
          <w:rtl/>
        </w:rPr>
        <w:t xml:space="preserve"> التوفيق بين التزامات العمل والالتزامات العائلية (انظر النشرة القانونية الاتحادية الأولى رقم 103/2001). وتم اتخاذ تدابير إضافية لضمان استمرار الاتصال بالشركة وتسهيل العودة إليها بعد انتهاء إجازة الأمومة/الأبوة. </w:t>
      </w:r>
    </w:p>
    <w:p w:rsidR="007B4C85" w:rsidRDefault="007B4C85" w:rsidP="00D71234">
      <w:pPr>
        <w:pStyle w:val="SingleTxt"/>
        <w:rPr>
          <w:rFonts w:hint="cs"/>
          <w:rtl/>
        </w:rPr>
      </w:pPr>
      <w:r>
        <w:rPr>
          <w:rFonts w:hint="cs"/>
          <w:rtl/>
        </w:rPr>
        <w:tab/>
        <w:t>يستطيع الآن الآباء والأمهات أداء عمل غير متفرغ هامشي أثناء الإجازة، وذلك بموجب عقد العمل الذي يحدد حقوقهما فيما يتعلق بإجازة الأمومة/الأبوة. ويجب ألا</w:t>
      </w:r>
      <w:r>
        <w:rPr>
          <w:rFonts w:hint="eastAsia"/>
          <w:rtl/>
        </w:rPr>
        <w:t> </w:t>
      </w:r>
      <w:r>
        <w:rPr>
          <w:rFonts w:hint="cs"/>
          <w:rtl/>
        </w:rPr>
        <w:t>يتجاوز الأجر الشهري المبلغ المحدد للعمل غير المتفرغ الهامشي (2003: 309.38</w:t>
      </w:r>
      <w:r>
        <w:rPr>
          <w:rFonts w:hint="cs"/>
          <w:rtl/>
          <w:lang w:bidi="ar-LB"/>
        </w:rPr>
        <w:t xml:space="preserve"> يورو</w:t>
      </w:r>
      <w:r>
        <w:rPr>
          <w:rFonts w:hint="cs"/>
          <w:rtl/>
        </w:rPr>
        <w:t xml:space="preserve">). وبموجب عقد العمل الذي حدد إجازة الأمومة/الأبوة، يجوز لهما أيضا العمل بما يتجاوز هذه الحدود بد أقصى مدته 13 أسبوعا في السنة التقويمية (مثلا التوقف عن العمل أثناء إجازات الأعياد أو الإجازات المرضية). وسوف يتم تأدية هذا العمل، شأنه في ذلك شأن أي عمل غير متفرغ هامشي بموجب عقد منفصل. وإذا لم يتم أخذ إجازة الأمومة/الأبوة لمدة سنة تقويمية كاملة، </w:t>
      </w:r>
      <w:r>
        <w:rPr>
          <w:rFonts w:hint="cs"/>
          <w:rtl/>
          <w:lang w:bidi="ar-LB"/>
        </w:rPr>
        <w:t>ف</w:t>
      </w:r>
      <w:r>
        <w:rPr>
          <w:rFonts w:hint="cs"/>
          <w:rtl/>
        </w:rPr>
        <w:t>لا يمكن أداء هذا العمل إلا على أساس حساب تناسبي. ورهنا بموافقة رب العمل الذي هو طرف في العقد الذي يحدد الحق في إجازة الأمومة/الأبوة، يمكن أيضا أداء عمل يتجاوز حدود العمل غير المتفرغ الهامشي لرب عمل آخر.</w:t>
      </w:r>
    </w:p>
    <w:p w:rsidR="007B4C85" w:rsidRDefault="007B4C85" w:rsidP="007B4C85">
      <w:pPr>
        <w:pStyle w:val="SingleTxt"/>
        <w:rPr>
          <w:rFonts w:hint="cs"/>
          <w:rtl/>
        </w:rPr>
      </w:pPr>
      <w:r>
        <w:rPr>
          <w:rFonts w:hint="cs"/>
          <w:rtl/>
        </w:rPr>
        <w:tab/>
        <w:t xml:space="preserve">وهناك تعديلات أخرى جديرة بالذكر: تم الاستعاضة عن كلمة </w:t>
      </w:r>
      <w:r>
        <w:rPr>
          <w:rFonts w:hint="eastAsia"/>
          <w:rtl/>
        </w:rPr>
        <w:t>”</w:t>
      </w:r>
      <w:r>
        <w:t>Karenzurlaub</w:t>
      </w:r>
      <w:r>
        <w:rPr>
          <w:rFonts w:hint="eastAsia"/>
          <w:rtl/>
        </w:rPr>
        <w:t xml:space="preserve">“ بكلمة </w:t>
      </w:r>
      <w:r>
        <w:rPr>
          <w:rFonts w:hint="cs"/>
          <w:rtl/>
        </w:rPr>
        <w:t>”</w:t>
      </w:r>
      <w:r>
        <w:t>Karenz</w:t>
      </w:r>
      <w:r>
        <w:rPr>
          <w:rFonts w:hint="eastAsia"/>
          <w:rtl/>
        </w:rPr>
        <w:t xml:space="preserve">“؛ والعنصر </w:t>
      </w:r>
      <w:r>
        <w:rPr>
          <w:rFonts w:hint="cs"/>
          <w:rtl/>
        </w:rPr>
        <w:t>”المسؤول بصفة رئيسية عن رعاية الطفل“ لم يعد شرطا مسبقا للتمتع بحق إجازة الأمومة/الأبوة. وتظل بدون تغيير جميع قوانين العمل الأخرى التي تتعلق بإجازة الأمومة/الأبوة - مثل بدء الإجازة ومدتها، والمهلة الزمنية للإخطار، وقسمة الحق في الإجازة - التي تتعلق أيضا بالعمل غير المتفرغ عند ولادة الطفل.</w:t>
      </w:r>
    </w:p>
    <w:p w:rsidR="007B4C85" w:rsidRDefault="007B4C85" w:rsidP="007B4C85">
      <w:pPr>
        <w:pStyle w:val="SingleTxt"/>
        <w:rPr>
          <w:rFonts w:hint="cs"/>
          <w:b/>
          <w:bCs/>
          <w:rtl/>
        </w:rPr>
      </w:pPr>
      <w:r>
        <w:rPr>
          <w:rFonts w:hint="cs"/>
          <w:b/>
          <w:bCs/>
          <w:rtl/>
        </w:rPr>
        <w:t>عمل الوالدين بصورة غير متفرغة</w:t>
      </w:r>
    </w:p>
    <w:p w:rsidR="007B4C85" w:rsidRDefault="007B4C85" w:rsidP="007B4C85">
      <w:pPr>
        <w:pStyle w:val="SingleTxt"/>
        <w:rPr>
          <w:rFonts w:hint="cs"/>
          <w:rtl/>
        </w:rPr>
      </w:pPr>
      <w:r>
        <w:rPr>
          <w:rFonts w:hint="cs"/>
          <w:rtl/>
        </w:rPr>
        <w:tab/>
        <w:t>تحدد حق الأبوين في العمل غير المتفرغ في القانون المتعلق بعمل الوالدين غير المتفرغ مما سهّل التوفيق بين التزامات العمل والالتزامات العائلية. وقد بدأ نفاذ القانون في 1 تموز/ يوليه 2004.</w:t>
      </w:r>
    </w:p>
    <w:p w:rsidR="007B4C85" w:rsidRDefault="007B4C85" w:rsidP="007B4C85">
      <w:pPr>
        <w:pStyle w:val="SingleTxt"/>
        <w:rPr>
          <w:rFonts w:hint="cs"/>
          <w:rtl/>
        </w:rPr>
      </w:pPr>
      <w:r>
        <w:rPr>
          <w:rFonts w:hint="cs"/>
          <w:rtl/>
        </w:rPr>
        <w:tab/>
        <w:t>ومن حيث المبدأ، يعطي القانون الحق للوالدين بالعمل بصورة غير متفرغة إلى أن يبلغ الطفل سن سبع سنوات أو إلى أن يدخل المدرسة. وينطبق ذلك على الأبوين اللذين لديهما ما لا يقل عن ثلاث سنوات خدمة متواصلة في شركة توظف 20 شخصا كحد أدنى. وينبغي الاتفاق مع رب العمل على الشروط المحددة للعمل غير المتفرغ مثل بدء العمل ومدته وساعات العمل وجدولة العمل. وإذا لم يتم التوصل إلى اتفاق و/أو</w:t>
      </w:r>
      <w:r>
        <w:rPr>
          <w:rFonts w:hint="eastAsia"/>
          <w:rtl/>
        </w:rPr>
        <w:t> </w:t>
      </w:r>
      <w:r>
        <w:rPr>
          <w:rFonts w:hint="cs"/>
          <w:rtl/>
        </w:rPr>
        <w:t xml:space="preserve">تسوية في المحكمة، </w:t>
      </w:r>
      <w:r>
        <w:rPr>
          <w:rFonts w:hint="cs"/>
          <w:rtl/>
          <w:lang w:bidi="ar-LB"/>
        </w:rPr>
        <w:t>ف</w:t>
      </w:r>
      <w:r>
        <w:rPr>
          <w:rFonts w:hint="cs"/>
          <w:rtl/>
        </w:rPr>
        <w:t xml:space="preserve">يتعين على رب العمل أن يعرض القضية على محكمة العمالة والمجتمع المختصة، وإذا لم يفعل ذلك </w:t>
      </w:r>
      <w:r>
        <w:rPr>
          <w:rFonts w:hint="cs"/>
          <w:rtl/>
          <w:lang w:bidi="ar-LB"/>
        </w:rPr>
        <w:t>ف</w:t>
      </w:r>
      <w:r>
        <w:rPr>
          <w:rFonts w:hint="cs"/>
          <w:rtl/>
        </w:rPr>
        <w:t xml:space="preserve">يحق للموظف أن يبدأ العمل بصورة غير متفرغة </w:t>
      </w:r>
      <w:r>
        <w:rPr>
          <w:rFonts w:hint="cs"/>
          <w:rtl/>
          <w:lang w:bidi="ar-LB"/>
        </w:rPr>
        <w:t>كما كان مقررا</w:t>
      </w:r>
      <w:r>
        <w:rPr>
          <w:rFonts w:hint="cs"/>
          <w:rtl/>
        </w:rPr>
        <w:t>. وسيتعين على المحكمة حينئذ أن توف</w:t>
      </w:r>
      <w:r>
        <w:rPr>
          <w:rFonts w:hint="cs"/>
          <w:rtl/>
          <w:lang w:bidi="ar-LB"/>
        </w:rPr>
        <w:t>ّ</w:t>
      </w:r>
      <w:r>
        <w:rPr>
          <w:rFonts w:hint="cs"/>
          <w:rtl/>
        </w:rPr>
        <w:t>ق بين مصلحة الطرفين وتصدر قرارا نهائيا بخصوص العمل غير المتفرغ.</w:t>
      </w:r>
    </w:p>
    <w:p w:rsidR="007B4C85" w:rsidRDefault="007B4C85" w:rsidP="007B4C85">
      <w:pPr>
        <w:pStyle w:val="SingleTxt"/>
      </w:pPr>
      <w:r>
        <w:rPr>
          <w:rFonts w:hint="cs"/>
          <w:rtl/>
        </w:rPr>
        <w:tab/>
        <w:t xml:space="preserve">ومن حيث المبدأ، تصبح الحماية الخاصة المتاحة من الفصل عن العمل فعالة عندما يتم إخطار رب العمل بأن الموظف يعتزم ممارسة حقه/حقها في العمل بصورة غير متفرغة، على أن يكون هذا الإخطار قبل أربعة أشهر من بدء العمل بصورة غير متفرغة. وتصبح الحماية من الفصل </w:t>
      </w:r>
      <w:r>
        <w:rPr>
          <w:rFonts w:hint="cs"/>
          <w:rtl/>
          <w:lang w:bidi="ar-LB"/>
        </w:rPr>
        <w:t>ع</w:t>
      </w:r>
      <w:r>
        <w:rPr>
          <w:rFonts w:hint="cs"/>
          <w:rtl/>
        </w:rPr>
        <w:t xml:space="preserve">ن العمل غير فعالة بعد أربعة أشهر من مرور الذكرى الرابعة لميلاد الطفل، وتحل محلها الحماية من الفصل </w:t>
      </w:r>
      <w:r>
        <w:rPr>
          <w:rFonts w:hint="cs"/>
          <w:rtl/>
          <w:lang w:bidi="ar-LB"/>
        </w:rPr>
        <w:t>ع</w:t>
      </w:r>
      <w:r>
        <w:rPr>
          <w:rFonts w:hint="cs"/>
          <w:rtl/>
        </w:rPr>
        <w:t xml:space="preserve">ن العمل لأن الموظف مارس حقه في العمل بصورة غير متفرغة. ويحق للموظف أيضا العودة إلى العمل </w:t>
      </w:r>
      <w:r>
        <w:rPr>
          <w:rFonts w:hint="cs"/>
          <w:rtl/>
          <w:lang w:bidi="ar-LB"/>
        </w:rPr>
        <w:t>ال</w:t>
      </w:r>
      <w:r>
        <w:rPr>
          <w:rFonts w:hint="cs"/>
          <w:rtl/>
        </w:rPr>
        <w:t xml:space="preserve">متفرغ. </w:t>
      </w:r>
    </w:p>
    <w:p w:rsidR="007B4C85" w:rsidRDefault="007B4C85" w:rsidP="007B4C85">
      <w:pPr>
        <w:pStyle w:val="SingleTxt"/>
        <w:rPr>
          <w:rFonts w:hint="cs"/>
          <w:rtl/>
        </w:rPr>
      </w:pPr>
      <w:r>
        <w:rPr>
          <w:rFonts w:hint="cs"/>
          <w:rtl/>
        </w:rPr>
        <w:tab/>
        <w:t>وفي الشركات الأصغر، أو إذا لم يتم استيفاء شرط الخدمة لمدة ثلاث سنوات متواصلة، يظل اختيار العمل بصورة غير متفرغة خاضعا لاتفاق مع رب العمل. ويمكن تمديد العمل بصورة غير متفرغة بعد مرور الذكرى الرابعة لولادة الطفل. وإذا لم يتم التوصل إلى اتفاق، يستطيع الموظف أن يرفع قضية على رب العمل للحصول على موافقته على العمل بصورة غير متفرغة.</w:t>
      </w:r>
    </w:p>
    <w:p w:rsidR="007B4C85" w:rsidRDefault="007B4C85" w:rsidP="007B4C85">
      <w:pPr>
        <w:pStyle w:val="SingleTxt"/>
        <w:rPr>
          <w:rFonts w:hint="cs"/>
          <w:rtl/>
        </w:rPr>
      </w:pPr>
      <w:r>
        <w:rPr>
          <w:rFonts w:hint="cs"/>
          <w:rtl/>
        </w:rPr>
        <w:tab/>
        <w:t>وتهدف الإعانة المالية الجديدة في إطار مخطط دعم سوق العمل إلى أن تكون دافعا للشركات الصغيرة الحجم التي لا يعمل فيها أكثر من 20 موظفا لكي تعرض على أبوي الأطفال الصغار إمكانية العمل بصورة غير متفرغة. والمقصود من الإعانة المالية التعويض عن النفقات الإضافية الناجمة عن استحداث العمل بصورة غير متفرغة.</w:t>
      </w:r>
    </w:p>
    <w:p w:rsidR="007B4C85" w:rsidRDefault="007B4C85" w:rsidP="007B4C85">
      <w:pPr>
        <w:pStyle w:val="SingleTxt"/>
        <w:rPr>
          <w:rFonts w:hint="cs"/>
          <w:b/>
          <w:bCs/>
          <w:rtl/>
        </w:rPr>
      </w:pPr>
      <w:r>
        <w:rPr>
          <w:rFonts w:hint="cs"/>
          <w:b/>
          <w:bCs/>
          <w:rtl/>
        </w:rPr>
        <w:t>إجازة تمكين الأهل من زيارة مرضاهم في المستشفيات</w:t>
      </w:r>
    </w:p>
    <w:p w:rsidR="007B4C85" w:rsidRDefault="007B4C85" w:rsidP="007B4C85">
      <w:pPr>
        <w:pStyle w:val="SingleTxt"/>
        <w:rPr>
          <w:rFonts w:hint="cs"/>
          <w:rtl/>
        </w:rPr>
      </w:pPr>
      <w:r>
        <w:rPr>
          <w:rFonts w:hint="cs"/>
          <w:rtl/>
        </w:rPr>
        <w:tab/>
        <w:t xml:space="preserve">منذ 1 تموز/يوليه 2002، </w:t>
      </w:r>
      <w:r>
        <w:rPr>
          <w:rFonts w:hint="cs"/>
          <w:rtl/>
          <w:lang w:bidi="ar-LB"/>
        </w:rPr>
        <w:t>أتاح</w:t>
      </w:r>
      <w:r>
        <w:rPr>
          <w:rFonts w:hint="cs"/>
          <w:rtl/>
        </w:rPr>
        <w:t xml:space="preserve">ت التعديلات التي أدخلت على قانون تسوية عقود العمل، وقانون العطلات المدفوعة، وقانون التأمين ضد البطالة لعام 1977 </w:t>
      </w:r>
      <w:r>
        <w:rPr>
          <w:rFonts w:hint="cs"/>
          <w:rtl/>
          <w:lang w:bidi="ar-LB"/>
        </w:rPr>
        <w:t>(</w:t>
      </w:r>
      <w:r>
        <w:rPr>
          <w:rFonts w:hint="cs"/>
          <w:rtl/>
        </w:rPr>
        <w:t>النشرة القانونية الاتحادية الأولى رقم 89/2002</w:t>
      </w:r>
      <w:r>
        <w:rPr>
          <w:rFonts w:hint="cs"/>
          <w:rtl/>
          <w:lang w:bidi="ar-LB"/>
        </w:rPr>
        <w:t>)</w:t>
      </w:r>
      <w:r>
        <w:rPr>
          <w:rFonts w:hint="cs"/>
          <w:rtl/>
        </w:rPr>
        <w:t xml:space="preserve">، </w:t>
      </w:r>
      <w:r>
        <w:rPr>
          <w:rFonts w:hint="cs"/>
          <w:rtl/>
          <w:lang w:bidi="ar-LB"/>
        </w:rPr>
        <w:t xml:space="preserve">تقديم </w:t>
      </w:r>
      <w:r>
        <w:rPr>
          <w:rFonts w:hint="cs"/>
          <w:rtl/>
        </w:rPr>
        <w:t xml:space="preserve">ضمانات </w:t>
      </w:r>
      <w:r>
        <w:rPr>
          <w:rFonts w:hint="cs"/>
          <w:rtl/>
          <w:lang w:bidi="ar-LB"/>
        </w:rPr>
        <w:t>ل</w:t>
      </w:r>
      <w:r>
        <w:rPr>
          <w:rFonts w:hint="cs"/>
          <w:rtl/>
        </w:rPr>
        <w:t xml:space="preserve">لأشخاص الذين يوفرون الرعاية المخففة للآلام والذين يعتنون بأطفال مصابين بأمراض خطيرة </w:t>
      </w:r>
      <w:r>
        <w:rPr>
          <w:rFonts w:hint="cs"/>
          <w:rtl/>
          <w:lang w:bidi="ar-LB"/>
        </w:rPr>
        <w:t xml:space="preserve">لكي يحصلوا </w:t>
      </w:r>
      <w:r>
        <w:rPr>
          <w:rFonts w:hint="cs"/>
          <w:rtl/>
        </w:rPr>
        <w:t xml:space="preserve">على تأمين </w:t>
      </w:r>
      <w:r>
        <w:rPr>
          <w:rFonts w:hint="cs"/>
          <w:rtl/>
          <w:lang w:bidi="ar-LB"/>
        </w:rPr>
        <w:t xml:space="preserve">صحي </w:t>
      </w:r>
      <w:r>
        <w:rPr>
          <w:rFonts w:hint="cs"/>
          <w:rtl/>
        </w:rPr>
        <w:t>بموجب قانون العمالة والتأمينات الاجتماعية. ويستطيع الموظفون تغيير أوقات عملهم أو أخذ فترات إجازة من أجل توفير الرعاية المخففة للآلام للأقارب الذين على وشك الموت (</w:t>
      </w:r>
      <w:r>
        <w:rPr>
          <w:rFonts w:hint="cs"/>
          <w:rtl/>
          <w:lang w:bidi="ar-LB"/>
        </w:rPr>
        <w:t>ك</w:t>
      </w:r>
      <w:r>
        <w:rPr>
          <w:rFonts w:hint="cs"/>
          <w:rtl/>
        </w:rPr>
        <w:t>مصاحبة الأشخاص المصابين بأمراض غير قابلة للعلاج) أو العناية بالأطفال المصابين بأمراض خطيرة. وخلال هذه الفترة، لا يمكن فصل هؤلاء الموظفين عن عملهم.وخلال الفترة التي يعتني فيها الموظفون بأقاربهم الذين على وشك الوفاة أو بأطفال مصابين بأمراض خطيرة، يتم دفع اشتراكاتهم في التأمينات الصحية و</w:t>
      </w:r>
      <w:r>
        <w:rPr>
          <w:rFonts w:hint="cs"/>
          <w:rtl/>
          <w:lang w:bidi="ar-LB"/>
        </w:rPr>
        <w:t xml:space="preserve">في </w:t>
      </w:r>
      <w:r>
        <w:rPr>
          <w:rFonts w:hint="cs"/>
          <w:rtl/>
        </w:rPr>
        <w:t>صندوق المعاشات من صندوق التأمين ضد البطالة. كما أن التدابير المساعدة المتخذة في إطار قانون بدلات التمريض وقانون معادلة أعباء الأسر ترمي إلى ضمان أن أفراد الأسرة الذين يأخذون إجازات لتوفير الرعاية المخففة للآلام أو رعاية الأطفال المصابين بأمراض خطيرة لن يتعرضوا لمشاكل مالية أو لن يسقطوا تحت خط الفقر. وتمثل هذه الأحكام المتخذة في إطار قانون العمالة والتأمينات الاجتماعية خطوة أخرى نحو تسهيل التوفيق بين التزامات العمل والالتزامات العائلية، بما أن المرأة بصفة خاصة تتاح لها فرصة رعاية الأقارب لفترة من الزمن دون أن تضطر إلى ترك عملها ودون أن تخسر تأمينها الصحي ومعاشها التقاعدي.</w:t>
      </w:r>
    </w:p>
    <w:p w:rsidR="007B4C85" w:rsidRDefault="007B4C85" w:rsidP="007B4C85">
      <w:pPr>
        <w:pStyle w:val="SingleTxt"/>
        <w:rPr>
          <w:rFonts w:hint="cs"/>
          <w:rtl/>
        </w:rPr>
      </w:pPr>
      <w:r>
        <w:rPr>
          <w:rFonts w:hint="cs"/>
          <w:rtl/>
        </w:rPr>
        <w:tab/>
        <w:t xml:space="preserve">وتمنح أيضا الإجازة التي تمكّن الأهل من زيارة مرضاهم في المستشفيات إلى العاملين في الخدمة الاتحادية (النشرة القانونية الاتحادية رقم 87/2002) وفي الخدمة المدنية الإقليمية. </w:t>
      </w:r>
    </w:p>
    <w:p w:rsidR="007B4C85" w:rsidRDefault="007B4C85" w:rsidP="007B4C85">
      <w:pPr>
        <w:pStyle w:val="SingleTxt"/>
        <w:rPr>
          <w:rFonts w:hint="cs"/>
          <w:rtl/>
        </w:rPr>
      </w:pPr>
      <w:r>
        <w:rPr>
          <w:rFonts w:hint="cs"/>
          <w:rtl/>
        </w:rPr>
        <w:tab/>
        <w:t xml:space="preserve">وللحصول على مزيد من التفاصيل عن تأمين رعاية </w:t>
      </w:r>
      <w:r>
        <w:rPr>
          <w:rFonts w:hint="cs"/>
          <w:rtl/>
          <w:lang w:bidi="ar-LB"/>
        </w:rPr>
        <w:t>ا</w:t>
      </w:r>
      <w:r>
        <w:rPr>
          <w:rFonts w:hint="cs"/>
          <w:rtl/>
        </w:rPr>
        <w:t>لأقارب انظر التوصية 236.</w:t>
      </w:r>
    </w:p>
    <w:p w:rsidR="007B4C85" w:rsidRDefault="007B4C85" w:rsidP="007B4C85">
      <w:pPr>
        <w:pStyle w:val="SingleTxt"/>
        <w:rPr>
          <w:rFonts w:hint="cs"/>
          <w:b/>
          <w:bCs/>
          <w:rtl/>
        </w:rPr>
      </w:pPr>
      <w:r>
        <w:rPr>
          <w:rFonts w:hint="cs"/>
          <w:b/>
          <w:bCs/>
          <w:rtl/>
          <w:lang w:bidi="ar-LB"/>
        </w:rPr>
        <w:t>مخطط جديد ل</w:t>
      </w:r>
      <w:r>
        <w:rPr>
          <w:rFonts w:hint="cs"/>
          <w:b/>
          <w:bCs/>
          <w:rtl/>
        </w:rPr>
        <w:t>دفع بدل الانفصال عن الخدمة</w:t>
      </w:r>
    </w:p>
    <w:p w:rsidR="007B4C85" w:rsidRDefault="007B4C85" w:rsidP="007B4C85">
      <w:pPr>
        <w:pStyle w:val="SingleTxt"/>
        <w:rPr>
          <w:rFonts w:hint="cs"/>
          <w:rtl/>
        </w:rPr>
      </w:pPr>
      <w:r>
        <w:rPr>
          <w:rFonts w:hint="cs"/>
          <w:rtl/>
        </w:rPr>
        <w:tab/>
        <w:t xml:space="preserve">القانون الذي ينظم أحكام تقاعد الموظفين ودفع بدل الانفصال عن الخدمة </w:t>
      </w:r>
      <w:r>
        <w:rPr>
          <w:rFonts w:hint="cs"/>
          <w:rtl/>
          <w:lang w:bidi="ar-LB"/>
        </w:rPr>
        <w:t>(</w:t>
      </w:r>
      <w:r>
        <w:rPr>
          <w:rFonts w:hint="cs"/>
          <w:rtl/>
        </w:rPr>
        <w:t>النشرة القانونية الاتحادية الأولى رقم 100/2002</w:t>
      </w:r>
      <w:r>
        <w:rPr>
          <w:rFonts w:hint="cs"/>
          <w:rtl/>
          <w:lang w:bidi="ar-LB"/>
        </w:rPr>
        <w:t>)</w:t>
      </w:r>
      <w:r>
        <w:rPr>
          <w:rFonts w:hint="cs"/>
          <w:rtl/>
        </w:rPr>
        <w:t>: دفع الاشتراكات خلال الفترات التي يتوقف فيها دفع الأجور/المرتبات بينما تظل علاقة العمل فعالة: خلال الفترات التي يستفيد فيها الموظفون من استحقاقات رعاية الأطفال، يحق لهم بموجب ال</w:t>
      </w:r>
      <w:r>
        <w:rPr>
          <w:rFonts w:hint="cs"/>
          <w:rtl/>
          <w:lang w:bidi="ar-LB"/>
        </w:rPr>
        <w:t>مادة</w:t>
      </w:r>
      <w:r>
        <w:rPr>
          <w:rFonts w:hint="cs"/>
          <w:rtl/>
        </w:rPr>
        <w:t xml:space="preserve"> 7، الفقرتين 4 و 5 من القانون الذي ينظم أحكام تقاعد الموظفين ودفع بدل الانفصال عن الخدمة</w:t>
      </w:r>
      <w:r>
        <w:rPr>
          <w:rFonts w:hint="cs"/>
          <w:rtl/>
          <w:lang w:bidi="ar-LB"/>
        </w:rPr>
        <w:t>،</w:t>
      </w:r>
      <w:r>
        <w:rPr>
          <w:rFonts w:hint="cs"/>
          <w:rtl/>
        </w:rPr>
        <w:t xml:space="preserve"> </w:t>
      </w:r>
      <w:r>
        <w:rPr>
          <w:rFonts w:hint="cs"/>
          <w:rtl/>
          <w:lang w:bidi="ar-LB"/>
        </w:rPr>
        <w:t xml:space="preserve">أن تُدفع عنهم </w:t>
      </w:r>
      <w:r>
        <w:rPr>
          <w:rFonts w:hint="cs"/>
          <w:rtl/>
        </w:rPr>
        <w:t xml:space="preserve">اشتراكات قدرها 1.53 في المائة من استحقاقات رعاية الأطفال إلى صندوق تقاعد الموظفين وبدل الانفصال عن الخدمة. ويسدد صندوق معادلة أعباء الأسرة التكاليف التي تكبدتها مؤسسات التأمين الصحي القانونية التي دفعت الاشتراكات. ويضمن هذا الحكم الجديد </w:t>
      </w:r>
      <w:r>
        <w:rPr>
          <w:rFonts w:hint="cs"/>
          <w:rtl/>
          <w:lang w:bidi="ar-LB"/>
        </w:rPr>
        <w:t>المتعلق ب</w:t>
      </w:r>
      <w:r>
        <w:rPr>
          <w:rFonts w:hint="cs"/>
          <w:rtl/>
        </w:rPr>
        <w:t xml:space="preserve">دفع بدل الانفصال عن الخدمة حساب فترات إجازة الأمومة/الأبوة عند تقدير قيمة بدل الانفصال عن الخدمة. والشيء نفسه ينطبق على الموظفين الذين يأخذون إجازات لتمكينهم من زيارة مرضاهم في المستشفيات. </w:t>
      </w:r>
    </w:p>
    <w:p w:rsidR="007B4C85" w:rsidRDefault="007B4C85" w:rsidP="007B4C85">
      <w:pPr>
        <w:pStyle w:val="SingleTxt"/>
        <w:rPr>
          <w:rFonts w:hint="cs"/>
          <w:rtl/>
        </w:rPr>
      </w:pPr>
      <w:r>
        <w:rPr>
          <w:rFonts w:hint="cs"/>
          <w:rtl/>
        </w:rPr>
        <w:tab/>
        <w:t>وبعكس ما كان يحدث في إطار الأحكام السابقة لدفع بدلات الانفصال عن الخدمة، يتم الآن إضافة فترات إجازة الأمومة/الأبوة التي يتم فيها الحصول على الاستحقاقات المتعلقة برعاية الأطفال بموجب قانون حماية الأمومة (و/أو قانون إجازة الأبوة) إلى سنوات الخدمة اللازم تجميعها من أجل حساب دفع بدل الانفصال عن الخدمة بموجب القانون الذي ينظم أحكام تقاعد الموظفين ودفع بدل الانفصال عن الخدمة. ونتيجة لذلك، فإن المرأة التي تأخذ إجازة أمومة لم تعد متضررة فيما يتعلق بحقها في الحصول على بدل ا</w:t>
      </w:r>
      <w:r>
        <w:rPr>
          <w:rFonts w:hint="cs"/>
          <w:rtl/>
          <w:lang w:bidi="ar-LB"/>
        </w:rPr>
        <w:t>لا</w:t>
      </w:r>
      <w:r>
        <w:rPr>
          <w:rFonts w:hint="cs"/>
          <w:rtl/>
        </w:rPr>
        <w:t xml:space="preserve">نفصال عن الخدمة. </w:t>
      </w:r>
    </w:p>
    <w:p w:rsidR="007B4C85" w:rsidRDefault="007B4C85" w:rsidP="007B4C85">
      <w:pPr>
        <w:pStyle w:val="SingleTxt"/>
        <w:rPr>
          <w:rFonts w:hint="cs"/>
          <w:b/>
          <w:bCs/>
          <w:rtl/>
        </w:rPr>
      </w:pPr>
      <w:r>
        <w:rPr>
          <w:rFonts w:hint="cs"/>
          <w:b/>
          <w:bCs/>
          <w:rtl/>
        </w:rPr>
        <w:t>المادة 11، الرقم 2، الحرف (ج)</w:t>
      </w:r>
    </w:p>
    <w:p w:rsidR="007B4C85" w:rsidRDefault="007B4C85" w:rsidP="007B4C85">
      <w:pPr>
        <w:pStyle w:val="SingleTxt"/>
        <w:rPr>
          <w:rFonts w:hint="cs"/>
          <w:b/>
          <w:bCs/>
          <w:rtl/>
        </w:rPr>
      </w:pPr>
      <w:r>
        <w:rPr>
          <w:rFonts w:hint="cs"/>
          <w:b/>
          <w:bCs/>
          <w:rtl/>
        </w:rPr>
        <w:t>تقديم الخدمات الاجتماعية ومرافق رعاية الأطفال</w:t>
      </w:r>
    </w:p>
    <w:p w:rsidR="007B4C85" w:rsidRDefault="007B4C85" w:rsidP="007B4C85">
      <w:pPr>
        <w:pStyle w:val="SingleTxt"/>
        <w:rPr>
          <w:rFonts w:hint="cs"/>
          <w:rtl/>
        </w:rPr>
      </w:pPr>
      <w:r>
        <w:rPr>
          <w:rFonts w:hint="cs"/>
          <w:rtl/>
        </w:rPr>
        <w:tab/>
        <w:t>تقع مسؤولية مرافق رعاية الأطفال على الأقاليم. ومع ذلك، ففي الفترة الخاضعة للاستعراض تم اتخاذ عدد من المبادرات الاتحادية، مثل المشروع الرائد المتعلق بإنشاء مرافق لرعاية الأطفال</w:t>
      </w:r>
      <w:r>
        <w:rPr>
          <w:rFonts w:hint="cs"/>
          <w:rtl/>
          <w:lang w:bidi="ar-LB"/>
        </w:rPr>
        <w:t>،</w:t>
      </w:r>
      <w:r>
        <w:rPr>
          <w:rFonts w:hint="cs"/>
          <w:rtl/>
        </w:rPr>
        <w:t xml:space="preserve"> تشمل جميع المجتمعات، للوفاء بالاحتياجات الإقليمية لثلاث مناطق نمساوية. وبفضل هذا المشروع الرائد، تم اعتبار مرافق رعاية الأطفال</w:t>
      </w:r>
      <w:r>
        <w:rPr>
          <w:rFonts w:hint="cs"/>
          <w:rtl/>
          <w:lang w:bidi="ar-LB"/>
        </w:rPr>
        <w:t>،</w:t>
      </w:r>
      <w:r>
        <w:rPr>
          <w:rFonts w:hint="cs"/>
          <w:rtl/>
        </w:rPr>
        <w:t xml:space="preserve"> التي تشمل عدة مجتمعات</w:t>
      </w:r>
      <w:r>
        <w:rPr>
          <w:rFonts w:hint="cs"/>
          <w:rtl/>
          <w:lang w:bidi="ar-LB"/>
        </w:rPr>
        <w:t>،</w:t>
      </w:r>
      <w:r>
        <w:rPr>
          <w:rFonts w:hint="cs"/>
          <w:rtl/>
        </w:rPr>
        <w:t xml:space="preserve"> هدفا ذا أولوية في المبادئ التوجيهية للفترة 1999/2000</w:t>
      </w:r>
      <w:r>
        <w:rPr>
          <w:rFonts w:hint="cs"/>
          <w:rtl/>
          <w:lang w:bidi="ar-LB"/>
        </w:rPr>
        <w:t>.</w:t>
      </w:r>
      <w:r>
        <w:rPr>
          <w:rFonts w:hint="cs"/>
          <w:rtl/>
        </w:rPr>
        <w:t xml:space="preserve"> وتم تحرير صيغة هذا التمويل في عام 1997 وفقا لل</w:t>
      </w:r>
      <w:r>
        <w:rPr>
          <w:rFonts w:hint="cs"/>
          <w:rtl/>
          <w:lang w:bidi="ar-LB"/>
        </w:rPr>
        <w:t>مادة</w:t>
      </w:r>
      <w:r>
        <w:rPr>
          <w:rFonts w:hint="cs"/>
          <w:rtl/>
        </w:rPr>
        <w:t xml:space="preserve"> 22، الفقرة 1، الفقرة الفرعية 3 من قانون إعادة توزيع الإيرادات (الذي ينظم توزيع الإيرادات على مختلف مستويات الحكومة - الاتحادية والإقليمية والبلدية - ويحدد كيفية تقاسم الإيرادات فيما بينها). والهدف من المشروع هو القيام بدراسة متأنية للوضع الراهن، والاستفادة من النتائج التي تم التوصل إليها في عمليتي تخطيط وتوفير مرافق الرعاية الصحية في المجتمعات المعنية، التي سوف تمولها السلطات المحلية أو</w:t>
      </w:r>
      <w:r>
        <w:rPr>
          <w:rFonts w:hint="eastAsia"/>
          <w:rtl/>
        </w:rPr>
        <w:t> </w:t>
      </w:r>
      <w:r>
        <w:rPr>
          <w:rFonts w:hint="cs"/>
          <w:rtl/>
        </w:rPr>
        <w:t>الإقليمية.</w:t>
      </w:r>
    </w:p>
    <w:p w:rsidR="007B4C85" w:rsidRPr="003B64A3" w:rsidRDefault="007B4C85" w:rsidP="007B4C85">
      <w:pPr>
        <w:pStyle w:val="SingleTxt"/>
        <w:rPr>
          <w:rFonts w:hint="cs"/>
          <w:b/>
          <w:bCs/>
          <w:rtl/>
        </w:rPr>
      </w:pPr>
      <w:r w:rsidRPr="003B64A3">
        <w:rPr>
          <w:rFonts w:hint="cs"/>
          <w:b/>
          <w:bCs/>
          <w:rtl/>
        </w:rPr>
        <w:t>أفضل الممارسات لتوفير مرافق الرعاية الصحية في الأقاليم</w:t>
      </w:r>
    </w:p>
    <w:p w:rsidR="007B4C85" w:rsidRDefault="007B4C85" w:rsidP="007B4C85">
      <w:pPr>
        <w:pStyle w:val="SingleTxt"/>
        <w:rPr>
          <w:rFonts w:hint="cs"/>
          <w:rtl/>
        </w:rPr>
      </w:pPr>
      <w:r>
        <w:rPr>
          <w:rFonts w:hint="cs"/>
          <w:rtl/>
        </w:rPr>
        <w:tab/>
        <w:t>لدى إقليم بورغي</w:t>
      </w:r>
      <w:r>
        <w:rPr>
          <w:rFonts w:hint="cs"/>
          <w:rtl/>
          <w:lang w:bidi="ar-LB"/>
        </w:rPr>
        <w:t>ن</w:t>
      </w:r>
      <w:r>
        <w:rPr>
          <w:rFonts w:hint="cs"/>
          <w:rtl/>
        </w:rPr>
        <w:t>لاند في الوقت الراهن 191 حضانة. ومقارنة بالأعوام 1999 و</w:t>
      </w:r>
      <w:r>
        <w:rPr>
          <w:rFonts w:hint="eastAsia"/>
          <w:rtl/>
        </w:rPr>
        <w:t> </w:t>
      </w:r>
      <w:r>
        <w:rPr>
          <w:rFonts w:hint="cs"/>
          <w:rtl/>
        </w:rPr>
        <w:t>2000 و 2001، انخفض عدد المرافق مع انخفاض عدد الأطفال. ولإقليم بوغي</w:t>
      </w:r>
      <w:r>
        <w:rPr>
          <w:rFonts w:hint="cs"/>
          <w:rtl/>
          <w:lang w:bidi="ar-LB"/>
        </w:rPr>
        <w:t>ن</w:t>
      </w:r>
      <w:r>
        <w:rPr>
          <w:rFonts w:hint="cs"/>
          <w:rtl/>
        </w:rPr>
        <w:t>لاند أعلى معدل تردد على المرافق من بين جميع الأقاليم بالنسبة للأطفال الذين يتراوح عمرهم بين ثلا</w:t>
      </w:r>
      <w:r>
        <w:rPr>
          <w:rFonts w:hint="cs"/>
          <w:rtl/>
          <w:lang w:bidi="ar-LB"/>
        </w:rPr>
        <w:t>ث</w:t>
      </w:r>
      <w:r>
        <w:rPr>
          <w:rFonts w:hint="cs"/>
          <w:rtl/>
        </w:rPr>
        <w:t xml:space="preserve"> وست سنوات.</w:t>
      </w:r>
    </w:p>
    <w:p w:rsidR="007B4C85" w:rsidRDefault="007B4C85" w:rsidP="004A593D">
      <w:pPr>
        <w:pStyle w:val="SingleTxt"/>
        <w:rPr>
          <w:rFonts w:hint="cs"/>
          <w:rtl/>
        </w:rPr>
      </w:pPr>
      <w:r>
        <w:rPr>
          <w:rFonts w:hint="cs"/>
          <w:rtl/>
        </w:rPr>
        <w:tab/>
        <w:t xml:space="preserve">ومنذ عام 2002، ساعد إقليم فورارلبيرغ على زيادة معدل العمالة بين النساء من خلال تدابير </w:t>
      </w:r>
      <w:r>
        <w:rPr>
          <w:rFonts w:hint="cs"/>
          <w:rtl/>
          <w:lang w:bidi="ar-LB"/>
        </w:rPr>
        <w:t>ا</w:t>
      </w:r>
      <w:r>
        <w:rPr>
          <w:rFonts w:hint="cs"/>
          <w:rtl/>
        </w:rPr>
        <w:t>ستهدف</w:t>
      </w:r>
      <w:r>
        <w:rPr>
          <w:rFonts w:hint="cs"/>
          <w:rtl/>
          <w:lang w:bidi="ar-LB"/>
        </w:rPr>
        <w:t>ت</w:t>
      </w:r>
      <w:r>
        <w:rPr>
          <w:rFonts w:hint="cs"/>
          <w:rtl/>
        </w:rPr>
        <w:t xml:space="preserve"> سوق العمل وقطاع المدارس، وترمي هذه التدا</w:t>
      </w:r>
      <w:r w:rsidR="004A593D">
        <w:rPr>
          <w:rFonts w:hint="cs"/>
          <w:rtl/>
        </w:rPr>
        <w:t>بير</w:t>
      </w:r>
      <w:r>
        <w:rPr>
          <w:rFonts w:hint="cs"/>
          <w:rtl/>
        </w:rPr>
        <w:t xml:space="preserve"> إلى تسهيل التوفيق بين الالتزامات العائلية ومسؤوليات العمل. وتؤدي هذه الشراكة وظيفتها على ثلاثة مستويات: مستوى الشركة، والمستوى الفردي (الحلقات الدراسية، والدورات الدراسية للمرأة والرجل بشأن إجازة الوالدين، والبرنامج الإرشادي) وعلى المستوى الإقليمي، حيث تركز الجهود على التأثير على الرأي العام. وفي عام 2003، ازداد تمويل الأقاليم لمرافق رعاية الأطفال بنسبة 50 في المائة م</w:t>
      </w:r>
      <w:r>
        <w:rPr>
          <w:rFonts w:hint="cs"/>
          <w:rtl/>
          <w:lang w:bidi="ar-LB"/>
        </w:rPr>
        <w:t>م</w:t>
      </w:r>
      <w:r w:rsidR="004A593D">
        <w:rPr>
          <w:rFonts w:hint="cs"/>
          <w:rtl/>
          <w:lang w:bidi="ar-LB"/>
        </w:rPr>
        <w:t>ا</w:t>
      </w:r>
      <w:r>
        <w:rPr>
          <w:rFonts w:hint="cs"/>
          <w:rtl/>
          <w:lang w:bidi="ar-LB"/>
        </w:rPr>
        <w:t xml:space="preserve"> يُنفق</w:t>
      </w:r>
      <w:r>
        <w:rPr>
          <w:rFonts w:hint="cs"/>
          <w:rtl/>
        </w:rPr>
        <w:t xml:space="preserve"> على العاملين في المرافق. وبالإضافة إلى ذلك، تتلقى مرافق الرعاية الصحية إعانات مالية. ومنذ شهر أيلول/سبتمبر 2003، قدمت الأقاليم منحا إلى المدارس تغطي 50 في المائة </w:t>
      </w:r>
      <w:r>
        <w:rPr>
          <w:rFonts w:hint="cs"/>
          <w:rtl/>
          <w:lang w:bidi="ar-LB"/>
        </w:rPr>
        <w:t>مما يُنفق</w:t>
      </w:r>
      <w:r>
        <w:rPr>
          <w:rFonts w:hint="cs"/>
          <w:rtl/>
        </w:rPr>
        <w:t xml:space="preserve"> على الموظفين الذين يرعون التلاميذ. وفي كانون الثاني/يناير 2003، تم إنشاء مكتب استعلامات وخدمات (الاتصال بالأسر) للأهل، والسلطات المحلية، ومرافق الرعاية الصحية، والشركات. ولدى إقليم النمسا السفلى شبكة متطورة من الحضانات في الإقليم تضم حوالي 000 43 طفل. وبالإضافة إلى ذلك، يدعم الإقليم الجهود المبذولة من أجل التوصل إلى التوفيق المرن بين التزامات العمل والالتزامات العائلية. وفي الوقت الراهن، يعتني 500 1 موظف بحوالي 500</w:t>
      </w:r>
      <w:r>
        <w:rPr>
          <w:rFonts w:hint="eastAsia"/>
          <w:rtl/>
        </w:rPr>
        <w:t> </w:t>
      </w:r>
      <w:r>
        <w:rPr>
          <w:rFonts w:hint="cs"/>
          <w:rtl/>
        </w:rPr>
        <w:t xml:space="preserve">5 طفل؛ وترعى مراكز الرعاية النهارية حوالي 200 2 طفل ومراكز رعاية ما بعد اليوم المدرسي حوالي 550 6 طفل. </w:t>
      </w:r>
    </w:p>
    <w:p w:rsidR="007B4C85" w:rsidRDefault="007B4C85" w:rsidP="007B4C85">
      <w:pPr>
        <w:pStyle w:val="SingleTxt"/>
        <w:rPr>
          <w:rFonts w:hint="cs"/>
          <w:rtl/>
        </w:rPr>
      </w:pPr>
      <w:r>
        <w:rPr>
          <w:rFonts w:hint="cs"/>
          <w:rtl/>
        </w:rPr>
        <w:tab/>
        <w:t>ويقدم إقليم النمسا العليا الدعم المالي للحضانات الصيفية (انظر أيضا المرفق 1). وللحصول على مزيد من التفاصيل عن رعاية الأطفال انظر التوصيتين 233 و 234.</w:t>
      </w:r>
    </w:p>
    <w:p w:rsidR="007B4C85" w:rsidRDefault="007B4C85" w:rsidP="007B4C85">
      <w:pPr>
        <w:pStyle w:val="SingleTxt"/>
        <w:rPr>
          <w:rFonts w:hint="cs"/>
          <w:b/>
          <w:bCs/>
          <w:rtl/>
        </w:rPr>
      </w:pPr>
      <w:r>
        <w:rPr>
          <w:rFonts w:hint="cs"/>
          <w:b/>
          <w:bCs/>
          <w:rtl/>
        </w:rPr>
        <w:t>المادة 12</w:t>
      </w:r>
    </w:p>
    <w:p w:rsidR="007B4C85" w:rsidRDefault="007B4C85" w:rsidP="007B4C85">
      <w:pPr>
        <w:pStyle w:val="SingleTxt"/>
        <w:rPr>
          <w:rFonts w:hint="cs"/>
          <w:rtl/>
        </w:rPr>
      </w:pPr>
      <w:r>
        <w:rPr>
          <w:rFonts w:hint="cs"/>
          <w:rtl/>
        </w:rPr>
        <w:tab/>
        <w:t>إن توفير مستوى عالٍ من الرعاية الطبية إلى جميع المواطنين، بغض النظر عن دخلهم وعمرهم وجنسهم، مكرس على أنه هدف ذو أولوية في البرنامج الحكومي الراهن. وإن حصول المرأة على الرعاية الصحية مضمون بنفس الشروط التي يحصل عليها الرجل.</w:t>
      </w:r>
    </w:p>
    <w:p w:rsidR="007B4C85" w:rsidRDefault="007B4C85" w:rsidP="007B4C85">
      <w:pPr>
        <w:pStyle w:val="SingleTxt"/>
        <w:rPr>
          <w:rFonts w:hint="cs"/>
          <w:b/>
          <w:bCs/>
          <w:rtl/>
        </w:rPr>
      </w:pPr>
      <w:r>
        <w:rPr>
          <w:rFonts w:hint="cs"/>
          <w:b/>
          <w:bCs/>
          <w:rtl/>
        </w:rPr>
        <w:t>المهن الطبية - التوفيق بين التزامات العمل والالتزامات العائلية</w:t>
      </w:r>
    </w:p>
    <w:p w:rsidR="007B4C85" w:rsidRDefault="007B4C85" w:rsidP="007B4C85">
      <w:pPr>
        <w:pStyle w:val="SingleTxt"/>
        <w:rPr>
          <w:rFonts w:hint="cs"/>
          <w:rtl/>
        </w:rPr>
      </w:pPr>
      <w:r w:rsidRPr="003B64A3">
        <w:rPr>
          <w:rFonts w:hint="cs"/>
          <w:rtl/>
        </w:rPr>
        <w:tab/>
        <w:t xml:space="preserve">امتثالا </w:t>
      </w:r>
      <w:r>
        <w:rPr>
          <w:rFonts w:hint="cs"/>
          <w:rtl/>
        </w:rPr>
        <w:t>للأحكام التي تنظم العمل بصورة غير متفرغة كما هو منصوص عليه في</w:t>
      </w:r>
      <w:r>
        <w:rPr>
          <w:rFonts w:hint="cs"/>
          <w:rtl/>
          <w:lang w:bidi="ar-LB"/>
        </w:rPr>
        <w:t xml:space="preserve"> النشرة </w:t>
      </w:r>
      <w:r>
        <w:rPr>
          <w:rFonts w:hint="cs"/>
          <w:rtl/>
        </w:rPr>
        <w:t xml:space="preserve">التوجيه </w:t>
      </w:r>
      <w:r>
        <w:t>2001/19/EC</w:t>
      </w:r>
      <w:r>
        <w:rPr>
          <w:rFonts w:hint="cs"/>
          <w:rtl/>
        </w:rPr>
        <w:t>، أتاح التعديل الخامس لقانون المهن الطبية لعام 1998 (انظر المادة 9، الفقرتين 7 و 10 والفقرتين 8 و 11 والفقرتين 7 و 12 والفقرتين 4 و 12 (أ) والفقرتين 6 و 13، والفقرة 7) (النشرة القانونية الاتحادية الأولى رقم 140/2003) للأطباء الذين يتدربون لممارسة الطب العام أو الذين يتابعون تدريبا متخصصا أن يختاروا العمل بصورة غير متفرغة. وكان في السابق المعيار للعمل بصورة غير متفرغة هو ضرورة رعاية الطفل. والآن، يمكن إعطاء أي سبب. ومع ذلك، على الطبيب المتدرب أن يبرم عقدا مع سلطة المستشفى أو صاحب جهاز تدريس الجراحة أو المركز الطبي أو العيادة الخارجية. وعلى الأطباء الذين يتابعون تدريبا متخصصا أن يقدموا دليلا على أنهم غير قادرين على الاضطلاع بتدريبهم على أساس التفرغ. ومن بين الأسباب التي تعطى للعمل بصورة غير متفرغة</w:t>
      </w:r>
      <w:r>
        <w:rPr>
          <w:rFonts w:hint="cs"/>
          <w:rtl/>
          <w:lang w:bidi="ar-LB"/>
        </w:rPr>
        <w:t>،</w:t>
      </w:r>
      <w:r>
        <w:rPr>
          <w:rFonts w:hint="cs"/>
          <w:rtl/>
        </w:rPr>
        <w:t xml:space="preserve"> الرعاية المخففة للآلام أو رعاية طفل مصاب بمرض خطير. وقد تم حذف العبارة </w:t>
      </w:r>
      <w:r>
        <w:rPr>
          <w:rFonts w:hint="eastAsia"/>
          <w:rtl/>
        </w:rPr>
        <w:t>”ضرورة رعاية طفل</w:t>
      </w:r>
      <w:r>
        <w:rPr>
          <w:rFonts w:hint="cs"/>
          <w:rtl/>
        </w:rPr>
        <w:t xml:space="preserve">“ دون الإخلال بأي حق بموجب قانون حماية الأمومة وقانون إجازة </w:t>
      </w:r>
      <w:r>
        <w:rPr>
          <w:rFonts w:hint="cs"/>
          <w:rtl/>
          <w:lang w:bidi="ar-LB"/>
        </w:rPr>
        <w:t>الأمومة/</w:t>
      </w:r>
      <w:r>
        <w:rPr>
          <w:rFonts w:hint="cs"/>
          <w:rtl/>
        </w:rPr>
        <w:t>الأبوة</w:t>
      </w:r>
      <w:r>
        <w:rPr>
          <w:rFonts w:hint="cs"/>
          <w:rtl/>
          <w:lang w:bidi="ar-LB"/>
        </w:rPr>
        <w:t>،</w:t>
      </w:r>
      <w:r>
        <w:rPr>
          <w:rFonts w:hint="cs"/>
          <w:rtl/>
        </w:rPr>
        <w:t xml:space="preserve"> أو الأحكام القانونية التي تنظم تدريب الأطباء (انظر المادة 11، الرقم 2).</w:t>
      </w:r>
    </w:p>
    <w:p w:rsidR="007B4C85" w:rsidRDefault="007B4C85" w:rsidP="007B4C85">
      <w:pPr>
        <w:pStyle w:val="SingleTxt"/>
        <w:rPr>
          <w:rFonts w:hint="cs"/>
          <w:rtl/>
        </w:rPr>
      </w:pPr>
      <w:r>
        <w:rPr>
          <w:rFonts w:hint="cs"/>
          <w:rtl/>
        </w:rPr>
        <w:tab/>
      </w:r>
      <w:r>
        <w:rPr>
          <w:rFonts w:hint="cs"/>
          <w:rtl/>
          <w:lang w:bidi="ar-LB"/>
        </w:rPr>
        <w:t>و</w:t>
      </w:r>
      <w:r>
        <w:rPr>
          <w:rFonts w:hint="cs"/>
          <w:rtl/>
        </w:rPr>
        <w:t xml:space="preserve">بموجب التعديل الثامن والخمسين لقانون التأمينات الاجتماعية العام </w:t>
      </w:r>
      <w:r>
        <w:rPr>
          <w:rFonts w:hint="cs"/>
          <w:rtl/>
          <w:lang w:bidi="ar-LB"/>
        </w:rPr>
        <w:t>(</w:t>
      </w:r>
      <w:r>
        <w:rPr>
          <w:rFonts w:hint="cs"/>
          <w:rtl/>
        </w:rPr>
        <w:t>النشرة القانونية الاتحادية الأولى رقم 99/2001</w:t>
      </w:r>
      <w:r>
        <w:rPr>
          <w:rFonts w:hint="cs"/>
          <w:rtl/>
          <w:lang w:bidi="ar-LB"/>
        </w:rPr>
        <w:t>)</w:t>
      </w:r>
      <w:r>
        <w:rPr>
          <w:rFonts w:hint="cs"/>
          <w:rtl/>
        </w:rPr>
        <w:t>، أضيفت إلى الأحكام التي تنظم العقود بين الأطباء ومؤسسات التأمين الصحي القانونية قواعد تفوض سلطة إصدار الشهادات القانونية إلى الوزير الاتحادي. وعملا بالمادة 343، الفقرة 1 من القانون، يخضع اختيار لجنة الأطباء</w:t>
      </w:r>
      <w:r>
        <w:rPr>
          <w:rFonts w:hint="cs"/>
          <w:rtl/>
          <w:lang w:bidi="ar-LB"/>
        </w:rPr>
        <w:t>،</w:t>
      </w:r>
      <w:r>
        <w:rPr>
          <w:rFonts w:hint="cs"/>
          <w:rtl/>
        </w:rPr>
        <w:t xml:space="preserve"> والمراكز الطبية</w:t>
      </w:r>
      <w:r>
        <w:rPr>
          <w:rFonts w:hint="cs"/>
          <w:rtl/>
          <w:lang w:bidi="ar-LB"/>
        </w:rPr>
        <w:t>،</w:t>
      </w:r>
      <w:r>
        <w:rPr>
          <w:rFonts w:hint="cs"/>
          <w:rtl/>
        </w:rPr>
        <w:t xml:space="preserve"> وإبرام عقود فردية بين مؤسسات التأمينات الصحي القانونية والطبيب أو المركز الطبي</w:t>
      </w:r>
      <w:r>
        <w:rPr>
          <w:rFonts w:hint="cs"/>
          <w:rtl/>
          <w:lang w:bidi="ar-LB"/>
        </w:rPr>
        <w:t>،</w:t>
      </w:r>
      <w:r>
        <w:rPr>
          <w:rFonts w:hint="cs"/>
          <w:rtl/>
        </w:rPr>
        <w:t xml:space="preserve"> لأحكام العقد المبرم ويسري ذلك بالاتفاق مع المجلس الطبي المسؤول. ومن أجل تحقيق هذه الغاية، يصدر الوزير الاتحادي المسؤول، بناء على اقتراح المجلس الطبي، أمرا يتضمن معايير ملزمة بترتيب أصحاب الطلبات الذين سيتم إبرام عقود فردية معهم. وينبغي أن تضع هذه المعايير في الاعتبار مؤهلات وقدرات أصحاب الطلبات، والترتيب الزمني لهذه الطلبات؛ وبالإضافة إلى ذلك، ينبغي أن </w:t>
      </w:r>
      <w:r>
        <w:rPr>
          <w:rFonts w:hint="cs"/>
          <w:rtl/>
          <w:lang w:bidi="ar-LB"/>
        </w:rPr>
        <w:t>يتقيد</w:t>
      </w:r>
      <w:r>
        <w:rPr>
          <w:rFonts w:hint="cs"/>
          <w:rtl/>
        </w:rPr>
        <w:t xml:space="preserve"> ترتيب المعايير </w:t>
      </w:r>
      <w:r>
        <w:rPr>
          <w:rFonts w:hint="cs"/>
          <w:rtl/>
          <w:lang w:bidi="ar-LB"/>
        </w:rPr>
        <w:t>ب</w:t>
      </w:r>
      <w:r>
        <w:rPr>
          <w:rFonts w:hint="cs"/>
          <w:rtl/>
        </w:rPr>
        <w:t xml:space="preserve">مبادئ حرية ممارسة نشاط بأجر وحرية </w:t>
      </w:r>
      <w:r>
        <w:rPr>
          <w:rFonts w:hint="cs"/>
          <w:rtl/>
          <w:lang w:bidi="ar-LB"/>
        </w:rPr>
        <w:t xml:space="preserve">التوصل إلى </w:t>
      </w:r>
      <w:r>
        <w:rPr>
          <w:rFonts w:hint="cs"/>
          <w:rtl/>
        </w:rPr>
        <w:t>تسوية وتشريعات الاتحاد الأوروبي ذات الصلة. وينبغي استشارة رابطة مؤسسة التأمينات الاجتماعية قبل إصدار الأمر.</w:t>
      </w:r>
    </w:p>
    <w:p w:rsidR="007B4C85" w:rsidRDefault="007B4C85" w:rsidP="007B4C85">
      <w:pPr>
        <w:pStyle w:val="SingleTxt"/>
        <w:rPr>
          <w:rFonts w:hint="cs"/>
          <w:rtl/>
        </w:rPr>
      </w:pPr>
      <w:r>
        <w:rPr>
          <w:rFonts w:hint="cs"/>
          <w:rtl/>
        </w:rPr>
        <w:tab/>
        <w:t xml:space="preserve">تم سن ونشر أمر ترتيب المعايير في 20 كانون الأول/ديسمبر 2002 </w:t>
      </w:r>
      <w:r>
        <w:rPr>
          <w:rFonts w:hint="cs"/>
          <w:rtl/>
          <w:lang w:bidi="ar-LB"/>
        </w:rPr>
        <w:t>(</w:t>
      </w:r>
      <w:r>
        <w:rPr>
          <w:rFonts w:hint="cs"/>
          <w:rtl/>
        </w:rPr>
        <w:t>النشرة القانونية الاتحادية الثانية رقم 487/2002</w:t>
      </w:r>
      <w:r>
        <w:rPr>
          <w:rFonts w:hint="cs"/>
          <w:rtl/>
          <w:lang w:bidi="ar-LB"/>
        </w:rPr>
        <w:t>)</w:t>
      </w:r>
      <w:r>
        <w:rPr>
          <w:rFonts w:hint="cs"/>
          <w:rtl/>
        </w:rPr>
        <w:t>. والأمر ملتزم باستخدام لغة تلائم نوع الجنس وتضع في الاعتبار الحالة الخاصة للمرأة على النحو التالي:</w:t>
      </w:r>
    </w:p>
    <w:p w:rsidR="007B4C85" w:rsidRDefault="007B4C85" w:rsidP="007B4C85">
      <w:pPr>
        <w:pStyle w:val="SingleTxt"/>
        <w:rPr>
          <w:rFonts w:hint="cs"/>
          <w:rtl/>
        </w:rPr>
      </w:pPr>
      <w:r>
        <w:rPr>
          <w:rFonts w:hint="cs"/>
          <w:rtl/>
        </w:rPr>
        <w:t>1 -</w:t>
      </w:r>
      <w:r>
        <w:rPr>
          <w:rFonts w:hint="cs"/>
          <w:rtl/>
        </w:rPr>
        <w:tab/>
        <w:t xml:space="preserve">عملا بالمادة 2، الفقرة 2 من الأمر، </w:t>
      </w:r>
      <w:r>
        <w:rPr>
          <w:rFonts w:hint="eastAsia"/>
          <w:rtl/>
        </w:rPr>
        <w:t>”استكمال فترات حماية الأمومة بموجب قانون حماية الأمومة لعام 1979 وفترات إجازة الأمومة/الأبوة</w:t>
      </w:r>
      <w:r>
        <w:rPr>
          <w:rFonts w:hint="cs"/>
          <w:rtl/>
        </w:rPr>
        <w:t>“ معايير ينبغي أن توضع في الاعتبار عند إجراء الترتيب.</w:t>
      </w:r>
    </w:p>
    <w:p w:rsidR="007B4C85" w:rsidRDefault="007B4C85" w:rsidP="007B4C85">
      <w:pPr>
        <w:pStyle w:val="SingleTxt"/>
        <w:rPr>
          <w:rFonts w:hint="cs"/>
          <w:rtl/>
        </w:rPr>
      </w:pPr>
      <w:r>
        <w:rPr>
          <w:rFonts w:hint="cs"/>
          <w:rtl/>
        </w:rPr>
        <w:t>2 -</w:t>
      </w:r>
      <w:r>
        <w:rPr>
          <w:rFonts w:hint="cs"/>
          <w:rtl/>
        </w:rPr>
        <w:tab/>
        <w:t xml:space="preserve">عملا بالمادة 3، الفقرة 3 من الأمر، سوف يكون عدد نقط التأهيل </w:t>
      </w:r>
      <w:r>
        <w:rPr>
          <w:rFonts w:hint="cs"/>
          <w:rtl/>
          <w:lang w:bidi="ar-LB"/>
        </w:rPr>
        <w:t xml:space="preserve">هو </w:t>
      </w:r>
      <w:r>
        <w:rPr>
          <w:rFonts w:hint="cs"/>
          <w:rtl/>
        </w:rPr>
        <w:t xml:space="preserve">العامل الحاسم في اختيار أصحاب الطلبات الذين لهم نفس الترتيب. وإذا كان للمرشحين نفس عدد نقاط التأهيل، </w:t>
      </w:r>
      <w:r>
        <w:rPr>
          <w:rFonts w:hint="cs"/>
          <w:rtl/>
          <w:lang w:bidi="ar-LB"/>
        </w:rPr>
        <w:t>ف</w:t>
      </w:r>
      <w:r>
        <w:rPr>
          <w:rFonts w:hint="cs"/>
          <w:rtl/>
        </w:rPr>
        <w:t>سوف يتم عقد جلسة استماع بشأن الترتيب. وينبغي أن توضع في الاعتبار نسبة النساء ضمن منطقة جغرافية يتم خدمتها.</w:t>
      </w:r>
    </w:p>
    <w:p w:rsidR="007B4C85" w:rsidRDefault="007B4C85" w:rsidP="007B4C85">
      <w:pPr>
        <w:pStyle w:val="SingleTxt"/>
        <w:rPr>
          <w:rFonts w:hint="cs"/>
          <w:rtl/>
        </w:rPr>
      </w:pPr>
      <w:r>
        <w:rPr>
          <w:rFonts w:hint="cs"/>
          <w:rtl/>
        </w:rPr>
        <w:tab/>
        <w:t>وبما أن الموعد النهائي لتنفيذ الأمر، الذي ينبغي أن تتقيد به الأطراف في الاتفاق المبرم هو 31 كانون الأول/ديسمبر 2005، لا يتسنى إعطاء أية معلومات عن أثر أحكام الأمر.</w:t>
      </w:r>
    </w:p>
    <w:p w:rsidR="007B4C85" w:rsidRDefault="007B4C85" w:rsidP="007007C1">
      <w:pPr>
        <w:pStyle w:val="SingleTxt"/>
        <w:rPr>
          <w:rFonts w:hint="cs"/>
          <w:b/>
          <w:bCs/>
          <w:rtl/>
        </w:rPr>
      </w:pPr>
      <w:r>
        <w:rPr>
          <w:rFonts w:hint="cs"/>
          <w:b/>
          <w:bCs/>
          <w:rtl/>
        </w:rPr>
        <w:t xml:space="preserve">رعاية الأم </w:t>
      </w:r>
      <w:r w:rsidR="007007C1">
        <w:rPr>
          <w:rFonts w:hint="cs"/>
          <w:b/>
          <w:bCs/>
          <w:rtl/>
        </w:rPr>
        <w:t>-</w:t>
      </w:r>
      <w:r>
        <w:rPr>
          <w:rFonts w:hint="cs"/>
          <w:b/>
          <w:bCs/>
          <w:rtl/>
        </w:rPr>
        <w:t xml:space="preserve"> الطفل</w:t>
      </w:r>
    </w:p>
    <w:p w:rsidR="007B4C85" w:rsidRDefault="007B4C85" w:rsidP="007B4C85">
      <w:pPr>
        <w:pStyle w:val="SingleTxt"/>
        <w:rPr>
          <w:rFonts w:hint="cs"/>
          <w:rtl/>
        </w:rPr>
      </w:pPr>
      <w:r w:rsidRPr="00F065D2">
        <w:rPr>
          <w:rFonts w:hint="cs"/>
          <w:rtl/>
        </w:rPr>
        <w:tab/>
        <w:t xml:space="preserve">تم في 1 كانون الثاني/يناير 2002 </w:t>
      </w:r>
      <w:r>
        <w:rPr>
          <w:rFonts w:hint="cs"/>
          <w:rtl/>
        </w:rPr>
        <w:t xml:space="preserve">التوسع في الفحص الطبي الإلزامي العام بموجب مخطط </w:t>
      </w:r>
      <w:r w:rsidRPr="00F065D2">
        <w:rPr>
          <w:rFonts w:hint="cs"/>
          <w:rtl/>
        </w:rPr>
        <w:t xml:space="preserve">رعاية الأم </w:t>
      </w:r>
      <w:r>
        <w:rPr>
          <w:rFonts w:hint="cs"/>
          <w:rtl/>
        </w:rPr>
        <w:t>-</w:t>
      </w:r>
      <w:r w:rsidRPr="00F065D2">
        <w:rPr>
          <w:rFonts w:hint="cs"/>
          <w:rtl/>
        </w:rPr>
        <w:t xml:space="preserve"> الطفل</w:t>
      </w:r>
      <w:r>
        <w:rPr>
          <w:rFonts w:hint="cs"/>
          <w:rtl/>
        </w:rPr>
        <w:t>. وتم الاستعاضة عن حافز دفع مكافأة مشروطة بالامتثال لخطة الرعاية المنصوص عليها في نظام رعاية الأم - الطفل بتمديد فترة دفع الاستحقاقات المتعلقة برعاية الطفل (لمزيد من التفاصيل يمكن الرجوع إلى الاستحقاقات المتعلقة برعاية الطفل في المادة 13).</w:t>
      </w:r>
    </w:p>
    <w:p w:rsidR="007B4C85" w:rsidRDefault="007B4C85" w:rsidP="007B4C85">
      <w:pPr>
        <w:pStyle w:val="SingleTxt"/>
        <w:rPr>
          <w:rFonts w:hint="cs"/>
          <w:b/>
          <w:bCs/>
          <w:rtl/>
        </w:rPr>
      </w:pPr>
      <w:r>
        <w:rPr>
          <w:rFonts w:hint="cs"/>
          <w:b/>
          <w:bCs/>
          <w:rtl/>
        </w:rPr>
        <w:t>الإخصاب الأنبوبي</w:t>
      </w:r>
    </w:p>
    <w:p w:rsidR="007B4C85" w:rsidRDefault="007B4C85" w:rsidP="007B4C85">
      <w:pPr>
        <w:pStyle w:val="SingleTxt"/>
        <w:rPr>
          <w:rFonts w:hint="cs"/>
          <w:rtl/>
        </w:rPr>
      </w:pPr>
      <w:r>
        <w:rPr>
          <w:rFonts w:hint="cs"/>
          <w:rtl/>
        </w:rPr>
        <w:tab/>
        <w:t>منذ عام 1992، نظ</w:t>
      </w:r>
      <w:r>
        <w:rPr>
          <w:rFonts w:hint="cs"/>
          <w:rtl/>
          <w:lang w:bidi="ar-LB"/>
        </w:rPr>
        <w:t>ّ</w:t>
      </w:r>
      <w:r>
        <w:rPr>
          <w:rFonts w:hint="cs"/>
          <w:rtl/>
        </w:rPr>
        <w:t>م قانون الطب التناسلي التناسل بمساعدة طبية. ويوفر قانون التمويل المشترك المعتمد في 1 كانون الثاني/يناير 2002</w:t>
      </w:r>
      <w:r>
        <w:rPr>
          <w:rFonts w:hint="cs"/>
          <w:rtl/>
          <w:lang w:bidi="ar-LB"/>
        </w:rPr>
        <w:t xml:space="preserve"> نسبة</w:t>
      </w:r>
      <w:r>
        <w:rPr>
          <w:rFonts w:hint="cs"/>
          <w:rtl/>
        </w:rPr>
        <w:t xml:space="preserve"> 70 في المائة من تكاليف العلاج التي </w:t>
      </w:r>
      <w:r>
        <w:rPr>
          <w:rFonts w:hint="cs"/>
          <w:rtl/>
          <w:lang w:bidi="ar-LB"/>
        </w:rPr>
        <w:t>س</w:t>
      </w:r>
      <w:r>
        <w:rPr>
          <w:rFonts w:hint="cs"/>
          <w:rtl/>
        </w:rPr>
        <w:t>تغطيتها الأموال العامة. وأتاح تعديل على القانون توسيع دائرة الأشخاص المؤهلين.</w:t>
      </w:r>
    </w:p>
    <w:p w:rsidR="007B4C85" w:rsidRDefault="007B4C85" w:rsidP="007B4C85">
      <w:pPr>
        <w:pStyle w:val="SingleTxt"/>
        <w:rPr>
          <w:rFonts w:hint="cs"/>
          <w:rtl/>
        </w:rPr>
      </w:pPr>
      <w:r>
        <w:rPr>
          <w:rFonts w:hint="cs"/>
          <w:rtl/>
        </w:rPr>
        <w:tab/>
        <w:t xml:space="preserve">وترد أدناه أمثلة قليلة عن مختلف المبادرات التي تهتم بصحة المرأة والتي شرعت فيها الأقاليم (انظر التوصية 237). </w:t>
      </w:r>
    </w:p>
    <w:p w:rsidR="007B4C85" w:rsidRDefault="007B4C85" w:rsidP="007B4C85">
      <w:pPr>
        <w:pStyle w:val="SingleTxt"/>
        <w:rPr>
          <w:rFonts w:hint="cs"/>
          <w:b/>
          <w:bCs/>
          <w:rtl/>
        </w:rPr>
      </w:pPr>
      <w:r>
        <w:rPr>
          <w:rFonts w:hint="cs"/>
          <w:b/>
          <w:bCs/>
          <w:rtl/>
        </w:rPr>
        <w:t>فيينا</w:t>
      </w:r>
    </w:p>
    <w:p w:rsidR="007B4C85" w:rsidRDefault="007B4C85" w:rsidP="007B4C85">
      <w:pPr>
        <w:pStyle w:val="SingleTxt"/>
        <w:rPr>
          <w:rFonts w:hint="cs"/>
          <w:rtl/>
        </w:rPr>
      </w:pPr>
      <w:r>
        <w:rPr>
          <w:rFonts w:hint="cs"/>
          <w:b/>
          <w:bCs/>
          <w:rtl/>
        </w:rPr>
        <w:t xml:space="preserve">المهاجرات: </w:t>
      </w:r>
      <w:r>
        <w:rPr>
          <w:rFonts w:hint="cs"/>
          <w:rtl/>
        </w:rPr>
        <w:t>ينبغي فتح أبواب المرافق الصحية كلها</w:t>
      </w:r>
      <w:r w:rsidRPr="0003164D">
        <w:rPr>
          <w:rFonts w:hint="cs"/>
          <w:rtl/>
        </w:rPr>
        <w:t xml:space="preserve"> </w:t>
      </w:r>
      <w:r>
        <w:rPr>
          <w:rFonts w:hint="cs"/>
          <w:rtl/>
        </w:rPr>
        <w:t xml:space="preserve">للمهاجرات المتضررات على أساس المساواة ، وينبغي اتخاذ تدابير لتعويضهن عن عدم معرفتهن للأمور بالإضافة إلى الصعوبات اللغوية التي يتعرضن لها. وتم اتخاذ التدابير التالية لتحقيق هذه الغايات: </w:t>
      </w:r>
    </w:p>
    <w:p w:rsidR="007B4C85" w:rsidRDefault="007B4C85" w:rsidP="007B4C85">
      <w:pPr>
        <w:pStyle w:val="SingleTxt"/>
        <w:rPr>
          <w:rFonts w:hint="cs"/>
          <w:rtl/>
        </w:rPr>
      </w:pPr>
      <w:r w:rsidRPr="00F065D2">
        <w:rPr>
          <w:rFonts w:hint="cs"/>
          <w:rtl/>
        </w:rPr>
        <w:tab/>
        <w:t>تم ترتيب</w:t>
      </w:r>
      <w:r>
        <w:rPr>
          <w:rFonts w:hint="cs"/>
          <w:rtl/>
        </w:rPr>
        <w:t xml:space="preserve"> جلسات إعلامية بلغتهن الأصلية حول مواضيع مخاطر السرطان، والنوبات القلبية، والالتهابات المعدية (التهابات الكبد من نوع باء، والأمراض المنقولة عن طريق الاتصال الجنسي، والإيدز) ووسائل منع الحمل، كما تم إعداد منشورات تتصل بصحة المرأة بمختلف اللغات.</w:t>
      </w:r>
    </w:p>
    <w:p w:rsidR="007B4C85" w:rsidRDefault="007B4C85" w:rsidP="007B4C85">
      <w:pPr>
        <w:pStyle w:val="SingleTxt"/>
        <w:rPr>
          <w:rFonts w:hint="cs"/>
          <w:rtl/>
        </w:rPr>
      </w:pPr>
      <w:r>
        <w:rPr>
          <w:rFonts w:hint="cs"/>
          <w:rtl/>
        </w:rPr>
        <w:tab/>
        <w:t xml:space="preserve">وتم إنشاء مركز </w:t>
      </w:r>
      <w:r>
        <w:rPr>
          <w:rFonts w:hint="cs"/>
          <w:rtl/>
          <w:lang w:bidi="ar-LB"/>
        </w:rPr>
        <w:t>ي</w:t>
      </w:r>
      <w:r>
        <w:rPr>
          <w:rFonts w:hint="cs"/>
          <w:rtl/>
        </w:rPr>
        <w:t>هتم بصحة المرأة</w:t>
      </w:r>
      <w:r>
        <w:rPr>
          <w:rFonts w:hint="cs"/>
          <w:rtl/>
          <w:lang w:bidi="ar-LB"/>
        </w:rPr>
        <w:t>،</w:t>
      </w:r>
      <w:r>
        <w:rPr>
          <w:rFonts w:hint="cs"/>
          <w:rtl/>
        </w:rPr>
        <w:t xml:space="preserve"> في المقاطعات التي تعيش فيها نسبة كبيرة من المهاجرات، ويركز المركز على اتخاذ تدابير صحية تستهدف المهاجرات.</w:t>
      </w:r>
    </w:p>
    <w:p w:rsidR="007B4C85" w:rsidRDefault="007B4C85" w:rsidP="007B4C85">
      <w:pPr>
        <w:pStyle w:val="SingleTxt"/>
        <w:rPr>
          <w:rFonts w:hint="cs"/>
          <w:rtl/>
        </w:rPr>
      </w:pPr>
      <w:r>
        <w:rPr>
          <w:rFonts w:hint="cs"/>
          <w:rtl/>
        </w:rPr>
        <w:tab/>
        <w:t xml:space="preserve">وتم إنشاء مكتب خاص لإسداء المشورة فيما يتعلق بتشويه الأعضاء التناسلية للأنثى وذلك في عيادة جراحية لطبيبة أمراض نساء مطلعة على الخلفيات الثقافية والطبية لموضوع تشويه الأعضاء التناسلية للأنثى. </w:t>
      </w:r>
    </w:p>
    <w:p w:rsidR="007B4C85" w:rsidRDefault="007B4C85" w:rsidP="007B4C85">
      <w:pPr>
        <w:pStyle w:val="SingleTxt"/>
        <w:rPr>
          <w:rFonts w:hint="cs"/>
          <w:rtl/>
        </w:rPr>
      </w:pPr>
      <w:r>
        <w:rPr>
          <w:rFonts w:hint="cs"/>
          <w:b/>
          <w:bCs/>
          <w:rtl/>
        </w:rPr>
        <w:t>النساء المعوقات:</w:t>
      </w:r>
      <w:r>
        <w:rPr>
          <w:rFonts w:hint="cs"/>
          <w:rtl/>
        </w:rPr>
        <w:t xml:space="preserve"> تسهيل الحصول على فحص طبي نسائي: والهدف من مشروع </w:t>
      </w:r>
      <w:r>
        <w:rPr>
          <w:rFonts w:hint="eastAsia"/>
          <w:rtl/>
        </w:rPr>
        <w:t>”إزالة الحواجز</w:t>
      </w:r>
      <w:r>
        <w:rPr>
          <w:rFonts w:hint="cs"/>
          <w:rtl/>
        </w:rPr>
        <w:t xml:space="preserve">“ هو تحسين فرز الأمراض النسائية ورعاية النساء المعوقات. ويركز المشروع على تحديد الشروط والتدابير الرامية إلى جعل فرز الأمراض النسائية عملية منتظمة، وجعل الرعاية </w:t>
      </w:r>
      <w:r>
        <w:rPr>
          <w:rFonts w:hint="eastAsia"/>
          <w:rtl/>
        </w:rPr>
        <w:t>”مرغوب فيها</w:t>
      </w:r>
      <w:r>
        <w:rPr>
          <w:rFonts w:hint="cs"/>
          <w:rtl/>
        </w:rPr>
        <w:t>“ وسهلة الحصول عليها بالنسبة للمرأة المعنية. ويتعين القيام بدراستين استقصائيتين الأولى لدراسة الوضع الراهن وتقييم الخبرة السابقة والاحتياجات الراهنة المتعلقة بفرز الأمراض النسائية وتقديم الرعاية من وجهة نظر النساء المعوقات، والثانية لدراسة العلاج الذي يمكن تقديمه من وجهة نظر أطباء أمراض النساء. وسوف يتم تحليل البيانات والمعلومات التي يتم الحصول عليها، والتي ستتخذ كأساس لوضع قائمة بالتحسينات التي يمكن إجراؤها بما يتناسب مع المرأة.</w:t>
      </w:r>
    </w:p>
    <w:p w:rsidR="007B4C85" w:rsidRDefault="007B4C85" w:rsidP="007B4C85">
      <w:pPr>
        <w:pStyle w:val="SingleTxt"/>
        <w:rPr>
          <w:rFonts w:hint="cs"/>
          <w:rtl/>
        </w:rPr>
      </w:pPr>
      <w:r>
        <w:rPr>
          <w:rFonts w:hint="cs"/>
          <w:b/>
          <w:bCs/>
          <w:rtl/>
        </w:rPr>
        <w:t xml:space="preserve">مشروع </w:t>
      </w:r>
      <w:r>
        <w:rPr>
          <w:rFonts w:hint="eastAsia"/>
          <w:b/>
          <w:bCs/>
          <w:rtl/>
        </w:rPr>
        <w:t>”</w:t>
      </w:r>
      <w:r>
        <w:rPr>
          <w:b/>
          <w:bCs/>
        </w:rPr>
        <w:t>Fem Vital</w:t>
      </w:r>
      <w:r>
        <w:rPr>
          <w:rFonts w:hint="eastAsia"/>
          <w:b/>
          <w:bCs/>
          <w:rtl/>
        </w:rPr>
        <w:t>“</w:t>
      </w:r>
      <w:r>
        <w:rPr>
          <w:rFonts w:hint="cs"/>
          <w:b/>
          <w:bCs/>
          <w:rtl/>
        </w:rPr>
        <w:t xml:space="preserve">: </w:t>
      </w:r>
      <w:r>
        <w:rPr>
          <w:rFonts w:hint="cs"/>
          <w:rtl/>
        </w:rPr>
        <w:t>تم تنظيم</w:t>
      </w:r>
      <w:r>
        <w:rPr>
          <w:rFonts w:hint="cs"/>
          <w:rtl/>
          <w:lang w:bidi="ar-LB"/>
        </w:rPr>
        <w:t xml:space="preserve"> برنامج </w:t>
      </w:r>
      <w:r>
        <w:rPr>
          <w:rFonts w:hint="eastAsia"/>
          <w:rtl/>
        </w:rPr>
        <w:t>”</w:t>
      </w:r>
      <w:r>
        <w:rPr>
          <w:rFonts w:hint="cs"/>
          <w:rtl/>
        </w:rPr>
        <w:t xml:space="preserve">أيام فيينا لرعاية صحة المرأة“ للمرة الرابعة، ويعالج </w:t>
      </w:r>
      <w:r>
        <w:rPr>
          <w:rFonts w:hint="cs"/>
          <w:rtl/>
          <w:lang w:bidi="ar-LB"/>
        </w:rPr>
        <w:t xml:space="preserve">البرنامج </w:t>
      </w:r>
      <w:r>
        <w:rPr>
          <w:rFonts w:hint="cs"/>
          <w:rtl/>
        </w:rPr>
        <w:t>مجموعة كبيرة من المسائل المتصلة بالصحة والرفاهية وتنظيم الحياة. (</w:t>
      </w:r>
      <w:r>
        <w:rPr>
          <w:rFonts w:hint="eastAsia"/>
          <w:rtl/>
        </w:rPr>
        <w:t>”</w:t>
      </w:r>
      <w:r>
        <w:rPr>
          <w:rFonts w:hint="cs"/>
          <w:rtl/>
        </w:rPr>
        <w:t>نقاط التفتيش الصحي</w:t>
      </w:r>
      <w:r>
        <w:rPr>
          <w:rFonts w:hint="eastAsia"/>
          <w:rtl/>
        </w:rPr>
        <w:t>“</w:t>
      </w:r>
      <w:r>
        <w:rPr>
          <w:rFonts w:hint="cs"/>
          <w:rtl/>
        </w:rPr>
        <w:t xml:space="preserve"> تقدم فحصا طبيا مجانيا، واستشارة مستفيضة تغطي مجالات تتراوح بين وسائل منع الحمل، والعلاقات الجنسية، والمشورة النفسية والقانونية، فضلا عن محاضرات متخصصة، وتقدم كل هذه الخدمات تحت سقف واحد). </w:t>
      </w:r>
    </w:p>
    <w:p w:rsidR="007B4C85" w:rsidRDefault="007B4C85" w:rsidP="007B4C85">
      <w:pPr>
        <w:pStyle w:val="SingleTxt"/>
        <w:rPr>
          <w:rFonts w:hint="cs"/>
          <w:rtl/>
        </w:rPr>
      </w:pPr>
      <w:r w:rsidRPr="009706E8">
        <w:rPr>
          <w:rFonts w:hint="cs"/>
          <w:rtl/>
        </w:rPr>
        <w:tab/>
        <w:t xml:space="preserve">وفي عام 2000، </w:t>
      </w:r>
      <w:r>
        <w:rPr>
          <w:rFonts w:hint="cs"/>
          <w:rtl/>
        </w:rPr>
        <w:t>تم نشر التقرير الصحي الشامل لإقليم سالزبورغ الذي استع</w:t>
      </w:r>
      <w:r>
        <w:rPr>
          <w:rFonts w:hint="cs"/>
          <w:rtl/>
          <w:lang w:bidi="ar-LB"/>
        </w:rPr>
        <w:t>ر</w:t>
      </w:r>
      <w:r>
        <w:rPr>
          <w:rFonts w:hint="cs"/>
          <w:rtl/>
        </w:rPr>
        <w:t xml:space="preserve">ض الرعاية الصحية التي يقدمها الإقليم إلى المرأة ويتضمن توصيات </w:t>
      </w:r>
      <w:r>
        <w:rPr>
          <w:rFonts w:hint="cs"/>
          <w:rtl/>
          <w:lang w:bidi="ar-LB"/>
        </w:rPr>
        <w:t>ل</w:t>
      </w:r>
      <w:r>
        <w:rPr>
          <w:rFonts w:hint="cs"/>
          <w:rtl/>
        </w:rPr>
        <w:t>تحسين الحالة. وذكر أيضا الرعاية الصحية الوقائية التي تقدمها المراكز الصحية والعيادات الخارجية في المستشفيات الإقليمية.</w:t>
      </w:r>
    </w:p>
    <w:p w:rsidR="007B4C85" w:rsidRDefault="007B4C85" w:rsidP="007B4C85">
      <w:pPr>
        <w:pStyle w:val="SingleTxt"/>
        <w:rPr>
          <w:rFonts w:hint="cs"/>
          <w:rtl/>
        </w:rPr>
      </w:pPr>
      <w:r>
        <w:rPr>
          <w:rFonts w:hint="cs"/>
          <w:rtl/>
        </w:rPr>
        <w:tab/>
        <w:t xml:space="preserve">ومنذ عام 2000، كان العنف الموجه ضد المرأة موضوعا </w:t>
      </w:r>
      <w:r>
        <w:rPr>
          <w:rFonts w:hint="cs"/>
          <w:rtl/>
          <w:lang w:bidi="ar-LB"/>
        </w:rPr>
        <w:t xml:space="preserve">يعالج </w:t>
      </w:r>
      <w:r>
        <w:rPr>
          <w:rFonts w:hint="cs"/>
          <w:rtl/>
        </w:rPr>
        <w:t xml:space="preserve">في الدورات التدريبية للعاملين في المهن الطبية في كل أنحاء إقليم النمسا السفلى، وتناول تقرير النمسا السفلى عن صحة المرأة، الصادر في عام 1999، هذا الموضوع. وفي إقليم تيرول، تم تنظيم مشاريع صحية لصالح المرأة منذ عام 1995. وفي عام 2002، تم إنشاء خدمة 24 ساعة في اليوم في عنبر أمراض النساء في مستشفى دورنبيرغ في إقليم فورارلبيرغ، حيث تستطيع النساء اللاتي وقعن ضحايا الإساءات الجنسية أن يذهبن لكي تفحصهن طبيبات متخصصات في أمراض النساء. ونظم إقليم النمسا العليا حلقات دراسية عن كيفية الحد من التوتر (للحصول على مزيد من التفاصيل انظر المرفق 1). </w:t>
      </w:r>
    </w:p>
    <w:p w:rsidR="007B4C85" w:rsidRDefault="007B4C85" w:rsidP="007B4C85">
      <w:pPr>
        <w:pStyle w:val="SingleTxt"/>
        <w:rPr>
          <w:rFonts w:hint="cs"/>
          <w:b/>
          <w:bCs/>
          <w:rtl/>
        </w:rPr>
      </w:pPr>
      <w:r>
        <w:rPr>
          <w:rFonts w:hint="cs"/>
          <w:b/>
          <w:bCs/>
          <w:rtl/>
        </w:rPr>
        <w:t>المادة 13</w:t>
      </w:r>
    </w:p>
    <w:p w:rsidR="007B4C85" w:rsidRDefault="007B4C85" w:rsidP="007B4C85">
      <w:pPr>
        <w:pStyle w:val="SingleTxt"/>
        <w:rPr>
          <w:rFonts w:hint="cs"/>
          <w:b/>
          <w:bCs/>
          <w:rtl/>
        </w:rPr>
      </w:pPr>
      <w:r>
        <w:rPr>
          <w:rFonts w:hint="cs"/>
          <w:b/>
          <w:bCs/>
          <w:rtl/>
        </w:rPr>
        <w:t>المادة 13، الحرف (أ)</w:t>
      </w:r>
    </w:p>
    <w:p w:rsidR="007B4C85" w:rsidRDefault="007B4C85" w:rsidP="007B4C85">
      <w:pPr>
        <w:pStyle w:val="SingleTxt"/>
        <w:rPr>
          <w:rFonts w:hint="cs"/>
          <w:b/>
          <w:bCs/>
          <w:rtl/>
        </w:rPr>
      </w:pPr>
      <w:r>
        <w:rPr>
          <w:rFonts w:hint="cs"/>
          <w:b/>
          <w:bCs/>
          <w:rtl/>
        </w:rPr>
        <w:t xml:space="preserve">التعويضات العائلية </w:t>
      </w:r>
    </w:p>
    <w:p w:rsidR="007B4C85" w:rsidRDefault="007B4C85" w:rsidP="007B4C85">
      <w:pPr>
        <w:pStyle w:val="SingleTxt"/>
        <w:rPr>
          <w:rFonts w:hint="cs"/>
          <w:rtl/>
        </w:rPr>
      </w:pPr>
      <w:r>
        <w:rPr>
          <w:rFonts w:hint="cs"/>
          <w:rtl/>
        </w:rPr>
        <w:tab/>
        <w:t xml:space="preserve">لأمهات الأطفال الأولوية في الحصول على التعويضات. وخلال الفترة قيد الاستعراض، تم مرارا وتكرارا زيادة التعويضات العائلية، والعلاوات الخاصة بالأطفال، والعلاوات الخاصة بالأطفال المعوقين. وبسبب الزيادات الإضافية عندما يبلغ الطفل </w:t>
      </w:r>
      <w:r>
        <w:rPr>
          <w:rFonts w:hint="cs"/>
          <w:rtl/>
          <w:lang w:bidi="ar-LB"/>
        </w:rPr>
        <w:t>ال</w:t>
      </w:r>
      <w:r>
        <w:rPr>
          <w:rFonts w:hint="cs"/>
          <w:rtl/>
        </w:rPr>
        <w:t>سن</w:t>
      </w:r>
      <w:r>
        <w:rPr>
          <w:rFonts w:hint="cs"/>
          <w:rtl/>
          <w:lang w:bidi="ar-LB"/>
        </w:rPr>
        <w:t>ة الثالثة من عمره</w:t>
      </w:r>
      <w:r>
        <w:rPr>
          <w:rFonts w:hint="cs"/>
          <w:rtl/>
        </w:rPr>
        <w:t xml:space="preserve">، أدت التحسينات التي أدخلت في عام 2003 وحدها إلى زيادة دخل الأسر بحوالي 130 مليون يورو سنويا. وأدت الزيادات الأعلى للأطفال المعوقين بصورة </w:t>
      </w:r>
      <w:r>
        <w:rPr>
          <w:rFonts w:hint="cs"/>
          <w:rtl/>
          <w:lang w:bidi="ar-LB"/>
        </w:rPr>
        <w:t>شديد</w:t>
      </w:r>
      <w:r>
        <w:rPr>
          <w:rFonts w:hint="cs"/>
          <w:rtl/>
        </w:rPr>
        <w:t>ة إلى زيادات سنوية تصل إلى حوالي 5 ملايين يورو. واعتبارا من 1 كانون الثاني/يناير 2003، بلغت التعويضات العائلية التي يتم الحصول عليها من جراء ولادة طفل 105.40 يورو وتصبح هذه التعويضات 112.70 يورو عندما ي</w:t>
      </w:r>
      <w:r>
        <w:rPr>
          <w:rFonts w:hint="cs"/>
          <w:rtl/>
          <w:lang w:bidi="ar-LB"/>
        </w:rPr>
        <w:t>بلغ الطفل السنة الثالثة من العمر</w:t>
      </w:r>
      <w:r>
        <w:rPr>
          <w:rFonts w:hint="cs"/>
          <w:rtl/>
        </w:rPr>
        <w:t xml:space="preserve"> ، وتصل إلى 130.90 يورو عندما ي</w:t>
      </w:r>
      <w:r>
        <w:rPr>
          <w:rFonts w:hint="cs"/>
          <w:rtl/>
          <w:lang w:bidi="ar-LB"/>
        </w:rPr>
        <w:t>بلغ</w:t>
      </w:r>
      <w:r>
        <w:rPr>
          <w:rFonts w:hint="cs"/>
          <w:rtl/>
        </w:rPr>
        <w:t xml:space="preserve"> الطفل </w:t>
      </w:r>
      <w:r>
        <w:rPr>
          <w:rFonts w:hint="cs"/>
          <w:rtl/>
          <w:lang w:bidi="ar-LB"/>
        </w:rPr>
        <w:t>السنة العاشرة من العمر</w:t>
      </w:r>
      <w:r>
        <w:rPr>
          <w:rFonts w:hint="cs"/>
          <w:rtl/>
        </w:rPr>
        <w:t>، وتصل إلى 152.70 يورو عندما ي</w:t>
      </w:r>
      <w:r>
        <w:rPr>
          <w:rFonts w:hint="cs"/>
          <w:rtl/>
          <w:lang w:bidi="ar-LB"/>
        </w:rPr>
        <w:t>بلغ</w:t>
      </w:r>
      <w:r>
        <w:rPr>
          <w:rFonts w:hint="cs"/>
          <w:rtl/>
        </w:rPr>
        <w:t xml:space="preserve"> الطفل </w:t>
      </w:r>
      <w:r>
        <w:rPr>
          <w:rFonts w:hint="cs"/>
          <w:rtl/>
          <w:lang w:bidi="ar-LB"/>
        </w:rPr>
        <w:t>السنة التاسعة عشرة من العمر</w:t>
      </w:r>
      <w:r>
        <w:rPr>
          <w:rFonts w:hint="cs"/>
          <w:rtl/>
        </w:rPr>
        <w:t xml:space="preserve">، أما العلاوة بالنسبة لكل طفل معوق فهي 138.30 يورو. وإذا كانت التعويضات العائلية هي لطفلين، </w:t>
      </w:r>
      <w:r>
        <w:rPr>
          <w:rFonts w:hint="cs"/>
          <w:rtl/>
          <w:lang w:bidi="ar-LB"/>
        </w:rPr>
        <w:t>ف</w:t>
      </w:r>
      <w:r>
        <w:rPr>
          <w:rFonts w:hint="cs"/>
          <w:rtl/>
        </w:rPr>
        <w:t xml:space="preserve">يضاف شهريا إلى مجموع التعويضات العائلية مبلغ 12.80 يورو، وبالنسبة للأسر التي لديها أكثر من </w:t>
      </w:r>
      <w:r>
        <w:rPr>
          <w:rFonts w:hint="cs"/>
          <w:rtl/>
          <w:lang w:bidi="ar-LB"/>
        </w:rPr>
        <w:t>ثلاثة</w:t>
      </w:r>
      <w:r>
        <w:rPr>
          <w:rFonts w:hint="cs"/>
          <w:rtl/>
        </w:rPr>
        <w:t xml:space="preserve"> أطفال، تكون الزيادة الشهرية عن كل طفل 25.50 يورو. </w:t>
      </w:r>
    </w:p>
    <w:p w:rsidR="007B4C85" w:rsidRDefault="007B4C85" w:rsidP="007B4C85">
      <w:pPr>
        <w:pStyle w:val="SingleTxt"/>
        <w:rPr>
          <w:rFonts w:hint="cs"/>
          <w:rtl/>
        </w:rPr>
      </w:pPr>
      <w:r>
        <w:rPr>
          <w:rFonts w:hint="cs"/>
          <w:rtl/>
        </w:rPr>
        <w:tab/>
        <w:t>ويحق لكل دافع ضرائب يحصل على تعويضات عائلية أن تخفض ضرائبه. وهذه أداة أخرى ترمي إلى تخفيف عبء تربية الأطفال، وت</w:t>
      </w:r>
      <w:r>
        <w:rPr>
          <w:rFonts w:hint="cs"/>
          <w:rtl/>
          <w:lang w:bidi="ar-LB"/>
        </w:rPr>
        <w:t>ُ</w:t>
      </w:r>
      <w:r>
        <w:rPr>
          <w:rFonts w:hint="cs"/>
          <w:rtl/>
        </w:rPr>
        <w:t>منح نقدا للذين يدفعون ضرائب قليلة أو لا يدفعون ضرائب بالمرة. ويتم تخفيض ضريبة من يحصل على التعويضات العائلية ويكون ذلك عادة من نصيب الأم. وتقدم الأقاليم علاوات مختلفة للأسر المحتاجة.</w:t>
      </w:r>
    </w:p>
    <w:p w:rsidR="007B4C85" w:rsidRDefault="007B4C85" w:rsidP="007B4C85">
      <w:pPr>
        <w:pStyle w:val="SingleTxt"/>
        <w:rPr>
          <w:rFonts w:hint="cs"/>
          <w:b/>
          <w:bCs/>
          <w:rtl/>
        </w:rPr>
      </w:pPr>
      <w:r>
        <w:rPr>
          <w:rFonts w:hint="cs"/>
          <w:b/>
          <w:bCs/>
          <w:rtl/>
        </w:rPr>
        <w:t>الاستحقاقات المتعلقة برعاية الأطفال</w:t>
      </w:r>
    </w:p>
    <w:p w:rsidR="007B4C85" w:rsidRDefault="007B4C85" w:rsidP="007B4C85">
      <w:pPr>
        <w:pStyle w:val="SingleTxt"/>
        <w:rPr>
          <w:rFonts w:hint="cs"/>
          <w:b/>
          <w:bCs/>
          <w:rtl/>
        </w:rPr>
      </w:pPr>
      <w:r w:rsidRPr="00383533">
        <w:rPr>
          <w:rFonts w:hint="cs"/>
          <w:b/>
          <w:bCs/>
          <w:rtl/>
        </w:rPr>
        <w:t>1 -</w:t>
      </w:r>
      <w:r w:rsidRPr="00383533">
        <w:rPr>
          <w:rFonts w:hint="cs"/>
          <w:b/>
          <w:bCs/>
          <w:rtl/>
        </w:rPr>
        <w:tab/>
        <w:t>تعليقات عامة</w:t>
      </w:r>
    </w:p>
    <w:p w:rsidR="007B4C85" w:rsidRDefault="007B4C85" w:rsidP="007B4C85">
      <w:pPr>
        <w:pStyle w:val="SingleTxt"/>
        <w:rPr>
          <w:rFonts w:hint="cs"/>
          <w:rtl/>
        </w:rPr>
      </w:pPr>
      <w:r>
        <w:rPr>
          <w:rFonts w:hint="cs"/>
          <w:b/>
          <w:bCs/>
          <w:rtl/>
        </w:rPr>
        <w:tab/>
      </w:r>
      <w:r>
        <w:rPr>
          <w:rFonts w:hint="cs"/>
          <w:rtl/>
        </w:rPr>
        <w:t xml:space="preserve">بالنسبة للأطفال الذين ولدوا قبل 31 كانون الأول/ديسمبر 2001، الحق في أخذ إجازة الوالدين في النمسا مشروط بالعمالة المستقلة وباكتساب الحقوق ذات الصلة. وعندما تم استحداث إجازة الأمومة في عام 1961، كانت تدفع هذه الإجازة من التأمين ضد البطالة لكي يحل المبلغ المدفوع محل الدخل المفقود أثناء فترات رعاية الأطفال. واعتبارا من 1974 وما بعده، لم يعد تقدير مبلغ التعويضات على أساس الدخل </w:t>
      </w:r>
      <w:r>
        <w:rPr>
          <w:rFonts w:hint="cs"/>
          <w:rtl/>
          <w:lang w:bidi="ar-LB"/>
        </w:rPr>
        <w:t xml:space="preserve">بل أصبحت </w:t>
      </w:r>
      <w:r>
        <w:rPr>
          <w:rFonts w:hint="cs"/>
          <w:rtl/>
        </w:rPr>
        <w:t xml:space="preserve">تدفع </w:t>
      </w:r>
      <w:r>
        <w:rPr>
          <w:rFonts w:hint="cs"/>
          <w:rtl/>
          <w:lang w:bidi="ar-LB"/>
        </w:rPr>
        <w:t xml:space="preserve">في شكل </w:t>
      </w:r>
      <w:r>
        <w:rPr>
          <w:rFonts w:hint="cs"/>
          <w:rtl/>
        </w:rPr>
        <w:t>مبلغ مقطوع. ويحق للمزارعات وللنساء اللاتي يعملن لحسابهن الحصول على دعم جزئي يصل إلى حوالي نصف الاستحقاق المتعلق بإجازة الأمومة/الأبوة. ومع مرور السنوات، أصبحت تدفع هذه الاستحقاقات بصورة رئيسية من صندوق معادلة أعباء الأسرة.</w:t>
      </w:r>
    </w:p>
    <w:p w:rsidR="007B4C85" w:rsidRDefault="007B4C85" w:rsidP="007B4C85">
      <w:pPr>
        <w:pStyle w:val="SingleTxt"/>
        <w:rPr>
          <w:rFonts w:hint="cs"/>
          <w:rtl/>
        </w:rPr>
      </w:pPr>
      <w:r>
        <w:rPr>
          <w:rFonts w:hint="cs"/>
          <w:rtl/>
        </w:rPr>
        <w:tab/>
        <w:t>وبالنسبة للأطفال الذين ولدوا في 1 كانون الثاني/يناير 2002 وما بعد ذلك، حل محل إجازة الوالدين السابقة و/أو الدعم الجزئي (النشرة القانونية الاتحادية الأولى رقم 103/2001) الاستحقاق المتعلق برعاية الأطفال. وهذا الاستحقاق يدفع لجميع الوالدين، بغض النظر عما إذا كانت لديهم في السابق وظيفة أو تأمين إلزامي. ومن ثم، اتسعت دائرة الذين يحق لهم الحصول على هذا الاستحقاق فشمل ربات البي</w:t>
      </w:r>
      <w:r>
        <w:rPr>
          <w:rFonts w:hint="cs"/>
          <w:rtl/>
          <w:lang w:bidi="ar-LB"/>
        </w:rPr>
        <w:t>و</w:t>
      </w:r>
      <w:r>
        <w:rPr>
          <w:rFonts w:hint="cs"/>
          <w:rtl/>
        </w:rPr>
        <w:t>ت، والطلاب، والأشخاص الذين يعملون لحسابهم، والمزارعات والمزارعين، والذين يعملون بصورة غير متفرغة، والذين يعملون تقريبا بصورة مستقلة. والاستحقاق المتعلق برعاية الأطفال طريقة تسمح بالاعتراف بخدمات رعاية الأطفال التي يقدمها الوالدان وتعويضهما جزئيا. ويتم تمويل الاستحقاقات المتعلقة برعاية الأطفال من صندوق معادلة أعباء الأسرة. والمبلغ اليومي هو 14.53 يورو (2003) ويأتي من صندوق التأمينات الصحية ذو الصلة. ولا يدفع الاستحقاق المتعلق برعاية الأطفال إلا لأصغر الأطفال، ويدفع كذلك للأطفال الذين تستقبلهم الأسر، والأطفال بالتبني.</w:t>
      </w:r>
    </w:p>
    <w:p w:rsidR="007B4C85" w:rsidRDefault="007B4C85" w:rsidP="007B4C85">
      <w:pPr>
        <w:pStyle w:val="SingleTxt"/>
        <w:rPr>
          <w:rFonts w:hint="cs"/>
          <w:rtl/>
        </w:rPr>
      </w:pPr>
      <w:r>
        <w:rPr>
          <w:rFonts w:hint="cs"/>
          <w:rtl/>
        </w:rPr>
        <w:tab/>
        <w:t xml:space="preserve">ويحق للأسر ذات المعيل الواحد والأسر ذات الدخل المنخفض </w:t>
      </w:r>
      <w:r>
        <w:rPr>
          <w:rFonts w:hint="cs"/>
          <w:rtl/>
          <w:lang w:bidi="ar-LB"/>
        </w:rPr>
        <w:t xml:space="preserve">الحصول على </w:t>
      </w:r>
      <w:r>
        <w:rPr>
          <w:rFonts w:hint="cs"/>
          <w:rtl/>
        </w:rPr>
        <w:t>علاوة قدرها 6.06 يورو في اليوم، ويتعين إعادة هذا المبلغ بمجرد أن يتجاوز الدخل حدا معينا.</w:t>
      </w:r>
    </w:p>
    <w:p w:rsidR="007B4C85" w:rsidRDefault="007B4C85" w:rsidP="007B4C85">
      <w:pPr>
        <w:pStyle w:val="SingleTxt"/>
        <w:rPr>
          <w:rFonts w:hint="cs"/>
          <w:rtl/>
        </w:rPr>
      </w:pPr>
      <w:r>
        <w:rPr>
          <w:rFonts w:hint="cs"/>
          <w:rtl/>
        </w:rPr>
        <w:tab/>
        <w:t>وفي 1 كانون الثاني/يناير 2004، تم زيادة الاستحقاق المتعلق برعاية الأطفال بنسبة 50 في المائة للولادات المتعددة، اعتبارا من الولادة الثانية.</w:t>
      </w:r>
    </w:p>
    <w:p w:rsidR="007B4C85" w:rsidRDefault="007B4C85" w:rsidP="007B4C85">
      <w:pPr>
        <w:pStyle w:val="SingleTxt"/>
        <w:rPr>
          <w:rFonts w:hint="cs"/>
          <w:rtl/>
        </w:rPr>
      </w:pPr>
      <w:r>
        <w:rPr>
          <w:rFonts w:hint="cs"/>
          <w:rtl/>
        </w:rPr>
        <w:tab/>
        <w:t>وينطبق هذا الحكم على الأطفال الذين ولدوا في 1 كانون الثاني/يناير 2004 أو</w:t>
      </w:r>
      <w:r>
        <w:rPr>
          <w:rFonts w:hint="eastAsia"/>
          <w:rtl/>
        </w:rPr>
        <w:t> </w:t>
      </w:r>
      <w:r>
        <w:rPr>
          <w:rFonts w:hint="cs"/>
          <w:rtl/>
        </w:rPr>
        <w:t>بعد هذا التاريخ، وسوف يستفيد منه أيضا الوالدان اللذان ولد لهما عدة أطفال بين 31</w:t>
      </w:r>
      <w:r>
        <w:rPr>
          <w:rFonts w:hint="eastAsia"/>
          <w:rtl/>
        </w:rPr>
        <w:t> </w:t>
      </w:r>
      <w:r>
        <w:rPr>
          <w:rFonts w:hint="cs"/>
          <w:rtl/>
        </w:rPr>
        <w:t>كانون الأول/ديسمبر 2001 و 1 كانون الثاني/يناير 2004 شريطة أن يكونا قد حصلا على الاستحقاقات القياسية لرعاية الأطفال. واعتبارا من 1 كانون الثاني/يناير 2004، سيحصلان على المبلغ الإضافي لفترة الاستحقاق المتبقية.</w:t>
      </w:r>
    </w:p>
    <w:p w:rsidR="007B4C85" w:rsidRDefault="007B4C85" w:rsidP="007B4C85">
      <w:pPr>
        <w:pStyle w:val="SingleTxt"/>
        <w:rPr>
          <w:rFonts w:hint="cs"/>
          <w:rtl/>
        </w:rPr>
      </w:pPr>
      <w:r>
        <w:rPr>
          <w:rFonts w:hint="cs"/>
          <w:rtl/>
        </w:rPr>
        <w:tab/>
      </w:r>
      <w:r w:rsidRPr="003B427B">
        <w:rPr>
          <w:rFonts w:hint="cs"/>
          <w:rtl/>
        </w:rPr>
        <w:t xml:space="preserve">الاستحقاق المتعلق برعاية الطفل هو استحقاق عائلي ضمن معنى </w:t>
      </w:r>
      <w:r>
        <w:rPr>
          <w:rFonts w:hint="cs"/>
          <w:rtl/>
        </w:rPr>
        <w:t>القاعدة رقم 1408/71.</w:t>
      </w:r>
    </w:p>
    <w:p w:rsidR="007007C1" w:rsidRDefault="007007C1" w:rsidP="007B4C85">
      <w:pPr>
        <w:pStyle w:val="SingleTxt"/>
        <w:rPr>
          <w:rFonts w:hint="cs"/>
          <w:rtl/>
        </w:rPr>
      </w:pPr>
    </w:p>
    <w:p w:rsidR="007B4C85" w:rsidRPr="003B427B" w:rsidRDefault="007B4C85" w:rsidP="007B4C85">
      <w:pPr>
        <w:pStyle w:val="SingleTxt"/>
        <w:rPr>
          <w:rFonts w:hint="cs"/>
          <w:b/>
          <w:bCs/>
          <w:rtl/>
        </w:rPr>
      </w:pPr>
      <w:r w:rsidRPr="003B427B">
        <w:rPr>
          <w:rFonts w:hint="cs"/>
          <w:b/>
          <w:bCs/>
          <w:rtl/>
        </w:rPr>
        <w:t>2 -</w:t>
      </w:r>
      <w:r w:rsidRPr="003B427B">
        <w:rPr>
          <w:rFonts w:hint="cs"/>
          <w:b/>
          <w:bCs/>
          <w:rtl/>
        </w:rPr>
        <w:tab/>
        <w:t>شروط الأهلية</w:t>
      </w:r>
    </w:p>
    <w:p w:rsidR="007B4C85" w:rsidRDefault="007B4C85" w:rsidP="007B4C85">
      <w:pPr>
        <w:pStyle w:val="SingleTxt"/>
        <w:rPr>
          <w:rFonts w:hint="cs"/>
          <w:rtl/>
        </w:rPr>
      </w:pPr>
      <w:r>
        <w:rPr>
          <w:rFonts w:hint="cs"/>
          <w:rtl/>
        </w:rPr>
        <w:tab/>
        <w:t xml:space="preserve">من حيث المبدأ، </w:t>
      </w:r>
      <w:r>
        <w:rPr>
          <w:rFonts w:hint="cs"/>
          <w:rtl/>
          <w:lang w:bidi="ar-LB"/>
        </w:rPr>
        <w:t>ي</w:t>
      </w:r>
      <w:r>
        <w:rPr>
          <w:rFonts w:hint="cs"/>
          <w:rtl/>
        </w:rPr>
        <w:t>ش</w:t>
      </w:r>
      <w:r>
        <w:rPr>
          <w:rFonts w:hint="cs"/>
          <w:rtl/>
          <w:lang w:bidi="ar-LB"/>
        </w:rPr>
        <w:t>ت</w:t>
      </w:r>
      <w:r>
        <w:rPr>
          <w:rFonts w:hint="cs"/>
          <w:rtl/>
        </w:rPr>
        <w:t xml:space="preserve">رط </w:t>
      </w:r>
      <w:r>
        <w:rPr>
          <w:rFonts w:hint="cs"/>
          <w:rtl/>
          <w:lang w:bidi="ar-LB"/>
        </w:rPr>
        <w:t>ل</w:t>
      </w:r>
      <w:r>
        <w:rPr>
          <w:rFonts w:hint="cs"/>
          <w:rtl/>
        </w:rPr>
        <w:t>دفع الاستحقاق المتعلق برعاية الأطفال أن يحق لأحد الوالدين أو كليهما الحصول على تعويضات عائلية و</w:t>
      </w:r>
      <w:r>
        <w:rPr>
          <w:rFonts w:hint="cs"/>
          <w:rtl/>
          <w:lang w:bidi="ar-LB"/>
        </w:rPr>
        <w:t xml:space="preserve">أن </w:t>
      </w:r>
      <w:r>
        <w:rPr>
          <w:rFonts w:hint="cs"/>
          <w:rtl/>
        </w:rPr>
        <w:t xml:space="preserve">يعيشا معا مع الطفل. وإذا كان لا يحق لأي من الوالدين الحصول على تعويضات عائلية، </w:t>
      </w:r>
      <w:r>
        <w:rPr>
          <w:rFonts w:hint="cs"/>
          <w:rtl/>
          <w:lang w:bidi="ar-LB"/>
        </w:rPr>
        <w:t>ف</w:t>
      </w:r>
      <w:r>
        <w:rPr>
          <w:rFonts w:hint="cs"/>
          <w:rtl/>
        </w:rPr>
        <w:t>يمكنهما الحصول على الاستحقاق المتعلق برعاية الأطفال إذا كان لديهم</w:t>
      </w:r>
      <w:r>
        <w:rPr>
          <w:rFonts w:hint="cs"/>
          <w:rtl/>
          <w:lang w:bidi="ar-LB"/>
        </w:rPr>
        <w:t>ا</w:t>
      </w:r>
      <w:r>
        <w:rPr>
          <w:rFonts w:hint="cs"/>
          <w:rtl/>
        </w:rPr>
        <w:t xml:space="preserve"> تأمين صحي استنادا إلى عمل مأجور. ومن أجل الحصول على كامل الاستحقاق المتعلق برعاية الأطفال </w:t>
      </w:r>
      <w:r>
        <w:rPr>
          <w:rFonts w:hint="cs"/>
          <w:rtl/>
          <w:lang w:bidi="ar-LB"/>
        </w:rPr>
        <w:t xml:space="preserve">طيلة </w:t>
      </w:r>
      <w:r>
        <w:rPr>
          <w:rFonts w:hint="cs"/>
          <w:rtl/>
        </w:rPr>
        <w:t>فترة الاستحقاق ، يشترط القيام بعشرة فحوصات طبية عامة مجانية في إطار مخطط رعاية الأم والطفل (خمسة فحوصات أثناء الحمل وخمسة فحوصات أخرى بعد الولادة). وإذا لم يتم التقيد بهذه الخطة عندما يبلغ الطفل سن 18 شهرا على الأقل، يتم تخفيض المبلغ اليومي ب</w:t>
      </w:r>
      <w:r>
        <w:rPr>
          <w:rFonts w:hint="cs"/>
          <w:rtl/>
          <w:lang w:bidi="ar-LB"/>
        </w:rPr>
        <w:t>مقدار</w:t>
      </w:r>
      <w:r>
        <w:rPr>
          <w:rFonts w:hint="cs"/>
          <w:rtl/>
        </w:rPr>
        <w:t xml:space="preserve"> النصف (7.27 يورو) عندما يبلغ عمر الطفل 21 شهرا. </w:t>
      </w:r>
    </w:p>
    <w:p w:rsidR="007B4C85" w:rsidRDefault="007B4C85" w:rsidP="007B4C85">
      <w:pPr>
        <w:pStyle w:val="SingleTxt"/>
        <w:rPr>
          <w:rFonts w:hint="cs"/>
          <w:rtl/>
        </w:rPr>
      </w:pPr>
      <w:r>
        <w:rPr>
          <w:rFonts w:hint="cs"/>
          <w:rtl/>
        </w:rPr>
        <w:tab/>
        <w:t>والمعيار الآخر لتحديد الأهلية هو الدخل الإجمالي خلال الفترة التي يتم الحصول فيها على الاستحقاق المتعلق برعاية الأطفال (للاطلاع على التفاصيل انظر أدناه تحت عنوان الخيارات المتعلقة بالدخل).</w:t>
      </w:r>
    </w:p>
    <w:p w:rsidR="007B4C85" w:rsidRPr="00A86DF2" w:rsidRDefault="007B4C85" w:rsidP="007B4C85">
      <w:pPr>
        <w:pStyle w:val="SingleTxt"/>
        <w:rPr>
          <w:rFonts w:hint="cs"/>
          <w:b/>
          <w:bCs/>
          <w:rtl/>
        </w:rPr>
      </w:pPr>
      <w:r w:rsidRPr="00A86DF2">
        <w:rPr>
          <w:rFonts w:hint="cs"/>
          <w:b/>
          <w:bCs/>
          <w:rtl/>
        </w:rPr>
        <w:t>3 -</w:t>
      </w:r>
      <w:r w:rsidRPr="00A86DF2">
        <w:rPr>
          <w:rFonts w:hint="cs"/>
          <w:b/>
          <w:bCs/>
          <w:rtl/>
        </w:rPr>
        <w:tab/>
        <w:t>فترة الاستحقاق</w:t>
      </w:r>
    </w:p>
    <w:p w:rsidR="007B4C85" w:rsidRDefault="007B4C85" w:rsidP="007B4C85">
      <w:pPr>
        <w:pStyle w:val="SingleTxt"/>
        <w:rPr>
          <w:rFonts w:hint="cs"/>
          <w:rtl/>
          <w:lang w:bidi="ar-SY"/>
        </w:rPr>
      </w:pPr>
      <w:r>
        <w:rPr>
          <w:rFonts w:hint="cs"/>
          <w:rtl/>
        </w:rPr>
        <w:tab/>
        <w:t xml:space="preserve">يحق لأحد الوالدين </w:t>
      </w:r>
      <w:r>
        <w:rPr>
          <w:rFonts w:hint="cs"/>
          <w:rtl/>
          <w:lang w:bidi="ar-SY"/>
        </w:rPr>
        <w:t>الحصول على الاستحقاق المتعلق برعاية الأطفال عندما يبلغ عمر الطفل 30 شهرا. وإذا كان هناك تناوب بين الوالدين في الحصول على الاستحقاق المتعلق برعاية الأطفال، فيمكن تمديد فترة الاستحقاق إلى أن يصل عمر الطفل إلى 36 شهرا. ويستطيع الوالدان أن يتبادلا الاستحقاق مرتين بحيث يمكن قسمة الفترة بأكملها إلى ثلاثة أقسام، كل قسم منها مؤلف من ثلاثة أشهر. ولا يمكن الحصول على الاستحقاق المتعلق برعاية الأطفال إلا لأصغر الأطفال. وإذا كانت هناك عدة ولادات، فلا يدفع الاستحقاق إلا</w:t>
      </w:r>
      <w:r>
        <w:rPr>
          <w:rFonts w:hint="eastAsia"/>
          <w:rtl/>
          <w:lang w:bidi="ar-SY"/>
        </w:rPr>
        <w:t> </w:t>
      </w:r>
      <w:r>
        <w:rPr>
          <w:rFonts w:hint="cs"/>
          <w:rtl/>
          <w:lang w:bidi="ar-SY"/>
        </w:rPr>
        <w:t>لطفل واحد.</w:t>
      </w:r>
    </w:p>
    <w:p w:rsidR="007B4C85" w:rsidRPr="00AF66BF" w:rsidRDefault="007B4C85" w:rsidP="007B4C85">
      <w:pPr>
        <w:pStyle w:val="SingleTxt"/>
        <w:rPr>
          <w:rFonts w:hint="cs"/>
          <w:b/>
          <w:bCs/>
          <w:rtl/>
          <w:lang w:bidi="ar-SY"/>
        </w:rPr>
      </w:pPr>
      <w:r w:rsidRPr="00AF66BF">
        <w:rPr>
          <w:rFonts w:hint="cs"/>
          <w:b/>
          <w:bCs/>
          <w:rtl/>
          <w:lang w:bidi="ar-SY"/>
        </w:rPr>
        <w:t>4 -</w:t>
      </w:r>
      <w:r w:rsidRPr="00AF66BF">
        <w:rPr>
          <w:rFonts w:hint="cs"/>
          <w:b/>
          <w:bCs/>
          <w:rtl/>
          <w:lang w:bidi="ar-SY"/>
        </w:rPr>
        <w:tab/>
        <w:t>الخيارات المتعلقة بالدخل</w:t>
      </w:r>
    </w:p>
    <w:p w:rsidR="007B4C85" w:rsidRDefault="007B4C85" w:rsidP="007B4C85">
      <w:pPr>
        <w:pStyle w:val="SingleTxt"/>
        <w:rPr>
          <w:rFonts w:hint="cs"/>
          <w:rtl/>
          <w:lang w:bidi="ar-SY"/>
        </w:rPr>
      </w:pPr>
      <w:r>
        <w:rPr>
          <w:rFonts w:hint="cs"/>
          <w:rtl/>
          <w:lang w:bidi="ar-SY"/>
        </w:rPr>
        <w:tab/>
        <w:t xml:space="preserve">إن الحد الأقصى للدخل الإضافي بالنسبة لأحد الوالدين الذي يحصل على الاستحقاق المتعلق برعاية الأطفال هو 600 14 يورو في السنة التقويمية. ولا يوضع في الاعتبار دخل الوالد الآخر. ومن حيث المبدأ، يتم حساب المبلغ على أساس جميع أنواع الدخول بموجب قانون الضريبة المفروضة على الدخل (بما في ذلك الإيرادات من رؤوس الأموال والإيجارات وما شابه ذلك). وإذا تجاوز المبلغ الإجمالي الحد الأقصى القانوني في أي سنة من السنوات، فيتعين إعادة الاستحقاق المتعلق برعاية الأطفال لهذه السنة. وفي حالة العسر الشديدة يمكن عدم إعادة المبلغ أو تأخير إعادته أو إعادته على أقساط. ويمكن سلفا إلغاء دفع الاستحقاق المتعلق برعاية الأطفال لعدة أشهر تقويمية، وعلى هذا الأساس لا يوضع الدخل في الاعتبار خلال الفترة التي لا يتم الحصول فيها على الاستحقاق. </w:t>
      </w:r>
    </w:p>
    <w:p w:rsidR="007B4C85" w:rsidRDefault="007B4C85" w:rsidP="007B4C85">
      <w:pPr>
        <w:pStyle w:val="SingleTxt"/>
        <w:rPr>
          <w:rFonts w:hint="cs"/>
          <w:b/>
          <w:bCs/>
          <w:rtl/>
          <w:lang w:bidi="ar-SY"/>
        </w:rPr>
      </w:pPr>
      <w:r w:rsidRPr="00AF66BF">
        <w:rPr>
          <w:rFonts w:hint="cs"/>
          <w:b/>
          <w:bCs/>
          <w:rtl/>
          <w:lang w:bidi="ar-SY"/>
        </w:rPr>
        <w:t>5 -</w:t>
      </w:r>
      <w:r w:rsidRPr="00AF66BF">
        <w:rPr>
          <w:rFonts w:hint="cs"/>
          <w:b/>
          <w:bCs/>
          <w:rtl/>
          <w:lang w:bidi="ar-SY"/>
        </w:rPr>
        <w:tab/>
      </w:r>
      <w:r>
        <w:rPr>
          <w:rFonts w:hint="cs"/>
          <w:b/>
          <w:bCs/>
          <w:rtl/>
          <w:lang w:bidi="ar-SY"/>
        </w:rPr>
        <w:t>معلومات أساسية عن التشريع الاجتماعي</w:t>
      </w:r>
    </w:p>
    <w:p w:rsidR="007B4C85" w:rsidRDefault="007B4C85" w:rsidP="007B4C85">
      <w:pPr>
        <w:pStyle w:val="SingleTxt"/>
        <w:rPr>
          <w:rFonts w:hint="cs"/>
          <w:rtl/>
          <w:lang w:bidi="ar-SY"/>
        </w:rPr>
      </w:pPr>
      <w:r w:rsidRPr="00AF66BF">
        <w:rPr>
          <w:rFonts w:hint="cs"/>
          <w:b/>
          <w:bCs/>
          <w:rtl/>
          <w:lang w:bidi="ar-SY"/>
        </w:rPr>
        <w:t>التأمين الصحي</w:t>
      </w:r>
      <w:r w:rsidRPr="00AF66BF">
        <w:rPr>
          <w:rFonts w:hint="cs"/>
          <w:rtl/>
          <w:lang w:bidi="ar-SY"/>
        </w:rPr>
        <w:t>:</w:t>
      </w:r>
      <w:r>
        <w:rPr>
          <w:rFonts w:hint="cs"/>
          <w:rtl/>
          <w:lang w:bidi="ar-SY"/>
        </w:rPr>
        <w:t xml:space="preserve"> لدى أي شخص يحصل على الاستحقاق المتعلق برعاية الأطفال تأمين صحي. </w:t>
      </w:r>
    </w:p>
    <w:p w:rsidR="007B4C85" w:rsidRDefault="007B4C85" w:rsidP="007B4C85">
      <w:pPr>
        <w:pStyle w:val="SingleTxt"/>
        <w:rPr>
          <w:rFonts w:hint="cs"/>
          <w:rtl/>
          <w:lang w:bidi="ar-SY"/>
        </w:rPr>
      </w:pPr>
      <w:r>
        <w:rPr>
          <w:rFonts w:hint="cs"/>
          <w:b/>
          <w:bCs/>
          <w:rtl/>
          <w:lang w:bidi="ar-SY"/>
        </w:rPr>
        <w:t>المعاش التقاعدي</w:t>
      </w:r>
      <w:r w:rsidRPr="00AF66BF">
        <w:rPr>
          <w:rFonts w:hint="cs"/>
          <w:rtl/>
          <w:lang w:bidi="ar-SY"/>
        </w:rPr>
        <w:t>:</w:t>
      </w:r>
      <w:r>
        <w:rPr>
          <w:rFonts w:hint="cs"/>
          <w:rtl/>
          <w:lang w:bidi="ar-SY"/>
        </w:rPr>
        <w:t xml:space="preserve"> كان ينظر في السابق إلى الفترات التي يتم الحصول فيها على استحقاق متعلق برعاية الأطفال على أنها فترات تأهيل غير حقيقية. وبموجب الترتيبات الجديدة، تعتبر الفترة، التي يتم الحصول فيها على الاستحقاق المتعلق برعاية الأطفال لطفل ولد في 1 كانون الثاني/ يناير 2002 أو بعد هذا التاريخ، فترة تساهم في الحق في الحصول على معاش تقاعدي. وفي 1 كانون الثاني/يناير 2004، تم تمديد هذه الفترة إلى 24 شهرا. وتحسب الشهور المتبقية إلى أن يصل عمر الطفل إلى أربع سنوات على أنها فترة تأهيل غير حقيقية. </w:t>
      </w:r>
    </w:p>
    <w:p w:rsidR="007B4C85" w:rsidRDefault="007B4C85" w:rsidP="007B4C85">
      <w:pPr>
        <w:pStyle w:val="SingleTxt"/>
        <w:rPr>
          <w:rFonts w:hint="cs"/>
          <w:rtl/>
          <w:lang w:bidi="ar-SY"/>
        </w:rPr>
      </w:pPr>
      <w:r>
        <w:rPr>
          <w:rFonts w:hint="cs"/>
          <w:b/>
          <w:bCs/>
          <w:rtl/>
          <w:lang w:bidi="ar-SY"/>
        </w:rPr>
        <w:t>التأمين ضد البطالة</w:t>
      </w:r>
      <w:r w:rsidRPr="00AF66BF">
        <w:rPr>
          <w:rFonts w:hint="cs"/>
          <w:rtl/>
          <w:lang w:bidi="ar-SY"/>
        </w:rPr>
        <w:t>:</w:t>
      </w:r>
      <w:r>
        <w:rPr>
          <w:rFonts w:hint="cs"/>
          <w:b/>
          <w:bCs/>
          <w:rtl/>
          <w:lang w:bidi="ar-SY"/>
        </w:rPr>
        <w:t xml:space="preserve"> </w:t>
      </w:r>
      <w:r w:rsidRPr="00AF66BF">
        <w:rPr>
          <w:rFonts w:hint="cs"/>
          <w:rtl/>
          <w:lang w:bidi="ar-SY"/>
        </w:rPr>
        <w:t>يمكن الحصول على الاستحقاق المتعلق بالبطالة</w:t>
      </w:r>
      <w:r>
        <w:rPr>
          <w:rFonts w:hint="cs"/>
          <w:rtl/>
          <w:lang w:bidi="ar-SY"/>
        </w:rPr>
        <w:t xml:space="preserve"> والمساعدات المتعلقة بالبطالة بعد انتهاء فترة الاستحقاق المتعلق برعاية الأطفال، وأثناءها إذا تم استيفاء معيار الأهلية (البطالة، القدرة على العمل، والاستعداد للعمل). </w:t>
      </w:r>
    </w:p>
    <w:p w:rsidR="007B4C85" w:rsidRDefault="007B4C85" w:rsidP="007B4C85">
      <w:pPr>
        <w:pStyle w:val="SingleTxt"/>
        <w:rPr>
          <w:rFonts w:hint="cs"/>
          <w:rtl/>
          <w:lang w:bidi="ar-SY"/>
        </w:rPr>
      </w:pPr>
      <w:r>
        <w:rPr>
          <w:rFonts w:hint="cs"/>
          <w:b/>
          <w:bCs/>
          <w:rtl/>
          <w:lang w:bidi="ar-SY"/>
        </w:rPr>
        <w:tab/>
      </w:r>
      <w:r>
        <w:rPr>
          <w:rFonts w:hint="cs"/>
          <w:rtl/>
          <w:lang w:bidi="ar-SY"/>
        </w:rPr>
        <w:t xml:space="preserve">الأهلية مقصورة على الأشخاص </w:t>
      </w:r>
      <w:r>
        <w:rPr>
          <w:rFonts w:hint="eastAsia"/>
          <w:rtl/>
          <w:lang w:bidi="ar-SY"/>
        </w:rPr>
        <w:t>”المستعدين للعمل بدون أي قيود رئيسية</w:t>
      </w:r>
      <w:r>
        <w:rPr>
          <w:rFonts w:hint="cs"/>
          <w:rtl/>
          <w:lang w:bidi="ar-SY"/>
        </w:rPr>
        <w:t>“، وهذا  ينطبق على الأشخاص الذين يحصلون على استحقاق متعلق برعاية الأطفال والذين يستطيعون تقديم دليل على أن أحد الأقرباء سيوفر الرعاية اللازمة للطفل، أو أن الطفل سيلقى الرعاية في مرفق لرعاية الأطفال (الحضانات أو رياض الأطفال).</w:t>
      </w:r>
    </w:p>
    <w:p w:rsidR="007B4C85" w:rsidRDefault="007B4C85" w:rsidP="007B4C85">
      <w:pPr>
        <w:pStyle w:val="SingleTxt"/>
        <w:rPr>
          <w:rFonts w:hint="cs"/>
          <w:b/>
          <w:bCs/>
          <w:rtl/>
          <w:lang w:bidi="ar-SY"/>
        </w:rPr>
      </w:pPr>
      <w:r>
        <w:rPr>
          <w:rFonts w:hint="cs"/>
          <w:b/>
          <w:bCs/>
          <w:rtl/>
          <w:lang w:bidi="ar-SY"/>
        </w:rPr>
        <w:t>المادة 13، الحرف (ج)</w:t>
      </w:r>
    </w:p>
    <w:p w:rsidR="007B4C85" w:rsidRDefault="007B4C85" w:rsidP="007B4C85">
      <w:pPr>
        <w:pStyle w:val="SingleTxt"/>
        <w:rPr>
          <w:rFonts w:hint="cs"/>
          <w:b/>
          <w:bCs/>
          <w:rtl/>
          <w:lang w:bidi="ar-SY"/>
        </w:rPr>
      </w:pPr>
      <w:r w:rsidRPr="00AF66BF">
        <w:rPr>
          <w:rFonts w:hint="cs"/>
          <w:b/>
          <w:bCs/>
          <w:rtl/>
          <w:lang w:bidi="ar-SY"/>
        </w:rPr>
        <w:t>الألعاب الرياضية</w:t>
      </w:r>
    </w:p>
    <w:p w:rsidR="007B4C85" w:rsidRDefault="007B4C85" w:rsidP="007B4C85">
      <w:pPr>
        <w:pStyle w:val="SingleTxt"/>
        <w:rPr>
          <w:rFonts w:hint="cs"/>
          <w:b/>
          <w:bCs/>
          <w:rtl/>
          <w:lang w:bidi="ar-SY"/>
        </w:rPr>
      </w:pPr>
      <w:r w:rsidRPr="00AF66BF">
        <w:rPr>
          <w:rFonts w:hint="cs"/>
          <w:b/>
          <w:bCs/>
          <w:rtl/>
          <w:lang w:bidi="ar-SY"/>
        </w:rPr>
        <w:t>النهوض بالمرأة في الألعاب الرياضية التي تتطلب أداء عاليا</w:t>
      </w:r>
    </w:p>
    <w:p w:rsidR="007B4C85" w:rsidRDefault="007B4C85" w:rsidP="007B4C85">
      <w:pPr>
        <w:pStyle w:val="SingleTxt"/>
        <w:rPr>
          <w:rFonts w:hint="cs"/>
          <w:rtl/>
          <w:lang w:bidi="ar-SY"/>
        </w:rPr>
      </w:pPr>
      <w:r>
        <w:rPr>
          <w:rFonts w:hint="cs"/>
          <w:b/>
          <w:bCs/>
          <w:rtl/>
          <w:lang w:bidi="ar-SY"/>
        </w:rPr>
        <w:tab/>
      </w:r>
      <w:r>
        <w:rPr>
          <w:rFonts w:hint="cs"/>
          <w:rtl/>
          <w:lang w:bidi="ar-SY"/>
        </w:rPr>
        <w:t xml:space="preserve">منذ منتصف التسعينات، تضمنت ميزانية الألعاب الرياضية بندا خاصا عنوانه </w:t>
      </w:r>
      <w:r>
        <w:rPr>
          <w:rFonts w:hint="eastAsia"/>
          <w:rtl/>
          <w:lang w:bidi="ar-SY"/>
        </w:rPr>
        <w:t>”النهوض</w:t>
      </w:r>
      <w:r>
        <w:rPr>
          <w:rFonts w:hint="cs"/>
          <w:rtl/>
          <w:lang w:bidi="ar-SY"/>
        </w:rPr>
        <w:t xml:space="preserve"> بالمرأة</w:t>
      </w:r>
      <w:r>
        <w:rPr>
          <w:rFonts w:hint="eastAsia"/>
          <w:rtl/>
          <w:lang w:bidi="ar-SY"/>
        </w:rPr>
        <w:t>“، وبموجبه يتم سنويا م</w:t>
      </w:r>
      <w:r>
        <w:rPr>
          <w:rFonts w:hint="cs"/>
          <w:rtl/>
          <w:lang w:bidi="ar-SY"/>
        </w:rPr>
        <w:t xml:space="preserve">نح مبلغ 000 218 يورو لعدد يتراوح بين خمس وثماني رياضيات فائزات في مختلف أنواع الألعاب الرياضية. وبالإضافة إلى ذلك، تخصص الرابطة النمساوية للنهوض بالرياضيين، برئاسة وزير الألعاب الرياضية، منحا خاصة للنساء الرياضيات. </w:t>
      </w:r>
    </w:p>
    <w:p w:rsidR="007B4C85" w:rsidRDefault="007B4C85" w:rsidP="007B4C85">
      <w:pPr>
        <w:pStyle w:val="SingleTxt"/>
        <w:rPr>
          <w:rFonts w:hint="cs"/>
          <w:rtl/>
          <w:lang w:bidi="ar-SY"/>
        </w:rPr>
      </w:pPr>
      <w:r>
        <w:rPr>
          <w:rFonts w:hint="cs"/>
          <w:rtl/>
          <w:lang w:bidi="ar-SY"/>
        </w:rPr>
        <w:tab/>
        <w:t>وفي تشرين الثاني/نوفمبر 2002، قامت الجمعية الرياضية الاتحادية التابعة للمنظمة الاتحادية المعنية بالرياضة، والممولة بأموال الدولة، بإدخال مراعاة تعميم المنظور الجنساني. والهدف هو ضمان مشاركة المرأة والرجل في الألعاب الرياضية على أساس المساواة. ويقوم الفريق العامل المعني بالمرأة في الوقت الراهن بصياغة تدابير تنفيذية في هذا الصدد.</w:t>
      </w:r>
    </w:p>
    <w:p w:rsidR="007B4C85" w:rsidRDefault="007B4C85" w:rsidP="007B4C85">
      <w:pPr>
        <w:pStyle w:val="SingleTxt"/>
        <w:rPr>
          <w:rFonts w:hint="cs"/>
          <w:rtl/>
          <w:lang w:bidi="ar-SY"/>
        </w:rPr>
      </w:pPr>
      <w:r>
        <w:rPr>
          <w:rFonts w:hint="cs"/>
          <w:rtl/>
          <w:lang w:bidi="ar-SY"/>
        </w:rPr>
        <w:tab/>
        <w:t xml:space="preserve">ومن أجل التحضير للأسس التي ستقوم عليها السياسات الرياضية في النمسا، طلبت المستشارية الاتحادية إجراء دراستين: </w:t>
      </w:r>
      <w:r>
        <w:rPr>
          <w:rFonts w:hint="eastAsia"/>
          <w:rtl/>
          <w:lang w:bidi="ar-SY"/>
        </w:rPr>
        <w:t>”</w:t>
      </w:r>
      <w:r>
        <w:rPr>
          <w:rFonts w:hint="cs"/>
          <w:rtl/>
          <w:lang w:bidi="ar-SY"/>
        </w:rPr>
        <w:t>ظروف</w:t>
      </w:r>
      <w:r>
        <w:rPr>
          <w:rFonts w:hint="eastAsia"/>
          <w:rtl/>
          <w:lang w:bidi="ar-SY"/>
        </w:rPr>
        <w:t xml:space="preserve"> حياة </w:t>
      </w:r>
      <w:r>
        <w:rPr>
          <w:rFonts w:hint="cs"/>
          <w:rtl/>
          <w:lang w:bidi="ar-SY"/>
        </w:rPr>
        <w:t>ا</w:t>
      </w:r>
      <w:r>
        <w:rPr>
          <w:rFonts w:hint="eastAsia"/>
          <w:rtl/>
          <w:lang w:bidi="ar-SY"/>
        </w:rPr>
        <w:t>لرياضيات البارزات</w:t>
      </w:r>
      <w:r>
        <w:rPr>
          <w:rFonts w:hint="cs"/>
          <w:rtl/>
          <w:lang w:bidi="ar-SY"/>
        </w:rPr>
        <w:t xml:space="preserve">“ و </w:t>
      </w:r>
      <w:r>
        <w:rPr>
          <w:rFonts w:hint="eastAsia"/>
          <w:rtl/>
          <w:lang w:bidi="ar-SY"/>
        </w:rPr>
        <w:t xml:space="preserve">”الفتيات والكرة </w:t>
      </w:r>
      <w:r>
        <w:rPr>
          <w:rFonts w:hint="cs"/>
          <w:rtl/>
          <w:lang w:bidi="ar-SY"/>
        </w:rPr>
        <w:t>-</w:t>
      </w:r>
      <w:r>
        <w:rPr>
          <w:rFonts w:hint="eastAsia"/>
          <w:rtl/>
          <w:lang w:bidi="ar-SY"/>
        </w:rPr>
        <w:t xml:space="preserve"> الهياكل </w:t>
      </w:r>
      <w:r>
        <w:rPr>
          <w:rFonts w:hint="cs"/>
          <w:rtl/>
          <w:lang w:bidi="ar-SY"/>
        </w:rPr>
        <w:t>الحافزة في الأنشطة الرياضية للبنات</w:t>
      </w:r>
      <w:r>
        <w:rPr>
          <w:rFonts w:hint="eastAsia"/>
          <w:rtl/>
          <w:lang w:bidi="ar-SY"/>
        </w:rPr>
        <w:t>“.</w:t>
      </w:r>
    </w:p>
    <w:p w:rsidR="007B4C85" w:rsidRDefault="007B4C85" w:rsidP="007B4C85">
      <w:pPr>
        <w:pStyle w:val="SingleTxt"/>
        <w:rPr>
          <w:rFonts w:hint="cs"/>
          <w:b/>
          <w:bCs/>
          <w:rtl/>
          <w:lang w:bidi="ar-SY"/>
        </w:rPr>
      </w:pPr>
      <w:r>
        <w:rPr>
          <w:rFonts w:hint="cs"/>
          <w:b/>
          <w:bCs/>
          <w:rtl/>
          <w:lang w:bidi="ar-SY"/>
        </w:rPr>
        <w:t>المناسبات/الاجتماعات</w:t>
      </w:r>
    </w:p>
    <w:p w:rsidR="007B4C85" w:rsidRDefault="007B4C85" w:rsidP="007B4C85">
      <w:pPr>
        <w:pStyle w:val="SingleTxt"/>
        <w:rPr>
          <w:rFonts w:hint="cs"/>
          <w:rtl/>
          <w:lang w:bidi="ar-SY"/>
        </w:rPr>
      </w:pPr>
      <w:r>
        <w:rPr>
          <w:rFonts w:hint="cs"/>
          <w:rtl/>
          <w:lang w:bidi="ar-SY"/>
        </w:rPr>
        <w:tab/>
        <w:t xml:space="preserve">عالجت الحلقة التدريبية </w:t>
      </w:r>
      <w:r>
        <w:rPr>
          <w:rFonts w:hint="eastAsia"/>
          <w:rtl/>
          <w:lang w:bidi="ar-SY"/>
        </w:rPr>
        <w:t>”المرأة في الألعاب الرياضية</w:t>
      </w:r>
      <w:r>
        <w:rPr>
          <w:rFonts w:hint="cs"/>
          <w:rtl/>
          <w:lang w:bidi="ar-SY"/>
        </w:rPr>
        <w:t xml:space="preserve">“ (1999) الوضع الراهن للنهوض بالمرأة ونسبة النساء بين المسؤولين. وفي عام 1997، تم إضافة إدارة نسائية في النظام الأساسي للاتحاد الرياضي النمساوي. وفي عام 1999، حذت حذو ذلك الفرقة العاملة المعنية بالرياضة والتربية البدنية- وهي منظمة شاملة أخرى تعنى برياضة الجماهير. وتحت شعار </w:t>
      </w:r>
      <w:r>
        <w:rPr>
          <w:rFonts w:hint="eastAsia"/>
          <w:rtl/>
          <w:lang w:bidi="ar-SY"/>
        </w:rPr>
        <w:t>”الحياة من أجل الرياضة</w:t>
      </w:r>
      <w:r>
        <w:rPr>
          <w:rFonts w:hint="cs"/>
          <w:rtl/>
          <w:lang w:bidi="ar-SY"/>
        </w:rPr>
        <w:t xml:space="preserve"> - والحياة بعد الرياضة</w:t>
      </w:r>
      <w:r>
        <w:rPr>
          <w:rFonts w:hint="eastAsia"/>
          <w:rtl/>
          <w:lang w:bidi="ar-SY"/>
        </w:rPr>
        <w:t xml:space="preserve">“ قامت الفرقة العاملة المعنية بالمرأة التابعة </w:t>
      </w:r>
      <w:r>
        <w:rPr>
          <w:rFonts w:hint="cs"/>
          <w:rtl/>
          <w:lang w:bidi="ar-SY"/>
        </w:rPr>
        <w:t>للمنظمة الاتحادية المعنية بالرياضة، والمستشارية الاتحادية بتنظيم اجتماع مشترك في تشرين الأول/أكتوبر 2000 للتركيز على توظيف نساء ليكن من بين المسؤولين في عالم الرياضة. وفي إطار المشروع الإرشادي الذي بدأ العمل به في أوائل عام 2003 وانتهى في آذار/مارس 2004، عملت ست نساء يؤدين دورا بارزا في رسم السياسات الرياضية كمرشدات مع ثماني رياضيات بهدف تسهيل اندامجهن في الهياكل الرياضية.</w:t>
      </w:r>
    </w:p>
    <w:p w:rsidR="007B4C85" w:rsidRDefault="007B4C85" w:rsidP="007B4C85">
      <w:pPr>
        <w:pStyle w:val="SingleTxt"/>
        <w:rPr>
          <w:rFonts w:hint="cs"/>
          <w:rtl/>
          <w:lang w:bidi="ar-SY"/>
        </w:rPr>
      </w:pPr>
      <w:r>
        <w:rPr>
          <w:rFonts w:hint="cs"/>
          <w:b/>
          <w:bCs/>
          <w:rtl/>
          <w:lang w:bidi="ar-SY"/>
        </w:rPr>
        <w:t xml:space="preserve">المنهاج الخاص بالمرأة في الرياضة - </w:t>
      </w:r>
      <w:r>
        <w:rPr>
          <w:rFonts w:hint="cs"/>
          <w:rtl/>
          <w:lang w:bidi="ar-SY"/>
        </w:rPr>
        <w:t>كرست مبادرة مستقلة، لا علاقة لها بالأحزاب أو</w:t>
      </w:r>
      <w:r>
        <w:rPr>
          <w:rFonts w:hint="eastAsia"/>
          <w:rtl/>
          <w:lang w:bidi="ar-SY"/>
        </w:rPr>
        <w:t> </w:t>
      </w:r>
      <w:r>
        <w:rPr>
          <w:rFonts w:hint="cs"/>
          <w:rtl/>
          <w:lang w:bidi="ar-SY"/>
        </w:rPr>
        <w:t xml:space="preserve">النوادي، مؤتمرا كاملا، تم عقده بمناسبة مرور الذكرى الخامسة على المبادرة، لعلاج الأمور التي تهم المرأة في الرياضة، بهدف إيجاد حلول بصحبة الممثلين عن مجتمع الرياضة. </w:t>
      </w:r>
    </w:p>
    <w:p w:rsidR="007B4C85" w:rsidRDefault="007B4C85" w:rsidP="007B4C85">
      <w:pPr>
        <w:pStyle w:val="SingleTxt"/>
        <w:rPr>
          <w:rFonts w:hint="cs"/>
          <w:rtl/>
          <w:lang w:bidi="ar-SY"/>
        </w:rPr>
      </w:pPr>
      <w:r w:rsidRPr="0072636D">
        <w:rPr>
          <w:rFonts w:hint="cs"/>
          <w:rtl/>
          <w:lang w:bidi="ar-SY"/>
        </w:rPr>
        <w:tab/>
        <w:t xml:space="preserve">وفي حلقة دراسية عنوانها </w:t>
      </w:r>
      <w:r w:rsidRPr="0072636D">
        <w:rPr>
          <w:rFonts w:hint="eastAsia"/>
          <w:rtl/>
          <w:lang w:bidi="ar-SY"/>
        </w:rPr>
        <w:t>”</w:t>
      </w:r>
      <w:r>
        <w:rPr>
          <w:rFonts w:hint="cs"/>
          <w:rtl/>
          <w:lang w:bidi="ar-SY"/>
        </w:rPr>
        <w:t>الفتيات المشاركات في الألعاب الرياضية</w:t>
      </w:r>
      <w:r>
        <w:rPr>
          <w:rFonts w:hint="eastAsia"/>
          <w:rtl/>
          <w:lang w:bidi="ar-SY"/>
        </w:rPr>
        <w:t xml:space="preserve">“ (2001)، تبادل المشاركون </w:t>
      </w:r>
      <w:r>
        <w:rPr>
          <w:rFonts w:hint="cs"/>
          <w:rtl/>
          <w:lang w:bidi="ar-SY"/>
        </w:rPr>
        <w:t>من ألمانيا والمملكة المتحدة وسلوفينيا والسويد وإسبانيا الخبرة التي اكتسبوها في ميادين الصحة (فقدان الشهية والنهام) والمشاركة السياسية، والإساءات الجنسية والأنشطة الترفيهية، وأنماط الحياة.</w:t>
      </w:r>
    </w:p>
    <w:p w:rsidR="007B4C85" w:rsidRDefault="007B4C85" w:rsidP="007B4C85">
      <w:pPr>
        <w:pStyle w:val="SingleTxt"/>
        <w:rPr>
          <w:rFonts w:hint="cs"/>
          <w:rtl/>
          <w:lang w:bidi="ar-SY"/>
        </w:rPr>
      </w:pPr>
      <w:r>
        <w:rPr>
          <w:rFonts w:hint="cs"/>
          <w:rtl/>
          <w:lang w:bidi="ar-SY"/>
        </w:rPr>
        <w:tab/>
        <w:t>وفي الحفلة الرياضية التي نظمتها المنظمة الاتحادية للرياضة</w:t>
      </w:r>
      <w:r w:rsidRPr="001811D3">
        <w:rPr>
          <w:vertAlign w:val="superscript"/>
          <w:rtl/>
          <w:lang w:bidi="ar-SY"/>
        </w:rPr>
        <w:t>(</w:t>
      </w:r>
      <w:r>
        <w:rPr>
          <w:rStyle w:val="FootnoteReference"/>
          <w:rtl/>
        </w:rPr>
        <w:footnoteReference w:id="9"/>
      </w:r>
      <w:r w:rsidRPr="001811D3">
        <w:rPr>
          <w:vertAlign w:val="superscript"/>
          <w:rtl/>
          <w:lang w:bidi="ar-SY"/>
        </w:rPr>
        <w:t>)</w:t>
      </w:r>
      <w:r>
        <w:rPr>
          <w:rFonts w:hint="cs"/>
          <w:vertAlign w:val="superscript"/>
          <w:rtl/>
          <w:lang w:bidi="ar-SY"/>
        </w:rPr>
        <w:t xml:space="preserve"> </w:t>
      </w:r>
      <w:r>
        <w:rPr>
          <w:rFonts w:hint="cs"/>
          <w:rtl/>
          <w:lang w:bidi="ar-SY"/>
        </w:rPr>
        <w:t xml:space="preserve">حيث تم تكريم شخصيات بارزة في عالم الرياضة، تم منح جائزة عام 2003 </w:t>
      </w:r>
      <w:r>
        <w:rPr>
          <w:rFonts w:hint="eastAsia"/>
          <w:rtl/>
          <w:lang w:bidi="ar-SY"/>
        </w:rPr>
        <w:t>”السلطة النسائية خلال السنة</w:t>
      </w:r>
      <w:r>
        <w:rPr>
          <w:rFonts w:hint="cs"/>
          <w:rtl/>
          <w:lang w:bidi="ar-SY"/>
        </w:rPr>
        <w:t xml:space="preserve">“ إلى شخصية شجعت على إشراك عدد أكبر من الفتيات والنساء في الألعاب الرياضية. </w:t>
      </w:r>
    </w:p>
    <w:p w:rsidR="007B4C85" w:rsidRDefault="007B4C85" w:rsidP="007B4C85">
      <w:pPr>
        <w:pStyle w:val="SingleTxt"/>
        <w:rPr>
          <w:rFonts w:hint="cs"/>
          <w:rtl/>
          <w:lang w:bidi="ar-SY"/>
        </w:rPr>
      </w:pPr>
      <w:r>
        <w:rPr>
          <w:rFonts w:hint="cs"/>
          <w:b/>
          <w:bCs/>
          <w:rtl/>
          <w:lang w:bidi="ar-SY"/>
        </w:rPr>
        <w:t xml:space="preserve">تعميم مراعاة المنظور الجنساني - إتاحة فرص أكثر للنساء في مجال الرياضة - </w:t>
      </w:r>
      <w:r w:rsidRPr="001811D3">
        <w:rPr>
          <w:rFonts w:hint="cs"/>
          <w:rtl/>
          <w:lang w:bidi="ar-SY"/>
        </w:rPr>
        <w:t xml:space="preserve">تم </w:t>
      </w:r>
      <w:r>
        <w:rPr>
          <w:rFonts w:hint="cs"/>
          <w:rtl/>
          <w:lang w:bidi="ar-SY"/>
        </w:rPr>
        <w:t>عقد مؤتمر في عام 2001 بمناسبة إدخال تعميم مراعاة المنظور الجنساني في النوادي الرياضية.</w:t>
      </w:r>
    </w:p>
    <w:p w:rsidR="007B4C85" w:rsidRDefault="007B4C85" w:rsidP="007B4C85">
      <w:pPr>
        <w:pStyle w:val="SingleTxt"/>
        <w:rPr>
          <w:rFonts w:hint="cs"/>
          <w:rtl/>
          <w:lang w:bidi="ar-SY"/>
        </w:rPr>
      </w:pPr>
      <w:r w:rsidRPr="001811D3">
        <w:rPr>
          <w:rFonts w:hint="eastAsia"/>
          <w:b/>
          <w:bCs/>
          <w:rtl/>
          <w:lang w:bidi="ar-SY"/>
        </w:rPr>
        <w:t>”المرأة والرياضة والثقافة</w:t>
      </w:r>
      <w:r>
        <w:rPr>
          <w:rFonts w:hint="eastAsia"/>
          <w:b/>
          <w:bCs/>
          <w:rtl/>
          <w:lang w:bidi="ar-SY"/>
        </w:rPr>
        <w:t>:</w:t>
      </w:r>
      <w:r>
        <w:rPr>
          <w:rFonts w:hint="cs"/>
          <w:rtl/>
          <w:lang w:bidi="ar-SY"/>
        </w:rPr>
        <w:t xml:space="preserve"> السير في مسلك جديد</w:t>
      </w:r>
      <w:r>
        <w:rPr>
          <w:rFonts w:hint="eastAsia"/>
          <w:rtl/>
          <w:lang w:bidi="ar-SY"/>
        </w:rPr>
        <w:t xml:space="preserve">“ مؤتمر عقد في عام 2003 </w:t>
      </w:r>
      <w:r>
        <w:rPr>
          <w:rFonts w:hint="cs"/>
          <w:rtl/>
          <w:lang w:bidi="ar-SY"/>
        </w:rPr>
        <w:t xml:space="preserve">يهدف إلى تشجيع الفتيات والنساء على المشاركة في الألعاب الرياضية. </w:t>
      </w:r>
    </w:p>
    <w:p w:rsidR="007B4C85" w:rsidRPr="007B0798" w:rsidRDefault="007B4C85" w:rsidP="007B4C85">
      <w:pPr>
        <w:pStyle w:val="SingleTxt"/>
        <w:rPr>
          <w:rFonts w:hint="cs"/>
          <w:b/>
          <w:bCs/>
          <w:rtl/>
          <w:lang w:bidi="ar-SY"/>
        </w:rPr>
      </w:pPr>
      <w:r w:rsidRPr="007B0798">
        <w:rPr>
          <w:rFonts w:hint="cs"/>
          <w:b/>
          <w:bCs/>
          <w:rtl/>
          <w:lang w:bidi="ar-SY"/>
        </w:rPr>
        <w:t>المادة 14</w:t>
      </w:r>
    </w:p>
    <w:p w:rsidR="007B4C85" w:rsidRDefault="007B4C85" w:rsidP="007B4C85">
      <w:pPr>
        <w:pStyle w:val="SingleTxt"/>
        <w:rPr>
          <w:rFonts w:hint="cs"/>
          <w:b/>
          <w:bCs/>
          <w:rtl/>
          <w:lang w:bidi="ar-SY"/>
        </w:rPr>
      </w:pPr>
      <w:r w:rsidRPr="00E77987">
        <w:rPr>
          <w:rFonts w:hint="cs"/>
          <w:b/>
          <w:bCs/>
          <w:rtl/>
          <w:lang w:bidi="ar-SY"/>
        </w:rPr>
        <w:t>المادة 14، الرقم 2، الحرف (أ)</w:t>
      </w:r>
    </w:p>
    <w:p w:rsidR="007B4C85" w:rsidRDefault="007B4C85" w:rsidP="007B4C85">
      <w:pPr>
        <w:pStyle w:val="SingleTxt"/>
        <w:rPr>
          <w:rFonts w:hint="cs"/>
          <w:rtl/>
          <w:lang w:bidi="ar-SY"/>
        </w:rPr>
      </w:pPr>
      <w:r>
        <w:rPr>
          <w:rFonts w:hint="cs"/>
          <w:b/>
          <w:bCs/>
          <w:rtl/>
          <w:lang w:bidi="ar-SY"/>
        </w:rPr>
        <w:tab/>
      </w:r>
      <w:r>
        <w:rPr>
          <w:rFonts w:hint="cs"/>
          <w:rtl/>
          <w:lang w:bidi="ar-SY"/>
        </w:rPr>
        <w:t xml:space="preserve">عندما تم وضع البرنامج النمساوي لتنمية المناطق الريفية، تم توجيه النظر إلى دور المرأة في هذه المناطق، وتم إبراز مفهوم تكافؤ الفرص. </w:t>
      </w:r>
    </w:p>
    <w:p w:rsidR="007B4C85" w:rsidRDefault="007B4C85" w:rsidP="007B4C85">
      <w:pPr>
        <w:pStyle w:val="SingleTxt"/>
        <w:rPr>
          <w:rFonts w:hint="cs"/>
          <w:rtl/>
          <w:lang w:bidi="ar-SY"/>
        </w:rPr>
      </w:pPr>
      <w:r>
        <w:rPr>
          <w:rFonts w:hint="cs"/>
          <w:rtl/>
          <w:lang w:bidi="ar-SY"/>
        </w:rPr>
        <w:tab/>
        <w:t xml:space="preserve">ويركز أيضا برنامج الاتحاد الأوروبي المتعلق بـ ”مبادرة المجتمع في خطة التنمية الريفية وبرنامج القادة + (+ </w:t>
      </w:r>
      <w:r>
        <w:rPr>
          <w:lang w:bidi="ar-SY"/>
        </w:rPr>
        <w:t>Leaders</w:t>
      </w:r>
      <w:r>
        <w:rPr>
          <w:rFonts w:hint="cs"/>
          <w:rtl/>
          <w:lang w:bidi="ar-SY"/>
        </w:rPr>
        <w:t>)</w:t>
      </w:r>
      <w:r>
        <w:rPr>
          <w:rFonts w:hint="eastAsia"/>
          <w:rtl/>
          <w:lang w:bidi="ar-SY"/>
        </w:rPr>
        <w:t>“</w:t>
      </w:r>
      <w:r>
        <w:rPr>
          <w:rFonts w:hint="cs"/>
          <w:rtl/>
          <w:lang w:bidi="ar-SY"/>
        </w:rPr>
        <w:t xml:space="preserve"> على المجالات الرئيسية لتعميم مراعاة المنظور الجنساني وتكافؤ الفرص بين الرجل والمرأة في النمسا. وكان يتعين على مختلف المناطق إعداد خطط إنمائية تحضيرا لبرنامج ”القادة + المناطق</w:t>
      </w:r>
      <w:r>
        <w:rPr>
          <w:rFonts w:hint="eastAsia"/>
          <w:rtl/>
          <w:lang w:bidi="ar-SY"/>
        </w:rPr>
        <w:t xml:space="preserve">“. </w:t>
      </w:r>
      <w:r>
        <w:rPr>
          <w:rFonts w:hint="cs"/>
          <w:rtl/>
          <w:lang w:bidi="ar-SY"/>
        </w:rPr>
        <w:t xml:space="preserve">والامتثال لمبادئ تعميم مراعاة المنظور الجنساني أمر لا غنى عنه من أجل وضع مثل هذه الخطط. ولا يتم التحقق من الامتثال لهذه المبادئ أثناء عمليات الاختيار لبرنامج </w:t>
      </w:r>
      <w:r>
        <w:rPr>
          <w:rFonts w:hint="eastAsia"/>
          <w:rtl/>
          <w:lang w:bidi="ar-SY"/>
        </w:rPr>
        <w:t>”</w:t>
      </w:r>
      <w:r>
        <w:rPr>
          <w:rFonts w:hint="cs"/>
          <w:rtl/>
          <w:lang w:bidi="ar-SY"/>
        </w:rPr>
        <w:t>القادة + المناطق</w:t>
      </w:r>
      <w:r>
        <w:rPr>
          <w:rFonts w:hint="eastAsia"/>
          <w:rtl/>
          <w:lang w:bidi="ar-SY"/>
        </w:rPr>
        <w:t xml:space="preserve">“ فحسب بل أيضا أثناء مراجعة الحسابات المالية. </w:t>
      </w:r>
      <w:r>
        <w:rPr>
          <w:rFonts w:hint="cs"/>
          <w:rtl/>
          <w:lang w:bidi="ar-SY"/>
        </w:rPr>
        <w:t xml:space="preserve">ويتم كل سنتين إدراج فصل عنوانه </w:t>
      </w:r>
      <w:r>
        <w:rPr>
          <w:rFonts w:hint="eastAsia"/>
          <w:rtl/>
          <w:lang w:bidi="ar-SY"/>
        </w:rPr>
        <w:t>”المرأة في الزراعة</w:t>
      </w:r>
      <w:r>
        <w:rPr>
          <w:rFonts w:hint="cs"/>
          <w:rtl/>
          <w:lang w:bidi="ar-SY"/>
        </w:rPr>
        <w:t>“ يتضمن بيانات محددة في التقرير المقدم عن حالة الزراعة (التقرير الأخضر) الذي يوافق عليها البرلمان.</w:t>
      </w:r>
    </w:p>
    <w:p w:rsidR="007B4C85" w:rsidRDefault="0077705B" w:rsidP="0077705B">
      <w:pPr>
        <w:pStyle w:val="SingleTxt"/>
        <w:rPr>
          <w:rFonts w:hint="cs"/>
          <w:b/>
          <w:bCs/>
          <w:rtl/>
          <w:lang w:bidi="ar-SY"/>
        </w:rPr>
      </w:pPr>
      <w:r>
        <w:rPr>
          <w:rFonts w:hint="cs"/>
          <w:b/>
          <w:bCs/>
          <w:rtl/>
          <w:lang w:bidi="ar-SY"/>
        </w:rPr>
        <w:t xml:space="preserve">تنظيم </w:t>
      </w:r>
      <w:r w:rsidR="007B4C85">
        <w:rPr>
          <w:rFonts w:hint="cs"/>
          <w:b/>
          <w:bCs/>
          <w:rtl/>
          <w:lang w:bidi="ar-SY"/>
        </w:rPr>
        <w:t>أنشطة خاصة في الأقاليم</w:t>
      </w:r>
    </w:p>
    <w:p w:rsidR="007B4C85" w:rsidRDefault="007B4C85" w:rsidP="007B4C85">
      <w:pPr>
        <w:pStyle w:val="SingleTxt"/>
        <w:rPr>
          <w:rFonts w:hint="cs"/>
          <w:rtl/>
          <w:lang w:bidi="ar-SY"/>
        </w:rPr>
      </w:pPr>
      <w:r>
        <w:rPr>
          <w:rFonts w:hint="cs"/>
          <w:b/>
          <w:bCs/>
          <w:rtl/>
          <w:lang w:bidi="ar-SY"/>
        </w:rPr>
        <w:tab/>
      </w:r>
      <w:r>
        <w:rPr>
          <w:rFonts w:hint="cs"/>
          <w:rtl/>
          <w:lang w:bidi="ar-SY"/>
        </w:rPr>
        <w:t xml:space="preserve">تم في وادي </w:t>
      </w:r>
      <w:r>
        <w:rPr>
          <w:lang w:bidi="ar-SY"/>
        </w:rPr>
        <w:t>Gro</w:t>
      </w:r>
      <w:r>
        <w:rPr>
          <w:rFonts w:cs="Times New Roman"/>
          <w:lang w:bidi="ar-SY"/>
        </w:rPr>
        <w:t>β</w:t>
      </w:r>
      <w:r>
        <w:rPr>
          <w:lang w:bidi="ar-SY"/>
        </w:rPr>
        <w:t xml:space="preserve">es Walser </w:t>
      </w:r>
      <w:r>
        <w:rPr>
          <w:rFonts w:hint="cs"/>
          <w:rtl/>
          <w:lang w:bidi="ar-SY"/>
        </w:rPr>
        <w:t xml:space="preserve"> (إقليم فورارلبيرغ) إعداد خطة للنهوض بالمرأة في عام 2003، وتهدف إلى القضاء على التمييز ضد المرأة في المناطق الريفية. ومنذ عام 1999، تم تشييد شبكات نسائية في مختلف المناطق، تقوم بتنسيقها شبكة على مستوى الوطن مؤلفة من ناطقات رسميات من المناطق. وبالإضافة إلى الهيئات الإقليمية، تضع النساء استراتيجيات لحل المشاكل التي تؤثر بصفة محددة على المرأة.</w:t>
      </w:r>
    </w:p>
    <w:p w:rsidR="007B4C85" w:rsidRDefault="007B4C85" w:rsidP="007B4C85">
      <w:pPr>
        <w:pStyle w:val="SingleTxt"/>
        <w:rPr>
          <w:rFonts w:hint="cs"/>
          <w:sz w:val="30"/>
          <w:rtl/>
          <w:lang w:bidi="ar-SY"/>
        </w:rPr>
      </w:pPr>
      <w:r w:rsidRPr="00E74125">
        <w:rPr>
          <w:rFonts w:hint="eastAsia"/>
          <w:b/>
          <w:bCs/>
          <w:rtl/>
          <w:lang w:bidi="ar-SY"/>
        </w:rPr>
        <w:t>”اليوم ا</w:t>
      </w:r>
      <w:r w:rsidRPr="00E74125">
        <w:rPr>
          <w:rFonts w:hint="cs"/>
          <w:b/>
          <w:bCs/>
          <w:rtl/>
          <w:lang w:bidi="ar-SY"/>
        </w:rPr>
        <w:t>لدولي للمرأة الريفية</w:t>
      </w:r>
      <w:r w:rsidRPr="00E74125">
        <w:rPr>
          <w:rFonts w:hint="eastAsia"/>
          <w:b/>
          <w:bCs/>
          <w:rtl/>
          <w:lang w:bidi="ar-SY"/>
        </w:rPr>
        <w:t>“</w:t>
      </w:r>
      <w:r>
        <w:rPr>
          <w:rFonts w:hint="eastAsia"/>
          <w:rtl/>
          <w:lang w:bidi="ar-SY"/>
        </w:rPr>
        <w:t>:</w:t>
      </w:r>
      <w:r>
        <w:rPr>
          <w:rFonts w:hint="cs"/>
          <w:rtl/>
          <w:lang w:bidi="ar-SY"/>
        </w:rPr>
        <w:t xml:space="preserve"> </w:t>
      </w:r>
      <w:r>
        <w:rPr>
          <w:rFonts w:hint="cs"/>
          <w:sz w:val="10"/>
          <w:rtl/>
          <w:lang w:bidi="ar-SY"/>
        </w:rPr>
        <w:t xml:space="preserve">تشارك الإدارة النسائية في النمسا السفلى في حملة إعلامية للأمم المتحدة. ويتم كل سنة عقد اجتماع مع الزوار الدوليين بمناسبة اليوم الدولي للمرأة الريفية؛ ويربط الموقع </w:t>
      </w:r>
      <w:r>
        <w:rPr>
          <w:szCs w:val="20"/>
          <w:lang w:bidi="ar-SY"/>
        </w:rPr>
        <w:t>www.landrauen.at</w:t>
      </w:r>
      <w:r>
        <w:rPr>
          <w:rFonts w:hint="cs"/>
          <w:szCs w:val="20"/>
          <w:rtl/>
          <w:lang w:bidi="ar-SY"/>
        </w:rPr>
        <w:t xml:space="preserve"> </w:t>
      </w:r>
      <w:r w:rsidRPr="000F579B">
        <w:rPr>
          <w:rFonts w:hint="cs"/>
          <w:sz w:val="30"/>
          <w:rtl/>
          <w:lang w:bidi="ar-SY"/>
        </w:rPr>
        <w:t xml:space="preserve">المبادرات النسائية في </w:t>
      </w:r>
      <w:r>
        <w:rPr>
          <w:rFonts w:hint="cs"/>
          <w:sz w:val="30"/>
          <w:rtl/>
          <w:lang w:bidi="ar-SY"/>
        </w:rPr>
        <w:t xml:space="preserve">النمسا السفلى </w:t>
      </w:r>
      <w:r>
        <w:rPr>
          <w:rFonts w:hint="cs"/>
          <w:sz w:val="30"/>
          <w:rtl/>
          <w:lang w:bidi="ar-LB"/>
        </w:rPr>
        <w:t>ب</w:t>
      </w:r>
      <w:r>
        <w:rPr>
          <w:rFonts w:hint="cs"/>
          <w:sz w:val="30"/>
          <w:rtl/>
          <w:lang w:bidi="ar-SY"/>
        </w:rPr>
        <w:t xml:space="preserve">المجتمع الدولي للنساء في المناطق الريفية ويسمح بإجراء تبادل للمعلومات. </w:t>
      </w:r>
    </w:p>
    <w:p w:rsidR="007B4C85" w:rsidRDefault="007B4C85" w:rsidP="007B4C85">
      <w:pPr>
        <w:pStyle w:val="SingleTxt"/>
        <w:rPr>
          <w:rFonts w:hint="cs"/>
          <w:rtl/>
          <w:lang w:bidi="ar-SY"/>
        </w:rPr>
      </w:pPr>
      <w:r w:rsidRPr="000F579B">
        <w:rPr>
          <w:rFonts w:hint="cs"/>
          <w:rtl/>
          <w:lang w:bidi="ar-SY"/>
        </w:rPr>
        <w:tab/>
        <w:t xml:space="preserve">ويسعى مشروع </w:t>
      </w:r>
      <w:r w:rsidRPr="000F579B">
        <w:rPr>
          <w:rFonts w:hint="eastAsia"/>
          <w:rtl/>
          <w:lang w:bidi="ar-SY"/>
        </w:rPr>
        <w:t>”التعاون عبر الحدود للتوعية بشؤون المرأة</w:t>
      </w:r>
      <w:r w:rsidRPr="000F579B">
        <w:rPr>
          <w:rFonts w:hint="cs"/>
          <w:rtl/>
          <w:lang w:bidi="ar-SY"/>
        </w:rPr>
        <w:t>“</w:t>
      </w:r>
      <w:r>
        <w:rPr>
          <w:rFonts w:hint="cs"/>
          <w:rtl/>
          <w:lang w:bidi="ar-SY"/>
        </w:rPr>
        <w:t xml:space="preserve"> إلى تحسين البيئة التي يعيش فيها الأشخاص على حدود النمسا السفلى ويعملون فيها، ويركز بصفة خاصة على المرأة. ويهدف المشروع أيضا إلى إدماج المرأة بصورة أكبر في هيئات رسم السياسات الإقليمية وفي تنفيذ مبدأ مراعاة تعميم المنظور الجنساني على مستوى الأقاليم وعبر الحدود. </w:t>
      </w:r>
    </w:p>
    <w:p w:rsidR="007B4C85" w:rsidRDefault="007B4C85" w:rsidP="007B4C85">
      <w:pPr>
        <w:pStyle w:val="SingleTxt"/>
        <w:rPr>
          <w:rFonts w:hint="cs"/>
          <w:rtl/>
          <w:lang w:bidi="ar-SY"/>
        </w:rPr>
      </w:pPr>
      <w:r>
        <w:rPr>
          <w:rFonts w:hint="cs"/>
          <w:rtl/>
          <w:lang w:bidi="ar-SY"/>
        </w:rPr>
        <w:tab/>
        <w:t>وتقوم حكومة إقليم النمسا العليا بالتعاون مع الرابطات النسائية بإجراء سلسلة من الدراسات عن حالة المرأة في المناطق الريفية ويضطلع أعضاؤها ببرامج تدريبية لرفع المهارات.</w:t>
      </w:r>
    </w:p>
    <w:p w:rsidR="007B4C85" w:rsidRDefault="007B4C85" w:rsidP="007B4C85">
      <w:pPr>
        <w:pStyle w:val="SingleTxt"/>
        <w:rPr>
          <w:rFonts w:hint="cs"/>
          <w:rtl/>
          <w:lang w:bidi="ar-SY"/>
        </w:rPr>
      </w:pPr>
      <w:r>
        <w:rPr>
          <w:rFonts w:hint="cs"/>
          <w:rtl/>
          <w:lang w:bidi="ar-SY"/>
        </w:rPr>
        <w:tab/>
        <w:t xml:space="preserve">ويدعم إقليم تيرول المنظمة وينظم دورات دراسية وحلقات دراسية أي دورات دراسية للسياسيين في تيرول الشرقية بالإضافة إلى دورات دراسية عن التعاون عبر الحدود بين أوسيرفيرن وبافاريا، ويدعم عدد من الدراسات (انظر المرفق 1). </w:t>
      </w:r>
    </w:p>
    <w:p w:rsidR="007B4C85" w:rsidRDefault="007B4C85" w:rsidP="007B4C85">
      <w:pPr>
        <w:pStyle w:val="SingleTxt"/>
        <w:rPr>
          <w:rFonts w:hint="cs"/>
          <w:rtl/>
          <w:lang w:bidi="ar-SY"/>
        </w:rPr>
      </w:pPr>
      <w:r>
        <w:rPr>
          <w:rFonts w:hint="cs"/>
          <w:rtl/>
          <w:lang w:bidi="ar-SY"/>
        </w:rPr>
        <w:tab/>
        <w:t>ويشجع إقليم سالزبورغ قضية المرأة في المناطق الريفية من خلال إنشاء مكاتب لمديرات المشاريع المتعلقة بتكافؤ الفرص في مقاطعتي بينتسغاو ولونغاو، بالإضافة إلى المشاركة في عدة مشاريع للاتحاد الأوروبي.</w:t>
      </w:r>
    </w:p>
    <w:p w:rsidR="007B4C85" w:rsidRDefault="007B4C85" w:rsidP="007B4C85">
      <w:pPr>
        <w:pStyle w:val="SingleTxt"/>
        <w:rPr>
          <w:rFonts w:hint="cs"/>
          <w:b/>
          <w:bCs/>
          <w:rtl/>
          <w:lang w:bidi="ar-SY"/>
        </w:rPr>
      </w:pPr>
      <w:r>
        <w:rPr>
          <w:rFonts w:hint="cs"/>
          <w:b/>
          <w:bCs/>
          <w:rtl/>
          <w:lang w:bidi="ar-SY"/>
        </w:rPr>
        <w:t>المادة 14، الرقم 2، الحرف (ج)</w:t>
      </w:r>
    </w:p>
    <w:p w:rsidR="007B4C85" w:rsidRDefault="007B4C85" w:rsidP="007B4C85">
      <w:pPr>
        <w:pStyle w:val="SingleTxt"/>
        <w:rPr>
          <w:rFonts w:hint="cs"/>
          <w:rtl/>
          <w:lang w:bidi="ar-SY"/>
        </w:rPr>
      </w:pPr>
      <w:r>
        <w:rPr>
          <w:rFonts w:hint="cs"/>
          <w:rtl/>
          <w:lang w:bidi="ar-SY"/>
        </w:rPr>
        <w:tab/>
        <w:t>للحصول على مزيد من التفاصيل عن الاستحقاقات المتعلقة برعاية الأطفال انظر المادة 13.</w:t>
      </w:r>
    </w:p>
    <w:p w:rsidR="007B4C85" w:rsidRDefault="007B4C85" w:rsidP="007B4C85">
      <w:pPr>
        <w:pStyle w:val="SingleTxt"/>
        <w:rPr>
          <w:rFonts w:hint="cs"/>
          <w:b/>
          <w:bCs/>
          <w:rtl/>
          <w:lang w:bidi="ar-SY"/>
        </w:rPr>
      </w:pPr>
      <w:r>
        <w:rPr>
          <w:rFonts w:hint="cs"/>
          <w:b/>
          <w:bCs/>
          <w:rtl/>
          <w:lang w:bidi="ar-SY"/>
        </w:rPr>
        <w:t>المادة 14، الرقم 2، الحرف (د)</w:t>
      </w:r>
    </w:p>
    <w:p w:rsidR="007B4C85" w:rsidRDefault="007B4C85" w:rsidP="007B4C85">
      <w:pPr>
        <w:pStyle w:val="SingleTxt"/>
        <w:rPr>
          <w:rFonts w:hint="cs"/>
          <w:rtl/>
          <w:lang w:bidi="ar-SY"/>
        </w:rPr>
      </w:pPr>
      <w:r>
        <w:rPr>
          <w:rFonts w:hint="cs"/>
          <w:rtl/>
          <w:lang w:bidi="ar-SY"/>
        </w:rPr>
        <w:tab/>
        <w:t>يتم في الوقت الراهن إجراء دراسة عن الحالة التعليمية للمرأة في المناطق الريفية بتكليف من الوزارة الاتحادية للزراعة والحراجة والبيئة وإدارة المياه. وفي عام 2000، تم إصدار نشرة باللغتين الألمانية والانكليزية عن المزارعات وزوجات المزارعين. وتم تمويل عدد من المشاريع البحثية التي تعالج دور المرأة في المناطق الريفية. وركزت هذه المشاريع على مواضيع مثل تطوير وتجربة البرامج التدريبية المبتكرة للنساء اللاتي يشغلن مناصب إدارية في مشاريع الزراعة والبساتين، مساهمة منها في إضفاء الطابع الأوروبي على التعليم (وهدفها دعم المرأة لشغل المناصب الإدارية أو التنفيذية)؛ وركزت المشاريع أيضا على التعليم والتدريب وعلى المرأة في المناطق الريفية (دراسة استقصائية عن التدريب المتاح للمرأة ومشاركتها فيها)؛ والخيارات المتاحة لإضفاء الطابع الإنساني على العمل الحراجي الذي تقوم به المرأة (والهدف هو تحديد جميع أنواع التوترات والضغوط التي تتعرض لها المرأة في العمل الحراجي بهدف تحسين البيئة العملية للعاملات في مجال الحراجة والسماح لهن بالتوفيق بين التزامات عملهن والتزاماتهن العائلية).</w:t>
      </w:r>
    </w:p>
    <w:p w:rsidR="007B4C85" w:rsidRDefault="007B4C85" w:rsidP="007B4C85">
      <w:pPr>
        <w:pStyle w:val="SingleTxt"/>
        <w:rPr>
          <w:rFonts w:hint="cs"/>
          <w:rtl/>
          <w:lang w:bidi="ar-SY"/>
        </w:rPr>
      </w:pPr>
      <w:r>
        <w:rPr>
          <w:rFonts w:hint="cs"/>
          <w:rtl/>
          <w:lang w:bidi="ar-SY"/>
        </w:rPr>
        <w:tab/>
        <w:t xml:space="preserve">وبالإضافة إلى ذلك، تم تنفيذ عدد من البرامج التعليمية لأغراض التدريب ورفع المهارات مثل </w:t>
      </w:r>
      <w:r>
        <w:rPr>
          <w:rFonts w:hint="eastAsia"/>
          <w:rtl/>
          <w:lang w:bidi="ar-SY"/>
        </w:rPr>
        <w:t>”الحلقة الدراسية للمزارعات وزوجات المزارعين</w:t>
      </w:r>
      <w:r>
        <w:rPr>
          <w:rFonts w:hint="cs"/>
          <w:rtl/>
          <w:lang w:bidi="ar-SY"/>
        </w:rPr>
        <w:t xml:space="preserve">“؛ و </w:t>
      </w:r>
      <w:r>
        <w:rPr>
          <w:rFonts w:hint="eastAsia"/>
          <w:rtl/>
          <w:lang w:bidi="ar-SY"/>
        </w:rPr>
        <w:t>”المدرسة في المزرعة</w:t>
      </w:r>
      <w:r>
        <w:rPr>
          <w:rFonts w:hint="cs"/>
          <w:rtl/>
          <w:lang w:bidi="ar-SY"/>
        </w:rPr>
        <w:t xml:space="preserve">“؛ والدورات الدراسية في مجال الحواسيب؛ و </w:t>
      </w:r>
      <w:r>
        <w:rPr>
          <w:rFonts w:hint="eastAsia"/>
          <w:rtl/>
          <w:lang w:bidi="ar-SY"/>
        </w:rPr>
        <w:t xml:space="preserve">”المزرعة كمشروع عائلي </w:t>
      </w:r>
      <w:r>
        <w:rPr>
          <w:rFonts w:hint="cs"/>
          <w:rtl/>
          <w:lang w:bidi="ar-SY"/>
        </w:rPr>
        <w:t>-</w:t>
      </w:r>
      <w:r>
        <w:rPr>
          <w:rFonts w:hint="eastAsia"/>
          <w:rtl/>
          <w:lang w:bidi="ar-SY"/>
        </w:rPr>
        <w:t xml:space="preserve"> إنجاز </w:t>
      </w:r>
      <w:r>
        <w:rPr>
          <w:rFonts w:hint="cs"/>
          <w:rtl/>
          <w:lang w:bidi="ar-SY"/>
        </w:rPr>
        <w:t>المزيد معا</w:t>
      </w:r>
      <w:r>
        <w:rPr>
          <w:rFonts w:hint="eastAsia"/>
          <w:rtl/>
          <w:lang w:bidi="ar-SY"/>
        </w:rPr>
        <w:t>“.</w:t>
      </w:r>
      <w:r>
        <w:rPr>
          <w:rFonts w:hint="cs"/>
          <w:rtl/>
          <w:lang w:bidi="ar-SY"/>
        </w:rPr>
        <w:t xml:space="preserve"> وتقوم الأقاليم معا ومع المعهد الريفي لتشجيع التعليم ببرامج تدريبية. وللمزارعات وزوجات المزارعين إمكانية المشاركة في جميع البرامج التدريبية التي تهدف إلى تمكينهن من بناء فروع مستقلة ومتنوعة</w:t>
      </w:r>
      <w:r w:rsidRPr="00D10949">
        <w:rPr>
          <w:rFonts w:hint="cs"/>
          <w:rtl/>
          <w:lang w:bidi="ar-SY"/>
        </w:rPr>
        <w:t xml:space="preserve"> </w:t>
      </w:r>
      <w:r>
        <w:rPr>
          <w:rFonts w:hint="cs"/>
          <w:rtl/>
          <w:lang w:bidi="ar-SY"/>
        </w:rPr>
        <w:t>من الأنشطة، ويؤمل أن يكون لها أثر إيجابي على دخل أسر المزارعين. ويعتبر التعليم مفتاح النجاح.</w:t>
      </w:r>
    </w:p>
    <w:p w:rsidR="007B4C85" w:rsidRDefault="007B4C85" w:rsidP="007B4C85">
      <w:pPr>
        <w:pStyle w:val="SingleTxt"/>
        <w:rPr>
          <w:rFonts w:hint="cs"/>
          <w:rtl/>
          <w:lang w:bidi="ar-SY"/>
        </w:rPr>
      </w:pPr>
      <w:r>
        <w:rPr>
          <w:rFonts w:hint="cs"/>
          <w:b/>
          <w:bCs/>
          <w:rtl/>
          <w:lang w:bidi="ar-SY"/>
        </w:rPr>
        <w:t xml:space="preserve">توفير التدريب في مجال تكنولوجيا المعلومات للمرأة في المناطق الريفية: </w:t>
      </w:r>
      <w:r>
        <w:rPr>
          <w:rFonts w:hint="cs"/>
          <w:rtl/>
          <w:lang w:bidi="ar-SY"/>
        </w:rPr>
        <w:t>تمشيا مع الحملة التدريبية في مجال تكنولوجيا المعلومات التي بدأت بها الوزارة الاتحادية للتعليم والعلوم والثقافة، تم تنظيم برامج تدريبية ودورات تدريبية للمرأة في المناطق الريفية بهدف السماح للمرأة في المناطق المحيطة بالحصول بسهولة أكبر على التدريب الأساسي والمتقدم. وإن الهدف من البيئة التعليمية الموجهة بصفة محددة لاحتياجات المرأة هو خفض الحواجز التي تعترض إمكانية حصول المرأة على تكنولوجيا المعلومات والاتصالات. وتمشيا مع مفهوم التعليم على مدى الحياة، يتم تلقين المهارات الرئيسية والمؤهلات في مجال تكنولوجيا المعلومات التي من شأنها أن تحسن فرص المرأة في سوق العمل.</w:t>
      </w:r>
    </w:p>
    <w:p w:rsidR="007B4C85" w:rsidRPr="002E1D13" w:rsidRDefault="007B4C85" w:rsidP="007B4C85">
      <w:pPr>
        <w:pStyle w:val="SingleTxt"/>
        <w:rPr>
          <w:rFonts w:hint="cs"/>
          <w:b/>
          <w:bCs/>
          <w:rtl/>
          <w:lang w:bidi="ar-SY"/>
        </w:rPr>
      </w:pPr>
      <w:r w:rsidRPr="002E1D13">
        <w:rPr>
          <w:rFonts w:hint="cs"/>
          <w:b/>
          <w:bCs/>
          <w:rtl/>
          <w:lang w:bidi="ar-SY"/>
        </w:rPr>
        <w:t>المادة 14، الرقم 2، الحرف (هـ)</w:t>
      </w:r>
    </w:p>
    <w:p w:rsidR="007B4C85" w:rsidRDefault="007B4C85" w:rsidP="007B4C85">
      <w:pPr>
        <w:pStyle w:val="SingleTxt"/>
        <w:rPr>
          <w:rFonts w:hint="cs"/>
          <w:rtl/>
          <w:lang w:bidi="ar-SY"/>
        </w:rPr>
      </w:pPr>
      <w:r>
        <w:rPr>
          <w:rFonts w:hint="cs"/>
          <w:rtl/>
          <w:lang w:bidi="ar-SY"/>
        </w:rPr>
        <w:tab/>
        <w:t>من شأن تكوين الجماعات التي تتمتع بالدعم الذاتي، وبناء الشبكات أن يعزز البرنامج النمساوي للتنمية الريفية (لا سيما عن طريق الجهود المبذولة لتسوية وتطوير المناطق الريفية) وبرنامج القادة + (</w:t>
      </w:r>
      <w:r>
        <w:rPr>
          <w:lang w:bidi="ar-SY"/>
        </w:rPr>
        <w:t>Leaders +</w:t>
      </w:r>
      <w:r>
        <w:rPr>
          <w:rFonts w:hint="cs"/>
          <w:rtl/>
          <w:lang w:bidi="ar-SY"/>
        </w:rPr>
        <w:t>). وفي إطار شبكة القادة +، تم إنشاء فريق عامل معني بتعميم مراعاة المنظور الجنساني ترأسه امرأة خبيرة في هذا المجال كمديرة للمشروع. وبموجب برنامج القادة + يتم تقديم الدعم بصورة مكثفة لإنشاء وظائف مبتكرة. وبالإضافة إلى ذلك، يقدم مركز اتصال الشبكة لبرنامج القادة + الأفراد المهتمين بإسداء المشورة في مجال تعميم مراعاة المنظور الجنساني مجانا، ويتضمن عمل هذه الشبكة، بالإضافة إلى إسداء المشورة العامة، إعداد المبادئ التوجيهية المتعلقة بمفهوم التوعية بشؤون المرأة داخل المشاريع.</w:t>
      </w:r>
    </w:p>
    <w:p w:rsidR="007B4C85" w:rsidRDefault="007B4C85" w:rsidP="007B4C85">
      <w:pPr>
        <w:pStyle w:val="SingleTxt"/>
        <w:rPr>
          <w:rFonts w:hint="cs"/>
          <w:b/>
          <w:bCs/>
          <w:rtl/>
          <w:lang w:bidi="ar-SY"/>
        </w:rPr>
      </w:pPr>
      <w:r>
        <w:rPr>
          <w:rFonts w:hint="cs"/>
          <w:b/>
          <w:bCs/>
          <w:rtl/>
          <w:lang w:bidi="ar-SY"/>
        </w:rPr>
        <w:t>المادة 14، الرقم 2، الحرف (ز)</w:t>
      </w:r>
    </w:p>
    <w:p w:rsidR="007B4C85" w:rsidRDefault="007B4C85" w:rsidP="007B4C85">
      <w:pPr>
        <w:pStyle w:val="SingleTxt"/>
        <w:rPr>
          <w:rFonts w:hint="cs"/>
          <w:rtl/>
          <w:lang w:bidi="ar-SY"/>
        </w:rPr>
      </w:pPr>
      <w:r>
        <w:rPr>
          <w:rFonts w:hint="cs"/>
          <w:rtl/>
          <w:lang w:bidi="ar-SY"/>
        </w:rPr>
        <w:tab/>
        <w:t xml:space="preserve">في النمسا اليوم، تدير النساء أكثر من 41 في المائة من المشاريع الزراعية. ويمكن تفسير هذه النسبة العالية من المزارع التي تديرها المرأة لأن الإعانات الاستثمارية تمنح بصفة حصرية للمزارعين المتفرغين. ونتيجة لذلك، عمل عدد متزايد من النساء مديرات للمزارع، وهذا الوضع يطابق في الواقع التقسيم الفعلي للعمالة في المزارع. وهكذا، يصبح عمل المرأة من ناحية بارزا أكثر في المزارع كما أن المنصب الإداري يعطي من ناحية أخرى للمرأة في مجال الزراعة مركزا قانونيا أهم. </w:t>
      </w:r>
    </w:p>
    <w:p w:rsidR="007B4C85" w:rsidRDefault="007B4C85" w:rsidP="004A593D">
      <w:pPr>
        <w:pStyle w:val="SingleTxt"/>
        <w:rPr>
          <w:rFonts w:hint="cs"/>
          <w:rtl/>
          <w:lang w:bidi="ar-SY"/>
        </w:rPr>
      </w:pPr>
      <w:r>
        <w:rPr>
          <w:rFonts w:hint="cs"/>
          <w:rtl/>
          <w:lang w:bidi="ar-SY"/>
        </w:rPr>
        <w:tab/>
        <w:t>وتشير الإحصاءات إلى أن الأغلبية الساحقة للمزارع الصغيرة تديرها المرأة. ونظرا لأن الممتلكات تصل إلى 20 هكتارا، فإن نصيب المرأة المديرة يصل إلى 40 في المائة، في حين أن الممتلكات التي تزيد عن 10 هكتارات لا يتجاوز نصيب المرأة منها 16 في المائة. وتدير المرأة 37 في المائة من المزارع الواقعة على جبال الألب والمشاريع الزراعية العضوية. ويتم تقريبا دفع ثلث الإعانات الاستثمارية للمزارع التي تديرها المرأة. وتحصل المرأة على حوالي 19 في المائة من مجموع العلاوات المدفوعة للمزارعين الجدد الذين ينش</w:t>
      </w:r>
      <w:r w:rsidR="004A593D">
        <w:rPr>
          <w:rFonts w:hint="cs"/>
          <w:rtl/>
          <w:lang w:bidi="ar-SY"/>
        </w:rPr>
        <w:t>ئو</w:t>
      </w:r>
      <w:r>
        <w:rPr>
          <w:rFonts w:hint="cs"/>
          <w:rtl/>
          <w:lang w:bidi="ar-SY"/>
        </w:rPr>
        <w:t>ن المزارع (ما</w:t>
      </w:r>
      <w:r w:rsidR="004A593D">
        <w:rPr>
          <w:rFonts w:hint="eastAsia"/>
          <w:rtl/>
          <w:lang w:bidi="ar-SY"/>
        </w:rPr>
        <w:t> </w:t>
      </w:r>
      <w:r>
        <w:rPr>
          <w:rFonts w:hint="cs"/>
          <w:rtl/>
          <w:lang w:bidi="ar-SY"/>
        </w:rPr>
        <w:t>يسمى بمكافآت الإنشاء). وبالنسبة لدورات التدريب المهني، 40 في المائة من المشاركين فيها هم من النساء اللاتي يدرن المزارع، ويشكلن أكبر فئة من بين المشاركين. ويثبت ذلك أن التدابير التدريبية الموجهة إلى المرأة تلقى نجاحا كبيرا. والمقصود بالبرامج التدريبية التي تهدف إلى النهوض بالمرأة إيجاد فرص لتطوير المرأة في المناطق الريفية. والجهود المتنوعة التي تؤدي إلى القيام بأنشطة متعددة الوظائف في المزارع تبذلها المرأة (انظر المرفق 2).</w:t>
      </w:r>
    </w:p>
    <w:p w:rsidR="007B4C85" w:rsidRDefault="007B4C85" w:rsidP="007B4C85">
      <w:pPr>
        <w:pStyle w:val="SingleTxt"/>
        <w:rPr>
          <w:rFonts w:hint="cs"/>
          <w:rtl/>
          <w:lang w:bidi="ar-SY"/>
        </w:rPr>
      </w:pPr>
      <w:r>
        <w:rPr>
          <w:rFonts w:hint="cs"/>
          <w:rtl/>
          <w:lang w:bidi="ar-SY"/>
        </w:rPr>
        <w:tab/>
        <w:t>وعند تسجيل الإعانات التي تستهدف المشاريع (الرصد)، يتم جمع البيانات الخاصة بالمرأة إلى أكبر حد ممكن. ويجب على الحاصلين على الإعانات أن يمتثلوا من حيث المبدأ لإحكام قانون المساواة في المعاملة. ويؤدي عدم الامتثال إلى وقف هذه الإعانات. ويتم تقييم أثر المشاريع الفردية على تكافؤ الفرص بين المرأة والرجل على أساس كل مشروع على حدة، لا سيما في إطار مبادرة برنامج القادة +. ويؤدي التقييم السلبي إلى قطع الإعانات المالية.</w:t>
      </w:r>
      <w:bookmarkStart w:id="1" w:name="TmpSave"/>
      <w:bookmarkEnd w:id="1"/>
    </w:p>
    <w:p w:rsidR="007B4C85" w:rsidRDefault="007B4C85" w:rsidP="007B4C85">
      <w:pPr>
        <w:pStyle w:val="SingleTxt"/>
        <w:rPr>
          <w:rFonts w:hint="cs"/>
          <w:b/>
          <w:bCs/>
          <w:rtl/>
          <w:lang w:bidi="ar-SY"/>
        </w:rPr>
      </w:pPr>
      <w:r>
        <w:rPr>
          <w:rFonts w:hint="cs"/>
          <w:b/>
          <w:bCs/>
          <w:rtl/>
          <w:lang w:bidi="ar-SY"/>
        </w:rPr>
        <w:t xml:space="preserve">المادة 14، الرقم 2، الحرف (ح) </w:t>
      </w:r>
    </w:p>
    <w:p w:rsidR="007B4C85" w:rsidRDefault="007B4C85" w:rsidP="007B4C85">
      <w:pPr>
        <w:pStyle w:val="SingleTxt"/>
        <w:rPr>
          <w:rFonts w:hint="cs"/>
          <w:sz w:val="30"/>
          <w:rtl/>
          <w:lang w:bidi="ar-SY"/>
        </w:rPr>
      </w:pPr>
      <w:r w:rsidRPr="00ED5D51">
        <w:rPr>
          <w:rFonts w:hint="cs"/>
          <w:b/>
          <w:bCs/>
          <w:sz w:val="30"/>
          <w:rtl/>
          <w:lang w:bidi="ar-SY"/>
        </w:rPr>
        <w:t xml:space="preserve">مشروع </w:t>
      </w:r>
      <w:r w:rsidRPr="007B0798">
        <w:rPr>
          <w:b/>
          <w:bCs/>
          <w:szCs w:val="20"/>
          <w:lang w:bidi="ar-SY"/>
        </w:rPr>
        <w:t>P</w:t>
      </w:r>
      <w:r>
        <w:rPr>
          <w:rFonts w:cs="Times New Roman"/>
          <w:b/>
          <w:bCs/>
          <w:szCs w:val="20"/>
          <w:lang w:bidi="ar-SY"/>
        </w:rPr>
        <w:t>ö</w:t>
      </w:r>
      <w:r w:rsidRPr="007B0798">
        <w:rPr>
          <w:b/>
          <w:bCs/>
          <w:szCs w:val="20"/>
          <w:lang w:bidi="ar-SY"/>
        </w:rPr>
        <w:t>tschin</w:t>
      </w:r>
      <w:r w:rsidRPr="00393AD5">
        <w:rPr>
          <w:b/>
          <w:bCs/>
          <w:szCs w:val="20"/>
          <w:lang w:bidi="ar-SY"/>
        </w:rPr>
        <w:t>g</w:t>
      </w:r>
      <w:r w:rsidRPr="00ED5D51">
        <w:rPr>
          <w:rFonts w:hint="cs"/>
          <w:b/>
          <w:bCs/>
          <w:sz w:val="30"/>
          <w:rtl/>
          <w:lang w:bidi="ar-SY"/>
        </w:rPr>
        <w:t xml:space="preserve"> </w:t>
      </w:r>
      <w:r>
        <w:rPr>
          <w:rFonts w:hint="cs"/>
          <w:b/>
          <w:bCs/>
          <w:sz w:val="30"/>
          <w:rtl/>
          <w:lang w:bidi="ar-SY"/>
        </w:rPr>
        <w:t>للنقل بالحافلات:</w:t>
      </w:r>
      <w:r>
        <w:rPr>
          <w:rFonts w:hint="cs"/>
          <w:sz w:val="30"/>
          <w:rtl/>
          <w:lang w:bidi="ar-SY"/>
        </w:rPr>
        <w:t xml:space="preserve"> تم تحليل ظاهرة المرور </w:t>
      </w:r>
      <w:r>
        <w:rPr>
          <w:rFonts w:hint="eastAsia"/>
          <w:sz w:val="30"/>
          <w:rtl/>
          <w:lang w:bidi="ar-SY"/>
        </w:rPr>
        <w:t>”ثم تم اتخاذ تدابير عملية على أساس نتائج هذا التحليل</w:t>
      </w:r>
      <w:r>
        <w:rPr>
          <w:rFonts w:hint="cs"/>
          <w:sz w:val="30"/>
          <w:rtl/>
          <w:lang w:bidi="ar-SY"/>
        </w:rPr>
        <w:t>“. ويمكن إثبات أنه بفضل التدابير المحددة المتخذة (مثل جعل النظام العام لنقل الركاب على مسافات قصيرة أكثر اجتذابا عن طريق التكيف مع احتياجات فئات المستخدمين الرئيسية) لم يزدد معدل استخدام نظام النقل العام للمسافات القصيرة فحسب (ومن ثم تم تحقيق الأهداف الرئيسية لسياسة المرور) بل تحسنت أيضا قدرة المرأة على التنقل مما سمح لها بالتوفيق على نحو أفضل بين التزامات العمل والالتزامات العائلية. وحصل المشروع الرائد على الجائزة البيئية النمساوية.</w:t>
      </w:r>
    </w:p>
    <w:p w:rsidR="007B4C85" w:rsidRDefault="007B4C85" w:rsidP="007B4C85">
      <w:pPr>
        <w:pStyle w:val="SingleTxt"/>
        <w:rPr>
          <w:rFonts w:hint="cs"/>
          <w:sz w:val="30"/>
          <w:rtl/>
          <w:lang w:bidi="ar-SY"/>
        </w:rPr>
      </w:pPr>
      <w:r>
        <w:rPr>
          <w:rFonts w:hint="cs"/>
          <w:b/>
          <w:bCs/>
          <w:sz w:val="30"/>
          <w:rtl/>
          <w:lang w:bidi="ar-SY"/>
        </w:rPr>
        <w:t>إنشاء مجلس استشاري من الخبيرات يعنى بسياسات النقل:</w:t>
      </w:r>
      <w:r>
        <w:rPr>
          <w:rFonts w:hint="cs"/>
          <w:sz w:val="30"/>
          <w:rtl/>
          <w:lang w:bidi="ar-SY"/>
        </w:rPr>
        <w:t xml:space="preserve"> وظيفة هذا المجلس هو إبراز احتياجات المرأة في مجال سياسات النقل، ووضع الأفكار والاقتراحات العملية التي تقدمها المرأة بعين الاعتبار في جميع المشاريع المتصلة بالنقل. ويهدف إلى توعية الرأي العام بضرورة معالجة شؤون المرأة في مختلف الميادين السياسية، وهذا شرط مسبق لتحقيق المساواة الاجتماعية - السياسية الحقيقية بين الرجل والمرأة.</w:t>
      </w:r>
    </w:p>
    <w:p w:rsidR="007B4C85" w:rsidRDefault="007B4C85" w:rsidP="007B4C85">
      <w:pPr>
        <w:pStyle w:val="SingleTxt"/>
        <w:rPr>
          <w:rFonts w:hint="cs"/>
          <w:b/>
          <w:bCs/>
          <w:sz w:val="30"/>
          <w:rtl/>
          <w:lang w:bidi="ar-SY"/>
        </w:rPr>
      </w:pPr>
      <w:r>
        <w:rPr>
          <w:rFonts w:hint="cs"/>
          <w:b/>
          <w:bCs/>
          <w:sz w:val="30"/>
          <w:rtl/>
          <w:lang w:bidi="ar-SY"/>
        </w:rPr>
        <w:t>المادة 15</w:t>
      </w:r>
    </w:p>
    <w:p w:rsidR="007B4C85" w:rsidRDefault="007B4C85" w:rsidP="007B4C85">
      <w:pPr>
        <w:pStyle w:val="SingleTxt"/>
        <w:rPr>
          <w:rFonts w:hint="cs"/>
          <w:sz w:val="30"/>
          <w:rtl/>
          <w:lang w:bidi="ar-SY"/>
        </w:rPr>
      </w:pPr>
      <w:r>
        <w:rPr>
          <w:rFonts w:hint="cs"/>
          <w:sz w:val="30"/>
          <w:rtl/>
          <w:lang w:bidi="ar-SY"/>
        </w:rPr>
        <w:tab/>
        <w:t>انظر التوصية 227.</w:t>
      </w:r>
    </w:p>
    <w:p w:rsidR="007B4C85" w:rsidRPr="00ED5D51" w:rsidRDefault="007B4C85" w:rsidP="007B4C85">
      <w:pPr>
        <w:pStyle w:val="SingleTxt"/>
        <w:rPr>
          <w:rFonts w:hint="cs"/>
          <w:b/>
          <w:bCs/>
          <w:sz w:val="30"/>
          <w:rtl/>
          <w:lang w:bidi="ar-SY"/>
        </w:rPr>
      </w:pPr>
      <w:r w:rsidRPr="00ED5D51">
        <w:rPr>
          <w:rFonts w:hint="cs"/>
          <w:b/>
          <w:bCs/>
          <w:sz w:val="30"/>
          <w:rtl/>
          <w:lang w:bidi="ar-SY"/>
        </w:rPr>
        <w:t>المادة 16</w:t>
      </w:r>
    </w:p>
    <w:p w:rsidR="007B4C85" w:rsidRDefault="007B4C85" w:rsidP="007B4C85">
      <w:pPr>
        <w:pStyle w:val="SingleTxt"/>
        <w:rPr>
          <w:rFonts w:hint="cs"/>
          <w:sz w:val="30"/>
          <w:rtl/>
          <w:lang w:bidi="ar-SY"/>
        </w:rPr>
      </w:pPr>
      <w:r>
        <w:rPr>
          <w:rFonts w:hint="cs"/>
          <w:sz w:val="30"/>
          <w:rtl/>
          <w:lang w:bidi="ar-SY"/>
        </w:rPr>
        <w:tab/>
        <w:t xml:space="preserve">اعتبارا من عام 1999، أنشأ المكتب المعني بشؤون المرأة والمساواة في سالزبورغ مركزا استشاريا قانونيا للمرأة، يقدم خدماته مجانا وفي نفس الوقت يخدم جميع المقاطعات. ويخصص كل شهر فريق مؤلف من أربعة خبراء قانونيين يومين للاستشارة في سالزبورغ. وبالإضافة إلى ذلك، تم إنشاء خط ساخن للاستشارة تستطيع عن طريقه الخبيرات القانونيات إسداء المشورة لمدة ساعتين في الأسبوع. وبالإضافة إلى ذلك، تم تنظيم منتدى عنوانه </w:t>
      </w:r>
      <w:r>
        <w:rPr>
          <w:rFonts w:hint="eastAsia"/>
          <w:sz w:val="30"/>
          <w:rtl/>
          <w:lang w:bidi="ar-SY"/>
        </w:rPr>
        <w:t>”منتدى المرأة والقانون</w:t>
      </w:r>
      <w:r>
        <w:rPr>
          <w:rFonts w:hint="cs"/>
          <w:sz w:val="30"/>
          <w:rtl/>
          <w:lang w:bidi="ar-SY"/>
        </w:rPr>
        <w:t>“ بالاشتراك مع جامعة سالزبورغ مرة في السنة، ويعالج التعديلات الأخيرة التي تم إدخالها على قانون الزواج والأسرة. وتم توفير منشورات شاملة جاهزة عن قانون الزواج والأسرة إلى السكان.</w:t>
      </w:r>
    </w:p>
    <w:p w:rsidR="007B4C85" w:rsidRDefault="007B4C85" w:rsidP="007B4C85">
      <w:pPr>
        <w:pStyle w:val="SingleTxt"/>
        <w:rPr>
          <w:rFonts w:hint="cs"/>
          <w:sz w:val="30"/>
          <w:rtl/>
          <w:lang w:bidi="ar-SY"/>
        </w:rPr>
      </w:pPr>
      <w:r>
        <w:rPr>
          <w:rFonts w:hint="cs"/>
          <w:sz w:val="30"/>
          <w:rtl/>
          <w:lang w:bidi="ar-SY"/>
        </w:rPr>
        <w:tab/>
        <w:t xml:space="preserve">وبالإضافة إلى ذلك، نحيلكم إلى تقارير جمهورية النمسا المقدمة إلى اللجنة المعنية بالقضاء على التمييز ضد المرأة. وفيما يتعلق بخيار الحضانة المشتركة للأطفال بعد الطلاق، انظر المادة 5، الحرف (ب). </w:t>
      </w:r>
    </w:p>
    <w:p w:rsidR="007B4C85" w:rsidRPr="00496CD5" w:rsidRDefault="00496CD5" w:rsidP="00496CD5">
      <w:pPr>
        <w:pStyle w:val="SingleTxt"/>
        <w:spacing w:after="0" w:line="240" w:lineRule="auto"/>
        <w:rPr>
          <w:rFonts w:hint="cs"/>
          <w:rtl/>
          <w:lang w:bidi="ar-SY"/>
        </w:rPr>
      </w:pPr>
      <w:r>
        <w:rPr>
          <w:noProof/>
          <w:w w:val="100"/>
          <w:rtl/>
        </w:rPr>
        <w:pict>
          <v:line id="_x0000_s2051" style="position:absolute;left:0;text-align:left;z-index:2" from="206.6pt,24pt" to="278.6pt,24pt" strokeweight=".25pt">
            <w10:wrap anchorx="page"/>
          </v:line>
        </w:pict>
      </w:r>
    </w:p>
    <w:p w:rsidR="007B4C85" w:rsidRDefault="007B4C85" w:rsidP="007B4C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tl/>
          <w:lang w:bidi="ar-SY"/>
        </w:rPr>
        <w:br w:type="page"/>
      </w:r>
      <w:r>
        <w:rPr>
          <w:rFonts w:hint="cs"/>
          <w:rtl/>
          <w:lang w:bidi="ar-SY"/>
        </w:rPr>
        <w:t>المرفق 1</w:t>
      </w:r>
    </w:p>
    <w:p w:rsidR="007B4C85" w:rsidRDefault="007B4C85" w:rsidP="007B4C85">
      <w:pPr>
        <w:pStyle w:val="SingleTxt"/>
        <w:rPr>
          <w:rFonts w:hint="cs"/>
          <w:b/>
          <w:bCs/>
          <w:sz w:val="30"/>
          <w:rtl/>
          <w:lang w:bidi="ar-SY"/>
        </w:rPr>
      </w:pPr>
      <w:r w:rsidRPr="004329FD">
        <w:rPr>
          <w:rFonts w:hint="cs"/>
          <w:b/>
          <w:bCs/>
          <w:sz w:val="30"/>
          <w:rtl/>
          <w:lang w:bidi="ar-SY"/>
        </w:rPr>
        <w:t>المشاريع/البرامج/الدراسات/المنشورات</w:t>
      </w:r>
    </w:p>
    <w:p w:rsidR="007B4C85" w:rsidRPr="00C0510D" w:rsidRDefault="007B4C85" w:rsidP="007B4C85">
      <w:pPr>
        <w:pStyle w:val="SingleTxt"/>
        <w:spacing w:after="0" w:line="120" w:lineRule="exact"/>
        <w:rPr>
          <w:rFonts w:hint="cs"/>
          <w:b/>
          <w:bCs/>
          <w:sz w:val="10"/>
          <w:rtl/>
          <w:lang w:bidi="ar-SY"/>
        </w:rPr>
      </w:pPr>
    </w:p>
    <w:p w:rsidR="007B4C85" w:rsidRDefault="007B4C85" w:rsidP="007B4C85">
      <w:pPr>
        <w:pStyle w:val="SingleTxt"/>
        <w:rPr>
          <w:rFonts w:hint="cs"/>
          <w:sz w:val="30"/>
          <w:rtl/>
          <w:lang w:bidi="ar-SY"/>
        </w:rPr>
      </w:pPr>
      <w:r>
        <w:rPr>
          <w:rFonts w:hint="cs"/>
          <w:sz w:val="30"/>
          <w:rtl/>
          <w:lang w:bidi="ar-SY"/>
        </w:rPr>
        <w:t>ملاحظة: يستطيع أعضاء اللجنة الحصول على ا</w:t>
      </w:r>
      <w:r w:rsidR="00401F5C">
        <w:rPr>
          <w:rFonts w:hint="cs"/>
          <w:sz w:val="30"/>
          <w:rtl/>
          <w:lang w:bidi="ar-SY"/>
        </w:rPr>
        <w:t>لمرفق 1 باللغة التي ورد بها.</w:t>
      </w:r>
    </w:p>
    <w:p w:rsidR="00C509DB" w:rsidRDefault="00C509DB" w:rsidP="00414DB0">
      <w:pPr>
        <w:pStyle w:val="SingleTxt"/>
        <w:ind w:left="0"/>
        <w:rPr>
          <w:rFonts w:hint="cs"/>
          <w:rtl/>
        </w:rPr>
      </w:pPr>
    </w:p>
    <w:p w:rsidR="00E83EFB" w:rsidRDefault="00E83EFB" w:rsidP="00414DB0">
      <w:pPr>
        <w:pStyle w:val="SingleTxt"/>
        <w:ind w:left="0"/>
        <w:rPr>
          <w:rFonts w:hint="cs"/>
          <w:rtl/>
        </w:rPr>
      </w:pPr>
    </w:p>
    <w:p w:rsidR="00125A02" w:rsidRDefault="00125A02" w:rsidP="00414DB0">
      <w:pPr>
        <w:pStyle w:val="SingleTxt"/>
        <w:ind w:left="0"/>
        <w:rPr>
          <w:rtl/>
        </w:rPr>
        <w:sectPr w:rsidR="00125A02" w:rsidSect="008677C9">
          <w:endnotePr>
            <w:numFmt w:val="decimal"/>
          </w:endnotePr>
          <w:type w:val="continuous"/>
          <w:pgSz w:w="12240" w:h="15840" w:code="1"/>
          <w:pgMar w:top="1742" w:right="1195" w:bottom="1898" w:left="1195" w:header="576" w:footer="1030" w:gutter="0"/>
          <w:cols w:space="720"/>
          <w:noEndnote/>
          <w:bidi/>
          <w:rtlGutter/>
          <w:docGrid w:linePitch="280"/>
        </w:sectPr>
      </w:pPr>
    </w:p>
    <w:p w:rsidR="002D3A4A" w:rsidRPr="0021623F" w:rsidRDefault="002D3A4A" w:rsidP="002D3A4A">
      <w:pPr>
        <w:rPr>
          <w:rFonts w:hint="cs"/>
          <w:b/>
          <w:bCs/>
          <w:sz w:val="24"/>
          <w:szCs w:val="24"/>
          <w:rtl/>
          <w:lang w:bidi="ar-LB"/>
        </w:rPr>
      </w:pPr>
      <w:r w:rsidRPr="0021623F">
        <w:rPr>
          <w:rFonts w:hint="cs"/>
          <w:b/>
          <w:bCs/>
          <w:sz w:val="24"/>
          <w:szCs w:val="24"/>
          <w:rtl/>
          <w:lang w:bidi="ar-LB"/>
        </w:rPr>
        <w:t>المرفق الثاني: الإحصاءات</w:t>
      </w:r>
    </w:p>
    <w:p w:rsidR="002D3A4A" w:rsidRPr="0021623F" w:rsidRDefault="002D3A4A" w:rsidP="002D3A4A">
      <w:pPr>
        <w:rPr>
          <w:rFonts w:hint="cs"/>
          <w:b/>
          <w:bCs/>
          <w:sz w:val="24"/>
          <w:szCs w:val="24"/>
          <w:rtl/>
          <w:lang w:bidi="ar-LB"/>
        </w:rPr>
      </w:pPr>
      <w:r w:rsidRPr="0021623F">
        <w:rPr>
          <w:rFonts w:hint="cs"/>
          <w:b/>
          <w:bCs/>
          <w:sz w:val="24"/>
          <w:szCs w:val="24"/>
          <w:rtl/>
          <w:lang w:bidi="ar-LB"/>
        </w:rPr>
        <w:t>التمثيل السياسي للمرأة والرجل: الحكومة الاتحادية والبرلمان وحكومات و</w:t>
      </w:r>
      <w:r>
        <w:rPr>
          <w:rFonts w:hint="cs"/>
          <w:b/>
          <w:bCs/>
          <w:sz w:val="24"/>
          <w:szCs w:val="24"/>
          <w:rtl/>
          <w:lang w:bidi="ar-LB"/>
        </w:rPr>
        <w:t>برلمانات الأقاليم، كانون الأول/ديسم</w:t>
      </w:r>
      <w:r w:rsidRPr="0021623F">
        <w:rPr>
          <w:rFonts w:hint="cs"/>
          <w:b/>
          <w:bCs/>
          <w:sz w:val="24"/>
          <w:szCs w:val="24"/>
          <w:rtl/>
          <w:lang w:bidi="ar-LB"/>
        </w:rPr>
        <w:t>بر 2003</w:t>
      </w:r>
    </w:p>
    <w:p w:rsidR="002D3A4A" w:rsidRPr="008D6D16" w:rsidRDefault="002D3A4A" w:rsidP="002D3A4A">
      <w:pPr>
        <w:pStyle w:val="SingleTxt"/>
        <w:spacing w:after="0" w:line="120" w:lineRule="exact"/>
        <w:rPr>
          <w:rFonts w:hint="cs"/>
          <w:sz w:val="10"/>
          <w:rtl/>
          <w:lang w:bidi="ar-LB"/>
        </w:rPr>
      </w:pPr>
    </w:p>
    <w:p w:rsidR="002D3A4A" w:rsidRDefault="002D3A4A" w:rsidP="002D3A4A">
      <w:pPr>
        <w:tabs>
          <w:tab w:val="left" w:pos="2824"/>
        </w:tabs>
        <w:rPr>
          <w:rFonts w:hint="cs"/>
          <w:b/>
          <w:bCs/>
          <w:sz w:val="22"/>
          <w:szCs w:val="23"/>
          <w:rtl/>
          <w:lang w:bidi="ar-LB"/>
        </w:rPr>
      </w:pPr>
      <w:r>
        <w:rPr>
          <w:rFonts w:hint="cs"/>
          <w:b/>
          <w:bCs/>
          <w:sz w:val="22"/>
          <w:szCs w:val="23"/>
          <w:rtl/>
          <w:lang w:bidi="ar-LB"/>
        </w:rPr>
        <w:t>الحكومة الاتحادية</w:t>
      </w:r>
      <w:r>
        <w:rPr>
          <w:rFonts w:hint="cs"/>
          <w:b/>
          <w:bCs/>
          <w:sz w:val="22"/>
          <w:szCs w:val="23"/>
          <w:rtl/>
          <w:lang w:bidi="ar-LB"/>
        </w:rPr>
        <w:tab/>
        <w:t>البرلمان</w:t>
      </w:r>
    </w:p>
    <w:p w:rsidR="002D3A4A" w:rsidRPr="00981038" w:rsidRDefault="002D3A4A" w:rsidP="002D3A4A">
      <w:pPr>
        <w:spacing w:line="120" w:lineRule="exact"/>
        <w:rPr>
          <w:rFonts w:hint="cs"/>
          <w:b/>
          <w:bCs/>
          <w:sz w:val="10"/>
          <w:szCs w:val="23"/>
          <w:rtl/>
          <w:lang w:bidi="ar-LB"/>
        </w:rPr>
      </w:pPr>
    </w:p>
    <w:tbl>
      <w:tblPr>
        <w:tblStyle w:val="TableGrid"/>
        <w:bidiVisual/>
        <w:tblW w:w="11999" w:type="dxa"/>
        <w:jc w:val="center"/>
        <w:tblLook w:val="01E0" w:firstRow="1" w:lastRow="1" w:firstColumn="1" w:lastColumn="1" w:noHBand="0" w:noVBand="0"/>
      </w:tblPr>
      <w:tblGrid>
        <w:gridCol w:w="662"/>
        <w:gridCol w:w="660"/>
        <w:gridCol w:w="938"/>
        <w:gridCol w:w="391"/>
        <w:gridCol w:w="662"/>
        <w:gridCol w:w="794"/>
        <w:gridCol w:w="994"/>
        <w:gridCol w:w="721"/>
        <w:gridCol w:w="1029"/>
        <w:gridCol w:w="926"/>
        <w:gridCol w:w="927"/>
        <w:gridCol w:w="618"/>
        <w:gridCol w:w="1029"/>
        <w:gridCol w:w="721"/>
        <w:gridCol w:w="927"/>
      </w:tblGrid>
      <w:tr w:rsidR="002D3A4A" w:rsidRPr="006208BB">
        <w:trPr>
          <w:trHeight w:val="386"/>
          <w:jc w:val="center"/>
        </w:trPr>
        <w:tc>
          <w:tcPr>
            <w:tcW w:w="662"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662"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933"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391" w:type="dxa"/>
            <w:tcBorders>
              <w:top w:val="nil"/>
              <w:left w:val="nil"/>
              <w:bottom w:val="nil"/>
            </w:tcBorders>
            <w:vAlign w:val="bottom"/>
          </w:tcPr>
          <w:p w:rsidR="002D3A4A" w:rsidRPr="006208BB" w:rsidRDefault="002D3A4A" w:rsidP="002D3A4A">
            <w:pPr>
              <w:spacing w:line="220" w:lineRule="exact"/>
              <w:jc w:val="center"/>
              <w:rPr>
                <w:rFonts w:hint="cs"/>
                <w:szCs w:val="21"/>
                <w:rtl/>
                <w:lang w:bidi="ar-LB"/>
              </w:rPr>
            </w:pPr>
          </w:p>
        </w:tc>
        <w:tc>
          <w:tcPr>
            <w:tcW w:w="662" w:type="dxa"/>
            <w:vAlign w:val="bottom"/>
          </w:tcPr>
          <w:p w:rsidR="002D3A4A" w:rsidRPr="006208BB" w:rsidRDefault="002D3A4A" w:rsidP="002D3A4A">
            <w:pPr>
              <w:spacing w:line="220" w:lineRule="exact"/>
              <w:jc w:val="center"/>
              <w:rPr>
                <w:rFonts w:hint="cs"/>
                <w:szCs w:val="21"/>
                <w:rtl/>
                <w:lang w:bidi="ar-LB"/>
              </w:rPr>
            </w:pPr>
          </w:p>
        </w:tc>
        <w:tc>
          <w:tcPr>
            <w:tcW w:w="794"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الحزب الاشتراكي</w:t>
            </w:r>
          </w:p>
        </w:tc>
        <w:tc>
          <w:tcPr>
            <w:tcW w:w="994"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الشعب</w:t>
            </w:r>
          </w:p>
        </w:tc>
        <w:tc>
          <w:tcPr>
            <w:tcW w:w="1030"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927"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الحرية</w:t>
            </w:r>
          </w:p>
        </w:tc>
        <w:tc>
          <w:tcPr>
            <w:tcW w:w="927"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618"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الخضر</w:t>
            </w:r>
          </w:p>
        </w:tc>
        <w:tc>
          <w:tcPr>
            <w:tcW w:w="1030"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المجموع</w:t>
            </w:r>
          </w:p>
        </w:tc>
        <w:tc>
          <w:tcPr>
            <w:tcW w:w="927"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r>
      <w:tr w:rsidR="002D3A4A" w:rsidRPr="00D223A5">
        <w:trPr>
          <w:jc w:val="center"/>
        </w:trPr>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النساء</w:t>
            </w: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14</w:t>
            </w:r>
          </w:p>
        </w:tc>
        <w:tc>
          <w:tcPr>
            <w:tcW w:w="933" w:type="dxa"/>
          </w:tcPr>
          <w:p w:rsidR="002D3A4A" w:rsidRPr="00D223A5" w:rsidRDefault="002D3A4A" w:rsidP="002D3A4A">
            <w:pPr>
              <w:spacing w:before="40" w:after="40" w:line="220" w:lineRule="exact"/>
              <w:rPr>
                <w:rFonts w:hint="cs"/>
                <w:sz w:val="22"/>
                <w:szCs w:val="23"/>
                <w:rtl/>
                <w:lang w:bidi="ar-LB"/>
              </w:rPr>
            </w:pPr>
            <w:r w:rsidRPr="00826430">
              <w:rPr>
                <w:rFonts w:hint="cs"/>
                <w:sz w:val="22"/>
                <w:szCs w:val="23"/>
                <w:rtl/>
                <w:lang w:bidi="ar-LB"/>
              </w:rPr>
              <w:t>77.78</w:t>
            </w:r>
            <w:r>
              <w:rPr>
                <w:rFonts w:hint="cs"/>
                <w:sz w:val="22"/>
                <w:szCs w:val="23"/>
                <w:rtl/>
                <w:lang w:bidi="ar-LB"/>
              </w:rPr>
              <w:t>٪</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النساء</w:t>
            </w:r>
          </w:p>
        </w:tc>
        <w:tc>
          <w:tcPr>
            <w:tcW w:w="794"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24</w:t>
            </w:r>
          </w:p>
        </w:tc>
        <w:tc>
          <w:tcPr>
            <w:tcW w:w="994"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34</w:t>
            </w:r>
            <w:r>
              <w:rPr>
                <w:rFonts w:hint="cs"/>
                <w:sz w:val="22"/>
                <w:szCs w:val="23"/>
                <w:rtl/>
                <w:lang w:bidi="ar-LB"/>
              </w:rPr>
              <w:t>.</w:t>
            </w:r>
            <w:r w:rsidRPr="00D223A5">
              <w:rPr>
                <w:rFonts w:hint="cs"/>
                <w:sz w:val="22"/>
                <w:szCs w:val="23"/>
                <w:rtl/>
                <w:lang w:bidi="ar-LB"/>
              </w:rPr>
              <w:t>78</w:t>
            </w:r>
          </w:p>
        </w:tc>
        <w:tc>
          <w:tcPr>
            <w:tcW w:w="721"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23</w:t>
            </w:r>
          </w:p>
        </w:tc>
        <w:tc>
          <w:tcPr>
            <w:tcW w:w="1030"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29</w:t>
            </w:r>
            <w:r>
              <w:rPr>
                <w:rFonts w:hint="cs"/>
                <w:sz w:val="22"/>
                <w:szCs w:val="23"/>
                <w:rtl/>
                <w:lang w:bidi="ar-LB"/>
              </w:rPr>
              <w:t>.</w:t>
            </w:r>
            <w:r w:rsidRPr="00D223A5">
              <w:rPr>
                <w:rFonts w:hint="cs"/>
                <w:sz w:val="22"/>
                <w:szCs w:val="23"/>
                <w:rtl/>
                <w:lang w:bidi="ar-LB"/>
              </w:rPr>
              <w:t>11</w:t>
            </w:r>
          </w:p>
        </w:tc>
        <w:tc>
          <w:tcPr>
            <w:tcW w:w="927"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5</w:t>
            </w:r>
          </w:p>
        </w:tc>
        <w:tc>
          <w:tcPr>
            <w:tcW w:w="927"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27</w:t>
            </w:r>
            <w:r>
              <w:rPr>
                <w:rFonts w:hint="cs"/>
                <w:sz w:val="22"/>
                <w:szCs w:val="23"/>
                <w:rtl/>
                <w:lang w:bidi="ar-LB"/>
              </w:rPr>
              <w:t>.</w:t>
            </w:r>
            <w:r w:rsidRPr="00D223A5">
              <w:rPr>
                <w:rFonts w:hint="cs"/>
                <w:sz w:val="22"/>
                <w:szCs w:val="23"/>
                <w:rtl/>
                <w:lang w:bidi="ar-LB"/>
              </w:rPr>
              <w:t>78</w:t>
            </w:r>
          </w:p>
        </w:tc>
        <w:tc>
          <w:tcPr>
            <w:tcW w:w="618"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10</w:t>
            </w:r>
          </w:p>
        </w:tc>
        <w:tc>
          <w:tcPr>
            <w:tcW w:w="1030"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58</w:t>
            </w:r>
            <w:r>
              <w:rPr>
                <w:rFonts w:hint="cs"/>
                <w:sz w:val="22"/>
                <w:szCs w:val="23"/>
                <w:rtl/>
                <w:lang w:bidi="ar-LB"/>
              </w:rPr>
              <w:t>.</w:t>
            </w:r>
            <w:r w:rsidRPr="00D223A5">
              <w:rPr>
                <w:rFonts w:hint="cs"/>
                <w:sz w:val="22"/>
                <w:szCs w:val="23"/>
                <w:rtl/>
                <w:lang w:bidi="ar-LB"/>
              </w:rPr>
              <w:t>82</w:t>
            </w:r>
          </w:p>
        </w:tc>
        <w:tc>
          <w:tcPr>
            <w:tcW w:w="721"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62</w:t>
            </w:r>
          </w:p>
        </w:tc>
        <w:tc>
          <w:tcPr>
            <w:tcW w:w="927"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33</w:t>
            </w:r>
            <w:r>
              <w:rPr>
                <w:rFonts w:hint="cs"/>
                <w:sz w:val="22"/>
                <w:szCs w:val="23"/>
                <w:rtl/>
                <w:lang w:bidi="ar-LB"/>
              </w:rPr>
              <w:t>.</w:t>
            </w:r>
            <w:r w:rsidRPr="00D223A5">
              <w:rPr>
                <w:rFonts w:hint="cs"/>
                <w:sz w:val="22"/>
                <w:szCs w:val="23"/>
                <w:rtl/>
                <w:lang w:bidi="ar-LB"/>
              </w:rPr>
              <w:t>88</w:t>
            </w:r>
          </w:p>
        </w:tc>
      </w:tr>
      <w:tr w:rsidR="002D3A4A" w:rsidRPr="00D223A5">
        <w:trPr>
          <w:jc w:val="center"/>
        </w:trPr>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الرجال</w:t>
            </w: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4</w:t>
            </w:r>
          </w:p>
        </w:tc>
        <w:tc>
          <w:tcPr>
            <w:tcW w:w="933" w:type="dxa"/>
          </w:tcPr>
          <w:p w:rsidR="002D3A4A" w:rsidRPr="00D223A5" w:rsidRDefault="002D3A4A" w:rsidP="002D3A4A">
            <w:pPr>
              <w:spacing w:before="40" w:after="40" w:line="220" w:lineRule="exact"/>
              <w:rPr>
                <w:rFonts w:hint="cs"/>
                <w:sz w:val="22"/>
                <w:szCs w:val="23"/>
                <w:rtl/>
                <w:lang w:bidi="ar-LB"/>
              </w:rPr>
            </w:pPr>
            <w:r w:rsidRPr="00826430">
              <w:rPr>
                <w:rFonts w:hint="cs"/>
                <w:sz w:val="22"/>
                <w:szCs w:val="23"/>
                <w:rtl/>
                <w:lang w:bidi="ar-LB"/>
              </w:rPr>
              <w:t>22.22</w:t>
            </w:r>
            <w:r>
              <w:rPr>
                <w:rFonts w:hint="cs"/>
                <w:sz w:val="22"/>
                <w:szCs w:val="23"/>
                <w:rtl/>
                <w:lang w:bidi="ar-LB"/>
              </w:rPr>
              <w:t>٪</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الرجال</w:t>
            </w:r>
          </w:p>
        </w:tc>
        <w:tc>
          <w:tcPr>
            <w:tcW w:w="794" w:type="dxa"/>
          </w:tcPr>
          <w:p w:rsidR="002D3A4A" w:rsidRPr="00D223A5" w:rsidRDefault="002D3A4A" w:rsidP="002D3A4A">
            <w:pPr>
              <w:spacing w:before="40" w:after="40" w:line="220" w:lineRule="exact"/>
              <w:rPr>
                <w:rFonts w:hint="cs"/>
                <w:sz w:val="22"/>
                <w:szCs w:val="23"/>
                <w:rtl/>
              </w:rPr>
            </w:pPr>
            <w:r>
              <w:rPr>
                <w:rFonts w:hint="cs"/>
                <w:sz w:val="22"/>
                <w:szCs w:val="23"/>
                <w:rtl/>
              </w:rPr>
              <w:t>45</w:t>
            </w:r>
          </w:p>
        </w:tc>
        <w:tc>
          <w:tcPr>
            <w:tcW w:w="9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65.22</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56</w:t>
            </w:r>
          </w:p>
        </w:tc>
        <w:tc>
          <w:tcPr>
            <w:tcW w:w="1030"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70.89</w:t>
            </w:r>
          </w:p>
        </w:tc>
        <w:tc>
          <w:tcPr>
            <w:tcW w:w="927"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13</w:t>
            </w:r>
          </w:p>
        </w:tc>
        <w:tc>
          <w:tcPr>
            <w:tcW w:w="927"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72.33</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w:t>
            </w:r>
          </w:p>
        </w:tc>
        <w:tc>
          <w:tcPr>
            <w:tcW w:w="1030"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41.18</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121</w:t>
            </w:r>
          </w:p>
        </w:tc>
        <w:tc>
          <w:tcPr>
            <w:tcW w:w="927"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66.12</w:t>
            </w:r>
          </w:p>
        </w:tc>
      </w:tr>
      <w:tr w:rsidR="002D3A4A" w:rsidRPr="00D223A5">
        <w:trPr>
          <w:jc w:val="center"/>
        </w:trPr>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المجموع</w:t>
            </w: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18</w:t>
            </w:r>
          </w:p>
        </w:tc>
        <w:tc>
          <w:tcPr>
            <w:tcW w:w="933" w:type="dxa"/>
          </w:tcPr>
          <w:p w:rsidR="002D3A4A" w:rsidRPr="00D223A5" w:rsidRDefault="002D3A4A" w:rsidP="002D3A4A">
            <w:pPr>
              <w:spacing w:before="40" w:after="40" w:line="220" w:lineRule="exact"/>
              <w:rPr>
                <w:rFonts w:hint="cs"/>
                <w:sz w:val="22"/>
                <w:szCs w:val="23"/>
                <w:rtl/>
                <w:lang w:bidi="ar-LB"/>
              </w:rPr>
            </w:pPr>
            <w:r w:rsidRPr="00826430">
              <w:rPr>
                <w:rFonts w:hint="cs"/>
                <w:sz w:val="22"/>
                <w:szCs w:val="23"/>
                <w:rtl/>
                <w:lang w:bidi="ar-LB"/>
              </w:rPr>
              <w:t>100.00</w:t>
            </w:r>
            <w:r>
              <w:rPr>
                <w:rFonts w:hint="cs"/>
                <w:sz w:val="22"/>
                <w:szCs w:val="23"/>
                <w:rtl/>
                <w:lang w:bidi="ar-LB"/>
              </w:rPr>
              <w:t>٪</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المجموع</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69</w:t>
            </w:r>
          </w:p>
        </w:tc>
        <w:tc>
          <w:tcPr>
            <w:tcW w:w="9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79</w:t>
            </w:r>
          </w:p>
        </w:tc>
        <w:tc>
          <w:tcPr>
            <w:tcW w:w="1030"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927"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18</w:t>
            </w:r>
          </w:p>
        </w:tc>
        <w:tc>
          <w:tcPr>
            <w:tcW w:w="927"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17</w:t>
            </w:r>
          </w:p>
        </w:tc>
        <w:tc>
          <w:tcPr>
            <w:tcW w:w="1030"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183</w:t>
            </w:r>
          </w:p>
        </w:tc>
        <w:tc>
          <w:tcPr>
            <w:tcW w:w="927"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r>
    </w:tbl>
    <w:p w:rsidR="002D3A4A" w:rsidRPr="00AF054E" w:rsidRDefault="002D3A4A" w:rsidP="002D3A4A">
      <w:pPr>
        <w:spacing w:line="120" w:lineRule="exact"/>
        <w:rPr>
          <w:rFonts w:hint="cs"/>
          <w:sz w:val="10"/>
          <w:szCs w:val="23"/>
          <w:rtl/>
          <w:lang w:bidi="ar-LB"/>
        </w:rPr>
      </w:pPr>
    </w:p>
    <w:p w:rsidR="002D3A4A" w:rsidRDefault="002D3A4A" w:rsidP="002D3A4A">
      <w:pPr>
        <w:tabs>
          <w:tab w:val="left" w:pos="2824"/>
        </w:tabs>
        <w:rPr>
          <w:rFonts w:hint="cs"/>
          <w:b/>
          <w:bCs/>
          <w:sz w:val="22"/>
          <w:szCs w:val="23"/>
          <w:rtl/>
          <w:lang w:bidi="ar-LB"/>
        </w:rPr>
      </w:pPr>
      <w:r>
        <w:rPr>
          <w:rFonts w:hint="cs"/>
          <w:b/>
          <w:bCs/>
          <w:sz w:val="22"/>
          <w:szCs w:val="23"/>
          <w:rtl/>
          <w:lang w:bidi="ar-LB"/>
        </w:rPr>
        <w:t>حكومة الأقاليم</w:t>
      </w:r>
      <w:r>
        <w:rPr>
          <w:rFonts w:hint="cs"/>
          <w:b/>
          <w:bCs/>
          <w:sz w:val="22"/>
          <w:szCs w:val="23"/>
          <w:rtl/>
          <w:lang w:bidi="ar-LB"/>
        </w:rPr>
        <w:tab/>
        <w:t>برلمانات الأقاليم</w:t>
      </w:r>
    </w:p>
    <w:p w:rsidR="002D3A4A" w:rsidRDefault="002D3A4A" w:rsidP="002D3A4A">
      <w:pPr>
        <w:tabs>
          <w:tab w:val="left" w:pos="2824"/>
        </w:tabs>
        <w:rPr>
          <w:rFonts w:hint="cs"/>
          <w:b/>
          <w:bCs/>
          <w:sz w:val="22"/>
          <w:szCs w:val="23"/>
          <w:rtl/>
          <w:lang w:bidi="ar-LB"/>
        </w:rPr>
      </w:pPr>
      <w:r>
        <w:rPr>
          <w:rFonts w:hint="cs"/>
          <w:b/>
          <w:bCs/>
          <w:sz w:val="22"/>
          <w:szCs w:val="23"/>
          <w:rtl/>
          <w:lang w:bidi="ar-LB"/>
        </w:rPr>
        <w:t>بورغينلاند</w:t>
      </w:r>
      <w:r>
        <w:rPr>
          <w:rFonts w:hint="cs"/>
          <w:b/>
          <w:bCs/>
          <w:sz w:val="22"/>
          <w:szCs w:val="23"/>
          <w:rtl/>
          <w:lang w:bidi="ar-LB"/>
        </w:rPr>
        <w:tab/>
        <w:t>بورغينلاند</w:t>
      </w:r>
    </w:p>
    <w:p w:rsidR="002D3A4A" w:rsidRPr="00981038" w:rsidRDefault="002D3A4A" w:rsidP="002D3A4A">
      <w:pPr>
        <w:spacing w:line="120" w:lineRule="exact"/>
        <w:rPr>
          <w:rFonts w:hint="cs"/>
          <w:b/>
          <w:bCs/>
          <w:sz w:val="10"/>
          <w:szCs w:val="23"/>
          <w:rtl/>
          <w:lang w:bidi="ar-LB"/>
        </w:rPr>
      </w:pPr>
    </w:p>
    <w:tbl>
      <w:tblPr>
        <w:tblStyle w:val="TableGrid"/>
        <w:bidiVisual/>
        <w:tblW w:w="11999" w:type="dxa"/>
        <w:jc w:val="center"/>
        <w:tblLook w:val="01E0" w:firstRow="1" w:lastRow="1" w:firstColumn="1" w:lastColumn="1" w:noHBand="0" w:noVBand="0"/>
      </w:tblPr>
      <w:tblGrid>
        <w:gridCol w:w="663"/>
        <w:gridCol w:w="662"/>
        <w:gridCol w:w="938"/>
        <w:gridCol w:w="391"/>
        <w:gridCol w:w="662"/>
        <w:gridCol w:w="794"/>
        <w:gridCol w:w="993"/>
        <w:gridCol w:w="721"/>
        <w:gridCol w:w="1029"/>
        <w:gridCol w:w="926"/>
        <w:gridCol w:w="926"/>
        <w:gridCol w:w="618"/>
        <w:gridCol w:w="1029"/>
        <w:gridCol w:w="721"/>
        <w:gridCol w:w="926"/>
      </w:tblGrid>
      <w:tr w:rsidR="002D3A4A" w:rsidRPr="006208BB">
        <w:trPr>
          <w:trHeight w:val="386"/>
          <w:jc w:val="center"/>
        </w:trPr>
        <w:tc>
          <w:tcPr>
            <w:tcW w:w="663"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662"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938"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391" w:type="dxa"/>
            <w:tcBorders>
              <w:top w:val="nil"/>
              <w:left w:val="nil"/>
              <w:bottom w:val="nil"/>
            </w:tcBorders>
            <w:vAlign w:val="bottom"/>
          </w:tcPr>
          <w:p w:rsidR="002D3A4A" w:rsidRPr="006208BB" w:rsidRDefault="002D3A4A" w:rsidP="002D3A4A">
            <w:pPr>
              <w:spacing w:line="220" w:lineRule="exact"/>
              <w:jc w:val="center"/>
              <w:rPr>
                <w:rFonts w:hint="cs"/>
                <w:szCs w:val="21"/>
                <w:rtl/>
                <w:lang w:bidi="ar-LB"/>
              </w:rPr>
            </w:pPr>
          </w:p>
        </w:tc>
        <w:tc>
          <w:tcPr>
            <w:tcW w:w="662" w:type="dxa"/>
            <w:vAlign w:val="bottom"/>
          </w:tcPr>
          <w:p w:rsidR="002D3A4A" w:rsidRPr="006208BB" w:rsidRDefault="002D3A4A" w:rsidP="002D3A4A">
            <w:pPr>
              <w:spacing w:line="220" w:lineRule="exact"/>
              <w:jc w:val="center"/>
              <w:rPr>
                <w:rFonts w:hint="cs"/>
                <w:szCs w:val="21"/>
                <w:rtl/>
                <w:lang w:bidi="ar-LB"/>
              </w:rPr>
            </w:pPr>
          </w:p>
        </w:tc>
        <w:tc>
          <w:tcPr>
            <w:tcW w:w="794"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الحزب الاشتراكي</w:t>
            </w:r>
          </w:p>
        </w:tc>
        <w:tc>
          <w:tcPr>
            <w:tcW w:w="993"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الشعب</w:t>
            </w:r>
          </w:p>
        </w:tc>
        <w:tc>
          <w:tcPr>
            <w:tcW w:w="1029"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الحرية</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618"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الخضر</w:t>
            </w:r>
          </w:p>
        </w:tc>
        <w:tc>
          <w:tcPr>
            <w:tcW w:w="1029"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المجموع</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النساء</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14.29٪</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النساء</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17.65</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15.38</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25.00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19.44</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الرجال</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85.71٪</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الرجال</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14</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82.35</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11</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84.62</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75.00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29</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80.56</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المجموع</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المجموع</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17</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13</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36</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r>
    </w:tbl>
    <w:p w:rsidR="002D3A4A" w:rsidRPr="00415A77" w:rsidRDefault="002D3A4A" w:rsidP="002D3A4A">
      <w:pPr>
        <w:spacing w:line="120" w:lineRule="exact"/>
        <w:rPr>
          <w:rFonts w:hint="cs"/>
          <w:sz w:val="10"/>
          <w:szCs w:val="23"/>
          <w:rtl/>
          <w:lang w:bidi="ar-LB"/>
        </w:rPr>
      </w:pPr>
    </w:p>
    <w:p w:rsidR="002D3A4A" w:rsidRPr="00AF054E" w:rsidRDefault="002D3A4A" w:rsidP="002D3A4A">
      <w:pPr>
        <w:spacing w:line="120" w:lineRule="exact"/>
        <w:rPr>
          <w:rFonts w:hint="cs"/>
          <w:sz w:val="10"/>
          <w:szCs w:val="23"/>
          <w:rtl/>
          <w:lang w:bidi="ar-LB"/>
        </w:rPr>
      </w:pPr>
    </w:p>
    <w:p w:rsidR="002D3A4A" w:rsidRDefault="002D3A4A" w:rsidP="002D3A4A">
      <w:pPr>
        <w:tabs>
          <w:tab w:val="left" w:pos="2824"/>
        </w:tabs>
        <w:rPr>
          <w:rFonts w:hint="cs"/>
          <w:b/>
          <w:bCs/>
          <w:sz w:val="22"/>
          <w:szCs w:val="23"/>
          <w:rtl/>
          <w:lang w:bidi="ar-LB"/>
        </w:rPr>
      </w:pPr>
      <w:r>
        <w:rPr>
          <w:rFonts w:hint="cs"/>
          <w:b/>
          <w:bCs/>
          <w:sz w:val="22"/>
          <w:szCs w:val="23"/>
          <w:rtl/>
          <w:lang w:bidi="ar-LB"/>
        </w:rPr>
        <w:t>كارينثيا</w:t>
      </w:r>
      <w:r>
        <w:rPr>
          <w:rFonts w:hint="cs"/>
          <w:b/>
          <w:bCs/>
          <w:sz w:val="22"/>
          <w:szCs w:val="23"/>
          <w:rtl/>
          <w:lang w:bidi="ar-LB"/>
        </w:rPr>
        <w:tab/>
        <w:t>كارينثيا</w:t>
      </w:r>
    </w:p>
    <w:p w:rsidR="002D3A4A" w:rsidRPr="00981038" w:rsidRDefault="002D3A4A" w:rsidP="002D3A4A">
      <w:pPr>
        <w:spacing w:line="120" w:lineRule="exact"/>
        <w:rPr>
          <w:rFonts w:hint="cs"/>
          <w:b/>
          <w:bCs/>
          <w:sz w:val="10"/>
          <w:szCs w:val="23"/>
          <w:rtl/>
          <w:lang w:bidi="ar-LB"/>
        </w:rPr>
      </w:pPr>
    </w:p>
    <w:tbl>
      <w:tblPr>
        <w:tblStyle w:val="TableGrid"/>
        <w:bidiVisual/>
        <w:tblW w:w="11999" w:type="dxa"/>
        <w:jc w:val="center"/>
        <w:tblLook w:val="01E0" w:firstRow="1" w:lastRow="1" w:firstColumn="1" w:lastColumn="1" w:noHBand="0" w:noVBand="0"/>
      </w:tblPr>
      <w:tblGrid>
        <w:gridCol w:w="663"/>
        <w:gridCol w:w="662"/>
        <w:gridCol w:w="938"/>
        <w:gridCol w:w="391"/>
        <w:gridCol w:w="662"/>
        <w:gridCol w:w="794"/>
        <w:gridCol w:w="993"/>
        <w:gridCol w:w="721"/>
        <w:gridCol w:w="1029"/>
        <w:gridCol w:w="926"/>
        <w:gridCol w:w="926"/>
        <w:gridCol w:w="618"/>
        <w:gridCol w:w="1029"/>
        <w:gridCol w:w="721"/>
        <w:gridCol w:w="926"/>
      </w:tblGrid>
      <w:tr w:rsidR="002D3A4A" w:rsidRPr="006208BB">
        <w:trPr>
          <w:trHeight w:val="386"/>
          <w:jc w:val="center"/>
        </w:trPr>
        <w:tc>
          <w:tcPr>
            <w:tcW w:w="663"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662"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938"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391" w:type="dxa"/>
            <w:tcBorders>
              <w:top w:val="nil"/>
              <w:left w:val="nil"/>
              <w:bottom w:val="nil"/>
            </w:tcBorders>
            <w:vAlign w:val="bottom"/>
          </w:tcPr>
          <w:p w:rsidR="002D3A4A" w:rsidRPr="006208BB" w:rsidRDefault="002D3A4A" w:rsidP="002D3A4A">
            <w:pPr>
              <w:spacing w:line="220" w:lineRule="exact"/>
              <w:jc w:val="center"/>
              <w:rPr>
                <w:rFonts w:hint="cs"/>
                <w:szCs w:val="21"/>
                <w:rtl/>
                <w:lang w:bidi="ar-LB"/>
              </w:rPr>
            </w:pPr>
          </w:p>
        </w:tc>
        <w:tc>
          <w:tcPr>
            <w:tcW w:w="662" w:type="dxa"/>
            <w:vAlign w:val="bottom"/>
          </w:tcPr>
          <w:p w:rsidR="002D3A4A" w:rsidRPr="006208BB" w:rsidRDefault="002D3A4A" w:rsidP="002D3A4A">
            <w:pPr>
              <w:spacing w:line="220" w:lineRule="exact"/>
              <w:jc w:val="center"/>
              <w:rPr>
                <w:rFonts w:hint="cs"/>
                <w:szCs w:val="21"/>
                <w:rtl/>
                <w:lang w:bidi="ar-LB"/>
              </w:rPr>
            </w:pPr>
          </w:p>
        </w:tc>
        <w:tc>
          <w:tcPr>
            <w:tcW w:w="794"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الحزب الاشتراكي</w:t>
            </w:r>
          </w:p>
        </w:tc>
        <w:tc>
          <w:tcPr>
            <w:tcW w:w="993"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الشعب</w:t>
            </w:r>
          </w:p>
        </w:tc>
        <w:tc>
          <w:tcPr>
            <w:tcW w:w="1029"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الحرية</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618"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الخضر</w:t>
            </w:r>
          </w:p>
        </w:tc>
        <w:tc>
          <w:tcPr>
            <w:tcW w:w="1029"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tcBorders>
              <w:top w:val="nil"/>
              <w:bottom w:val="nil"/>
              <w:right w:val="nil"/>
            </w:tcBorders>
            <w:vAlign w:val="bottom"/>
          </w:tcPr>
          <w:p w:rsidR="002D3A4A" w:rsidRPr="006208BB" w:rsidRDefault="002D3A4A" w:rsidP="002D3A4A">
            <w:pPr>
              <w:spacing w:line="220" w:lineRule="exact"/>
              <w:jc w:val="center"/>
              <w:rPr>
                <w:rFonts w:hint="cs"/>
                <w:szCs w:val="21"/>
                <w:rtl/>
                <w:lang w:bidi="ar-LB"/>
              </w:rPr>
            </w:pPr>
          </w:p>
        </w:tc>
        <w:tc>
          <w:tcPr>
            <w:tcW w:w="926" w:type="dxa"/>
            <w:tcBorders>
              <w:top w:val="nil"/>
              <w:left w:val="nil"/>
              <w:bottom w:val="nil"/>
              <w:right w:val="nil"/>
            </w:tcBorders>
            <w:vAlign w:val="bottom"/>
          </w:tcPr>
          <w:p w:rsidR="002D3A4A" w:rsidRPr="006208BB" w:rsidRDefault="002D3A4A" w:rsidP="002D3A4A">
            <w:pPr>
              <w:spacing w:line="220" w:lineRule="exact"/>
              <w:jc w:val="center"/>
              <w:rPr>
                <w:rFonts w:hint="cs"/>
                <w:szCs w:val="21"/>
                <w:rtl/>
                <w:lang w:bidi="ar-LB"/>
              </w:rPr>
            </w:pP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النساء</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14.29٪</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النساء</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25.00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0</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0.00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18.75</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16.67</w:t>
            </w:r>
          </w:p>
        </w:tc>
        <w:tc>
          <w:tcPr>
            <w:tcW w:w="721" w:type="dxa"/>
            <w:tcBorders>
              <w:top w:val="nil"/>
              <w:bottom w:val="nil"/>
              <w:right w:val="nil"/>
            </w:tcBorders>
          </w:tcPr>
          <w:p w:rsidR="002D3A4A" w:rsidRPr="00D223A5" w:rsidRDefault="002D3A4A" w:rsidP="002D3A4A">
            <w:pPr>
              <w:spacing w:before="40" w:after="40" w:line="220" w:lineRule="exact"/>
              <w:rPr>
                <w:rFonts w:hint="cs"/>
                <w:sz w:val="22"/>
                <w:szCs w:val="23"/>
                <w:rtl/>
                <w:lang w:bidi="ar-LB"/>
              </w:rPr>
            </w:pPr>
          </w:p>
        </w:tc>
        <w:tc>
          <w:tcPr>
            <w:tcW w:w="926" w:type="dxa"/>
            <w:tcBorders>
              <w:top w:val="nil"/>
              <w:left w:val="nil"/>
              <w:bottom w:val="nil"/>
              <w:right w:val="nil"/>
            </w:tcBorders>
          </w:tcPr>
          <w:p w:rsidR="002D3A4A" w:rsidRPr="00D223A5" w:rsidRDefault="002D3A4A" w:rsidP="002D3A4A">
            <w:pPr>
              <w:spacing w:before="40" w:after="40" w:line="220" w:lineRule="exact"/>
              <w:rPr>
                <w:rFonts w:hint="cs"/>
                <w:sz w:val="22"/>
                <w:szCs w:val="23"/>
                <w:rtl/>
                <w:lang w:bidi="ar-LB"/>
              </w:rPr>
            </w:pP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الرجال</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85.71٪</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الرجال</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9</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75.00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13</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81.25</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30</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Borders>
              <w:top w:val="nil"/>
              <w:bottom w:val="nil"/>
              <w:right w:val="nil"/>
            </w:tcBorders>
          </w:tcPr>
          <w:p w:rsidR="002D3A4A" w:rsidRPr="00D223A5" w:rsidRDefault="002D3A4A" w:rsidP="002D3A4A">
            <w:pPr>
              <w:spacing w:before="40" w:after="40" w:line="220" w:lineRule="exact"/>
              <w:rPr>
                <w:rFonts w:hint="cs"/>
                <w:sz w:val="22"/>
                <w:szCs w:val="23"/>
                <w:rtl/>
                <w:lang w:bidi="ar-LB"/>
              </w:rPr>
            </w:pPr>
          </w:p>
        </w:tc>
        <w:tc>
          <w:tcPr>
            <w:tcW w:w="926" w:type="dxa"/>
            <w:tcBorders>
              <w:top w:val="nil"/>
              <w:left w:val="nil"/>
              <w:bottom w:val="nil"/>
              <w:right w:val="nil"/>
            </w:tcBorders>
          </w:tcPr>
          <w:p w:rsidR="002D3A4A" w:rsidRPr="00D223A5" w:rsidRDefault="002D3A4A" w:rsidP="002D3A4A">
            <w:pPr>
              <w:spacing w:before="40" w:after="40" w:line="220" w:lineRule="exact"/>
              <w:rPr>
                <w:rFonts w:hint="cs"/>
                <w:sz w:val="22"/>
                <w:szCs w:val="23"/>
                <w:rtl/>
                <w:lang w:bidi="ar-LB"/>
              </w:rPr>
            </w:pP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المجموع</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المجموع</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12</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16</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36</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Borders>
              <w:top w:val="nil"/>
              <w:bottom w:val="nil"/>
              <w:right w:val="nil"/>
            </w:tcBorders>
          </w:tcPr>
          <w:p w:rsidR="002D3A4A" w:rsidRPr="00D223A5" w:rsidRDefault="002D3A4A" w:rsidP="002D3A4A">
            <w:pPr>
              <w:spacing w:before="40" w:after="40" w:line="220" w:lineRule="exact"/>
              <w:rPr>
                <w:rFonts w:hint="cs"/>
                <w:sz w:val="22"/>
                <w:szCs w:val="23"/>
                <w:rtl/>
                <w:lang w:bidi="ar-LB"/>
              </w:rPr>
            </w:pPr>
          </w:p>
        </w:tc>
        <w:tc>
          <w:tcPr>
            <w:tcW w:w="926" w:type="dxa"/>
            <w:tcBorders>
              <w:top w:val="nil"/>
              <w:left w:val="nil"/>
              <w:bottom w:val="nil"/>
              <w:right w:val="nil"/>
            </w:tcBorders>
          </w:tcPr>
          <w:p w:rsidR="002D3A4A" w:rsidRPr="00D223A5" w:rsidRDefault="002D3A4A" w:rsidP="002D3A4A">
            <w:pPr>
              <w:spacing w:before="40" w:after="40" w:line="220" w:lineRule="exact"/>
              <w:rPr>
                <w:rFonts w:hint="cs"/>
                <w:sz w:val="22"/>
                <w:szCs w:val="23"/>
                <w:rtl/>
                <w:lang w:bidi="ar-LB"/>
              </w:rPr>
            </w:pPr>
          </w:p>
        </w:tc>
      </w:tr>
    </w:tbl>
    <w:p w:rsidR="002D3A4A" w:rsidRPr="00415A77" w:rsidRDefault="002D3A4A" w:rsidP="002D3A4A">
      <w:pPr>
        <w:spacing w:line="120" w:lineRule="exact"/>
        <w:rPr>
          <w:rFonts w:hint="cs"/>
          <w:sz w:val="10"/>
          <w:szCs w:val="23"/>
          <w:rtl/>
          <w:lang w:bidi="ar-LB"/>
        </w:rPr>
      </w:pPr>
    </w:p>
    <w:p w:rsidR="002D3A4A" w:rsidRDefault="002D3A4A" w:rsidP="002D3A4A">
      <w:pPr>
        <w:tabs>
          <w:tab w:val="left" w:pos="2824"/>
        </w:tabs>
        <w:rPr>
          <w:rFonts w:hint="cs"/>
          <w:b/>
          <w:bCs/>
          <w:sz w:val="22"/>
          <w:szCs w:val="23"/>
          <w:rtl/>
          <w:lang w:bidi="ar-LB"/>
        </w:rPr>
      </w:pPr>
      <w:r>
        <w:rPr>
          <w:rFonts w:hint="cs"/>
          <w:b/>
          <w:bCs/>
          <w:sz w:val="22"/>
          <w:szCs w:val="23"/>
          <w:rtl/>
          <w:lang w:bidi="ar-LB"/>
        </w:rPr>
        <w:t>النمسا السفلى</w:t>
      </w:r>
      <w:r>
        <w:rPr>
          <w:rFonts w:hint="cs"/>
          <w:b/>
          <w:bCs/>
          <w:sz w:val="22"/>
          <w:szCs w:val="23"/>
          <w:rtl/>
          <w:lang w:bidi="ar-LB"/>
        </w:rPr>
        <w:tab/>
        <w:t>النمسا السفلى</w:t>
      </w:r>
    </w:p>
    <w:p w:rsidR="002D3A4A" w:rsidRPr="00981038" w:rsidRDefault="002D3A4A" w:rsidP="002D3A4A">
      <w:pPr>
        <w:spacing w:line="120" w:lineRule="exact"/>
        <w:rPr>
          <w:rFonts w:hint="cs"/>
          <w:b/>
          <w:bCs/>
          <w:sz w:val="10"/>
          <w:szCs w:val="23"/>
          <w:rtl/>
          <w:lang w:bidi="ar-LB"/>
        </w:rPr>
      </w:pPr>
    </w:p>
    <w:tbl>
      <w:tblPr>
        <w:tblStyle w:val="TableGrid"/>
        <w:bidiVisual/>
        <w:tblW w:w="11999" w:type="dxa"/>
        <w:jc w:val="center"/>
        <w:tblLook w:val="01E0" w:firstRow="1" w:lastRow="1" w:firstColumn="1" w:lastColumn="1" w:noHBand="0" w:noVBand="0"/>
      </w:tblPr>
      <w:tblGrid>
        <w:gridCol w:w="663"/>
        <w:gridCol w:w="662"/>
        <w:gridCol w:w="938"/>
        <w:gridCol w:w="391"/>
        <w:gridCol w:w="662"/>
        <w:gridCol w:w="794"/>
        <w:gridCol w:w="993"/>
        <w:gridCol w:w="721"/>
        <w:gridCol w:w="1029"/>
        <w:gridCol w:w="926"/>
        <w:gridCol w:w="926"/>
        <w:gridCol w:w="618"/>
        <w:gridCol w:w="1029"/>
        <w:gridCol w:w="721"/>
        <w:gridCol w:w="926"/>
      </w:tblGrid>
      <w:tr w:rsidR="002D3A4A" w:rsidRPr="006208BB">
        <w:trPr>
          <w:trHeight w:val="386"/>
          <w:jc w:val="center"/>
        </w:trPr>
        <w:tc>
          <w:tcPr>
            <w:tcW w:w="663"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662"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938"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391" w:type="dxa"/>
            <w:tcBorders>
              <w:top w:val="nil"/>
              <w:left w:val="nil"/>
              <w:bottom w:val="nil"/>
            </w:tcBorders>
            <w:vAlign w:val="bottom"/>
          </w:tcPr>
          <w:p w:rsidR="002D3A4A" w:rsidRPr="006208BB" w:rsidRDefault="002D3A4A" w:rsidP="002D3A4A">
            <w:pPr>
              <w:spacing w:line="220" w:lineRule="exact"/>
              <w:jc w:val="center"/>
              <w:rPr>
                <w:rFonts w:hint="cs"/>
                <w:szCs w:val="21"/>
                <w:rtl/>
                <w:lang w:bidi="ar-LB"/>
              </w:rPr>
            </w:pPr>
          </w:p>
        </w:tc>
        <w:tc>
          <w:tcPr>
            <w:tcW w:w="662" w:type="dxa"/>
            <w:vAlign w:val="bottom"/>
          </w:tcPr>
          <w:p w:rsidR="002D3A4A" w:rsidRPr="006208BB" w:rsidRDefault="002D3A4A" w:rsidP="002D3A4A">
            <w:pPr>
              <w:spacing w:line="220" w:lineRule="exact"/>
              <w:jc w:val="center"/>
              <w:rPr>
                <w:rFonts w:hint="cs"/>
                <w:szCs w:val="21"/>
                <w:rtl/>
                <w:lang w:bidi="ar-LB"/>
              </w:rPr>
            </w:pPr>
          </w:p>
        </w:tc>
        <w:tc>
          <w:tcPr>
            <w:tcW w:w="794"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الحزب الاشتراكي</w:t>
            </w:r>
          </w:p>
        </w:tc>
        <w:tc>
          <w:tcPr>
            <w:tcW w:w="993"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الشعب</w:t>
            </w:r>
          </w:p>
        </w:tc>
        <w:tc>
          <w:tcPr>
            <w:tcW w:w="1029"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الحرية</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618"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الخضر</w:t>
            </w:r>
          </w:p>
        </w:tc>
        <w:tc>
          <w:tcPr>
            <w:tcW w:w="1029"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المجموع</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النساء</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44.44٪</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النساء</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15.79</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16.13</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0.00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17.86</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الرجال</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55.56٪</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الرجال</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16</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84.21</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26</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83.87</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46</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82.14</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المجموع</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9</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المجموع</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19</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31</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56</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r>
    </w:tbl>
    <w:p w:rsidR="002D3A4A" w:rsidRDefault="002D3A4A" w:rsidP="002D3A4A">
      <w:pPr>
        <w:rPr>
          <w:sz w:val="22"/>
          <w:szCs w:val="23"/>
          <w:rtl/>
          <w:lang w:bidi="ar-LB"/>
        </w:rPr>
      </w:pPr>
    </w:p>
    <w:p w:rsidR="002D3A4A" w:rsidRDefault="002D3A4A" w:rsidP="002D3A4A">
      <w:pPr>
        <w:tabs>
          <w:tab w:val="left" w:pos="2824"/>
        </w:tabs>
        <w:rPr>
          <w:rFonts w:hint="cs"/>
          <w:b/>
          <w:bCs/>
          <w:sz w:val="22"/>
          <w:szCs w:val="23"/>
          <w:rtl/>
          <w:lang w:bidi="ar-LB"/>
        </w:rPr>
      </w:pPr>
      <w:r>
        <w:rPr>
          <w:sz w:val="22"/>
          <w:szCs w:val="23"/>
          <w:rtl/>
          <w:lang w:bidi="ar-LB"/>
        </w:rPr>
        <w:br w:type="page"/>
      </w:r>
      <w:r>
        <w:rPr>
          <w:rFonts w:hint="cs"/>
          <w:b/>
          <w:bCs/>
          <w:sz w:val="22"/>
          <w:szCs w:val="23"/>
          <w:rtl/>
          <w:lang w:bidi="ar-LB"/>
        </w:rPr>
        <w:t>النمسا العليا</w:t>
      </w:r>
      <w:r>
        <w:rPr>
          <w:rFonts w:hint="cs"/>
          <w:b/>
          <w:bCs/>
          <w:sz w:val="22"/>
          <w:szCs w:val="23"/>
          <w:rtl/>
          <w:lang w:bidi="ar-LB"/>
        </w:rPr>
        <w:tab/>
        <w:t>النمسا العليا</w:t>
      </w:r>
    </w:p>
    <w:p w:rsidR="002D3A4A" w:rsidRPr="00981038" w:rsidRDefault="002D3A4A" w:rsidP="002D3A4A">
      <w:pPr>
        <w:spacing w:line="120" w:lineRule="exact"/>
        <w:rPr>
          <w:rFonts w:hint="cs"/>
          <w:b/>
          <w:bCs/>
          <w:sz w:val="10"/>
          <w:szCs w:val="23"/>
          <w:rtl/>
          <w:lang w:bidi="ar-LB"/>
        </w:rPr>
      </w:pPr>
    </w:p>
    <w:tbl>
      <w:tblPr>
        <w:tblStyle w:val="TableGrid"/>
        <w:bidiVisual/>
        <w:tblW w:w="11999" w:type="dxa"/>
        <w:jc w:val="center"/>
        <w:tblLook w:val="01E0" w:firstRow="1" w:lastRow="1" w:firstColumn="1" w:lastColumn="1" w:noHBand="0" w:noVBand="0"/>
      </w:tblPr>
      <w:tblGrid>
        <w:gridCol w:w="663"/>
        <w:gridCol w:w="662"/>
        <w:gridCol w:w="938"/>
        <w:gridCol w:w="391"/>
        <w:gridCol w:w="662"/>
        <w:gridCol w:w="794"/>
        <w:gridCol w:w="993"/>
        <w:gridCol w:w="721"/>
        <w:gridCol w:w="1029"/>
        <w:gridCol w:w="926"/>
        <w:gridCol w:w="926"/>
        <w:gridCol w:w="618"/>
        <w:gridCol w:w="1029"/>
        <w:gridCol w:w="721"/>
        <w:gridCol w:w="926"/>
      </w:tblGrid>
      <w:tr w:rsidR="002D3A4A" w:rsidRPr="006208BB">
        <w:trPr>
          <w:trHeight w:val="386"/>
          <w:jc w:val="center"/>
        </w:trPr>
        <w:tc>
          <w:tcPr>
            <w:tcW w:w="663"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662"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938"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391" w:type="dxa"/>
            <w:tcBorders>
              <w:top w:val="nil"/>
              <w:left w:val="nil"/>
              <w:bottom w:val="nil"/>
            </w:tcBorders>
            <w:vAlign w:val="bottom"/>
          </w:tcPr>
          <w:p w:rsidR="002D3A4A" w:rsidRPr="006208BB" w:rsidRDefault="002D3A4A" w:rsidP="002D3A4A">
            <w:pPr>
              <w:spacing w:line="220" w:lineRule="exact"/>
              <w:jc w:val="center"/>
              <w:rPr>
                <w:rFonts w:hint="cs"/>
                <w:szCs w:val="21"/>
                <w:rtl/>
                <w:lang w:bidi="ar-LB"/>
              </w:rPr>
            </w:pPr>
          </w:p>
        </w:tc>
        <w:tc>
          <w:tcPr>
            <w:tcW w:w="662" w:type="dxa"/>
            <w:vAlign w:val="bottom"/>
          </w:tcPr>
          <w:p w:rsidR="002D3A4A" w:rsidRPr="006208BB" w:rsidRDefault="002D3A4A" w:rsidP="002D3A4A">
            <w:pPr>
              <w:spacing w:line="220" w:lineRule="exact"/>
              <w:jc w:val="center"/>
              <w:rPr>
                <w:rFonts w:hint="cs"/>
                <w:szCs w:val="21"/>
                <w:rtl/>
                <w:lang w:bidi="ar-LB"/>
              </w:rPr>
            </w:pPr>
          </w:p>
        </w:tc>
        <w:tc>
          <w:tcPr>
            <w:tcW w:w="794"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الحزب الاشتراكي</w:t>
            </w:r>
          </w:p>
        </w:tc>
        <w:tc>
          <w:tcPr>
            <w:tcW w:w="993"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الشعب</w:t>
            </w:r>
          </w:p>
        </w:tc>
        <w:tc>
          <w:tcPr>
            <w:tcW w:w="1029"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الحرية</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618"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الخضر</w:t>
            </w:r>
          </w:p>
        </w:tc>
        <w:tc>
          <w:tcPr>
            <w:tcW w:w="1029"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المجموع</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النساء</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11.11٪</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النساء</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45.45</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28.00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25.00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21</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37.50</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الرجال</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88.89٪</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الرجال</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12</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54.55</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18</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72.00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75.00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35</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62.50</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المجموع</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9</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المجموع</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22</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25</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56</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r>
    </w:tbl>
    <w:p w:rsidR="002D3A4A" w:rsidRDefault="002D3A4A" w:rsidP="002D3A4A">
      <w:pPr>
        <w:spacing w:line="120" w:lineRule="exact"/>
        <w:rPr>
          <w:rFonts w:hint="cs"/>
          <w:sz w:val="10"/>
          <w:szCs w:val="23"/>
          <w:rtl/>
          <w:lang w:bidi="ar-LB"/>
        </w:rPr>
      </w:pPr>
    </w:p>
    <w:p w:rsidR="002D3A4A" w:rsidRDefault="002D3A4A" w:rsidP="002D3A4A">
      <w:pPr>
        <w:spacing w:line="120" w:lineRule="exact"/>
        <w:rPr>
          <w:rFonts w:hint="cs"/>
          <w:sz w:val="10"/>
          <w:szCs w:val="23"/>
          <w:rtl/>
          <w:lang w:bidi="ar-LB"/>
        </w:rPr>
      </w:pPr>
    </w:p>
    <w:p w:rsidR="002D3A4A" w:rsidRPr="00AF054E" w:rsidRDefault="002D3A4A" w:rsidP="002D3A4A">
      <w:pPr>
        <w:spacing w:line="120" w:lineRule="exact"/>
        <w:rPr>
          <w:rFonts w:hint="cs"/>
          <w:sz w:val="10"/>
          <w:szCs w:val="23"/>
          <w:rtl/>
          <w:lang w:bidi="ar-LB"/>
        </w:rPr>
      </w:pPr>
    </w:p>
    <w:p w:rsidR="002D3A4A" w:rsidRDefault="002D3A4A" w:rsidP="002D3A4A">
      <w:pPr>
        <w:tabs>
          <w:tab w:val="left" w:pos="2824"/>
        </w:tabs>
        <w:rPr>
          <w:rFonts w:hint="cs"/>
          <w:b/>
          <w:bCs/>
          <w:sz w:val="22"/>
          <w:szCs w:val="23"/>
          <w:rtl/>
          <w:lang w:bidi="ar-LB"/>
        </w:rPr>
      </w:pPr>
      <w:r>
        <w:rPr>
          <w:rFonts w:hint="cs"/>
          <w:b/>
          <w:bCs/>
          <w:sz w:val="22"/>
          <w:szCs w:val="23"/>
          <w:rtl/>
          <w:lang w:bidi="ar-LB"/>
        </w:rPr>
        <w:t>سالزبورغ</w:t>
      </w:r>
      <w:r>
        <w:rPr>
          <w:rFonts w:hint="cs"/>
          <w:b/>
          <w:bCs/>
          <w:sz w:val="22"/>
          <w:szCs w:val="23"/>
          <w:rtl/>
          <w:lang w:bidi="ar-LB"/>
        </w:rPr>
        <w:tab/>
        <w:t>سالزبورغ</w:t>
      </w:r>
    </w:p>
    <w:p w:rsidR="002D3A4A" w:rsidRPr="00981038" w:rsidRDefault="002D3A4A" w:rsidP="002D3A4A">
      <w:pPr>
        <w:spacing w:line="120" w:lineRule="exact"/>
        <w:rPr>
          <w:rFonts w:hint="cs"/>
          <w:b/>
          <w:bCs/>
          <w:sz w:val="10"/>
          <w:szCs w:val="23"/>
          <w:rtl/>
          <w:lang w:bidi="ar-LB"/>
        </w:rPr>
      </w:pPr>
    </w:p>
    <w:tbl>
      <w:tblPr>
        <w:tblStyle w:val="TableGrid"/>
        <w:bidiVisual/>
        <w:tblW w:w="12071" w:type="dxa"/>
        <w:jc w:val="center"/>
        <w:tblLook w:val="01E0" w:firstRow="1" w:lastRow="1" w:firstColumn="1" w:lastColumn="1" w:noHBand="0" w:noVBand="0"/>
      </w:tblPr>
      <w:tblGrid>
        <w:gridCol w:w="662"/>
        <w:gridCol w:w="626"/>
        <w:gridCol w:w="921"/>
        <w:gridCol w:w="375"/>
        <w:gridCol w:w="662"/>
        <w:gridCol w:w="794"/>
        <w:gridCol w:w="977"/>
        <w:gridCol w:w="710"/>
        <w:gridCol w:w="1009"/>
        <w:gridCol w:w="887"/>
        <w:gridCol w:w="917"/>
        <w:gridCol w:w="612"/>
        <w:gridCol w:w="764"/>
        <w:gridCol w:w="615"/>
        <w:gridCol w:w="711"/>
        <w:gridCol w:w="829"/>
      </w:tblGrid>
      <w:tr w:rsidR="002D3A4A" w:rsidRPr="006208BB">
        <w:trPr>
          <w:trHeight w:val="386"/>
          <w:jc w:val="center"/>
        </w:trPr>
        <w:tc>
          <w:tcPr>
            <w:tcW w:w="662"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662"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933"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391" w:type="dxa"/>
            <w:tcBorders>
              <w:top w:val="nil"/>
              <w:left w:val="nil"/>
              <w:bottom w:val="nil"/>
            </w:tcBorders>
            <w:vAlign w:val="bottom"/>
          </w:tcPr>
          <w:p w:rsidR="002D3A4A" w:rsidRPr="006208BB" w:rsidRDefault="002D3A4A" w:rsidP="002D3A4A">
            <w:pPr>
              <w:spacing w:line="220" w:lineRule="exact"/>
              <w:jc w:val="center"/>
              <w:rPr>
                <w:rFonts w:hint="cs"/>
                <w:szCs w:val="21"/>
                <w:rtl/>
                <w:lang w:bidi="ar-LB"/>
              </w:rPr>
            </w:pPr>
          </w:p>
        </w:tc>
        <w:tc>
          <w:tcPr>
            <w:tcW w:w="662" w:type="dxa"/>
            <w:vAlign w:val="bottom"/>
          </w:tcPr>
          <w:p w:rsidR="002D3A4A" w:rsidRPr="006208BB" w:rsidRDefault="002D3A4A" w:rsidP="002D3A4A">
            <w:pPr>
              <w:spacing w:line="220" w:lineRule="exact"/>
              <w:jc w:val="center"/>
              <w:rPr>
                <w:rFonts w:hint="cs"/>
                <w:szCs w:val="21"/>
                <w:rtl/>
                <w:lang w:bidi="ar-LB"/>
              </w:rPr>
            </w:pPr>
          </w:p>
        </w:tc>
        <w:tc>
          <w:tcPr>
            <w:tcW w:w="794"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الحزب الاشتراكي</w:t>
            </w:r>
          </w:p>
        </w:tc>
        <w:tc>
          <w:tcPr>
            <w:tcW w:w="994"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الشعب</w:t>
            </w:r>
          </w:p>
        </w:tc>
        <w:tc>
          <w:tcPr>
            <w:tcW w:w="1030"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927"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الحرية</w:t>
            </w:r>
          </w:p>
        </w:tc>
        <w:tc>
          <w:tcPr>
            <w:tcW w:w="927"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618"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الخضر</w:t>
            </w:r>
          </w:p>
        </w:tc>
        <w:tc>
          <w:tcPr>
            <w:tcW w:w="769"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618" w:type="dxa"/>
            <w:vAlign w:val="bottom"/>
          </w:tcPr>
          <w:p w:rsidR="002D3A4A" w:rsidRPr="006208BB" w:rsidRDefault="002D3A4A" w:rsidP="002D3A4A">
            <w:pPr>
              <w:spacing w:line="220" w:lineRule="exact"/>
              <w:jc w:val="center"/>
              <w:rPr>
                <w:rFonts w:hint="cs"/>
                <w:szCs w:val="21"/>
                <w:rtl/>
                <w:lang w:bidi="ar-LB"/>
              </w:rPr>
            </w:pPr>
            <w:r>
              <w:rPr>
                <w:rFonts w:hint="cs"/>
                <w:szCs w:val="21"/>
                <w:rtl/>
                <w:lang w:bidi="ar-LB"/>
              </w:rPr>
              <w:t>مستقل</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المجموع</w:t>
            </w:r>
          </w:p>
        </w:tc>
        <w:tc>
          <w:tcPr>
            <w:tcW w:w="642"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r>
      <w:tr w:rsidR="002D3A4A" w:rsidRPr="00D223A5">
        <w:trPr>
          <w:jc w:val="center"/>
        </w:trPr>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النساء</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93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28.57٪</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النساء</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w:t>
            </w:r>
          </w:p>
        </w:tc>
        <w:tc>
          <w:tcPr>
            <w:tcW w:w="9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45.45</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w:t>
            </w:r>
          </w:p>
        </w:tc>
        <w:tc>
          <w:tcPr>
            <w:tcW w:w="1030"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35.71</w:t>
            </w:r>
          </w:p>
        </w:tc>
        <w:tc>
          <w:tcPr>
            <w:tcW w:w="927"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0</w:t>
            </w:r>
          </w:p>
        </w:tc>
        <w:tc>
          <w:tcPr>
            <w:tcW w:w="927"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14.29</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w:t>
            </w:r>
          </w:p>
        </w:tc>
        <w:tc>
          <w:tcPr>
            <w:tcW w:w="76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50.00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13</w:t>
            </w:r>
          </w:p>
        </w:tc>
        <w:tc>
          <w:tcPr>
            <w:tcW w:w="642" w:type="dxa"/>
          </w:tcPr>
          <w:p w:rsidR="002D3A4A" w:rsidRDefault="002D3A4A" w:rsidP="002D3A4A">
            <w:pPr>
              <w:spacing w:before="40" w:after="40" w:line="220" w:lineRule="exact"/>
              <w:rPr>
                <w:rFonts w:hint="cs"/>
                <w:sz w:val="22"/>
                <w:szCs w:val="23"/>
                <w:rtl/>
                <w:lang w:bidi="ar-LB"/>
              </w:rPr>
            </w:pPr>
            <w:r>
              <w:rPr>
                <w:rFonts w:hint="cs"/>
                <w:sz w:val="22"/>
                <w:szCs w:val="23"/>
                <w:rtl/>
                <w:lang w:bidi="ar-LB"/>
              </w:rPr>
              <w:t>36.11</w:t>
            </w:r>
          </w:p>
        </w:tc>
      </w:tr>
      <w:tr w:rsidR="002D3A4A" w:rsidRPr="00D223A5">
        <w:trPr>
          <w:jc w:val="center"/>
        </w:trPr>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الرجال</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w:t>
            </w:r>
          </w:p>
        </w:tc>
        <w:tc>
          <w:tcPr>
            <w:tcW w:w="93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71.43٪</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الرجال</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w:t>
            </w:r>
          </w:p>
        </w:tc>
        <w:tc>
          <w:tcPr>
            <w:tcW w:w="9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54.55</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9</w:t>
            </w:r>
          </w:p>
        </w:tc>
        <w:tc>
          <w:tcPr>
            <w:tcW w:w="1030"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64.29</w:t>
            </w:r>
          </w:p>
        </w:tc>
        <w:tc>
          <w:tcPr>
            <w:tcW w:w="927"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w:t>
            </w:r>
          </w:p>
        </w:tc>
        <w:tc>
          <w:tcPr>
            <w:tcW w:w="927"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85.71</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w:t>
            </w:r>
          </w:p>
        </w:tc>
        <w:tc>
          <w:tcPr>
            <w:tcW w:w="76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50.00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23</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23</w:t>
            </w:r>
          </w:p>
        </w:tc>
        <w:tc>
          <w:tcPr>
            <w:tcW w:w="642" w:type="dxa"/>
          </w:tcPr>
          <w:p w:rsidR="002D3A4A" w:rsidRDefault="002D3A4A" w:rsidP="002D3A4A">
            <w:pPr>
              <w:spacing w:before="40" w:after="40" w:line="220" w:lineRule="exact"/>
              <w:rPr>
                <w:rFonts w:hint="cs"/>
                <w:sz w:val="22"/>
                <w:szCs w:val="23"/>
                <w:rtl/>
                <w:lang w:bidi="ar-LB"/>
              </w:rPr>
            </w:pPr>
            <w:r>
              <w:rPr>
                <w:rFonts w:hint="cs"/>
                <w:sz w:val="22"/>
                <w:szCs w:val="23"/>
                <w:rtl/>
                <w:lang w:bidi="ar-LB"/>
              </w:rPr>
              <w:t>63.89</w:t>
            </w:r>
          </w:p>
        </w:tc>
      </w:tr>
      <w:tr w:rsidR="002D3A4A" w:rsidRPr="00D223A5">
        <w:trPr>
          <w:jc w:val="center"/>
        </w:trPr>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المجموع</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w:t>
            </w:r>
          </w:p>
        </w:tc>
        <w:tc>
          <w:tcPr>
            <w:tcW w:w="93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المجموع</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11</w:t>
            </w:r>
          </w:p>
        </w:tc>
        <w:tc>
          <w:tcPr>
            <w:tcW w:w="9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14</w:t>
            </w:r>
          </w:p>
        </w:tc>
        <w:tc>
          <w:tcPr>
            <w:tcW w:w="1030"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927"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w:t>
            </w:r>
          </w:p>
        </w:tc>
        <w:tc>
          <w:tcPr>
            <w:tcW w:w="927"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76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36</w:t>
            </w:r>
          </w:p>
        </w:tc>
        <w:tc>
          <w:tcPr>
            <w:tcW w:w="642" w:type="dxa"/>
          </w:tcPr>
          <w:p w:rsidR="002D3A4A" w:rsidRDefault="002D3A4A" w:rsidP="002D3A4A">
            <w:pPr>
              <w:spacing w:before="40" w:after="40" w:line="220" w:lineRule="exact"/>
              <w:rPr>
                <w:rFonts w:hint="cs"/>
                <w:sz w:val="22"/>
                <w:szCs w:val="23"/>
                <w:rtl/>
                <w:lang w:bidi="ar-LB"/>
              </w:rPr>
            </w:pPr>
            <w:r>
              <w:rPr>
                <w:rFonts w:hint="cs"/>
                <w:sz w:val="22"/>
                <w:szCs w:val="23"/>
                <w:rtl/>
                <w:lang w:bidi="ar-LB"/>
              </w:rPr>
              <w:t>100.00</w:t>
            </w:r>
          </w:p>
        </w:tc>
      </w:tr>
    </w:tbl>
    <w:p w:rsidR="002D3A4A" w:rsidRDefault="002D3A4A" w:rsidP="002D3A4A">
      <w:pPr>
        <w:spacing w:line="120" w:lineRule="exact"/>
        <w:rPr>
          <w:rFonts w:hint="cs"/>
          <w:sz w:val="10"/>
          <w:szCs w:val="23"/>
          <w:rtl/>
          <w:lang w:bidi="ar-LB"/>
        </w:rPr>
      </w:pPr>
    </w:p>
    <w:p w:rsidR="002D3A4A" w:rsidRDefault="002D3A4A" w:rsidP="002D3A4A">
      <w:pPr>
        <w:spacing w:line="120" w:lineRule="exact"/>
        <w:rPr>
          <w:rFonts w:hint="cs"/>
          <w:sz w:val="10"/>
          <w:szCs w:val="23"/>
          <w:rtl/>
          <w:lang w:bidi="ar-LB"/>
        </w:rPr>
      </w:pPr>
    </w:p>
    <w:p w:rsidR="002D3A4A" w:rsidRPr="003A356A" w:rsidRDefault="002D3A4A" w:rsidP="002D3A4A">
      <w:pPr>
        <w:spacing w:line="120" w:lineRule="exact"/>
        <w:rPr>
          <w:rFonts w:hint="cs"/>
          <w:sz w:val="10"/>
          <w:szCs w:val="23"/>
          <w:rtl/>
          <w:lang w:bidi="ar-LB"/>
        </w:rPr>
      </w:pPr>
    </w:p>
    <w:p w:rsidR="002D3A4A" w:rsidRDefault="002D3A4A" w:rsidP="002D3A4A">
      <w:pPr>
        <w:tabs>
          <w:tab w:val="left" w:pos="2824"/>
        </w:tabs>
        <w:rPr>
          <w:rFonts w:hint="cs"/>
          <w:b/>
          <w:bCs/>
          <w:sz w:val="22"/>
          <w:szCs w:val="23"/>
          <w:rtl/>
          <w:lang w:bidi="ar-LB"/>
        </w:rPr>
      </w:pPr>
      <w:r>
        <w:rPr>
          <w:rFonts w:hint="cs"/>
          <w:b/>
          <w:bCs/>
          <w:sz w:val="22"/>
          <w:szCs w:val="23"/>
          <w:rtl/>
          <w:lang w:bidi="ar-LB"/>
        </w:rPr>
        <w:t>ستيريا</w:t>
      </w:r>
      <w:r>
        <w:rPr>
          <w:rFonts w:hint="cs"/>
          <w:b/>
          <w:bCs/>
          <w:sz w:val="22"/>
          <w:szCs w:val="23"/>
          <w:rtl/>
          <w:lang w:bidi="ar-LB"/>
        </w:rPr>
        <w:tab/>
        <w:t>ستيريا</w:t>
      </w:r>
    </w:p>
    <w:p w:rsidR="002D3A4A" w:rsidRPr="00981038" w:rsidRDefault="002D3A4A" w:rsidP="002D3A4A">
      <w:pPr>
        <w:spacing w:line="120" w:lineRule="exact"/>
        <w:rPr>
          <w:rFonts w:hint="cs"/>
          <w:b/>
          <w:bCs/>
          <w:sz w:val="10"/>
          <w:szCs w:val="23"/>
          <w:rtl/>
          <w:lang w:bidi="ar-LB"/>
        </w:rPr>
      </w:pPr>
    </w:p>
    <w:tbl>
      <w:tblPr>
        <w:tblStyle w:val="TableGrid"/>
        <w:bidiVisual/>
        <w:tblW w:w="11999" w:type="dxa"/>
        <w:jc w:val="center"/>
        <w:tblLook w:val="01E0" w:firstRow="1" w:lastRow="1" w:firstColumn="1" w:lastColumn="1" w:noHBand="0" w:noVBand="0"/>
      </w:tblPr>
      <w:tblGrid>
        <w:gridCol w:w="663"/>
        <w:gridCol w:w="662"/>
        <w:gridCol w:w="938"/>
        <w:gridCol w:w="391"/>
        <w:gridCol w:w="662"/>
        <w:gridCol w:w="794"/>
        <w:gridCol w:w="993"/>
        <w:gridCol w:w="721"/>
        <w:gridCol w:w="1029"/>
        <w:gridCol w:w="926"/>
        <w:gridCol w:w="926"/>
        <w:gridCol w:w="618"/>
        <w:gridCol w:w="1029"/>
        <w:gridCol w:w="721"/>
        <w:gridCol w:w="926"/>
      </w:tblGrid>
      <w:tr w:rsidR="002D3A4A" w:rsidRPr="006208BB">
        <w:trPr>
          <w:trHeight w:val="386"/>
          <w:jc w:val="center"/>
        </w:trPr>
        <w:tc>
          <w:tcPr>
            <w:tcW w:w="663"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662"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938"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391" w:type="dxa"/>
            <w:tcBorders>
              <w:top w:val="nil"/>
              <w:left w:val="nil"/>
              <w:bottom w:val="nil"/>
            </w:tcBorders>
            <w:vAlign w:val="bottom"/>
          </w:tcPr>
          <w:p w:rsidR="002D3A4A" w:rsidRPr="006208BB" w:rsidRDefault="002D3A4A" w:rsidP="002D3A4A">
            <w:pPr>
              <w:spacing w:line="220" w:lineRule="exact"/>
              <w:jc w:val="center"/>
              <w:rPr>
                <w:rFonts w:hint="cs"/>
                <w:szCs w:val="21"/>
                <w:rtl/>
                <w:lang w:bidi="ar-LB"/>
              </w:rPr>
            </w:pPr>
          </w:p>
        </w:tc>
        <w:tc>
          <w:tcPr>
            <w:tcW w:w="662" w:type="dxa"/>
            <w:vAlign w:val="bottom"/>
          </w:tcPr>
          <w:p w:rsidR="002D3A4A" w:rsidRPr="006208BB" w:rsidRDefault="002D3A4A" w:rsidP="002D3A4A">
            <w:pPr>
              <w:spacing w:line="220" w:lineRule="exact"/>
              <w:jc w:val="center"/>
              <w:rPr>
                <w:rFonts w:hint="cs"/>
                <w:szCs w:val="21"/>
                <w:rtl/>
                <w:lang w:bidi="ar-LB"/>
              </w:rPr>
            </w:pPr>
          </w:p>
        </w:tc>
        <w:tc>
          <w:tcPr>
            <w:tcW w:w="794"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الحزب الاشتراكي</w:t>
            </w:r>
          </w:p>
        </w:tc>
        <w:tc>
          <w:tcPr>
            <w:tcW w:w="993"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الشعب</w:t>
            </w:r>
          </w:p>
        </w:tc>
        <w:tc>
          <w:tcPr>
            <w:tcW w:w="1029"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الحرية</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618"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الخضر</w:t>
            </w:r>
          </w:p>
        </w:tc>
        <w:tc>
          <w:tcPr>
            <w:tcW w:w="1029"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المجموع</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النساء</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22.22٪</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النساء</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42.11</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11.11</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42.86</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66.67</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16</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28.57</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الرجال</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77.78٪</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الرجال</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11</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57.89</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24</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88.89</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57.14</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33.33</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71.43</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المجموع</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9</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المجموع</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19</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27</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56</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r>
    </w:tbl>
    <w:p w:rsidR="002D3A4A" w:rsidRDefault="002D3A4A" w:rsidP="002D3A4A">
      <w:pPr>
        <w:spacing w:line="120" w:lineRule="exact"/>
        <w:rPr>
          <w:rFonts w:hint="cs"/>
          <w:sz w:val="10"/>
          <w:szCs w:val="23"/>
          <w:rtl/>
          <w:lang w:bidi="ar-LB"/>
        </w:rPr>
      </w:pPr>
    </w:p>
    <w:p w:rsidR="002D3A4A" w:rsidRDefault="002D3A4A" w:rsidP="002D3A4A">
      <w:pPr>
        <w:spacing w:line="120" w:lineRule="exact"/>
        <w:rPr>
          <w:rFonts w:hint="cs"/>
          <w:sz w:val="10"/>
          <w:szCs w:val="23"/>
          <w:rtl/>
          <w:lang w:bidi="ar-LB"/>
        </w:rPr>
      </w:pPr>
    </w:p>
    <w:p w:rsidR="002D3A4A" w:rsidRPr="00AF054E" w:rsidRDefault="002D3A4A" w:rsidP="002D3A4A">
      <w:pPr>
        <w:spacing w:line="120" w:lineRule="exact"/>
        <w:rPr>
          <w:rFonts w:hint="cs"/>
          <w:sz w:val="10"/>
          <w:szCs w:val="23"/>
          <w:rtl/>
          <w:lang w:bidi="ar-LB"/>
        </w:rPr>
      </w:pPr>
    </w:p>
    <w:p w:rsidR="002D3A4A" w:rsidRDefault="002D3A4A" w:rsidP="002D3A4A">
      <w:pPr>
        <w:tabs>
          <w:tab w:val="left" w:pos="2824"/>
        </w:tabs>
        <w:rPr>
          <w:rFonts w:hint="cs"/>
          <w:b/>
          <w:bCs/>
          <w:sz w:val="22"/>
          <w:szCs w:val="23"/>
          <w:rtl/>
          <w:lang w:bidi="ar-LB"/>
        </w:rPr>
      </w:pPr>
      <w:r>
        <w:rPr>
          <w:rFonts w:hint="cs"/>
          <w:b/>
          <w:bCs/>
          <w:sz w:val="22"/>
          <w:szCs w:val="23"/>
          <w:rtl/>
          <w:lang w:bidi="ar-LB"/>
        </w:rPr>
        <w:t>تيرول</w:t>
      </w:r>
      <w:r>
        <w:rPr>
          <w:rFonts w:hint="cs"/>
          <w:b/>
          <w:bCs/>
          <w:sz w:val="22"/>
          <w:szCs w:val="23"/>
          <w:rtl/>
          <w:lang w:bidi="ar-LB"/>
        </w:rPr>
        <w:tab/>
        <w:t>تيرول</w:t>
      </w:r>
    </w:p>
    <w:p w:rsidR="002D3A4A" w:rsidRPr="00981038" w:rsidRDefault="002D3A4A" w:rsidP="002D3A4A">
      <w:pPr>
        <w:spacing w:line="120" w:lineRule="exact"/>
        <w:rPr>
          <w:rFonts w:hint="cs"/>
          <w:b/>
          <w:bCs/>
          <w:sz w:val="10"/>
          <w:szCs w:val="23"/>
          <w:rtl/>
          <w:lang w:bidi="ar-LB"/>
        </w:rPr>
      </w:pPr>
    </w:p>
    <w:tbl>
      <w:tblPr>
        <w:tblStyle w:val="TableGrid"/>
        <w:bidiVisual/>
        <w:tblW w:w="11999" w:type="dxa"/>
        <w:jc w:val="center"/>
        <w:tblLook w:val="01E0" w:firstRow="1" w:lastRow="1" w:firstColumn="1" w:lastColumn="1" w:noHBand="0" w:noVBand="0"/>
      </w:tblPr>
      <w:tblGrid>
        <w:gridCol w:w="663"/>
        <w:gridCol w:w="662"/>
        <w:gridCol w:w="938"/>
        <w:gridCol w:w="391"/>
        <w:gridCol w:w="662"/>
        <w:gridCol w:w="794"/>
        <w:gridCol w:w="993"/>
        <w:gridCol w:w="721"/>
        <w:gridCol w:w="1029"/>
        <w:gridCol w:w="926"/>
        <w:gridCol w:w="926"/>
        <w:gridCol w:w="618"/>
        <w:gridCol w:w="1029"/>
        <w:gridCol w:w="721"/>
        <w:gridCol w:w="926"/>
      </w:tblGrid>
      <w:tr w:rsidR="002D3A4A" w:rsidRPr="006208BB">
        <w:trPr>
          <w:trHeight w:val="386"/>
          <w:jc w:val="center"/>
        </w:trPr>
        <w:tc>
          <w:tcPr>
            <w:tcW w:w="663"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662"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938"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391" w:type="dxa"/>
            <w:tcBorders>
              <w:top w:val="nil"/>
              <w:left w:val="nil"/>
              <w:bottom w:val="nil"/>
            </w:tcBorders>
            <w:vAlign w:val="bottom"/>
          </w:tcPr>
          <w:p w:rsidR="002D3A4A" w:rsidRPr="006208BB" w:rsidRDefault="002D3A4A" w:rsidP="002D3A4A">
            <w:pPr>
              <w:spacing w:line="220" w:lineRule="exact"/>
              <w:jc w:val="center"/>
              <w:rPr>
                <w:rFonts w:hint="cs"/>
                <w:szCs w:val="21"/>
                <w:rtl/>
                <w:lang w:bidi="ar-LB"/>
              </w:rPr>
            </w:pPr>
          </w:p>
        </w:tc>
        <w:tc>
          <w:tcPr>
            <w:tcW w:w="662" w:type="dxa"/>
            <w:vAlign w:val="bottom"/>
          </w:tcPr>
          <w:p w:rsidR="002D3A4A" w:rsidRPr="006208BB" w:rsidRDefault="002D3A4A" w:rsidP="002D3A4A">
            <w:pPr>
              <w:spacing w:line="220" w:lineRule="exact"/>
              <w:jc w:val="center"/>
              <w:rPr>
                <w:rFonts w:hint="cs"/>
                <w:szCs w:val="21"/>
                <w:rtl/>
                <w:lang w:bidi="ar-LB"/>
              </w:rPr>
            </w:pPr>
          </w:p>
        </w:tc>
        <w:tc>
          <w:tcPr>
            <w:tcW w:w="794"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الحزب الاشتراكي</w:t>
            </w:r>
          </w:p>
        </w:tc>
        <w:tc>
          <w:tcPr>
            <w:tcW w:w="993"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الشعب</w:t>
            </w:r>
          </w:p>
        </w:tc>
        <w:tc>
          <w:tcPr>
            <w:tcW w:w="1029"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الحرية</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618"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الخضر</w:t>
            </w:r>
          </w:p>
        </w:tc>
        <w:tc>
          <w:tcPr>
            <w:tcW w:w="1029"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المجموع</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النساء</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37.50٪</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النساء</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22.22%</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30.00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0.00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11</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30.56</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الرجال</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62.50٪</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الرجال</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77.78</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14</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70.00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25</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69.44</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المجموع</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المجموع</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9</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20</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36</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r>
    </w:tbl>
    <w:p w:rsidR="002D3A4A" w:rsidRPr="00D223A5" w:rsidRDefault="002D3A4A" w:rsidP="002D3A4A">
      <w:pPr>
        <w:rPr>
          <w:rFonts w:hint="cs"/>
          <w:sz w:val="22"/>
          <w:szCs w:val="23"/>
          <w:rtl/>
          <w:lang w:bidi="ar-LB"/>
        </w:rPr>
      </w:pPr>
    </w:p>
    <w:p w:rsidR="002D3A4A" w:rsidRDefault="002D3A4A" w:rsidP="002D3A4A">
      <w:pPr>
        <w:tabs>
          <w:tab w:val="left" w:pos="2824"/>
        </w:tabs>
        <w:rPr>
          <w:rFonts w:hint="cs"/>
          <w:b/>
          <w:bCs/>
          <w:sz w:val="22"/>
          <w:szCs w:val="23"/>
          <w:rtl/>
          <w:lang w:bidi="ar-LB"/>
        </w:rPr>
      </w:pPr>
      <w:r>
        <w:rPr>
          <w:b/>
          <w:bCs/>
          <w:sz w:val="22"/>
          <w:szCs w:val="23"/>
          <w:rtl/>
          <w:lang w:bidi="ar-LB"/>
        </w:rPr>
        <w:br w:type="page"/>
      </w:r>
      <w:r>
        <w:rPr>
          <w:rFonts w:hint="cs"/>
          <w:b/>
          <w:bCs/>
          <w:sz w:val="22"/>
          <w:szCs w:val="23"/>
          <w:rtl/>
          <w:lang w:bidi="ar-LB"/>
        </w:rPr>
        <w:t>فورالبورغ</w:t>
      </w:r>
      <w:r>
        <w:rPr>
          <w:rFonts w:hint="cs"/>
          <w:b/>
          <w:bCs/>
          <w:sz w:val="22"/>
          <w:szCs w:val="23"/>
          <w:rtl/>
          <w:lang w:bidi="ar-LB"/>
        </w:rPr>
        <w:tab/>
        <w:t>فورالبورغ</w:t>
      </w:r>
    </w:p>
    <w:p w:rsidR="002D3A4A" w:rsidRPr="00981038" w:rsidRDefault="002D3A4A" w:rsidP="002D3A4A">
      <w:pPr>
        <w:spacing w:line="120" w:lineRule="exact"/>
        <w:rPr>
          <w:rFonts w:hint="cs"/>
          <w:b/>
          <w:bCs/>
          <w:sz w:val="10"/>
          <w:szCs w:val="23"/>
          <w:rtl/>
          <w:lang w:bidi="ar-LB"/>
        </w:rPr>
      </w:pPr>
    </w:p>
    <w:tbl>
      <w:tblPr>
        <w:tblStyle w:val="TableGrid"/>
        <w:bidiVisual/>
        <w:tblW w:w="11999" w:type="dxa"/>
        <w:jc w:val="center"/>
        <w:tblLook w:val="01E0" w:firstRow="1" w:lastRow="1" w:firstColumn="1" w:lastColumn="1" w:noHBand="0" w:noVBand="0"/>
      </w:tblPr>
      <w:tblGrid>
        <w:gridCol w:w="663"/>
        <w:gridCol w:w="662"/>
        <w:gridCol w:w="938"/>
        <w:gridCol w:w="391"/>
        <w:gridCol w:w="662"/>
        <w:gridCol w:w="794"/>
        <w:gridCol w:w="993"/>
        <w:gridCol w:w="721"/>
        <w:gridCol w:w="1029"/>
        <w:gridCol w:w="926"/>
        <w:gridCol w:w="926"/>
        <w:gridCol w:w="618"/>
        <w:gridCol w:w="1029"/>
        <w:gridCol w:w="721"/>
        <w:gridCol w:w="926"/>
      </w:tblGrid>
      <w:tr w:rsidR="002D3A4A" w:rsidRPr="006208BB">
        <w:trPr>
          <w:trHeight w:val="386"/>
          <w:jc w:val="center"/>
        </w:trPr>
        <w:tc>
          <w:tcPr>
            <w:tcW w:w="663"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662"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938"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391" w:type="dxa"/>
            <w:tcBorders>
              <w:top w:val="nil"/>
              <w:left w:val="nil"/>
              <w:bottom w:val="nil"/>
            </w:tcBorders>
            <w:vAlign w:val="bottom"/>
          </w:tcPr>
          <w:p w:rsidR="002D3A4A" w:rsidRPr="006208BB" w:rsidRDefault="002D3A4A" w:rsidP="002D3A4A">
            <w:pPr>
              <w:spacing w:line="220" w:lineRule="exact"/>
              <w:jc w:val="center"/>
              <w:rPr>
                <w:rFonts w:hint="cs"/>
                <w:szCs w:val="21"/>
                <w:rtl/>
                <w:lang w:bidi="ar-LB"/>
              </w:rPr>
            </w:pPr>
          </w:p>
        </w:tc>
        <w:tc>
          <w:tcPr>
            <w:tcW w:w="662" w:type="dxa"/>
            <w:vAlign w:val="bottom"/>
          </w:tcPr>
          <w:p w:rsidR="002D3A4A" w:rsidRPr="006208BB" w:rsidRDefault="002D3A4A" w:rsidP="002D3A4A">
            <w:pPr>
              <w:spacing w:line="220" w:lineRule="exact"/>
              <w:jc w:val="center"/>
              <w:rPr>
                <w:rFonts w:hint="cs"/>
                <w:szCs w:val="21"/>
                <w:rtl/>
                <w:lang w:bidi="ar-LB"/>
              </w:rPr>
            </w:pPr>
          </w:p>
        </w:tc>
        <w:tc>
          <w:tcPr>
            <w:tcW w:w="794"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الحزب الاشتراكي</w:t>
            </w:r>
          </w:p>
        </w:tc>
        <w:tc>
          <w:tcPr>
            <w:tcW w:w="993"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الشعب</w:t>
            </w:r>
          </w:p>
        </w:tc>
        <w:tc>
          <w:tcPr>
            <w:tcW w:w="1029"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الحرية</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618"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الخضر</w:t>
            </w:r>
          </w:p>
        </w:tc>
        <w:tc>
          <w:tcPr>
            <w:tcW w:w="1029"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المجموع</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النساء</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14.29٪</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النساء</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33.33</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18.18</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12</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33.33</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الرجال</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85.71٪</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الرجال</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12</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66.67</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9</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81.82</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24</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66.67</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المجموع</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المجموع</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18</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11</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36</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r>
    </w:tbl>
    <w:p w:rsidR="002D3A4A" w:rsidRPr="00D223A5" w:rsidRDefault="002D3A4A" w:rsidP="002D3A4A">
      <w:pPr>
        <w:rPr>
          <w:rFonts w:hint="cs"/>
          <w:sz w:val="22"/>
          <w:szCs w:val="23"/>
          <w:rtl/>
          <w:lang w:bidi="ar-LB"/>
        </w:rPr>
      </w:pPr>
    </w:p>
    <w:p w:rsidR="002D3A4A" w:rsidRDefault="002D3A4A" w:rsidP="002D3A4A">
      <w:pPr>
        <w:tabs>
          <w:tab w:val="left" w:pos="2824"/>
        </w:tabs>
        <w:rPr>
          <w:rFonts w:hint="cs"/>
          <w:b/>
          <w:bCs/>
          <w:sz w:val="22"/>
          <w:szCs w:val="23"/>
          <w:rtl/>
          <w:lang w:bidi="ar-LB"/>
        </w:rPr>
      </w:pPr>
      <w:r>
        <w:rPr>
          <w:rFonts w:hint="cs"/>
          <w:b/>
          <w:bCs/>
          <w:sz w:val="22"/>
          <w:szCs w:val="23"/>
          <w:rtl/>
          <w:lang w:bidi="ar-LB"/>
        </w:rPr>
        <w:t>فيينا</w:t>
      </w:r>
      <w:r>
        <w:rPr>
          <w:rFonts w:hint="cs"/>
          <w:b/>
          <w:bCs/>
          <w:sz w:val="22"/>
          <w:szCs w:val="23"/>
          <w:rtl/>
          <w:lang w:bidi="ar-LB"/>
        </w:rPr>
        <w:tab/>
        <w:t>فيينا</w:t>
      </w:r>
    </w:p>
    <w:p w:rsidR="002D3A4A" w:rsidRPr="00981038" w:rsidRDefault="002D3A4A" w:rsidP="002D3A4A">
      <w:pPr>
        <w:spacing w:line="120" w:lineRule="exact"/>
        <w:rPr>
          <w:rFonts w:hint="cs"/>
          <w:b/>
          <w:bCs/>
          <w:sz w:val="10"/>
          <w:szCs w:val="23"/>
          <w:rtl/>
          <w:lang w:bidi="ar-LB"/>
        </w:rPr>
      </w:pPr>
    </w:p>
    <w:tbl>
      <w:tblPr>
        <w:tblStyle w:val="TableGrid"/>
        <w:bidiVisual/>
        <w:tblW w:w="11999" w:type="dxa"/>
        <w:jc w:val="center"/>
        <w:tblLook w:val="01E0" w:firstRow="1" w:lastRow="1" w:firstColumn="1" w:lastColumn="1" w:noHBand="0" w:noVBand="0"/>
      </w:tblPr>
      <w:tblGrid>
        <w:gridCol w:w="663"/>
        <w:gridCol w:w="662"/>
        <w:gridCol w:w="938"/>
        <w:gridCol w:w="391"/>
        <w:gridCol w:w="662"/>
        <w:gridCol w:w="794"/>
        <w:gridCol w:w="993"/>
        <w:gridCol w:w="721"/>
        <w:gridCol w:w="1029"/>
        <w:gridCol w:w="926"/>
        <w:gridCol w:w="926"/>
        <w:gridCol w:w="618"/>
        <w:gridCol w:w="1029"/>
        <w:gridCol w:w="721"/>
        <w:gridCol w:w="926"/>
      </w:tblGrid>
      <w:tr w:rsidR="002D3A4A" w:rsidRPr="006208BB">
        <w:trPr>
          <w:trHeight w:val="386"/>
          <w:jc w:val="center"/>
        </w:trPr>
        <w:tc>
          <w:tcPr>
            <w:tcW w:w="663"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662"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938" w:type="dxa"/>
            <w:tcBorders>
              <w:top w:val="nil"/>
              <w:left w:val="nil"/>
              <w:right w:val="nil"/>
            </w:tcBorders>
            <w:vAlign w:val="bottom"/>
          </w:tcPr>
          <w:p w:rsidR="002D3A4A" w:rsidRPr="006208BB" w:rsidRDefault="002D3A4A" w:rsidP="002D3A4A">
            <w:pPr>
              <w:spacing w:line="220" w:lineRule="exact"/>
              <w:jc w:val="center"/>
              <w:rPr>
                <w:rFonts w:hint="cs"/>
                <w:szCs w:val="21"/>
                <w:rtl/>
                <w:lang w:bidi="ar-LB"/>
              </w:rPr>
            </w:pPr>
          </w:p>
        </w:tc>
        <w:tc>
          <w:tcPr>
            <w:tcW w:w="391" w:type="dxa"/>
            <w:tcBorders>
              <w:top w:val="nil"/>
              <w:left w:val="nil"/>
              <w:bottom w:val="nil"/>
            </w:tcBorders>
            <w:vAlign w:val="bottom"/>
          </w:tcPr>
          <w:p w:rsidR="002D3A4A" w:rsidRPr="006208BB" w:rsidRDefault="002D3A4A" w:rsidP="002D3A4A">
            <w:pPr>
              <w:spacing w:line="220" w:lineRule="exact"/>
              <w:jc w:val="center"/>
              <w:rPr>
                <w:rFonts w:hint="cs"/>
                <w:szCs w:val="21"/>
                <w:rtl/>
                <w:lang w:bidi="ar-LB"/>
              </w:rPr>
            </w:pPr>
          </w:p>
        </w:tc>
        <w:tc>
          <w:tcPr>
            <w:tcW w:w="662" w:type="dxa"/>
            <w:vAlign w:val="bottom"/>
          </w:tcPr>
          <w:p w:rsidR="002D3A4A" w:rsidRPr="006208BB" w:rsidRDefault="002D3A4A" w:rsidP="002D3A4A">
            <w:pPr>
              <w:spacing w:line="220" w:lineRule="exact"/>
              <w:jc w:val="center"/>
              <w:rPr>
                <w:rFonts w:hint="cs"/>
                <w:szCs w:val="21"/>
                <w:rtl/>
                <w:lang w:bidi="ar-LB"/>
              </w:rPr>
            </w:pPr>
          </w:p>
        </w:tc>
        <w:tc>
          <w:tcPr>
            <w:tcW w:w="794"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الحزب الاشتراكي</w:t>
            </w:r>
          </w:p>
        </w:tc>
        <w:tc>
          <w:tcPr>
            <w:tcW w:w="993"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الشعب</w:t>
            </w:r>
          </w:p>
        </w:tc>
        <w:tc>
          <w:tcPr>
            <w:tcW w:w="1029"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حزب الحرية</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618"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الخضر</w:t>
            </w:r>
          </w:p>
        </w:tc>
        <w:tc>
          <w:tcPr>
            <w:tcW w:w="1029"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c>
          <w:tcPr>
            <w:tcW w:w="721"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المجموع</w:t>
            </w:r>
          </w:p>
        </w:tc>
        <w:tc>
          <w:tcPr>
            <w:tcW w:w="926" w:type="dxa"/>
            <w:vAlign w:val="bottom"/>
          </w:tcPr>
          <w:p w:rsidR="002D3A4A" w:rsidRPr="006208BB" w:rsidRDefault="002D3A4A" w:rsidP="002D3A4A">
            <w:pPr>
              <w:spacing w:line="220" w:lineRule="exact"/>
              <w:jc w:val="center"/>
              <w:rPr>
                <w:rFonts w:hint="cs"/>
                <w:szCs w:val="21"/>
                <w:rtl/>
                <w:lang w:bidi="ar-LB"/>
              </w:rPr>
            </w:pPr>
            <w:r w:rsidRPr="006208BB">
              <w:rPr>
                <w:rFonts w:hint="cs"/>
                <w:szCs w:val="21"/>
                <w:rtl/>
                <w:lang w:bidi="ar-LB"/>
              </w:rPr>
              <w:t>النسبة المئوية</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النساء</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46.67٪</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النساء</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21</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40.38</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12.50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28.57</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54.55</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35</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35.00</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الرجال</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53.33٪</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الرجال</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31</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59.62</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14</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87.50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15</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71.43</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45.45</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65</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65.00</w:t>
            </w:r>
          </w:p>
        </w:tc>
      </w:tr>
      <w:tr w:rsidR="002D3A4A" w:rsidRPr="00D223A5">
        <w:trPr>
          <w:jc w:val="center"/>
        </w:trPr>
        <w:tc>
          <w:tcPr>
            <w:tcW w:w="66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المجموع</w:t>
            </w:r>
          </w:p>
        </w:tc>
        <w:tc>
          <w:tcPr>
            <w:tcW w:w="662"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15</w:t>
            </w:r>
          </w:p>
        </w:tc>
        <w:tc>
          <w:tcPr>
            <w:tcW w:w="93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391" w:type="dxa"/>
            <w:tcBorders>
              <w:top w:val="nil"/>
              <w:bottom w:val="nil"/>
            </w:tcBorders>
          </w:tcPr>
          <w:p w:rsidR="002D3A4A" w:rsidRPr="00D223A5" w:rsidRDefault="002D3A4A" w:rsidP="002D3A4A">
            <w:pPr>
              <w:spacing w:before="40" w:after="40" w:line="220" w:lineRule="exact"/>
              <w:rPr>
                <w:rFonts w:hint="cs"/>
                <w:sz w:val="22"/>
                <w:szCs w:val="23"/>
                <w:rtl/>
                <w:lang w:bidi="ar-LB"/>
              </w:rPr>
            </w:pPr>
          </w:p>
        </w:tc>
        <w:tc>
          <w:tcPr>
            <w:tcW w:w="662" w:type="dxa"/>
          </w:tcPr>
          <w:p w:rsidR="002D3A4A" w:rsidRPr="00D223A5" w:rsidRDefault="002D3A4A" w:rsidP="002D3A4A">
            <w:pPr>
              <w:spacing w:before="40" w:after="40" w:line="220" w:lineRule="exact"/>
              <w:rPr>
                <w:rFonts w:hint="cs"/>
                <w:sz w:val="22"/>
                <w:szCs w:val="23"/>
                <w:rtl/>
                <w:lang w:bidi="ar-LB"/>
              </w:rPr>
            </w:pPr>
            <w:r w:rsidRPr="00D223A5">
              <w:rPr>
                <w:rFonts w:hint="cs"/>
                <w:sz w:val="22"/>
                <w:szCs w:val="23"/>
                <w:rtl/>
                <w:lang w:bidi="ar-LB"/>
              </w:rPr>
              <w:t>المجموع</w:t>
            </w:r>
          </w:p>
        </w:tc>
        <w:tc>
          <w:tcPr>
            <w:tcW w:w="794"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52</w:t>
            </w:r>
          </w:p>
        </w:tc>
        <w:tc>
          <w:tcPr>
            <w:tcW w:w="993"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16</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21</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618"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11</w:t>
            </w:r>
          </w:p>
        </w:tc>
        <w:tc>
          <w:tcPr>
            <w:tcW w:w="1029"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c>
          <w:tcPr>
            <w:tcW w:w="721"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w:t>
            </w:r>
          </w:p>
        </w:tc>
        <w:tc>
          <w:tcPr>
            <w:tcW w:w="926" w:type="dxa"/>
          </w:tcPr>
          <w:p w:rsidR="002D3A4A" w:rsidRPr="00D223A5" w:rsidRDefault="002D3A4A" w:rsidP="002D3A4A">
            <w:pPr>
              <w:spacing w:before="40" w:after="40" w:line="220" w:lineRule="exact"/>
              <w:rPr>
                <w:rFonts w:hint="cs"/>
                <w:sz w:val="22"/>
                <w:szCs w:val="23"/>
                <w:rtl/>
                <w:lang w:bidi="ar-LB"/>
              </w:rPr>
            </w:pPr>
            <w:r>
              <w:rPr>
                <w:rFonts w:hint="cs"/>
                <w:sz w:val="22"/>
                <w:szCs w:val="23"/>
                <w:rtl/>
                <w:lang w:bidi="ar-LB"/>
              </w:rPr>
              <w:t>100.00</w:t>
            </w:r>
          </w:p>
        </w:tc>
      </w:tr>
    </w:tbl>
    <w:p w:rsidR="002D3A4A" w:rsidRPr="00640654" w:rsidRDefault="002D3A4A" w:rsidP="002D3A4A">
      <w:pPr>
        <w:spacing w:line="120" w:lineRule="exact"/>
        <w:rPr>
          <w:rFonts w:hint="cs"/>
          <w:sz w:val="10"/>
          <w:szCs w:val="23"/>
          <w:rtl/>
          <w:lang w:bidi="ar-LB"/>
        </w:rPr>
      </w:pPr>
    </w:p>
    <w:p w:rsidR="002D3A4A" w:rsidRDefault="002D3A4A" w:rsidP="002D3A4A">
      <w:pPr>
        <w:rPr>
          <w:rFonts w:hint="cs"/>
          <w:sz w:val="30"/>
          <w:szCs w:val="28"/>
          <w:rtl/>
          <w:lang w:bidi="ar-LB"/>
        </w:rPr>
      </w:pPr>
      <w:r>
        <w:rPr>
          <w:rFonts w:hint="cs"/>
          <w:sz w:val="30"/>
          <w:szCs w:val="28"/>
          <w:rtl/>
          <w:lang w:bidi="ar-LB"/>
        </w:rPr>
        <w:t>تاريخ البيانات اعتبارا من 3 كانون الأول/ديسمبر 2003.</w:t>
      </w:r>
    </w:p>
    <w:p w:rsidR="002D3A4A" w:rsidRPr="00D223A5" w:rsidRDefault="002D3A4A" w:rsidP="002D3A4A">
      <w:pPr>
        <w:rPr>
          <w:rFonts w:hint="cs"/>
          <w:sz w:val="22"/>
          <w:szCs w:val="23"/>
          <w:rtl/>
          <w:lang w:bidi="ar-LB"/>
        </w:rPr>
      </w:pPr>
      <w:r>
        <w:rPr>
          <w:rFonts w:hint="cs"/>
          <w:sz w:val="30"/>
          <w:szCs w:val="28"/>
          <w:rtl/>
          <w:lang w:bidi="ar-LB"/>
        </w:rPr>
        <w:t xml:space="preserve">المصدر: الصفحة الافتتاحية للبرلامان النمساوي، وحكومات الأقاليم، </w:t>
      </w:r>
      <w:hyperlink r:id="rId24" w:history="1">
        <w:r w:rsidRPr="00AE2C6A">
          <w:rPr>
            <w:rStyle w:val="Hyperlink"/>
            <w:sz w:val="22"/>
            <w:szCs w:val="22"/>
            <w:lang w:bidi="ar-LB"/>
          </w:rPr>
          <w:t>www.austria.gv.at</w:t>
        </w:r>
      </w:hyperlink>
      <w:r>
        <w:rPr>
          <w:rFonts w:hint="cs"/>
          <w:sz w:val="22"/>
          <w:szCs w:val="22"/>
          <w:rtl/>
          <w:lang w:bidi="ar-LB"/>
        </w:rPr>
        <w:t xml:space="preserve"> .</w:t>
      </w:r>
    </w:p>
    <w:p w:rsidR="002D3A4A" w:rsidRPr="00D223A5" w:rsidRDefault="002D3A4A" w:rsidP="002D3A4A">
      <w:pPr>
        <w:rPr>
          <w:rFonts w:hint="cs"/>
          <w:sz w:val="22"/>
          <w:szCs w:val="23"/>
          <w:rtl/>
          <w:lang w:bidi="ar-LB"/>
        </w:rPr>
      </w:pPr>
    </w:p>
    <w:p w:rsidR="002D3A4A" w:rsidRDefault="002D3A4A" w:rsidP="002D3A4A">
      <w:pPr>
        <w:pStyle w:val="SingleTxt"/>
        <w:rPr>
          <w:rFonts w:hint="cs"/>
          <w:rtl/>
          <w:lang w:bidi="ar-LB"/>
        </w:rPr>
      </w:pPr>
    </w:p>
    <w:p w:rsidR="002D3A4A" w:rsidRPr="003F5A76" w:rsidRDefault="002D3A4A" w:rsidP="002D3A4A">
      <w:pPr>
        <w:pStyle w:val="H1"/>
        <w:tabs>
          <w:tab w:val="right" w:pos="1022"/>
          <w:tab w:val="left" w:pos="1267"/>
          <w:tab w:val="left" w:pos="1930"/>
          <w:tab w:val="left" w:pos="2592"/>
          <w:tab w:val="left" w:pos="3254"/>
          <w:tab w:val="left" w:pos="3917"/>
          <w:tab w:val="left" w:pos="4579"/>
          <w:tab w:val="left" w:pos="5242"/>
          <w:tab w:val="left" w:pos="5904"/>
          <w:tab w:val="left" w:pos="6566"/>
        </w:tabs>
        <w:spacing w:line="300" w:lineRule="exact"/>
        <w:ind w:left="1267" w:right="1267" w:hanging="1267"/>
        <w:rPr>
          <w:rFonts w:hint="cs"/>
          <w:rtl/>
        </w:rPr>
      </w:pPr>
      <w:r>
        <w:rPr>
          <w:rtl/>
        </w:rPr>
        <w:br w:type="page"/>
      </w:r>
      <w:r>
        <w:tab/>
      </w:r>
      <w:r>
        <w:rPr>
          <w:rFonts w:hint="cs"/>
          <w:rtl/>
        </w:rPr>
        <w:tab/>
      </w:r>
      <w:r>
        <w:rPr>
          <w:rFonts w:hint="cs"/>
          <w:rtl/>
        </w:rPr>
        <w:tab/>
        <w:t>هيئة التدريس في المدارس</w:t>
      </w:r>
    </w:p>
    <w:p w:rsidR="002D3A4A" w:rsidRDefault="002D3A4A" w:rsidP="002D3A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300" w:lineRule="exact"/>
        <w:ind w:left="1267" w:right="1267" w:hanging="1267"/>
        <w:jc w:val="lowKashida"/>
        <w:rPr>
          <w:rFonts w:hint="cs"/>
          <w:rtl/>
        </w:rPr>
      </w:pPr>
      <w:r>
        <w:rPr>
          <w:rFonts w:hint="cs"/>
          <w:rtl/>
        </w:rPr>
        <w:tab/>
      </w:r>
      <w:r>
        <w:rPr>
          <w:rFonts w:hint="cs"/>
          <w:rtl/>
        </w:rPr>
        <w:tab/>
      </w:r>
      <w:r>
        <w:rPr>
          <w:rFonts w:hint="cs"/>
          <w:rtl/>
        </w:rPr>
        <w:tab/>
        <w:t>بحسب نوع المدرسة للسنة الأكاديمية 2001/2002 - 2002/2003</w:t>
      </w:r>
      <w:r w:rsidRPr="002320DE">
        <w:rPr>
          <w:vertAlign w:val="superscript"/>
          <w:rtl/>
        </w:rPr>
        <w:t>(</w:t>
      </w:r>
      <w:r>
        <w:rPr>
          <w:rStyle w:val="FootnoteReference"/>
          <w:rtl/>
        </w:rPr>
        <w:footnoteReference w:id="10"/>
      </w:r>
      <w:r w:rsidRPr="002320DE">
        <w:rPr>
          <w:vertAlign w:val="superscript"/>
          <w:rtl/>
        </w:rPr>
        <w:t>)</w:t>
      </w:r>
    </w:p>
    <w:p w:rsidR="002D3A4A" w:rsidRPr="002320DE" w:rsidRDefault="002D3A4A" w:rsidP="002D3A4A">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3052"/>
        <w:gridCol w:w="1030"/>
        <w:gridCol w:w="1030"/>
        <w:gridCol w:w="1133"/>
        <w:gridCol w:w="1133"/>
        <w:gridCol w:w="1133"/>
        <w:gridCol w:w="1338"/>
      </w:tblGrid>
      <w:tr w:rsidR="002D3A4A" w:rsidRPr="0069236F">
        <w:tblPrEx>
          <w:tblCellMar>
            <w:top w:w="0" w:type="dxa"/>
            <w:bottom w:w="0" w:type="dxa"/>
          </w:tblCellMar>
        </w:tblPrEx>
        <w:trPr>
          <w:cantSplit/>
          <w:tblHeader/>
          <w:jc w:val="center"/>
        </w:trPr>
        <w:tc>
          <w:tcPr>
            <w:tcW w:w="3052" w:type="dxa"/>
            <w:tcBorders>
              <w:bottom w:val="single" w:sz="4" w:space="0" w:color="auto"/>
            </w:tcBorders>
            <w:shd w:val="clear" w:color="auto" w:fill="auto"/>
            <w:tcMar>
              <w:left w:w="0" w:type="dxa"/>
              <w:right w:w="0" w:type="dxa"/>
            </w:tcMar>
            <w:vAlign w:val="bottom"/>
          </w:tcPr>
          <w:p w:rsidR="002D3A4A" w:rsidRPr="0069236F" w:rsidRDefault="002D3A4A" w:rsidP="002D3A4A">
            <w:pPr>
              <w:spacing w:before="80" w:after="80" w:line="240" w:lineRule="exact"/>
              <w:rPr>
                <w:rFonts w:hint="cs"/>
                <w:i/>
                <w:iCs/>
                <w:sz w:val="16"/>
                <w:szCs w:val="24"/>
                <w:rtl/>
              </w:rPr>
            </w:pPr>
          </w:p>
        </w:tc>
        <w:tc>
          <w:tcPr>
            <w:tcW w:w="3193" w:type="dxa"/>
            <w:gridSpan w:val="3"/>
            <w:tcBorders>
              <w:bottom w:val="single" w:sz="4" w:space="0" w:color="auto"/>
            </w:tcBorders>
            <w:shd w:val="clear" w:color="auto" w:fill="auto"/>
            <w:vAlign w:val="bottom"/>
          </w:tcPr>
          <w:p w:rsidR="002D3A4A" w:rsidRPr="006B1F20" w:rsidRDefault="002D3A4A" w:rsidP="002D3A4A">
            <w:pPr>
              <w:spacing w:before="80" w:after="80" w:line="240" w:lineRule="exact"/>
              <w:ind w:right="144"/>
              <w:jc w:val="center"/>
              <w:rPr>
                <w:rFonts w:hint="cs"/>
                <w:sz w:val="16"/>
                <w:szCs w:val="24"/>
                <w:rtl/>
              </w:rPr>
            </w:pPr>
            <w:r w:rsidRPr="006B1F20">
              <w:rPr>
                <w:rFonts w:hint="cs"/>
                <w:sz w:val="16"/>
                <w:szCs w:val="24"/>
                <w:rtl/>
              </w:rPr>
              <w:t>1999/2000</w:t>
            </w:r>
          </w:p>
        </w:tc>
        <w:tc>
          <w:tcPr>
            <w:tcW w:w="3604" w:type="dxa"/>
            <w:gridSpan w:val="3"/>
            <w:tcBorders>
              <w:bottom w:val="single" w:sz="4" w:space="0" w:color="auto"/>
            </w:tcBorders>
            <w:shd w:val="clear" w:color="auto" w:fill="auto"/>
            <w:vAlign w:val="bottom"/>
          </w:tcPr>
          <w:p w:rsidR="002D3A4A" w:rsidRPr="006B1F20" w:rsidRDefault="002D3A4A" w:rsidP="002D3A4A">
            <w:pPr>
              <w:spacing w:before="80" w:after="80" w:line="240" w:lineRule="exact"/>
              <w:ind w:right="144"/>
              <w:jc w:val="center"/>
              <w:rPr>
                <w:rFonts w:hint="cs"/>
                <w:sz w:val="16"/>
                <w:szCs w:val="24"/>
                <w:rtl/>
              </w:rPr>
            </w:pPr>
            <w:r w:rsidRPr="006B1F20">
              <w:rPr>
                <w:rFonts w:hint="cs"/>
                <w:sz w:val="16"/>
                <w:szCs w:val="24"/>
                <w:rtl/>
              </w:rPr>
              <w:t>2000/2001</w:t>
            </w:r>
          </w:p>
        </w:tc>
      </w:tr>
      <w:tr w:rsidR="002D3A4A" w:rsidRPr="0069236F">
        <w:tblPrEx>
          <w:tblCellMar>
            <w:top w:w="0" w:type="dxa"/>
            <w:bottom w:w="0" w:type="dxa"/>
          </w:tblCellMar>
        </w:tblPrEx>
        <w:trPr>
          <w:cantSplit/>
          <w:tblHeader/>
          <w:jc w:val="center"/>
        </w:trPr>
        <w:tc>
          <w:tcPr>
            <w:tcW w:w="3052" w:type="dxa"/>
            <w:tcBorders>
              <w:top w:val="single" w:sz="4" w:space="0" w:color="auto"/>
            </w:tcBorders>
            <w:shd w:val="clear" w:color="auto" w:fill="auto"/>
            <w:vAlign w:val="bottom"/>
          </w:tcPr>
          <w:p w:rsidR="002D3A4A" w:rsidRPr="0069236F" w:rsidRDefault="002D3A4A" w:rsidP="002D3A4A">
            <w:pPr>
              <w:spacing w:after="80" w:line="240" w:lineRule="exact"/>
              <w:rPr>
                <w:rFonts w:hint="cs"/>
                <w:i/>
                <w:iCs/>
                <w:sz w:val="16"/>
                <w:szCs w:val="24"/>
                <w:rtl/>
              </w:rPr>
            </w:pPr>
          </w:p>
        </w:tc>
        <w:tc>
          <w:tcPr>
            <w:tcW w:w="3193" w:type="dxa"/>
            <w:gridSpan w:val="3"/>
            <w:tcBorders>
              <w:top w:val="single" w:sz="4" w:space="0" w:color="auto"/>
              <w:bottom w:val="single" w:sz="4" w:space="0" w:color="auto"/>
            </w:tcBorders>
            <w:shd w:val="clear" w:color="auto" w:fill="D9D9D9"/>
            <w:vAlign w:val="bottom"/>
          </w:tcPr>
          <w:p w:rsidR="002D3A4A" w:rsidRPr="0069236F" w:rsidRDefault="002D3A4A" w:rsidP="002D3A4A">
            <w:pPr>
              <w:spacing w:after="80" w:line="240" w:lineRule="exact"/>
              <w:ind w:right="144"/>
              <w:jc w:val="center"/>
              <w:rPr>
                <w:rFonts w:hint="cs"/>
                <w:i/>
                <w:iCs/>
                <w:sz w:val="16"/>
                <w:szCs w:val="24"/>
                <w:rtl/>
              </w:rPr>
            </w:pPr>
            <w:r w:rsidRPr="0069236F">
              <w:rPr>
                <w:rFonts w:hint="cs"/>
                <w:i/>
                <w:iCs/>
                <w:sz w:val="16"/>
                <w:szCs w:val="24"/>
                <w:rtl/>
              </w:rPr>
              <w:t>العدد الإجمالي للمعلمين في النمسا</w:t>
            </w:r>
          </w:p>
        </w:tc>
        <w:tc>
          <w:tcPr>
            <w:tcW w:w="3604" w:type="dxa"/>
            <w:gridSpan w:val="3"/>
            <w:tcBorders>
              <w:top w:val="single" w:sz="4" w:space="0" w:color="auto"/>
              <w:bottom w:val="single" w:sz="4" w:space="0" w:color="auto"/>
            </w:tcBorders>
            <w:shd w:val="clear" w:color="auto" w:fill="D9D9D9"/>
            <w:vAlign w:val="bottom"/>
          </w:tcPr>
          <w:p w:rsidR="002D3A4A" w:rsidRPr="0069236F" w:rsidRDefault="002D3A4A" w:rsidP="002D3A4A">
            <w:pPr>
              <w:spacing w:after="80" w:line="240" w:lineRule="exact"/>
              <w:ind w:right="144"/>
              <w:jc w:val="center"/>
              <w:rPr>
                <w:rFonts w:hint="cs"/>
                <w:i/>
                <w:iCs/>
                <w:sz w:val="16"/>
                <w:szCs w:val="24"/>
                <w:rtl/>
              </w:rPr>
            </w:pPr>
            <w:r w:rsidRPr="0069236F">
              <w:rPr>
                <w:rFonts w:hint="cs"/>
                <w:i/>
                <w:iCs/>
                <w:sz w:val="16"/>
                <w:szCs w:val="24"/>
                <w:rtl/>
              </w:rPr>
              <w:t>العدد الإجمالي للمعلمين في النمسا</w:t>
            </w:r>
          </w:p>
        </w:tc>
      </w:tr>
      <w:tr w:rsidR="002D3A4A" w:rsidRPr="0069236F">
        <w:tblPrEx>
          <w:tblCellMar>
            <w:top w:w="0" w:type="dxa"/>
            <w:bottom w:w="0" w:type="dxa"/>
          </w:tblCellMar>
        </w:tblPrEx>
        <w:trPr>
          <w:cantSplit/>
          <w:tblHeader/>
          <w:jc w:val="center"/>
        </w:trPr>
        <w:tc>
          <w:tcPr>
            <w:tcW w:w="3052" w:type="dxa"/>
            <w:tcBorders>
              <w:bottom w:val="single" w:sz="12" w:space="0" w:color="auto"/>
            </w:tcBorders>
            <w:shd w:val="clear" w:color="auto" w:fill="auto"/>
            <w:vAlign w:val="bottom"/>
          </w:tcPr>
          <w:p w:rsidR="002D3A4A" w:rsidRPr="0069236F" w:rsidRDefault="002D3A4A" w:rsidP="002D3A4A">
            <w:pPr>
              <w:spacing w:after="80" w:line="240" w:lineRule="exact"/>
              <w:rPr>
                <w:rFonts w:hint="cs"/>
                <w:i/>
                <w:iCs/>
                <w:sz w:val="16"/>
                <w:szCs w:val="24"/>
                <w:rtl/>
              </w:rPr>
            </w:pPr>
            <w:r w:rsidRPr="0069236F">
              <w:rPr>
                <w:rFonts w:hint="cs"/>
                <w:i/>
                <w:iCs/>
                <w:sz w:val="16"/>
                <w:szCs w:val="24"/>
                <w:rtl/>
              </w:rPr>
              <w:t>نوع المدرسة</w:t>
            </w:r>
          </w:p>
        </w:tc>
        <w:tc>
          <w:tcPr>
            <w:tcW w:w="1030" w:type="dxa"/>
            <w:tcBorders>
              <w:top w:val="single" w:sz="4" w:space="0" w:color="auto"/>
              <w:bottom w:val="single" w:sz="12" w:space="0" w:color="auto"/>
            </w:tcBorders>
            <w:shd w:val="clear" w:color="auto" w:fill="D9D9D9"/>
            <w:vAlign w:val="bottom"/>
          </w:tcPr>
          <w:p w:rsidR="002D3A4A" w:rsidRPr="0069236F" w:rsidRDefault="002D3A4A" w:rsidP="002D3A4A">
            <w:pPr>
              <w:spacing w:after="80" w:line="240" w:lineRule="exact"/>
              <w:ind w:right="144"/>
              <w:jc w:val="lowKashida"/>
              <w:rPr>
                <w:rFonts w:hint="cs"/>
                <w:i/>
                <w:iCs/>
                <w:sz w:val="16"/>
                <w:szCs w:val="24"/>
                <w:rtl/>
              </w:rPr>
            </w:pPr>
            <w:r w:rsidRPr="0069236F">
              <w:rPr>
                <w:rFonts w:hint="cs"/>
                <w:i/>
                <w:iCs/>
                <w:sz w:val="16"/>
                <w:szCs w:val="24"/>
                <w:rtl/>
              </w:rPr>
              <w:t>المجموع</w:t>
            </w:r>
          </w:p>
        </w:tc>
        <w:tc>
          <w:tcPr>
            <w:tcW w:w="1030" w:type="dxa"/>
            <w:tcBorders>
              <w:top w:val="single" w:sz="4" w:space="0" w:color="auto"/>
              <w:bottom w:val="single" w:sz="12" w:space="0" w:color="auto"/>
            </w:tcBorders>
            <w:shd w:val="clear" w:color="auto" w:fill="auto"/>
            <w:vAlign w:val="bottom"/>
          </w:tcPr>
          <w:p w:rsidR="002D3A4A" w:rsidRPr="0069236F" w:rsidRDefault="002D3A4A" w:rsidP="002D3A4A">
            <w:pPr>
              <w:spacing w:after="80" w:line="240" w:lineRule="exact"/>
              <w:ind w:right="144"/>
              <w:jc w:val="lowKashida"/>
              <w:rPr>
                <w:rFonts w:hint="cs"/>
                <w:i/>
                <w:iCs/>
                <w:sz w:val="16"/>
                <w:szCs w:val="24"/>
                <w:rtl/>
              </w:rPr>
            </w:pPr>
            <w:r w:rsidRPr="0069236F">
              <w:rPr>
                <w:rFonts w:hint="cs"/>
                <w:i/>
                <w:iCs/>
                <w:sz w:val="16"/>
                <w:szCs w:val="24"/>
                <w:rtl/>
              </w:rPr>
              <w:t>عدد المعلمات</w:t>
            </w:r>
          </w:p>
        </w:tc>
        <w:tc>
          <w:tcPr>
            <w:tcW w:w="1133" w:type="dxa"/>
            <w:tcBorders>
              <w:top w:val="single" w:sz="4" w:space="0" w:color="auto"/>
              <w:bottom w:val="single" w:sz="12" w:space="0" w:color="auto"/>
            </w:tcBorders>
            <w:shd w:val="clear" w:color="auto" w:fill="auto"/>
            <w:vAlign w:val="bottom"/>
          </w:tcPr>
          <w:p w:rsidR="002D3A4A" w:rsidRPr="0069236F" w:rsidRDefault="002D3A4A" w:rsidP="002D3A4A">
            <w:pPr>
              <w:spacing w:after="80" w:line="240" w:lineRule="exact"/>
              <w:ind w:right="144"/>
              <w:jc w:val="lowKashida"/>
              <w:rPr>
                <w:rFonts w:hint="cs"/>
                <w:i/>
                <w:iCs/>
                <w:sz w:val="16"/>
                <w:szCs w:val="24"/>
                <w:rtl/>
              </w:rPr>
            </w:pPr>
            <w:r w:rsidRPr="0069236F">
              <w:rPr>
                <w:rFonts w:hint="cs"/>
                <w:i/>
                <w:iCs/>
                <w:sz w:val="16"/>
                <w:szCs w:val="24"/>
                <w:rtl/>
              </w:rPr>
              <w:t xml:space="preserve">نسبة النساء </w:t>
            </w:r>
            <w:r>
              <w:rPr>
                <w:rFonts w:hint="cs"/>
                <w:i/>
                <w:iCs/>
                <w:sz w:val="16"/>
                <w:szCs w:val="24"/>
                <w:rtl/>
                <w:lang w:bidi="ar-LB"/>
              </w:rPr>
              <w:t>٪</w:t>
            </w:r>
          </w:p>
        </w:tc>
        <w:tc>
          <w:tcPr>
            <w:tcW w:w="1133" w:type="dxa"/>
            <w:tcBorders>
              <w:top w:val="single" w:sz="4" w:space="0" w:color="auto"/>
              <w:bottom w:val="single" w:sz="12" w:space="0" w:color="auto"/>
            </w:tcBorders>
            <w:shd w:val="clear" w:color="auto" w:fill="D9D9D9"/>
            <w:vAlign w:val="bottom"/>
          </w:tcPr>
          <w:p w:rsidR="002D3A4A" w:rsidRPr="0069236F" w:rsidRDefault="002D3A4A" w:rsidP="002D3A4A">
            <w:pPr>
              <w:spacing w:after="80" w:line="240" w:lineRule="exact"/>
              <w:ind w:right="144"/>
              <w:jc w:val="lowKashida"/>
              <w:rPr>
                <w:rFonts w:hint="cs"/>
                <w:i/>
                <w:iCs/>
                <w:sz w:val="16"/>
                <w:szCs w:val="24"/>
                <w:rtl/>
              </w:rPr>
            </w:pPr>
            <w:r w:rsidRPr="0069236F">
              <w:rPr>
                <w:rFonts w:hint="cs"/>
                <w:i/>
                <w:iCs/>
                <w:sz w:val="16"/>
                <w:szCs w:val="24"/>
                <w:rtl/>
              </w:rPr>
              <w:t>المجموع</w:t>
            </w:r>
          </w:p>
        </w:tc>
        <w:tc>
          <w:tcPr>
            <w:tcW w:w="1133" w:type="dxa"/>
            <w:tcBorders>
              <w:top w:val="single" w:sz="4" w:space="0" w:color="auto"/>
              <w:bottom w:val="single" w:sz="12" w:space="0" w:color="auto"/>
            </w:tcBorders>
            <w:shd w:val="clear" w:color="auto" w:fill="auto"/>
            <w:vAlign w:val="bottom"/>
          </w:tcPr>
          <w:p w:rsidR="002D3A4A" w:rsidRPr="0069236F" w:rsidRDefault="002D3A4A" w:rsidP="002D3A4A">
            <w:pPr>
              <w:spacing w:after="80" w:line="240" w:lineRule="exact"/>
              <w:ind w:right="144"/>
              <w:jc w:val="lowKashida"/>
              <w:rPr>
                <w:rFonts w:hint="cs"/>
                <w:i/>
                <w:iCs/>
                <w:sz w:val="16"/>
                <w:szCs w:val="24"/>
                <w:rtl/>
              </w:rPr>
            </w:pPr>
            <w:r w:rsidRPr="0069236F">
              <w:rPr>
                <w:rFonts w:hint="cs"/>
                <w:i/>
                <w:iCs/>
                <w:sz w:val="16"/>
                <w:szCs w:val="24"/>
                <w:rtl/>
              </w:rPr>
              <w:t>عدد المعلمات</w:t>
            </w:r>
          </w:p>
        </w:tc>
        <w:tc>
          <w:tcPr>
            <w:tcW w:w="1338" w:type="dxa"/>
            <w:tcBorders>
              <w:top w:val="single" w:sz="4" w:space="0" w:color="auto"/>
              <w:bottom w:val="single" w:sz="12" w:space="0" w:color="auto"/>
            </w:tcBorders>
            <w:shd w:val="clear" w:color="auto" w:fill="auto"/>
            <w:vAlign w:val="bottom"/>
          </w:tcPr>
          <w:p w:rsidR="002D3A4A" w:rsidRPr="0069236F" w:rsidRDefault="002D3A4A" w:rsidP="002D3A4A">
            <w:pPr>
              <w:spacing w:after="80" w:line="240" w:lineRule="exact"/>
              <w:ind w:right="144"/>
              <w:jc w:val="lowKashida"/>
              <w:rPr>
                <w:rFonts w:hint="cs"/>
                <w:i/>
                <w:iCs/>
                <w:sz w:val="16"/>
                <w:szCs w:val="24"/>
                <w:rtl/>
              </w:rPr>
            </w:pPr>
            <w:r w:rsidRPr="0069236F">
              <w:rPr>
                <w:rFonts w:hint="cs"/>
                <w:i/>
                <w:iCs/>
                <w:sz w:val="16"/>
                <w:szCs w:val="24"/>
                <w:rtl/>
              </w:rPr>
              <w:t>نسبة النساء</w:t>
            </w:r>
            <w:r>
              <w:rPr>
                <w:rFonts w:hint="cs"/>
                <w:i/>
                <w:iCs/>
                <w:sz w:val="16"/>
                <w:szCs w:val="24"/>
                <w:rtl/>
              </w:rPr>
              <w:t xml:space="preserve"> </w:t>
            </w:r>
            <w:r>
              <w:rPr>
                <w:rFonts w:hint="cs"/>
                <w:i/>
                <w:iCs/>
                <w:sz w:val="16"/>
                <w:szCs w:val="24"/>
                <w:rtl/>
                <w:lang w:bidi="ar-LB"/>
              </w:rPr>
              <w:t>٪</w:t>
            </w:r>
          </w:p>
        </w:tc>
      </w:tr>
      <w:tr w:rsidR="002D3A4A" w:rsidRPr="0069236F">
        <w:tblPrEx>
          <w:tblCellMar>
            <w:top w:w="0" w:type="dxa"/>
            <w:bottom w:w="0" w:type="dxa"/>
          </w:tblCellMar>
        </w:tblPrEx>
        <w:trPr>
          <w:cantSplit/>
          <w:trHeight w:hRule="exact" w:val="115"/>
          <w:tblHeader/>
          <w:jc w:val="center"/>
        </w:trPr>
        <w:tc>
          <w:tcPr>
            <w:tcW w:w="3052" w:type="dxa"/>
            <w:tcBorders>
              <w:top w:val="single" w:sz="12" w:space="0" w:color="auto"/>
            </w:tcBorders>
            <w:shd w:val="clear" w:color="auto" w:fill="auto"/>
            <w:vAlign w:val="bottom"/>
          </w:tcPr>
          <w:p w:rsidR="002D3A4A" w:rsidRPr="0069236F" w:rsidRDefault="002D3A4A" w:rsidP="002D3A4A">
            <w:pPr>
              <w:spacing w:before="40" w:after="80" w:line="240" w:lineRule="exact"/>
              <w:rPr>
                <w:rFonts w:hint="cs"/>
                <w:sz w:val="16"/>
                <w:szCs w:val="24"/>
                <w:rtl/>
              </w:rPr>
            </w:pPr>
          </w:p>
        </w:tc>
        <w:tc>
          <w:tcPr>
            <w:tcW w:w="1030" w:type="dxa"/>
            <w:tcBorders>
              <w:top w:val="single" w:sz="12" w:space="0" w:color="auto"/>
            </w:tcBorders>
            <w:shd w:val="clear" w:color="auto" w:fill="D9D9D9"/>
            <w:vAlign w:val="bottom"/>
          </w:tcPr>
          <w:p w:rsidR="002D3A4A" w:rsidRPr="0069236F" w:rsidRDefault="002D3A4A" w:rsidP="002D3A4A">
            <w:pPr>
              <w:spacing w:before="40" w:after="80" w:line="240" w:lineRule="exact"/>
              <w:rPr>
                <w:rFonts w:hint="cs"/>
                <w:sz w:val="16"/>
                <w:szCs w:val="24"/>
                <w:rtl/>
              </w:rPr>
            </w:pPr>
          </w:p>
        </w:tc>
        <w:tc>
          <w:tcPr>
            <w:tcW w:w="1030" w:type="dxa"/>
            <w:tcBorders>
              <w:top w:val="single" w:sz="12" w:space="0" w:color="auto"/>
            </w:tcBorders>
            <w:shd w:val="clear" w:color="auto" w:fill="auto"/>
            <w:vAlign w:val="bottom"/>
          </w:tcPr>
          <w:p w:rsidR="002D3A4A" w:rsidRPr="0069236F" w:rsidRDefault="002D3A4A" w:rsidP="002D3A4A">
            <w:pPr>
              <w:spacing w:before="40" w:after="80" w:line="240" w:lineRule="exact"/>
              <w:rPr>
                <w:rFonts w:hint="cs"/>
                <w:sz w:val="16"/>
                <w:szCs w:val="24"/>
                <w:rtl/>
              </w:rPr>
            </w:pPr>
          </w:p>
        </w:tc>
        <w:tc>
          <w:tcPr>
            <w:tcW w:w="1133" w:type="dxa"/>
            <w:tcBorders>
              <w:top w:val="single" w:sz="12" w:space="0" w:color="auto"/>
            </w:tcBorders>
            <w:shd w:val="clear" w:color="auto" w:fill="auto"/>
            <w:vAlign w:val="bottom"/>
          </w:tcPr>
          <w:p w:rsidR="002D3A4A" w:rsidRPr="0069236F" w:rsidRDefault="002D3A4A" w:rsidP="002D3A4A">
            <w:pPr>
              <w:spacing w:before="40" w:after="80" w:line="240" w:lineRule="exact"/>
              <w:rPr>
                <w:rFonts w:hint="cs"/>
                <w:sz w:val="16"/>
                <w:szCs w:val="24"/>
                <w:rtl/>
              </w:rPr>
            </w:pPr>
          </w:p>
        </w:tc>
        <w:tc>
          <w:tcPr>
            <w:tcW w:w="1133" w:type="dxa"/>
            <w:tcBorders>
              <w:top w:val="single" w:sz="12" w:space="0" w:color="auto"/>
            </w:tcBorders>
            <w:shd w:val="clear" w:color="auto" w:fill="D9D9D9"/>
            <w:vAlign w:val="bottom"/>
          </w:tcPr>
          <w:p w:rsidR="002D3A4A" w:rsidRPr="0069236F" w:rsidRDefault="002D3A4A" w:rsidP="002D3A4A">
            <w:pPr>
              <w:spacing w:before="40" w:after="80" w:line="240" w:lineRule="exact"/>
              <w:rPr>
                <w:rFonts w:hint="cs"/>
                <w:sz w:val="16"/>
                <w:szCs w:val="24"/>
                <w:rtl/>
              </w:rPr>
            </w:pPr>
          </w:p>
        </w:tc>
        <w:tc>
          <w:tcPr>
            <w:tcW w:w="1133" w:type="dxa"/>
            <w:tcBorders>
              <w:top w:val="single" w:sz="12" w:space="0" w:color="auto"/>
            </w:tcBorders>
            <w:shd w:val="clear" w:color="auto" w:fill="auto"/>
            <w:vAlign w:val="bottom"/>
          </w:tcPr>
          <w:p w:rsidR="002D3A4A" w:rsidRPr="0069236F" w:rsidRDefault="002D3A4A" w:rsidP="002D3A4A">
            <w:pPr>
              <w:spacing w:before="40" w:after="80" w:line="240" w:lineRule="exact"/>
              <w:rPr>
                <w:rFonts w:hint="cs"/>
                <w:sz w:val="16"/>
                <w:szCs w:val="24"/>
                <w:rtl/>
              </w:rPr>
            </w:pPr>
          </w:p>
        </w:tc>
        <w:tc>
          <w:tcPr>
            <w:tcW w:w="1338" w:type="dxa"/>
            <w:tcBorders>
              <w:top w:val="single" w:sz="12" w:space="0" w:color="auto"/>
            </w:tcBorders>
            <w:shd w:val="clear" w:color="auto" w:fill="auto"/>
            <w:vAlign w:val="bottom"/>
          </w:tcPr>
          <w:p w:rsidR="002D3A4A" w:rsidRPr="0069236F" w:rsidRDefault="002D3A4A" w:rsidP="002D3A4A">
            <w:pPr>
              <w:spacing w:before="40" w:after="80" w:line="240" w:lineRule="exact"/>
              <w:rPr>
                <w:rFonts w:hint="cs"/>
                <w:sz w:val="16"/>
                <w:szCs w:val="24"/>
                <w:rtl/>
              </w:rPr>
            </w:pPr>
          </w:p>
        </w:tc>
      </w:tr>
      <w:tr w:rsidR="002D3A4A" w:rsidRPr="0069236F">
        <w:tblPrEx>
          <w:tblCellMar>
            <w:top w:w="0" w:type="dxa"/>
            <w:bottom w:w="0" w:type="dxa"/>
          </w:tblCellMar>
        </w:tblPrEx>
        <w:trPr>
          <w:cantSplit/>
          <w:jc w:val="center"/>
        </w:trPr>
        <w:tc>
          <w:tcPr>
            <w:tcW w:w="305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 xml:space="preserve">المدارس الابتدائية </w:t>
            </w:r>
          </w:p>
        </w:tc>
        <w:tc>
          <w:tcPr>
            <w:tcW w:w="1030"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903 33</w:t>
            </w:r>
          </w:p>
        </w:tc>
        <w:tc>
          <w:tcPr>
            <w:tcW w:w="1030"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401 29</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86.7</w:t>
            </w:r>
          </w:p>
        </w:tc>
        <w:tc>
          <w:tcPr>
            <w:tcW w:w="1133"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853 33</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591 29</w:t>
            </w:r>
          </w:p>
        </w:tc>
        <w:tc>
          <w:tcPr>
            <w:tcW w:w="1338"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87.4</w:t>
            </w:r>
          </w:p>
        </w:tc>
      </w:tr>
      <w:tr w:rsidR="002D3A4A" w:rsidRPr="0069236F">
        <w:tblPrEx>
          <w:tblCellMar>
            <w:top w:w="0" w:type="dxa"/>
            <w:bottom w:w="0" w:type="dxa"/>
          </w:tblCellMar>
        </w:tblPrEx>
        <w:trPr>
          <w:cantSplit/>
          <w:jc w:val="center"/>
        </w:trPr>
        <w:tc>
          <w:tcPr>
            <w:tcW w:w="305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 xml:space="preserve">المدارس الثانوية العامة </w:t>
            </w:r>
          </w:p>
        </w:tc>
        <w:tc>
          <w:tcPr>
            <w:tcW w:w="1030"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244 34</w:t>
            </w:r>
          </w:p>
        </w:tc>
        <w:tc>
          <w:tcPr>
            <w:tcW w:w="1030"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315 22</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65.2</w:t>
            </w:r>
          </w:p>
        </w:tc>
        <w:tc>
          <w:tcPr>
            <w:tcW w:w="1133"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985 33</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377 22</w:t>
            </w:r>
          </w:p>
        </w:tc>
        <w:tc>
          <w:tcPr>
            <w:tcW w:w="1338"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65.8</w:t>
            </w:r>
          </w:p>
        </w:tc>
      </w:tr>
      <w:tr w:rsidR="002D3A4A" w:rsidRPr="0069236F">
        <w:tblPrEx>
          <w:tblCellMar>
            <w:top w:w="0" w:type="dxa"/>
            <w:bottom w:w="0" w:type="dxa"/>
          </w:tblCellMar>
        </w:tblPrEx>
        <w:trPr>
          <w:cantSplit/>
          <w:jc w:val="center"/>
        </w:trPr>
        <w:tc>
          <w:tcPr>
            <w:tcW w:w="305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المدارس الخاصة</w:t>
            </w:r>
          </w:p>
        </w:tc>
        <w:tc>
          <w:tcPr>
            <w:tcW w:w="1030"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776 5</w:t>
            </w:r>
          </w:p>
        </w:tc>
        <w:tc>
          <w:tcPr>
            <w:tcW w:w="1030"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873 4</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84.4</w:t>
            </w:r>
          </w:p>
        </w:tc>
        <w:tc>
          <w:tcPr>
            <w:tcW w:w="1133"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902 5</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990 4</w:t>
            </w:r>
          </w:p>
        </w:tc>
        <w:tc>
          <w:tcPr>
            <w:tcW w:w="1338"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84.5</w:t>
            </w:r>
          </w:p>
        </w:tc>
      </w:tr>
      <w:tr w:rsidR="002D3A4A" w:rsidRPr="0069236F">
        <w:tblPrEx>
          <w:tblCellMar>
            <w:top w:w="0" w:type="dxa"/>
            <w:bottom w:w="0" w:type="dxa"/>
          </w:tblCellMar>
        </w:tblPrEx>
        <w:trPr>
          <w:cantSplit/>
          <w:jc w:val="center"/>
        </w:trPr>
        <w:tc>
          <w:tcPr>
            <w:tcW w:w="305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السنة السابقة للتدريب المهني</w:t>
            </w:r>
          </w:p>
        </w:tc>
        <w:tc>
          <w:tcPr>
            <w:tcW w:w="1030"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934 1</w:t>
            </w:r>
          </w:p>
        </w:tc>
        <w:tc>
          <w:tcPr>
            <w:tcW w:w="1030"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927</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47.9</w:t>
            </w:r>
          </w:p>
        </w:tc>
        <w:tc>
          <w:tcPr>
            <w:tcW w:w="1133"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008 2</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959</w:t>
            </w:r>
          </w:p>
        </w:tc>
        <w:tc>
          <w:tcPr>
            <w:tcW w:w="1338"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47.8</w:t>
            </w:r>
          </w:p>
        </w:tc>
      </w:tr>
      <w:tr w:rsidR="002D3A4A" w:rsidRPr="00EB31A1">
        <w:tblPrEx>
          <w:tblCellMar>
            <w:top w:w="0" w:type="dxa"/>
            <w:bottom w:w="0" w:type="dxa"/>
          </w:tblCellMar>
        </w:tblPrEx>
        <w:trPr>
          <w:cantSplit/>
          <w:jc w:val="center"/>
        </w:trPr>
        <w:tc>
          <w:tcPr>
            <w:tcW w:w="3052" w:type="dxa"/>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 xml:space="preserve">مجموع المدارس الإلزامية </w:t>
            </w:r>
          </w:p>
        </w:tc>
        <w:tc>
          <w:tcPr>
            <w:tcW w:w="1030" w:type="dxa"/>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322 76</w:t>
            </w:r>
          </w:p>
        </w:tc>
        <w:tc>
          <w:tcPr>
            <w:tcW w:w="1030" w:type="dxa"/>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821 57</w:t>
            </w:r>
          </w:p>
        </w:tc>
        <w:tc>
          <w:tcPr>
            <w:tcW w:w="1133" w:type="dxa"/>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75.8</w:t>
            </w:r>
          </w:p>
        </w:tc>
        <w:tc>
          <w:tcPr>
            <w:tcW w:w="1133" w:type="dxa"/>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748 75</w:t>
            </w:r>
          </w:p>
        </w:tc>
        <w:tc>
          <w:tcPr>
            <w:tcW w:w="1133" w:type="dxa"/>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917 57</w:t>
            </w:r>
          </w:p>
        </w:tc>
        <w:tc>
          <w:tcPr>
            <w:tcW w:w="1338" w:type="dxa"/>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76.5</w:t>
            </w:r>
          </w:p>
        </w:tc>
      </w:tr>
      <w:tr w:rsidR="002D3A4A" w:rsidRPr="00EB31A1">
        <w:tblPrEx>
          <w:tblCellMar>
            <w:top w:w="0" w:type="dxa"/>
            <w:bottom w:w="0" w:type="dxa"/>
          </w:tblCellMar>
        </w:tblPrEx>
        <w:trPr>
          <w:cantSplit/>
          <w:jc w:val="center"/>
        </w:trPr>
        <w:tc>
          <w:tcPr>
            <w:tcW w:w="3052" w:type="dxa"/>
            <w:tcBorders>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مجموع المدارس الثانوية العامة العليا</w:t>
            </w:r>
          </w:p>
        </w:tc>
        <w:tc>
          <w:tcPr>
            <w:tcW w:w="1030" w:type="dxa"/>
            <w:tcBorders>
              <w:bottom w:val="single" w:sz="4"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974 19</w:t>
            </w:r>
          </w:p>
        </w:tc>
        <w:tc>
          <w:tcPr>
            <w:tcW w:w="1030" w:type="dxa"/>
            <w:tcBorders>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539 11</w:t>
            </w:r>
          </w:p>
        </w:tc>
        <w:tc>
          <w:tcPr>
            <w:tcW w:w="1133" w:type="dxa"/>
            <w:tcBorders>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57.8</w:t>
            </w:r>
          </w:p>
        </w:tc>
        <w:tc>
          <w:tcPr>
            <w:tcW w:w="1133" w:type="dxa"/>
            <w:tcBorders>
              <w:bottom w:val="single" w:sz="4"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815 19</w:t>
            </w:r>
          </w:p>
        </w:tc>
        <w:tc>
          <w:tcPr>
            <w:tcW w:w="1133" w:type="dxa"/>
            <w:tcBorders>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568 11</w:t>
            </w:r>
          </w:p>
        </w:tc>
        <w:tc>
          <w:tcPr>
            <w:tcW w:w="1338" w:type="dxa"/>
            <w:tcBorders>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58.4</w:t>
            </w:r>
          </w:p>
        </w:tc>
      </w:tr>
      <w:tr w:rsidR="002D3A4A" w:rsidRPr="00EB31A1">
        <w:tblPrEx>
          <w:tblCellMar>
            <w:top w:w="0" w:type="dxa"/>
            <w:bottom w:w="0" w:type="dxa"/>
          </w:tblCellMar>
        </w:tblPrEx>
        <w:trPr>
          <w:cantSplit/>
          <w:jc w:val="center"/>
        </w:trPr>
        <w:tc>
          <w:tcPr>
            <w:tcW w:w="3052" w:type="dxa"/>
            <w:tcBorders>
              <w:top w:val="single" w:sz="4" w:space="0" w:color="auto"/>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مجموع المدارس العامة</w:t>
            </w:r>
          </w:p>
        </w:tc>
        <w:tc>
          <w:tcPr>
            <w:tcW w:w="1030" w:type="dxa"/>
            <w:tcBorders>
              <w:top w:val="single" w:sz="4" w:space="0" w:color="auto"/>
              <w:bottom w:val="single" w:sz="4"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296 96</w:t>
            </w:r>
          </w:p>
        </w:tc>
        <w:tc>
          <w:tcPr>
            <w:tcW w:w="1030" w:type="dxa"/>
            <w:tcBorders>
              <w:top w:val="single" w:sz="4" w:space="0" w:color="auto"/>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360 69</w:t>
            </w:r>
          </w:p>
        </w:tc>
        <w:tc>
          <w:tcPr>
            <w:tcW w:w="1133" w:type="dxa"/>
            <w:tcBorders>
              <w:top w:val="single" w:sz="4" w:space="0" w:color="auto"/>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72.0</w:t>
            </w:r>
          </w:p>
        </w:tc>
        <w:tc>
          <w:tcPr>
            <w:tcW w:w="1133" w:type="dxa"/>
            <w:tcBorders>
              <w:top w:val="single" w:sz="4" w:space="0" w:color="auto"/>
              <w:bottom w:val="single" w:sz="4"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563 95</w:t>
            </w:r>
          </w:p>
        </w:tc>
        <w:tc>
          <w:tcPr>
            <w:tcW w:w="1133" w:type="dxa"/>
            <w:tcBorders>
              <w:top w:val="single" w:sz="4" w:space="0" w:color="auto"/>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485 69</w:t>
            </w:r>
          </w:p>
        </w:tc>
        <w:tc>
          <w:tcPr>
            <w:tcW w:w="1338" w:type="dxa"/>
            <w:tcBorders>
              <w:top w:val="single" w:sz="4" w:space="0" w:color="auto"/>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72.7</w:t>
            </w:r>
          </w:p>
        </w:tc>
      </w:tr>
      <w:tr w:rsidR="002D3A4A" w:rsidRPr="00EB31A1">
        <w:tblPrEx>
          <w:tblCellMar>
            <w:top w:w="0" w:type="dxa"/>
            <w:bottom w:w="0" w:type="dxa"/>
          </w:tblCellMar>
        </w:tblPrEx>
        <w:trPr>
          <w:cantSplit/>
          <w:jc w:val="center"/>
        </w:trPr>
        <w:tc>
          <w:tcPr>
            <w:tcW w:w="3052" w:type="dxa"/>
            <w:tcBorders>
              <w:top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مجموع كليات التدريب الحرفي</w:t>
            </w:r>
          </w:p>
        </w:tc>
        <w:tc>
          <w:tcPr>
            <w:tcW w:w="1030" w:type="dxa"/>
            <w:tcBorders>
              <w:top w:val="single" w:sz="4"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580 4</w:t>
            </w:r>
          </w:p>
        </w:tc>
        <w:tc>
          <w:tcPr>
            <w:tcW w:w="1030" w:type="dxa"/>
            <w:tcBorders>
              <w:top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264 1</w:t>
            </w:r>
          </w:p>
        </w:tc>
        <w:tc>
          <w:tcPr>
            <w:tcW w:w="1133" w:type="dxa"/>
            <w:tcBorders>
              <w:top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27.6</w:t>
            </w:r>
          </w:p>
        </w:tc>
        <w:tc>
          <w:tcPr>
            <w:tcW w:w="1133" w:type="dxa"/>
            <w:tcBorders>
              <w:top w:val="single" w:sz="4"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602 4</w:t>
            </w:r>
          </w:p>
        </w:tc>
        <w:tc>
          <w:tcPr>
            <w:tcW w:w="1133" w:type="dxa"/>
            <w:tcBorders>
              <w:top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281 1</w:t>
            </w:r>
          </w:p>
        </w:tc>
        <w:tc>
          <w:tcPr>
            <w:tcW w:w="1338" w:type="dxa"/>
            <w:tcBorders>
              <w:top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27.8</w:t>
            </w:r>
          </w:p>
        </w:tc>
      </w:tr>
      <w:tr w:rsidR="002D3A4A" w:rsidRPr="0069236F">
        <w:tblPrEx>
          <w:tblCellMar>
            <w:top w:w="0" w:type="dxa"/>
            <w:bottom w:w="0" w:type="dxa"/>
          </w:tblCellMar>
        </w:tblPrEx>
        <w:trPr>
          <w:cantSplit/>
          <w:jc w:val="center"/>
        </w:trPr>
        <w:tc>
          <w:tcPr>
            <w:tcW w:w="305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الصنائع والحرف والفنون</w:t>
            </w:r>
          </w:p>
        </w:tc>
        <w:tc>
          <w:tcPr>
            <w:tcW w:w="1030" w:type="dxa"/>
            <w:shd w:val="clear" w:color="auto" w:fill="D9D9D9"/>
            <w:vAlign w:val="bottom"/>
          </w:tcPr>
          <w:p w:rsidR="002D3A4A" w:rsidRPr="0069236F" w:rsidRDefault="002D3A4A" w:rsidP="002D3A4A">
            <w:pPr>
              <w:spacing w:before="20" w:after="40" w:line="240" w:lineRule="exact"/>
              <w:rPr>
                <w:rFonts w:hint="cs"/>
                <w:sz w:val="16"/>
                <w:szCs w:val="24"/>
                <w:rtl/>
              </w:rPr>
            </w:pPr>
          </w:p>
        </w:tc>
        <w:tc>
          <w:tcPr>
            <w:tcW w:w="1030" w:type="dxa"/>
            <w:shd w:val="clear" w:color="auto" w:fill="auto"/>
            <w:vAlign w:val="bottom"/>
          </w:tcPr>
          <w:p w:rsidR="002D3A4A" w:rsidRPr="0069236F" w:rsidRDefault="002D3A4A" w:rsidP="002D3A4A">
            <w:pPr>
              <w:spacing w:before="20" w:after="40" w:line="240" w:lineRule="exact"/>
              <w:rPr>
                <w:rFonts w:hint="cs"/>
                <w:sz w:val="16"/>
                <w:szCs w:val="24"/>
                <w:rtl/>
              </w:rPr>
            </w:pP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p>
        </w:tc>
        <w:tc>
          <w:tcPr>
            <w:tcW w:w="1133"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525 6</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214 1</w:t>
            </w:r>
          </w:p>
        </w:tc>
        <w:tc>
          <w:tcPr>
            <w:tcW w:w="1338"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18.6</w:t>
            </w:r>
          </w:p>
        </w:tc>
      </w:tr>
      <w:tr w:rsidR="002D3A4A" w:rsidRPr="0069236F">
        <w:tblPrEx>
          <w:tblCellMar>
            <w:top w:w="0" w:type="dxa"/>
            <w:bottom w:w="0" w:type="dxa"/>
          </w:tblCellMar>
        </w:tblPrEx>
        <w:trPr>
          <w:cantSplit/>
          <w:jc w:val="center"/>
        </w:trPr>
        <w:tc>
          <w:tcPr>
            <w:tcW w:w="305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السياحة</w:t>
            </w:r>
          </w:p>
        </w:tc>
        <w:tc>
          <w:tcPr>
            <w:tcW w:w="1030"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529 7</w:t>
            </w:r>
          </w:p>
        </w:tc>
        <w:tc>
          <w:tcPr>
            <w:tcW w:w="1030"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694 1</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22.5</w:t>
            </w:r>
          </w:p>
        </w:tc>
        <w:tc>
          <w:tcPr>
            <w:tcW w:w="1133"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115 1</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563</w:t>
            </w:r>
          </w:p>
        </w:tc>
        <w:tc>
          <w:tcPr>
            <w:tcW w:w="1338"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50.5</w:t>
            </w:r>
          </w:p>
        </w:tc>
      </w:tr>
      <w:tr w:rsidR="002D3A4A" w:rsidRPr="0069236F">
        <w:tblPrEx>
          <w:tblCellMar>
            <w:top w:w="0" w:type="dxa"/>
            <w:bottom w:w="0" w:type="dxa"/>
          </w:tblCellMar>
        </w:tblPrEx>
        <w:trPr>
          <w:cantSplit/>
          <w:jc w:val="center"/>
        </w:trPr>
        <w:tc>
          <w:tcPr>
            <w:tcW w:w="305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الأعمال</w:t>
            </w:r>
          </w:p>
        </w:tc>
        <w:tc>
          <w:tcPr>
            <w:tcW w:w="1030"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558 5</w:t>
            </w:r>
          </w:p>
        </w:tc>
        <w:tc>
          <w:tcPr>
            <w:tcW w:w="1030"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305 3</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59.5</w:t>
            </w:r>
          </w:p>
        </w:tc>
        <w:tc>
          <w:tcPr>
            <w:tcW w:w="1133"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495 5</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329 3</w:t>
            </w:r>
          </w:p>
        </w:tc>
        <w:tc>
          <w:tcPr>
            <w:tcW w:w="1338"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60.6</w:t>
            </w:r>
          </w:p>
        </w:tc>
      </w:tr>
      <w:tr w:rsidR="002D3A4A" w:rsidRPr="0069236F">
        <w:tblPrEx>
          <w:tblCellMar>
            <w:top w:w="0" w:type="dxa"/>
            <w:bottom w:w="0" w:type="dxa"/>
          </w:tblCellMar>
        </w:tblPrEx>
        <w:trPr>
          <w:cantSplit/>
          <w:jc w:val="center"/>
        </w:trPr>
        <w:tc>
          <w:tcPr>
            <w:tcW w:w="305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العلوم المنزلية والتجارية</w:t>
            </w:r>
            <w:r w:rsidRPr="0069236F">
              <w:rPr>
                <w:sz w:val="16"/>
                <w:szCs w:val="24"/>
                <w:vertAlign w:val="superscript"/>
                <w:rtl/>
              </w:rPr>
              <w:t>(</w:t>
            </w:r>
            <w:r w:rsidRPr="0069236F">
              <w:rPr>
                <w:rStyle w:val="FootnoteReference"/>
                <w:sz w:val="16"/>
                <w:szCs w:val="24"/>
                <w:rtl/>
              </w:rPr>
              <w:footnoteReference w:id="11"/>
            </w:r>
            <w:r w:rsidRPr="0069236F">
              <w:rPr>
                <w:sz w:val="16"/>
                <w:szCs w:val="24"/>
                <w:vertAlign w:val="superscript"/>
                <w:rtl/>
              </w:rPr>
              <w:t>)</w:t>
            </w:r>
          </w:p>
        </w:tc>
        <w:tc>
          <w:tcPr>
            <w:tcW w:w="1030"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658 4</w:t>
            </w:r>
          </w:p>
        </w:tc>
        <w:tc>
          <w:tcPr>
            <w:tcW w:w="1030"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752 3</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80.5</w:t>
            </w:r>
          </w:p>
        </w:tc>
        <w:tc>
          <w:tcPr>
            <w:tcW w:w="1133"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648 4</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740 3</w:t>
            </w:r>
          </w:p>
        </w:tc>
        <w:tc>
          <w:tcPr>
            <w:tcW w:w="1338"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80.5</w:t>
            </w:r>
          </w:p>
        </w:tc>
      </w:tr>
      <w:tr w:rsidR="002D3A4A" w:rsidRPr="0069236F">
        <w:tblPrEx>
          <w:tblCellMar>
            <w:top w:w="0" w:type="dxa"/>
            <w:bottom w:w="0" w:type="dxa"/>
          </w:tblCellMar>
        </w:tblPrEx>
        <w:trPr>
          <w:cantSplit/>
          <w:jc w:val="center"/>
        </w:trPr>
        <w:tc>
          <w:tcPr>
            <w:tcW w:w="305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الرعاية الاجتماعية</w:t>
            </w:r>
          </w:p>
        </w:tc>
        <w:tc>
          <w:tcPr>
            <w:tcW w:w="1030"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80</w:t>
            </w:r>
          </w:p>
        </w:tc>
        <w:tc>
          <w:tcPr>
            <w:tcW w:w="1030"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70</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87.5</w:t>
            </w:r>
          </w:p>
        </w:tc>
        <w:tc>
          <w:tcPr>
            <w:tcW w:w="1133"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55</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48</w:t>
            </w:r>
          </w:p>
        </w:tc>
        <w:tc>
          <w:tcPr>
            <w:tcW w:w="1338"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87.3</w:t>
            </w:r>
          </w:p>
        </w:tc>
      </w:tr>
      <w:tr w:rsidR="002D3A4A" w:rsidRPr="0069236F">
        <w:tblPrEx>
          <w:tblCellMar>
            <w:top w:w="0" w:type="dxa"/>
            <w:bottom w:w="0" w:type="dxa"/>
          </w:tblCellMar>
        </w:tblPrEx>
        <w:trPr>
          <w:cantSplit/>
          <w:jc w:val="center"/>
        </w:trPr>
        <w:tc>
          <w:tcPr>
            <w:tcW w:w="305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الزراعة والحراجة</w:t>
            </w:r>
          </w:p>
        </w:tc>
        <w:tc>
          <w:tcPr>
            <w:tcW w:w="1030"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472 2</w:t>
            </w:r>
          </w:p>
        </w:tc>
        <w:tc>
          <w:tcPr>
            <w:tcW w:w="1030"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241 1</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50.2</w:t>
            </w:r>
          </w:p>
        </w:tc>
        <w:tc>
          <w:tcPr>
            <w:tcW w:w="1133"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313 2</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190 1</w:t>
            </w:r>
          </w:p>
        </w:tc>
        <w:tc>
          <w:tcPr>
            <w:tcW w:w="1338"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51.4</w:t>
            </w:r>
          </w:p>
        </w:tc>
      </w:tr>
      <w:tr w:rsidR="002D3A4A" w:rsidRPr="00EB31A1">
        <w:tblPrEx>
          <w:tblCellMar>
            <w:top w:w="0" w:type="dxa"/>
            <w:bottom w:w="0" w:type="dxa"/>
          </w:tblCellMar>
        </w:tblPrEx>
        <w:trPr>
          <w:cantSplit/>
          <w:jc w:val="center"/>
        </w:trPr>
        <w:tc>
          <w:tcPr>
            <w:tcW w:w="3052" w:type="dxa"/>
            <w:shd w:val="clear" w:color="auto" w:fill="auto"/>
            <w:vAlign w:val="bottom"/>
          </w:tcPr>
          <w:p w:rsidR="002D3A4A" w:rsidRPr="0069236F" w:rsidRDefault="002D3A4A" w:rsidP="002D3A4A">
            <w:pPr>
              <w:spacing w:before="20" w:after="40" w:line="240" w:lineRule="exact"/>
              <w:rPr>
                <w:rFonts w:hint="cs"/>
                <w:b/>
                <w:bCs/>
                <w:sz w:val="16"/>
                <w:szCs w:val="24"/>
                <w:rtl/>
              </w:rPr>
            </w:pPr>
            <w:r>
              <w:rPr>
                <w:b/>
                <w:bCs/>
                <w:sz w:val="16"/>
                <w:szCs w:val="24"/>
              </w:rPr>
              <w:t xml:space="preserve">  </w:t>
            </w:r>
            <w:r w:rsidRPr="0069236F">
              <w:rPr>
                <w:rFonts w:hint="cs"/>
                <w:b/>
                <w:bCs/>
                <w:sz w:val="16"/>
                <w:szCs w:val="24"/>
                <w:rtl/>
              </w:rPr>
              <w:t>مجموع الكليات المتوسطة والعليا</w:t>
            </w:r>
          </w:p>
        </w:tc>
        <w:tc>
          <w:tcPr>
            <w:tcW w:w="1030" w:type="dxa"/>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297 20</w:t>
            </w:r>
          </w:p>
        </w:tc>
        <w:tc>
          <w:tcPr>
            <w:tcW w:w="1030" w:type="dxa"/>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062 10</w:t>
            </w:r>
          </w:p>
        </w:tc>
        <w:tc>
          <w:tcPr>
            <w:tcW w:w="1133" w:type="dxa"/>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49.6</w:t>
            </w:r>
          </w:p>
        </w:tc>
        <w:tc>
          <w:tcPr>
            <w:tcW w:w="1133" w:type="dxa"/>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151 20</w:t>
            </w:r>
          </w:p>
        </w:tc>
        <w:tc>
          <w:tcPr>
            <w:tcW w:w="1133" w:type="dxa"/>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084 10</w:t>
            </w:r>
          </w:p>
        </w:tc>
        <w:tc>
          <w:tcPr>
            <w:tcW w:w="1338" w:type="dxa"/>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50.0</w:t>
            </w:r>
          </w:p>
        </w:tc>
      </w:tr>
      <w:tr w:rsidR="002D3A4A" w:rsidRPr="00EB31A1">
        <w:tblPrEx>
          <w:tblCellMar>
            <w:top w:w="0" w:type="dxa"/>
            <w:bottom w:w="0" w:type="dxa"/>
          </w:tblCellMar>
        </w:tblPrEx>
        <w:trPr>
          <w:cantSplit/>
          <w:jc w:val="center"/>
        </w:trPr>
        <w:tc>
          <w:tcPr>
            <w:tcW w:w="3052" w:type="dxa"/>
            <w:tcBorders>
              <w:bottom w:val="single" w:sz="4" w:space="0" w:color="auto"/>
            </w:tcBorders>
            <w:shd w:val="clear" w:color="auto" w:fill="auto"/>
            <w:vAlign w:val="bottom"/>
          </w:tcPr>
          <w:p w:rsidR="002D3A4A" w:rsidRPr="0069236F" w:rsidRDefault="002D3A4A" w:rsidP="002D3A4A">
            <w:pPr>
              <w:spacing w:before="20" w:after="40" w:line="240" w:lineRule="exact"/>
              <w:rPr>
                <w:rFonts w:hint="cs"/>
                <w:b/>
                <w:bCs/>
                <w:sz w:val="16"/>
                <w:szCs w:val="24"/>
                <w:rtl/>
              </w:rPr>
            </w:pPr>
            <w:r>
              <w:rPr>
                <w:b/>
                <w:bCs/>
                <w:sz w:val="16"/>
                <w:szCs w:val="24"/>
              </w:rPr>
              <w:t xml:space="preserve">  </w:t>
            </w:r>
            <w:r w:rsidRPr="0069236F">
              <w:rPr>
                <w:rFonts w:hint="cs"/>
                <w:b/>
                <w:bCs/>
                <w:sz w:val="16"/>
                <w:szCs w:val="24"/>
                <w:rtl/>
              </w:rPr>
              <w:t>كليات الخدمة الاجتماعية</w:t>
            </w:r>
          </w:p>
        </w:tc>
        <w:tc>
          <w:tcPr>
            <w:tcW w:w="1030" w:type="dxa"/>
            <w:tcBorders>
              <w:bottom w:val="single" w:sz="4"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246</w:t>
            </w:r>
          </w:p>
        </w:tc>
        <w:tc>
          <w:tcPr>
            <w:tcW w:w="1030" w:type="dxa"/>
            <w:tcBorders>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130</w:t>
            </w:r>
          </w:p>
        </w:tc>
        <w:tc>
          <w:tcPr>
            <w:tcW w:w="1133" w:type="dxa"/>
            <w:tcBorders>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52.8</w:t>
            </w:r>
          </w:p>
        </w:tc>
        <w:tc>
          <w:tcPr>
            <w:tcW w:w="1133" w:type="dxa"/>
            <w:tcBorders>
              <w:bottom w:val="single" w:sz="4"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233</w:t>
            </w:r>
          </w:p>
        </w:tc>
        <w:tc>
          <w:tcPr>
            <w:tcW w:w="1133" w:type="dxa"/>
            <w:tcBorders>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125</w:t>
            </w:r>
          </w:p>
        </w:tc>
        <w:tc>
          <w:tcPr>
            <w:tcW w:w="1338" w:type="dxa"/>
            <w:tcBorders>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53.6</w:t>
            </w:r>
          </w:p>
        </w:tc>
      </w:tr>
      <w:tr w:rsidR="002D3A4A" w:rsidRPr="00EB31A1">
        <w:tblPrEx>
          <w:tblCellMar>
            <w:top w:w="0" w:type="dxa"/>
            <w:bottom w:w="0" w:type="dxa"/>
          </w:tblCellMar>
        </w:tblPrEx>
        <w:trPr>
          <w:cantSplit/>
          <w:jc w:val="center"/>
        </w:trPr>
        <w:tc>
          <w:tcPr>
            <w:tcW w:w="3052" w:type="dxa"/>
            <w:tcBorders>
              <w:top w:val="single" w:sz="4" w:space="0" w:color="auto"/>
              <w:bottom w:val="single" w:sz="4" w:space="0" w:color="auto"/>
            </w:tcBorders>
            <w:shd w:val="clear" w:color="auto" w:fill="auto"/>
            <w:vAlign w:val="bottom"/>
          </w:tcPr>
          <w:p w:rsidR="002D3A4A" w:rsidRPr="0069236F" w:rsidRDefault="002D3A4A" w:rsidP="002D3A4A">
            <w:pPr>
              <w:spacing w:before="20" w:after="40" w:line="240" w:lineRule="exact"/>
              <w:rPr>
                <w:rFonts w:hint="cs"/>
                <w:b/>
                <w:bCs/>
                <w:sz w:val="16"/>
                <w:szCs w:val="24"/>
                <w:rtl/>
              </w:rPr>
            </w:pPr>
            <w:r w:rsidRPr="0069236F">
              <w:rPr>
                <w:rFonts w:hint="cs"/>
                <w:b/>
                <w:bCs/>
                <w:sz w:val="16"/>
                <w:szCs w:val="24"/>
                <w:rtl/>
              </w:rPr>
              <w:t>مجموع كليات التربية للتدريب المهني</w:t>
            </w:r>
          </w:p>
        </w:tc>
        <w:tc>
          <w:tcPr>
            <w:tcW w:w="1030" w:type="dxa"/>
            <w:tcBorders>
              <w:top w:val="single" w:sz="4" w:space="0" w:color="auto"/>
              <w:bottom w:val="single" w:sz="4"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123 25</w:t>
            </w:r>
          </w:p>
        </w:tc>
        <w:tc>
          <w:tcPr>
            <w:tcW w:w="1030" w:type="dxa"/>
            <w:tcBorders>
              <w:top w:val="single" w:sz="4" w:space="0" w:color="auto"/>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456 11</w:t>
            </w:r>
          </w:p>
        </w:tc>
        <w:tc>
          <w:tcPr>
            <w:tcW w:w="1133" w:type="dxa"/>
            <w:tcBorders>
              <w:top w:val="single" w:sz="4" w:space="0" w:color="auto"/>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45.6</w:t>
            </w:r>
          </w:p>
        </w:tc>
        <w:tc>
          <w:tcPr>
            <w:tcW w:w="1133" w:type="dxa"/>
            <w:tcBorders>
              <w:top w:val="single" w:sz="4" w:space="0" w:color="auto"/>
              <w:bottom w:val="single" w:sz="4"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986 24</w:t>
            </w:r>
          </w:p>
        </w:tc>
        <w:tc>
          <w:tcPr>
            <w:tcW w:w="1133" w:type="dxa"/>
            <w:tcBorders>
              <w:top w:val="single" w:sz="4" w:space="0" w:color="auto"/>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490 11</w:t>
            </w:r>
          </w:p>
        </w:tc>
        <w:tc>
          <w:tcPr>
            <w:tcW w:w="1338" w:type="dxa"/>
            <w:tcBorders>
              <w:top w:val="single" w:sz="4" w:space="0" w:color="auto"/>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46.0</w:t>
            </w:r>
          </w:p>
        </w:tc>
      </w:tr>
      <w:tr w:rsidR="002D3A4A" w:rsidRPr="00EB31A1">
        <w:tblPrEx>
          <w:tblCellMar>
            <w:top w:w="0" w:type="dxa"/>
            <w:bottom w:w="0" w:type="dxa"/>
          </w:tblCellMar>
        </w:tblPrEx>
        <w:trPr>
          <w:cantSplit/>
          <w:jc w:val="center"/>
        </w:trPr>
        <w:tc>
          <w:tcPr>
            <w:tcW w:w="3052" w:type="dxa"/>
            <w:tcBorders>
              <w:top w:val="single" w:sz="4" w:space="0" w:color="auto"/>
            </w:tcBorders>
            <w:shd w:val="clear" w:color="auto" w:fill="auto"/>
            <w:vAlign w:val="bottom"/>
          </w:tcPr>
          <w:p w:rsidR="002D3A4A" w:rsidRPr="0069236F" w:rsidRDefault="002D3A4A" w:rsidP="002D3A4A">
            <w:pPr>
              <w:spacing w:before="20" w:after="40" w:line="240" w:lineRule="exact"/>
              <w:rPr>
                <w:rFonts w:hint="cs"/>
                <w:b/>
                <w:bCs/>
                <w:sz w:val="16"/>
                <w:szCs w:val="24"/>
                <w:rtl/>
                <w:lang w:bidi="ar-SY"/>
              </w:rPr>
            </w:pPr>
            <w:r>
              <w:rPr>
                <w:rFonts w:hint="cs"/>
                <w:b/>
                <w:bCs/>
                <w:sz w:val="16"/>
                <w:szCs w:val="24"/>
                <w:rtl/>
                <w:lang w:bidi="ar-SY"/>
              </w:rPr>
              <w:t xml:space="preserve">  مجموع </w:t>
            </w:r>
          </w:p>
        </w:tc>
        <w:tc>
          <w:tcPr>
            <w:tcW w:w="1030" w:type="dxa"/>
            <w:tcBorders>
              <w:top w:val="single" w:sz="4"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415 1</w:t>
            </w:r>
          </w:p>
        </w:tc>
        <w:tc>
          <w:tcPr>
            <w:tcW w:w="1030" w:type="dxa"/>
            <w:tcBorders>
              <w:top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107 1</w:t>
            </w:r>
          </w:p>
        </w:tc>
        <w:tc>
          <w:tcPr>
            <w:tcW w:w="1133" w:type="dxa"/>
            <w:tcBorders>
              <w:top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78.2</w:t>
            </w:r>
          </w:p>
        </w:tc>
        <w:tc>
          <w:tcPr>
            <w:tcW w:w="1133" w:type="dxa"/>
            <w:tcBorders>
              <w:top w:val="single" w:sz="4"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421 1</w:t>
            </w:r>
          </w:p>
        </w:tc>
        <w:tc>
          <w:tcPr>
            <w:tcW w:w="1133" w:type="dxa"/>
            <w:tcBorders>
              <w:top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114 1</w:t>
            </w:r>
          </w:p>
        </w:tc>
        <w:tc>
          <w:tcPr>
            <w:tcW w:w="1338" w:type="dxa"/>
            <w:tcBorders>
              <w:top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78.4</w:t>
            </w:r>
          </w:p>
        </w:tc>
      </w:tr>
      <w:tr w:rsidR="002D3A4A" w:rsidRPr="00EB31A1">
        <w:tblPrEx>
          <w:tblCellMar>
            <w:top w:w="0" w:type="dxa"/>
            <w:bottom w:w="0" w:type="dxa"/>
          </w:tblCellMar>
        </w:tblPrEx>
        <w:trPr>
          <w:cantSplit/>
          <w:jc w:val="center"/>
        </w:trPr>
        <w:tc>
          <w:tcPr>
            <w:tcW w:w="3052" w:type="dxa"/>
            <w:tcBorders>
              <w:bottom w:val="single" w:sz="4" w:space="0" w:color="auto"/>
            </w:tcBorders>
            <w:shd w:val="clear" w:color="auto" w:fill="auto"/>
            <w:vAlign w:val="bottom"/>
          </w:tcPr>
          <w:p w:rsidR="002D3A4A" w:rsidRPr="0069236F" w:rsidRDefault="002D3A4A" w:rsidP="002D3A4A">
            <w:pPr>
              <w:spacing w:before="20" w:after="40" w:line="240" w:lineRule="exact"/>
              <w:rPr>
                <w:rFonts w:hint="cs"/>
                <w:b/>
                <w:bCs/>
                <w:sz w:val="16"/>
                <w:szCs w:val="24"/>
                <w:rtl/>
              </w:rPr>
            </w:pPr>
            <w:r>
              <w:rPr>
                <w:rFonts w:hint="cs"/>
                <w:b/>
                <w:bCs/>
                <w:sz w:val="16"/>
                <w:szCs w:val="24"/>
                <w:rtl/>
              </w:rPr>
              <w:t xml:space="preserve">  </w:t>
            </w:r>
            <w:r w:rsidRPr="0069236F">
              <w:rPr>
                <w:rFonts w:hint="cs"/>
                <w:b/>
                <w:bCs/>
                <w:sz w:val="16"/>
                <w:szCs w:val="24"/>
                <w:rtl/>
              </w:rPr>
              <w:t>مجموع كليات التربية، المستوى الثالث</w:t>
            </w:r>
          </w:p>
        </w:tc>
        <w:tc>
          <w:tcPr>
            <w:tcW w:w="1030" w:type="dxa"/>
            <w:tcBorders>
              <w:bottom w:val="single" w:sz="4"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639 2</w:t>
            </w:r>
          </w:p>
        </w:tc>
        <w:tc>
          <w:tcPr>
            <w:tcW w:w="1030" w:type="dxa"/>
            <w:tcBorders>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115 1</w:t>
            </w:r>
          </w:p>
        </w:tc>
        <w:tc>
          <w:tcPr>
            <w:tcW w:w="1133" w:type="dxa"/>
            <w:tcBorders>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42.3</w:t>
            </w:r>
          </w:p>
        </w:tc>
        <w:tc>
          <w:tcPr>
            <w:tcW w:w="1133" w:type="dxa"/>
            <w:tcBorders>
              <w:bottom w:val="single" w:sz="4"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651 2</w:t>
            </w:r>
          </w:p>
        </w:tc>
        <w:tc>
          <w:tcPr>
            <w:tcW w:w="1133" w:type="dxa"/>
            <w:tcBorders>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164 1</w:t>
            </w:r>
          </w:p>
        </w:tc>
        <w:tc>
          <w:tcPr>
            <w:tcW w:w="1338" w:type="dxa"/>
            <w:tcBorders>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43.9</w:t>
            </w:r>
          </w:p>
        </w:tc>
      </w:tr>
      <w:tr w:rsidR="002D3A4A" w:rsidRPr="00EB31A1">
        <w:tblPrEx>
          <w:tblCellMar>
            <w:top w:w="0" w:type="dxa"/>
            <w:bottom w:w="0" w:type="dxa"/>
          </w:tblCellMar>
        </w:tblPrEx>
        <w:trPr>
          <w:cantSplit/>
          <w:jc w:val="center"/>
        </w:trPr>
        <w:tc>
          <w:tcPr>
            <w:tcW w:w="3052" w:type="dxa"/>
            <w:tcBorders>
              <w:top w:val="single" w:sz="4" w:space="0" w:color="auto"/>
              <w:bottom w:val="single" w:sz="4" w:space="0" w:color="auto"/>
            </w:tcBorders>
            <w:shd w:val="clear" w:color="auto" w:fill="auto"/>
            <w:vAlign w:val="bottom"/>
          </w:tcPr>
          <w:p w:rsidR="002D3A4A" w:rsidRPr="0069236F" w:rsidRDefault="002D3A4A" w:rsidP="002D3A4A">
            <w:pPr>
              <w:spacing w:before="20" w:after="40" w:line="240" w:lineRule="exact"/>
              <w:rPr>
                <w:rFonts w:hint="cs"/>
                <w:b/>
                <w:bCs/>
                <w:sz w:val="16"/>
                <w:szCs w:val="24"/>
                <w:rtl/>
              </w:rPr>
            </w:pPr>
            <w:r w:rsidRPr="0069236F">
              <w:rPr>
                <w:rFonts w:hint="cs"/>
                <w:b/>
                <w:bCs/>
                <w:sz w:val="16"/>
                <w:szCs w:val="24"/>
                <w:rtl/>
              </w:rPr>
              <w:t>المجموع بالنسبة لتدريب المعلمين</w:t>
            </w:r>
          </w:p>
        </w:tc>
        <w:tc>
          <w:tcPr>
            <w:tcW w:w="1030" w:type="dxa"/>
            <w:tcBorders>
              <w:top w:val="single" w:sz="4" w:space="0" w:color="auto"/>
              <w:bottom w:val="single" w:sz="4"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054 4</w:t>
            </w:r>
          </w:p>
        </w:tc>
        <w:tc>
          <w:tcPr>
            <w:tcW w:w="1030" w:type="dxa"/>
            <w:tcBorders>
              <w:top w:val="single" w:sz="4" w:space="0" w:color="auto"/>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222 2</w:t>
            </w:r>
          </w:p>
        </w:tc>
        <w:tc>
          <w:tcPr>
            <w:tcW w:w="1133" w:type="dxa"/>
            <w:tcBorders>
              <w:top w:val="single" w:sz="4" w:space="0" w:color="auto"/>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54.8</w:t>
            </w:r>
          </w:p>
        </w:tc>
        <w:tc>
          <w:tcPr>
            <w:tcW w:w="1133" w:type="dxa"/>
            <w:tcBorders>
              <w:top w:val="single" w:sz="4" w:space="0" w:color="auto"/>
              <w:bottom w:val="single" w:sz="4"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072 4</w:t>
            </w:r>
          </w:p>
        </w:tc>
        <w:tc>
          <w:tcPr>
            <w:tcW w:w="1133" w:type="dxa"/>
            <w:tcBorders>
              <w:top w:val="single" w:sz="4" w:space="0" w:color="auto"/>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278 2</w:t>
            </w:r>
          </w:p>
        </w:tc>
        <w:tc>
          <w:tcPr>
            <w:tcW w:w="1338" w:type="dxa"/>
            <w:tcBorders>
              <w:top w:val="single" w:sz="4" w:space="0" w:color="auto"/>
              <w:bottom w:val="single" w:sz="4" w:space="0" w:color="auto"/>
            </w:tcBorders>
            <w:shd w:val="clear" w:color="auto" w:fill="auto"/>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55.9</w:t>
            </w:r>
          </w:p>
        </w:tc>
      </w:tr>
      <w:tr w:rsidR="002D3A4A" w:rsidRPr="00EB31A1">
        <w:tblPrEx>
          <w:tblCellMar>
            <w:top w:w="0" w:type="dxa"/>
            <w:bottom w:w="0" w:type="dxa"/>
          </w:tblCellMar>
        </w:tblPrEx>
        <w:trPr>
          <w:cantSplit/>
          <w:jc w:val="center"/>
        </w:trPr>
        <w:tc>
          <w:tcPr>
            <w:tcW w:w="3052" w:type="dxa"/>
            <w:tcBorders>
              <w:top w:val="single" w:sz="4" w:space="0" w:color="auto"/>
              <w:bottom w:val="single" w:sz="12" w:space="0" w:color="auto"/>
            </w:tcBorders>
            <w:shd w:val="clear" w:color="auto" w:fill="D9D9D9"/>
            <w:vAlign w:val="bottom"/>
          </w:tcPr>
          <w:p w:rsidR="002D3A4A" w:rsidRPr="0069236F" w:rsidRDefault="002D3A4A" w:rsidP="002D3A4A">
            <w:pPr>
              <w:spacing w:before="20" w:after="40" w:line="240" w:lineRule="exact"/>
              <w:rPr>
                <w:rFonts w:hint="cs"/>
                <w:b/>
                <w:bCs/>
                <w:sz w:val="16"/>
                <w:szCs w:val="24"/>
                <w:rtl/>
              </w:rPr>
            </w:pPr>
            <w:r w:rsidRPr="0069236F">
              <w:rPr>
                <w:rFonts w:hint="cs"/>
                <w:b/>
                <w:bCs/>
                <w:sz w:val="16"/>
                <w:szCs w:val="24"/>
                <w:rtl/>
              </w:rPr>
              <w:t>المجموع بالنسبة لكل المدارس</w:t>
            </w:r>
          </w:p>
        </w:tc>
        <w:tc>
          <w:tcPr>
            <w:tcW w:w="1030" w:type="dxa"/>
            <w:tcBorders>
              <w:top w:val="single" w:sz="4" w:space="0" w:color="auto"/>
              <w:bottom w:val="single" w:sz="12"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473 125</w:t>
            </w:r>
          </w:p>
        </w:tc>
        <w:tc>
          <w:tcPr>
            <w:tcW w:w="1030" w:type="dxa"/>
            <w:tcBorders>
              <w:top w:val="single" w:sz="4" w:space="0" w:color="auto"/>
              <w:bottom w:val="single" w:sz="12"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038 83</w:t>
            </w:r>
          </w:p>
        </w:tc>
        <w:tc>
          <w:tcPr>
            <w:tcW w:w="1133" w:type="dxa"/>
            <w:tcBorders>
              <w:top w:val="single" w:sz="4" w:space="0" w:color="auto"/>
              <w:bottom w:val="single" w:sz="12"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66.2</w:t>
            </w:r>
          </w:p>
        </w:tc>
        <w:tc>
          <w:tcPr>
            <w:tcW w:w="1133" w:type="dxa"/>
            <w:tcBorders>
              <w:top w:val="single" w:sz="4" w:space="0" w:color="auto"/>
              <w:bottom w:val="single" w:sz="12"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621 124</w:t>
            </w:r>
          </w:p>
        </w:tc>
        <w:tc>
          <w:tcPr>
            <w:tcW w:w="1133" w:type="dxa"/>
            <w:tcBorders>
              <w:top w:val="single" w:sz="4" w:space="0" w:color="auto"/>
              <w:bottom w:val="single" w:sz="12"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253 83</w:t>
            </w:r>
          </w:p>
        </w:tc>
        <w:tc>
          <w:tcPr>
            <w:tcW w:w="1338" w:type="dxa"/>
            <w:tcBorders>
              <w:top w:val="single" w:sz="4" w:space="0" w:color="auto"/>
              <w:bottom w:val="single" w:sz="12" w:space="0" w:color="auto"/>
            </w:tcBorders>
            <w:shd w:val="clear" w:color="auto" w:fill="D9D9D9"/>
            <w:vAlign w:val="bottom"/>
          </w:tcPr>
          <w:p w:rsidR="002D3A4A" w:rsidRPr="00EB31A1" w:rsidRDefault="002D3A4A" w:rsidP="002D3A4A">
            <w:pPr>
              <w:spacing w:before="20" w:after="40" w:line="240" w:lineRule="exact"/>
              <w:rPr>
                <w:rFonts w:hint="cs"/>
                <w:b/>
                <w:bCs/>
                <w:sz w:val="16"/>
                <w:szCs w:val="24"/>
                <w:rtl/>
              </w:rPr>
            </w:pPr>
            <w:r w:rsidRPr="00EB31A1">
              <w:rPr>
                <w:rFonts w:hint="cs"/>
                <w:b/>
                <w:bCs/>
                <w:sz w:val="16"/>
                <w:szCs w:val="24"/>
                <w:rtl/>
              </w:rPr>
              <w:t>66.8</w:t>
            </w:r>
          </w:p>
        </w:tc>
      </w:tr>
    </w:tbl>
    <w:p w:rsidR="002D3A4A" w:rsidRPr="0032035A" w:rsidRDefault="002D3A4A" w:rsidP="002D3A4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2D3A4A" w:rsidRDefault="002D3A4A" w:rsidP="002D3A4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rPr>
          <w:rFonts w:hint="cs"/>
          <w:rtl/>
        </w:rPr>
      </w:pPr>
      <w:r>
        <w:rPr>
          <w:rFonts w:hint="cs"/>
          <w:rtl/>
        </w:rPr>
        <w:tab/>
      </w:r>
      <w:r>
        <w:rPr>
          <w:rFonts w:hint="cs"/>
          <w:rtl/>
        </w:rPr>
        <w:tab/>
      </w:r>
      <w:r>
        <w:rPr>
          <w:rFonts w:hint="cs"/>
          <w:rtl/>
        </w:rPr>
        <w:tab/>
        <w:t>هيئة التدريس في المدارس</w:t>
      </w:r>
    </w:p>
    <w:p w:rsidR="002D3A4A" w:rsidRDefault="002D3A4A" w:rsidP="002D3A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jc w:val="lowKashida"/>
        <w:rPr>
          <w:rFonts w:hint="cs"/>
          <w:rtl/>
        </w:rPr>
      </w:pPr>
      <w:r>
        <w:rPr>
          <w:rFonts w:hint="cs"/>
          <w:rtl/>
        </w:rPr>
        <w:tab/>
      </w:r>
      <w:r>
        <w:rPr>
          <w:rFonts w:hint="cs"/>
          <w:rtl/>
        </w:rPr>
        <w:tab/>
      </w:r>
      <w:r>
        <w:rPr>
          <w:rFonts w:hint="cs"/>
          <w:rtl/>
        </w:rPr>
        <w:tab/>
        <w:t>بحسب نوع المدرسة للسنة الأكاديمية 2001/2002 - 2002/2003</w:t>
      </w:r>
      <w:r w:rsidRPr="0032035A">
        <w:rPr>
          <w:b w:val="0"/>
          <w:bCs w:val="0"/>
          <w:vertAlign w:val="superscript"/>
          <w:rtl/>
        </w:rPr>
        <w:t>(</w:t>
      </w:r>
      <w:r>
        <w:rPr>
          <w:rStyle w:val="FootnoteReference"/>
          <w:rFonts w:hint="cs"/>
          <w:b w:val="0"/>
          <w:bCs w:val="0"/>
          <w:rtl/>
          <w:lang w:bidi="ar-LB"/>
        </w:rPr>
        <w:t>1</w:t>
      </w:r>
      <w:r w:rsidRPr="0032035A">
        <w:rPr>
          <w:b w:val="0"/>
          <w:bCs w:val="0"/>
          <w:vertAlign w:val="superscript"/>
          <w:rtl/>
        </w:rPr>
        <w:t>)</w:t>
      </w:r>
    </w:p>
    <w:tbl>
      <w:tblPr>
        <w:bidiVisual/>
        <w:tblW w:w="9849" w:type="dxa"/>
        <w:jc w:val="center"/>
        <w:tblLayout w:type="fixed"/>
        <w:tblCellMar>
          <w:left w:w="0" w:type="dxa"/>
          <w:right w:w="0" w:type="dxa"/>
        </w:tblCellMar>
        <w:tblLook w:val="0000" w:firstRow="0" w:lastRow="0" w:firstColumn="0" w:lastColumn="0" w:noHBand="0" w:noVBand="0"/>
      </w:tblPr>
      <w:tblGrid>
        <w:gridCol w:w="3283"/>
        <w:gridCol w:w="1005"/>
        <w:gridCol w:w="1133"/>
        <w:gridCol w:w="1236"/>
        <w:gridCol w:w="927"/>
        <w:gridCol w:w="1133"/>
        <w:gridCol w:w="1132"/>
      </w:tblGrid>
      <w:tr w:rsidR="002D3A4A" w:rsidRPr="0069236F">
        <w:tblPrEx>
          <w:tblCellMar>
            <w:top w:w="0" w:type="dxa"/>
            <w:bottom w:w="0" w:type="dxa"/>
          </w:tblCellMar>
        </w:tblPrEx>
        <w:trPr>
          <w:cantSplit/>
          <w:tblHeader/>
          <w:jc w:val="center"/>
        </w:trPr>
        <w:tc>
          <w:tcPr>
            <w:tcW w:w="3283" w:type="dxa"/>
            <w:tcBorders>
              <w:bottom w:val="single" w:sz="4" w:space="0" w:color="auto"/>
            </w:tcBorders>
            <w:shd w:val="clear" w:color="auto" w:fill="auto"/>
            <w:tcMar>
              <w:left w:w="0" w:type="dxa"/>
              <w:right w:w="0" w:type="dxa"/>
            </w:tcMar>
            <w:vAlign w:val="bottom"/>
          </w:tcPr>
          <w:p w:rsidR="002D3A4A" w:rsidRPr="0069236F" w:rsidRDefault="002D3A4A" w:rsidP="002D3A4A">
            <w:pPr>
              <w:spacing w:before="80" w:after="80" w:line="240" w:lineRule="exact"/>
              <w:rPr>
                <w:rFonts w:hint="cs"/>
                <w:i/>
                <w:iCs/>
                <w:sz w:val="16"/>
                <w:szCs w:val="24"/>
                <w:rtl/>
              </w:rPr>
            </w:pPr>
          </w:p>
        </w:tc>
        <w:tc>
          <w:tcPr>
            <w:tcW w:w="3374" w:type="dxa"/>
            <w:gridSpan w:val="3"/>
            <w:tcBorders>
              <w:bottom w:val="single" w:sz="4" w:space="0" w:color="auto"/>
            </w:tcBorders>
            <w:shd w:val="clear" w:color="auto" w:fill="auto"/>
            <w:vAlign w:val="bottom"/>
          </w:tcPr>
          <w:p w:rsidR="002D3A4A" w:rsidRPr="006B1F20" w:rsidRDefault="002D3A4A" w:rsidP="002D3A4A">
            <w:pPr>
              <w:spacing w:before="80" w:after="80" w:line="240" w:lineRule="exact"/>
              <w:ind w:right="144"/>
              <w:jc w:val="center"/>
              <w:rPr>
                <w:rFonts w:hint="cs"/>
                <w:sz w:val="16"/>
                <w:szCs w:val="24"/>
                <w:rtl/>
              </w:rPr>
            </w:pPr>
            <w:r>
              <w:rPr>
                <w:rFonts w:hint="cs"/>
                <w:sz w:val="16"/>
                <w:szCs w:val="24"/>
                <w:rtl/>
              </w:rPr>
              <w:t>2001/2002</w:t>
            </w:r>
          </w:p>
        </w:tc>
        <w:tc>
          <w:tcPr>
            <w:tcW w:w="3192" w:type="dxa"/>
            <w:gridSpan w:val="3"/>
            <w:tcBorders>
              <w:bottom w:val="single" w:sz="4" w:space="0" w:color="auto"/>
            </w:tcBorders>
            <w:shd w:val="clear" w:color="auto" w:fill="auto"/>
            <w:vAlign w:val="bottom"/>
          </w:tcPr>
          <w:p w:rsidR="002D3A4A" w:rsidRPr="006B1F20" w:rsidRDefault="002D3A4A" w:rsidP="002D3A4A">
            <w:pPr>
              <w:spacing w:before="80" w:after="80" w:line="240" w:lineRule="exact"/>
              <w:ind w:right="144"/>
              <w:jc w:val="center"/>
              <w:rPr>
                <w:rFonts w:hint="cs"/>
                <w:sz w:val="16"/>
                <w:szCs w:val="24"/>
                <w:rtl/>
              </w:rPr>
            </w:pPr>
            <w:r>
              <w:rPr>
                <w:rFonts w:hint="cs"/>
                <w:sz w:val="16"/>
                <w:szCs w:val="24"/>
                <w:rtl/>
              </w:rPr>
              <w:t>2002/2003</w:t>
            </w:r>
          </w:p>
        </w:tc>
      </w:tr>
      <w:tr w:rsidR="002D3A4A" w:rsidRPr="0069236F">
        <w:tblPrEx>
          <w:tblCellMar>
            <w:top w:w="0" w:type="dxa"/>
            <w:bottom w:w="0" w:type="dxa"/>
          </w:tblCellMar>
        </w:tblPrEx>
        <w:trPr>
          <w:cantSplit/>
          <w:tblHeader/>
          <w:jc w:val="center"/>
        </w:trPr>
        <w:tc>
          <w:tcPr>
            <w:tcW w:w="3283" w:type="dxa"/>
            <w:tcBorders>
              <w:top w:val="single" w:sz="4" w:space="0" w:color="auto"/>
            </w:tcBorders>
            <w:shd w:val="clear" w:color="auto" w:fill="auto"/>
            <w:vAlign w:val="bottom"/>
          </w:tcPr>
          <w:p w:rsidR="002D3A4A" w:rsidRPr="0069236F" w:rsidRDefault="002D3A4A" w:rsidP="002D3A4A">
            <w:pPr>
              <w:spacing w:after="40" w:line="240" w:lineRule="exact"/>
              <w:rPr>
                <w:rFonts w:hint="cs"/>
                <w:i/>
                <w:iCs/>
                <w:sz w:val="16"/>
                <w:szCs w:val="24"/>
                <w:rtl/>
              </w:rPr>
            </w:pPr>
            <w:r w:rsidRPr="0069236F">
              <w:rPr>
                <w:rFonts w:hint="cs"/>
                <w:i/>
                <w:iCs/>
                <w:sz w:val="16"/>
                <w:szCs w:val="24"/>
                <w:rtl/>
              </w:rPr>
              <w:t>نوع المدرسة</w:t>
            </w:r>
          </w:p>
        </w:tc>
        <w:tc>
          <w:tcPr>
            <w:tcW w:w="3374" w:type="dxa"/>
            <w:gridSpan w:val="3"/>
            <w:tcBorders>
              <w:top w:val="single" w:sz="4" w:space="0" w:color="auto"/>
              <w:bottom w:val="single" w:sz="4" w:space="0" w:color="auto"/>
            </w:tcBorders>
            <w:shd w:val="clear" w:color="auto" w:fill="D9D9D9"/>
            <w:vAlign w:val="bottom"/>
          </w:tcPr>
          <w:p w:rsidR="002D3A4A" w:rsidRPr="0069236F" w:rsidRDefault="002D3A4A" w:rsidP="002D3A4A">
            <w:pPr>
              <w:spacing w:after="40" w:line="240" w:lineRule="exact"/>
              <w:ind w:right="144"/>
              <w:jc w:val="lowKashida"/>
              <w:rPr>
                <w:rFonts w:hint="cs"/>
                <w:i/>
                <w:iCs/>
                <w:sz w:val="16"/>
                <w:szCs w:val="24"/>
                <w:rtl/>
              </w:rPr>
            </w:pPr>
            <w:r w:rsidRPr="0069236F">
              <w:rPr>
                <w:rFonts w:hint="cs"/>
                <w:i/>
                <w:iCs/>
                <w:sz w:val="16"/>
                <w:szCs w:val="24"/>
                <w:rtl/>
              </w:rPr>
              <w:t>العدد الإجمالي للمعلمين في النمسا</w:t>
            </w:r>
          </w:p>
        </w:tc>
        <w:tc>
          <w:tcPr>
            <w:tcW w:w="3192" w:type="dxa"/>
            <w:gridSpan w:val="3"/>
            <w:tcBorders>
              <w:top w:val="single" w:sz="4" w:space="0" w:color="auto"/>
              <w:bottom w:val="single" w:sz="4" w:space="0" w:color="auto"/>
            </w:tcBorders>
            <w:shd w:val="clear" w:color="auto" w:fill="D9D9D9"/>
            <w:vAlign w:val="bottom"/>
          </w:tcPr>
          <w:p w:rsidR="002D3A4A" w:rsidRPr="0069236F" w:rsidRDefault="002D3A4A" w:rsidP="002D3A4A">
            <w:pPr>
              <w:spacing w:after="40" w:line="240" w:lineRule="exact"/>
              <w:ind w:right="144"/>
              <w:jc w:val="lowKashida"/>
              <w:rPr>
                <w:rFonts w:hint="cs"/>
                <w:i/>
                <w:iCs/>
                <w:sz w:val="16"/>
                <w:szCs w:val="24"/>
                <w:rtl/>
              </w:rPr>
            </w:pPr>
            <w:r w:rsidRPr="0069236F">
              <w:rPr>
                <w:rFonts w:hint="cs"/>
                <w:i/>
                <w:iCs/>
                <w:sz w:val="16"/>
                <w:szCs w:val="24"/>
                <w:rtl/>
              </w:rPr>
              <w:t>العدد الإجمالي للمعلمين في النمسا</w:t>
            </w:r>
          </w:p>
        </w:tc>
      </w:tr>
      <w:tr w:rsidR="002D3A4A" w:rsidRPr="0069236F">
        <w:tblPrEx>
          <w:tblCellMar>
            <w:top w:w="0" w:type="dxa"/>
            <w:bottom w:w="0" w:type="dxa"/>
          </w:tblCellMar>
        </w:tblPrEx>
        <w:trPr>
          <w:cantSplit/>
          <w:tblHeader/>
          <w:jc w:val="center"/>
        </w:trPr>
        <w:tc>
          <w:tcPr>
            <w:tcW w:w="3283" w:type="dxa"/>
            <w:tcBorders>
              <w:bottom w:val="single" w:sz="12" w:space="0" w:color="auto"/>
            </w:tcBorders>
            <w:shd w:val="clear" w:color="auto" w:fill="auto"/>
            <w:vAlign w:val="bottom"/>
          </w:tcPr>
          <w:p w:rsidR="002D3A4A" w:rsidRPr="0069236F" w:rsidRDefault="002D3A4A" w:rsidP="002D3A4A">
            <w:pPr>
              <w:spacing w:after="40" w:line="240" w:lineRule="exact"/>
              <w:rPr>
                <w:rFonts w:hint="cs"/>
                <w:i/>
                <w:iCs/>
                <w:sz w:val="16"/>
                <w:szCs w:val="24"/>
                <w:rtl/>
              </w:rPr>
            </w:pPr>
          </w:p>
        </w:tc>
        <w:tc>
          <w:tcPr>
            <w:tcW w:w="1005" w:type="dxa"/>
            <w:tcBorders>
              <w:top w:val="single" w:sz="4" w:space="0" w:color="auto"/>
              <w:bottom w:val="single" w:sz="12" w:space="0" w:color="auto"/>
            </w:tcBorders>
            <w:shd w:val="clear" w:color="auto" w:fill="D9D9D9"/>
            <w:vAlign w:val="bottom"/>
          </w:tcPr>
          <w:p w:rsidR="002D3A4A" w:rsidRPr="0069236F" w:rsidRDefault="002D3A4A" w:rsidP="002D3A4A">
            <w:pPr>
              <w:spacing w:after="40" w:line="240" w:lineRule="exact"/>
              <w:ind w:right="144"/>
              <w:jc w:val="lowKashida"/>
              <w:rPr>
                <w:rFonts w:hint="cs"/>
                <w:i/>
                <w:iCs/>
                <w:sz w:val="16"/>
                <w:szCs w:val="24"/>
                <w:rtl/>
              </w:rPr>
            </w:pPr>
            <w:r w:rsidRPr="0069236F">
              <w:rPr>
                <w:rFonts w:hint="cs"/>
                <w:i/>
                <w:iCs/>
                <w:sz w:val="16"/>
                <w:szCs w:val="24"/>
                <w:rtl/>
              </w:rPr>
              <w:t>المجموع</w:t>
            </w:r>
          </w:p>
        </w:tc>
        <w:tc>
          <w:tcPr>
            <w:tcW w:w="1133" w:type="dxa"/>
            <w:tcBorders>
              <w:top w:val="single" w:sz="4" w:space="0" w:color="auto"/>
              <w:bottom w:val="single" w:sz="12" w:space="0" w:color="auto"/>
            </w:tcBorders>
            <w:shd w:val="clear" w:color="auto" w:fill="auto"/>
            <w:vAlign w:val="bottom"/>
          </w:tcPr>
          <w:p w:rsidR="002D3A4A" w:rsidRPr="0069236F" w:rsidRDefault="002D3A4A" w:rsidP="002D3A4A">
            <w:pPr>
              <w:spacing w:after="40" w:line="240" w:lineRule="exact"/>
              <w:ind w:right="144"/>
              <w:jc w:val="lowKashida"/>
              <w:rPr>
                <w:rFonts w:hint="cs"/>
                <w:i/>
                <w:iCs/>
                <w:sz w:val="16"/>
                <w:szCs w:val="24"/>
                <w:rtl/>
              </w:rPr>
            </w:pPr>
            <w:r w:rsidRPr="0069236F">
              <w:rPr>
                <w:rFonts w:hint="cs"/>
                <w:i/>
                <w:iCs/>
                <w:sz w:val="16"/>
                <w:szCs w:val="24"/>
                <w:rtl/>
              </w:rPr>
              <w:t>عدد المعلمات</w:t>
            </w:r>
          </w:p>
        </w:tc>
        <w:tc>
          <w:tcPr>
            <w:tcW w:w="1236" w:type="dxa"/>
            <w:tcBorders>
              <w:top w:val="single" w:sz="4" w:space="0" w:color="auto"/>
              <w:bottom w:val="single" w:sz="12" w:space="0" w:color="auto"/>
            </w:tcBorders>
            <w:shd w:val="clear" w:color="auto" w:fill="auto"/>
            <w:vAlign w:val="bottom"/>
          </w:tcPr>
          <w:p w:rsidR="002D3A4A" w:rsidRPr="0069236F" w:rsidRDefault="002D3A4A" w:rsidP="002D3A4A">
            <w:pPr>
              <w:spacing w:after="40" w:line="240" w:lineRule="exact"/>
              <w:ind w:right="144"/>
              <w:jc w:val="lowKashida"/>
              <w:rPr>
                <w:rFonts w:hint="cs"/>
                <w:i/>
                <w:iCs/>
                <w:sz w:val="16"/>
                <w:szCs w:val="24"/>
                <w:rtl/>
                <w:lang w:bidi="ar-LB"/>
              </w:rPr>
            </w:pPr>
            <w:r>
              <w:rPr>
                <w:rFonts w:hint="cs"/>
                <w:i/>
                <w:iCs/>
                <w:sz w:val="16"/>
                <w:szCs w:val="24"/>
                <w:rtl/>
              </w:rPr>
              <w:t>نسبة النساء</w:t>
            </w:r>
            <w:r>
              <w:rPr>
                <w:rFonts w:hint="cs"/>
                <w:i/>
                <w:iCs/>
                <w:sz w:val="16"/>
                <w:szCs w:val="24"/>
                <w:rtl/>
                <w:lang w:bidi="ar-LB"/>
              </w:rPr>
              <w:t xml:space="preserve"> ٪</w:t>
            </w:r>
          </w:p>
        </w:tc>
        <w:tc>
          <w:tcPr>
            <w:tcW w:w="927" w:type="dxa"/>
            <w:tcBorders>
              <w:top w:val="single" w:sz="4" w:space="0" w:color="auto"/>
              <w:bottom w:val="single" w:sz="12" w:space="0" w:color="auto"/>
            </w:tcBorders>
            <w:shd w:val="clear" w:color="auto" w:fill="D9D9D9"/>
            <w:vAlign w:val="bottom"/>
          </w:tcPr>
          <w:p w:rsidR="002D3A4A" w:rsidRPr="0069236F" w:rsidRDefault="002D3A4A" w:rsidP="002D3A4A">
            <w:pPr>
              <w:spacing w:after="40" w:line="240" w:lineRule="exact"/>
              <w:ind w:right="144"/>
              <w:jc w:val="lowKashida"/>
              <w:rPr>
                <w:rFonts w:hint="cs"/>
                <w:i/>
                <w:iCs/>
                <w:sz w:val="16"/>
                <w:szCs w:val="24"/>
                <w:rtl/>
              </w:rPr>
            </w:pPr>
            <w:r w:rsidRPr="0069236F">
              <w:rPr>
                <w:rFonts w:hint="cs"/>
                <w:i/>
                <w:iCs/>
                <w:sz w:val="16"/>
                <w:szCs w:val="24"/>
                <w:rtl/>
              </w:rPr>
              <w:t>المجموع</w:t>
            </w:r>
          </w:p>
        </w:tc>
        <w:tc>
          <w:tcPr>
            <w:tcW w:w="1133" w:type="dxa"/>
            <w:tcBorders>
              <w:top w:val="single" w:sz="4" w:space="0" w:color="auto"/>
              <w:bottom w:val="single" w:sz="12" w:space="0" w:color="auto"/>
            </w:tcBorders>
            <w:shd w:val="clear" w:color="auto" w:fill="auto"/>
            <w:vAlign w:val="bottom"/>
          </w:tcPr>
          <w:p w:rsidR="002D3A4A" w:rsidRPr="0069236F" w:rsidRDefault="002D3A4A" w:rsidP="002D3A4A">
            <w:pPr>
              <w:spacing w:after="40" w:line="240" w:lineRule="exact"/>
              <w:ind w:right="144"/>
              <w:jc w:val="lowKashida"/>
              <w:rPr>
                <w:rFonts w:hint="cs"/>
                <w:i/>
                <w:iCs/>
                <w:sz w:val="16"/>
                <w:szCs w:val="24"/>
                <w:rtl/>
              </w:rPr>
            </w:pPr>
            <w:r w:rsidRPr="0069236F">
              <w:rPr>
                <w:rFonts w:hint="cs"/>
                <w:i/>
                <w:iCs/>
                <w:sz w:val="16"/>
                <w:szCs w:val="24"/>
                <w:rtl/>
              </w:rPr>
              <w:t>عدد المعلمات</w:t>
            </w:r>
          </w:p>
        </w:tc>
        <w:tc>
          <w:tcPr>
            <w:tcW w:w="1132" w:type="dxa"/>
            <w:tcBorders>
              <w:top w:val="single" w:sz="4" w:space="0" w:color="auto"/>
              <w:bottom w:val="single" w:sz="12" w:space="0" w:color="auto"/>
            </w:tcBorders>
            <w:shd w:val="clear" w:color="auto" w:fill="auto"/>
            <w:vAlign w:val="bottom"/>
          </w:tcPr>
          <w:p w:rsidR="002D3A4A" w:rsidRPr="0069236F" w:rsidRDefault="002D3A4A" w:rsidP="002D3A4A">
            <w:pPr>
              <w:spacing w:after="40" w:line="240" w:lineRule="exact"/>
              <w:ind w:right="144"/>
              <w:jc w:val="lowKashida"/>
              <w:rPr>
                <w:rFonts w:hint="cs"/>
                <w:i/>
                <w:iCs/>
                <w:sz w:val="16"/>
                <w:szCs w:val="24"/>
                <w:rtl/>
              </w:rPr>
            </w:pPr>
            <w:r w:rsidRPr="0069236F">
              <w:rPr>
                <w:rFonts w:hint="cs"/>
                <w:i/>
                <w:iCs/>
                <w:sz w:val="16"/>
                <w:szCs w:val="24"/>
                <w:rtl/>
              </w:rPr>
              <w:t>نسبة النساء</w:t>
            </w:r>
            <w:r>
              <w:rPr>
                <w:rFonts w:hint="cs"/>
                <w:i/>
                <w:iCs/>
                <w:sz w:val="16"/>
                <w:szCs w:val="24"/>
                <w:rtl/>
              </w:rPr>
              <w:t xml:space="preserve"> </w:t>
            </w:r>
            <w:r>
              <w:rPr>
                <w:rFonts w:hint="cs"/>
                <w:i/>
                <w:iCs/>
                <w:sz w:val="16"/>
                <w:szCs w:val="24"/>
                <w:rtl/>
                <w:lang w:bidi="ar-LB"/>
              </w:rPr>
              <w:t>٪</w:t>
            </w:r>
          </w:p>
        </w:tc>
      </w:tr>
      <w:tr w:rsidR="002D3A4A" w:rsidRPr="0069236F">
        <w:tblPrEx>
          <w:tblCellMar>
            <w:top w:w="0" w:type="dxa"/>
            <w:bottom w:w="0" w:type="dxa"/>
          </w:tblCellMar>
        </w:tblPrEx>
        <w:trPr>
          <w:cantSplit/>
          <w:trHeight w:hRule="exact" w:val="115"/>
          <w:tblHeader/>
          <w:jc w:val="center"/>
        </w:trPr>
        <w:tc>
          <w:tcPr>
            <w:tcW w:w="3283" w:type="dxa"/>
            <w:tcBorders>
              <w:top w:val="single" w:sz="12" w:space="0" w:color="auto"/>
            </w:tcBorders>
            <w:shd w:val="clear" w:color="auto" w:fill="auto"/>
            <w:vAlign w:val="bottom"/>
          </w:tcPr>
          <w:p w:rsidR="002D3A4A" w:rsidRPr="0069236F" w:rsidRDefault="002D3A4A" w:rsidP="002D3A4A">
            <w:pPr>
              <w:spacing w:before="40" w:after="80" w:line="240" w:lineRule="exact"/>
              <w:rPr>
                <w:rFonts w:hint="cs"/>
                <w:sz w:val="16"/>
                <w:szCs w:val="24"/>
                <w:rtl/>
              </w:rPr>
            </w:pPr>
            <w:r>
              <w:rPr>
                <w:rFonts w:hint="cs"/>
                <w:sz w:val="16"/>
                <w:szCs w:val="24"/>
                <w:rtl/>
              </w:rPr>
              <w:t xml:space="preserve">  </w:t>
            </w:r>
          </w:p>
        </w:tc>
        <w:tc>
          <w:tcPr>
            <w:tcW w:w="1005" w:type="dxa"/>
            <w:tcBorders>
              <w:top w:val="single" w:sz="12" w:space="0" w:color="auto"/>
            </w:tcBorders>
            <w:shd w:val="clear" w:color="auto" w:fill="D9D9D9"/>
            <w:vAlign w:val="bottom"/>
          </w:tcPr>
          <w:p w:rsidR="002D3A4A" w:rsidRPr="0069236F" w:rsidRDefault="002D3A4A" w:rsidP="002D3A4A">
            <w:pPr>
              <w:spacing w:before="40" w:after="80" w:line="240" w:lineRule="exact"/>
              <w:rPr>
                <w:rFonts w:hint="cs"/>
                <w:sz w:val="16"/>
                <w:szCs w:val="24"/>
                <w:rtl/>
              </w:rPr>
            </w:pPr>
          </w:p>
        </w:tc>
        <w:tc>
          <w:tcPr>
            <w:tcW w:w="1133" w:type="dxa"/>
            <w:tcBorders>
              <w:top w:val="single" w:sz="12" w:space="0" w:color="auto"/>
            </w:tcBorders>
            <w:shd w:val="clear" w:color="auto" w:fill="auto"/>
            <w:vAlign w:val="bottom"/>
          </w:tcPr>
          <w:p w:rsidR="002D3A4A" w:rsidRPr="0069236F" w:rsidRDefault="002D3A4A" w:rsidP="002D3A4A">
            <w:pPr>
              <w:spacing w:before="40" w:after="80" w:line="240" w:lineRule="exact"/>
              <w:rPr>
                <w:rFonts w:hint="cs"/>
                <w:sz w:val="16"/>
                <w:szCs w:val="24"/>
                <w:rtl/>
              </w:rPr>
            </w:pPr>
          </w:p>
        </w:tc>
        <w:tc>
          <w:tcPr>
            <w:tcW w:w="1236" w:type="dxa"/>
            <w:tcBorders>
              <w:top w:val="single" w:sz="12" w:space="0" w:color="auto"/>
            </w:tcBorders>
            <w:shd w:val="clear" w:color="auto" w:fill="auto"/>
            <w:vAlign w:val="bottom"/>
          </w:tcPr>
          <w:p w:rsidR="002D3A4A" w:rsidRPr="0069236F" w:rsidRDefault="002D3A4A" w:rsidP="002D3A4A">
            <w:pPr>
              <w:spacing w:before="40" w:after="80" w:line="240" w:lineRule="exact"/>
              <w:rPr>
                <w:rFonts w:hint="cs"/>
                <w:sz w:val="16"/>
                <w:szCs w:val="24"/>
                <w:rtl/>
              </w:rPr>
            </w:pPr>
          </w:p>
        </w:tc>
        <w:tc>
          <w:tcPr>
            <w:tcW w:w="927" w:type="dxa"/>
            <w:tcBorders>
              <w:top w:val="single" w:sz="12" w:space="0" w:color="auto"/>
            </w:tcBorders>
            <w:shd w:val="clear" w:color="auto" w:fill="D9D9D9"/>
            <w:vAlign w:val="bottom"/>
          </w:tcPr>
          <w:p w:rsidR="002D3A4A" w:rsidRPr="0069236F" w:rsidRDefault="002D3A4A" w:rsidP="002D3A4A">
            <w:pPr>
              <w:spacing w:before="40" w:after="80" w:line="240" w:lineRule="exact"/>
              <w:rPr>
                <w:rFonts w:hint="cs"/>
                <w:sz w:val="16"/>
                <w:szCs w:val="24"/>
                <w:rtl/>
              </w:rPr>
            </w:pPr>
          </w:p>
        </w:tc>
        <w:tc>
          <w:tcPr>
            <w:tcW w:w="1133" w:type="dxa"/>
            <w:tcBorders>
              <w:top w:val="single" w:sz="12" w:space="0" w:color="auto"/>
            </w:tcBorders>
            <w:shd w:val="clear" w:color="auto" w:fill="auto"/>
            <w:vAlign w:val="bottom"/>
          </w:tcPr>
          <w:p w:rsidR="002D3A4A" w:rsidRPr="0069236F" w:rsidRDefault="002D3A4A" w:rsidP="002D3A4A">
            <w:pPr>
              <w:spacing w:before="40" w:after="80" w:line="240" w:lineRule="exact"/>
              <w:rPr>
                <w:rFonts w:hint="cs"/>
                <w:sz w:val="16"/>
                <w:szCs w:val="24"/>
                <w:rtl/>
              </w:rPr>
            </w:pPr>
          </w:p>
        </w:tc>
        <w:tc>
          <w:tcPr>
            <w:tcW w:w="1132" w:type="dxa"/>
            <w:tcBorders>
              <w:top w:val="single" w:sz="12" w:space="0" w:color="auto"/>
            </w:tcBorders>
            <w:shd w:val="clear" w:color="auto" w:fill="auto"/>
            <w:vAlign w:val="bottom"/>
          </w:tcPr>
          <w:p w:rsidR="002D3A4A" w:rsidRPr="0069236F" w:rsidRDefault="002D3A4A" w:rsidP="002D3A4A">
            <w:pPr>
              <w:spacing w:before="40" w:after="80" w:line="240" w:lineRule="exact"/>
              <w:rPr>
                <w:rFonts w:hint="cs"/>
                <w:sz w:val="16"/>
                <w:szCs w:val="24"/>
                <w:rtl/>
              </w:rPr>
            </w:pPr>
          </w:p>
        </w:tc>
      </w:tr>
      <w:tr w:rsidR="002D3A4A" w:rsidRPr="0069236F">
        <w:tblPrEx>
          <w:tblCellMar>
            <w:top w:w="0" w:type="dxa"/>
            <w:bottom w:w="0" w:type="dxa"/>
          </w:tblCellMar>
        </w:tblPrEx>
        <w:trPr>
          <w:cantSplit/>
          <w:jc w:val="center"/>
        </w:trPr>
        <w:tc>
          <w:tcPr>
            <w:tcW w:w="328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 xml:space="preserve">المدارس الابتدائية </w:t>
            </w:r>
          </w:p>
        </w:tc>
        <w:tc>
          <w:tcPr>
            <w:tcW w:w="1005"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814 33</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612 29</w:t>
            </w:r>
          </w:p>
        </w:tc>
        <w:tc>
          <w:tcPr>
            <w:tcW w:w="1236"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87.6</w:t>
            </w:r>
          </w:p>
        </w:tc>
        <w:tc>
          <w:tcPr>
            <w:tcW w:w="927"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590 33</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581 29</w:t>
            </w:r>
          </w:p>
        </w:tc>
        <w:tc>
          <w:tcPr>
            <w:tcW w:w="113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88.1</w:t>
            </w:r>
          </w:p>
        </w:tc>
      </w:tr>
      <w:tr w:rsidR="002D3A4A" w:rsidRPr="0069236F">
        <w:tblPrEx>
          <w:tblCellMar>
            <w:top w:w="0" w:type="dxa"/>
            <w:bottom w:w="0" w:type="dxa"/>
          </w:tblCellMar>
        </w:tblPrEx>
        <w:trPr>
          <w:cantSplit/>
          <w:jc w:val="center"/>
        </w:trPr>
        <w:tc>
          <w:tcPr>
            <w:tcW w:w="328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 xml:space="preserve">المدارس الثانوية العامة </w:t>
            </w:r>
          </w:p>
        </w:tc>
        <w:tc>
          <w:tcPr>
            <w:tcW w:w="1005"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873 33</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534 22</w:t>
            </w:r>
          </w:p>
        </w:tc>
        <w:tc>
          <w:tcPr>
            <w:tcW w:w="1236"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66.5</w:t>
            </w:r>
          </w:p>
        </w:tc>
        <w:tc>
          <w:tcPr>
            <w:tcW w:w="927"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562 33</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574 22</w:t>
            </w:r>
          </w:p>
        </w:tc>
        <w:tc>
          <w:tcPr>
            <w:tcW w:w="113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67.3</w:t>
            </w:r>
          </w:p>
        </w:tc>
      </w:tr>
      <w:tr w:rsidR="002D3A4A" w:rsidRPr="0069236F">
        <w:tblPrEx>
          <w:tblCellMar>
            <w:top w:w="0" w:type="dxa"/>
            <w:bottom w:w="0" w:type="dxa"/>
          </w:tblCellMar>
        </w:tblPrEx>
        <w:trPr>
          <w:cantSplit/>
          <w:jc w:val="center"/>
        </w:trPr>
        <w:tc>
          <w:tcPr>
            <w:tcW w:w="328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المدارس الخاصة</w:t>
            </w:r>
          </w:p>
        </w:tc>
        <w:tc>
          <w:tcPr>
            <w:tcW w:w="1005"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678 5</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789 4</w:t>
            </w:r>
          </w:p>
        </w:tc>
        <w:tc>
          <w:tcPr>
            <w:tcW w:w="1236"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84.3</w:t>
            </w:r>
          </w:p>
        </w:tc>
        <w:tc>
          <w:tcPr>
            <w:tcW w:w="927"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794 5</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927 4</w:t>
            </w:r>
          </w:p>
        </w:tc>
        <w:tc>
          <w:tcPr>
            <w:tcW w:w="113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85.0</w:t>
            </w:r>
          </w:p>
        </w:tc>
      </w:tr>
      <w:tr w:rsidR="002D3A4A" w:rsidRPr="0069236F">
        <w:tblPrEx>
          <w:tblCellMar>
            <w:top w:w="0" w:type="dxa"/>
            <w:bottom w:w="0" w:type="dxa"/>
          </w:tblCellMar>
        </w:tblPrEx>
        <w:trPr>
          <w:cantSplit/>
          <w:jc w:val="center"/>
        </w:trPr>
        <w:tc>
          <w:tcPr>
            <w:tcW w:w="328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السنة السابقة للتدريب المهني</w:t>
            </w:r>
          </w:p>
        </w:tc>
        <w:tc>
          <w:tcPr>
            <w:tcW w:w="1005"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970 1</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951</w:t>
            </w:r>
          </w:p>
        </w:tc>
        <w:tc>
          <w:tcPr>
            <w:tcW w:w="1236"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48.3</w:t>
            </w:r>
          </w:p>
        </w:tc>
        <w:tc>
          <w:tcPr>
            <w:tcW w:w="927"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011 2</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995</w:t>
            </w:r>
          </w:p>
        </w:tc>
        <w:tc>
          <w:tcPr>
            <w:tcW w:w="113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49.5</w:t>
            </w:r>
          </w:p>
        </w:tc>
      </w:tr>
      <w:tr w:rsidR="002D3A4A" w:rsidRPr="0069236F">
        <w:tblPrEx>
          <w:tblCellMar>
            <w:top w:w="0" w:type="dxa"/>
            <w:bottom w:w="0" w:type="dxa"/>
          </w:tblCellMar>
        </w:tblPrEx>
        <w:trPr>
          <w:cantSplit/>
          <w:jc w:val="center"/>
        </w:trPr>
        <w:tc>
          <w:tcPr>
            <w:tcW w:w="3283" w:type="dxa"/>
            <w:shd w:val="clear" w:color="auto" w:fill="auto"/>
            <w:vAlign w:val="bottom"/>
          </w:tcPr>
          <w:p w:rsidR="002D3A4A" w:rsidRPr="0069236F" w:rsidRDefault="002D3A4A" w:rsidP="002D3A4A">
            <w:pPr>
              <w:spacing w:before="20" w:after="40" w:line="240" w:lineRule="exact"/>
              <w:rPr>
                <w:rFonts w:hint="cs"/>
                <w:b/>
                <w:bCs/>
                <w:sz w:val="16"/>
                <w:szCs w:val="24"/>
                <w:rtl/>
              </w:rPr>
            </w:pPr>
            <w:r w:rsidRPr="0069236F">
              <w:rPr>
                <w:rFonts w:hint="cs"/>
                <w:b/>
                <w:bCs/>
                <w:sz w:val="16"/>
                <w:szCs w:val="24"/>
                <w:rtl/>
              </w:rPr>
              <w:t xml:space="preserve">مجموع المدارس الإلزامية </w:t>
            </w:r>
          </w:p>
        </w:tc>
        <w:tc>
          <w:tcPr>
            <w:tcW w:w="1005"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335 75</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886 57</w:t>
            </w:r>
          </w:p>
        </w:tc>
        <w:tc>
          <w:tcPr>
            <w:tcW w:w="1236"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76.8</w:t>
            </w:r>
          </w:p>
        </w:tc>
        <w:tc>
          <w:tcPr>
            <w:tcW w:w="927"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957 74</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077 58</w:t>
            </w:r>
          </w:p>
        </w:tc>
        <w:tc>
          <w:tcPr>
            <w:tcW w:w="113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77.5</w:t>
            </w:r>
          </w:p>
        </w:tc>
      </w:tr>
      <w:tr w:rsidR="002D3A4A" w:rsidRPr="0069236F">
        <w:tblPrEx>
          <w:tblCellMar>
            <w:top w:w="0" w:type="dxa"/>
            <w:bottom w:w="0" w:type="dxa"/>
          </w:tblCellMar>
        </w:tblPrEx>
        <w:trPr>
          <w:cantSplit/>
          <w:jc w:val="center"/>
        </w:trPr>
        <w:tc>
          <w:tcPr>
            <w:tcW w:w="3283" w:type="dxa"/>
            <w:tcBorders>
              <w:bottom w:val="single" w:sz="4" w:space="0" w:color="auto"/>
            </w:tcBorders>
            <w:shd w:val="clear" w:color="auto" w:fill="auto"/>
            <w:vAlign w:val="bottom"/>
          </w:tcPr>
          <w:p w:rsidR="002D3A4A" w:rsidRPr="0069236F" w:rsidRDefault="002D3A4A" w:rsidP="002D3A4A">
            <w:pPr>
              <w:spacing w:before="20" w:after="40" w:line="240" w:lineRule="exact"/>
              <w:rPr>
                <w:rFonts w:hint="cs"/>
                <w:b/>
                <w:bCs/>
                <w:sz w:val="16"/>
                <w:szCs w:val="24"/>
                <w:rtl/>
              </w:rPr>
            </w:pPr>
            <w:r w:rsidRPr="0069236F">
              <w:rPr>
                <w:rFonts w:hint="cs"/>
                <w:b/>
                <w:bCs/>
                <w:sz w:val="16"/>
                <w:szCs w:val="24"/>
                <w:rtl/>
              </w:rPr>
              <w:t>مجموع المدارس الثانوية العامة العليا</w:t>
            </w:r>
          </w:p>
        </w:tc>
        <w:tc>
          <w:tcPr>
            <w:tcW w:w="1005" w:type="dxa"/>
            <w:tcBorders>
              <w:bottom w:val="single" w:sz="4" w:space="0" w:color="auto"/>
            </w:tcBorders>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668 19</w:t>
            </w:r>
          </w:p>
        </w:tc>
        <w:tc>
          <w:tcPr>
            <w:tcW w:w="1133" w:type="dxa"/>
            <w:tcBorders>
              <w:bottom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524 11</w:t>
            </w:r>
          </w:p>
        </w:tc>
        <w:tc>
          <w:tcPr>
            <w:tcW w:w="1236" w:type="dxa"/>
            <w:tcBorders>
              <w:bottom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58.6</w:t>
            </w:r>
          </w:p>
        </w:tc>
        <w:tc>
          <w:tcPr>
            <w:tcW w:w="927" w:type="dxa"/>
            <w:tcBorders>
              <w:bottom w:val="single" w:sz="4" w:space="0" w:color="auto"/>
            </w:tcBorders>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690 19</w:t>
            </w:r>
          </w:p>
        </w:tc>
        <w:tc>
          <w:tcPr>
            <w:tcW w:w="1133" w:type="dxa"/>
            <w:tcBorders>
              <w:bottom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642 11</w:t>
            </w:r>
          </w:p>
        </w:tc>
        <w:tc>
          <w:tcPr>
            <w:tcW w:w="1132" w:type="dxa"/>
            <w:tcBorders>
              <w:bottom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59.1</w:t>
            </w:r>
          </w:p>
        </w:tc>
      </w:tr>
      <w:tr w:rsidR="002D3A4A" w:rsidRPr="0069236F">
        <w:tblPrEx>
          <w:tblCellMar>
            <w:top w:w="0" w:type="dxa"/>
            <w:bottom w:w="0" w:type="dxa"/>
          </w:tblCellMar>
        </w:tblPrEx>
        <w:trPr>
          <w:cantSplit/>
          <w:jc w:val="center"/>
        </w:trPr>
        <w:tc>
          <w:tcPr>
            <w:tcW w:w="3283" w:type="dxa"/>
            <w:tcBorders>
              <w:top w:val="single" w:sz="4" w:space="0" w:color="auto"/>
              <w:bottom w:val="single" w:sz="4" w:space="0" w:color="auto"/>
            </w:tcBorders>
            <w:shd w:val="clear" w:color="auto" w:fill="auto"/>
            <w:vAlign w:val="bottom"/>
          </w:tcPr>
          <w:p w:rsidR="002D3A4A" w:rsidRPr="0069236F" w:rsidRDefault="002D3A4A" w:rsidP="002D3A4A">
            <w:pPr>
              <w:spacing w:before="20" w:after="40" w:line="240" w:lineRule="exact"/>
              <w:rPr>
                <w:rFonts w:hint="cs"/>
                <w:b/>
                <w:bCs/>
                <w:sz w:val="16"/>
                <w:szCs w:val="24"/>
                <w:rtl/>
              </w:rPr>
            </w:pPr>
            <w:r w:rsidRPr="0069236F">
              <w:rPr>
                <w:rFonts w:hint="cs"/>
                <w:b/>
                <w:bCs/>
                <w:sz w:val="16"/>
                <w:szCs w:val="24"/>
                <w:rtl/>
              </w:rPr>
              <w:t>مجموع المدارس العامة</w:t>
            </w:r>
          </w:p>
        </w:tc>
        <w:tc>
          <w:tcPr>
            <w:tcW w:w="1005" w:type="dxa"/>
            <w:tcBorders>
              <w:top w:val="single" w:sz="4" w:space="0" w:color="auto"/>
              <w:bottom w:val="single" w:sz="4" w:space="0" w:color="auto"/>
            </w:tcBorders>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003 95</w:t>
            </w:r>
          </w:p>
        </w:tc>
        <w:tc>
          <w:tcPr>
            <w:tcW w:w="1133" w:type="dxa"/>
            <w:tcBorders>
              <w:top w:val="single" w:sz="4" w:space="0" w:color="auto"/>
              <w:bottom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410 69</w:t>
            </w:r>
          </w:p>
        </w:tc>
        <w:tc>
          <w:tcPr>
            <w:tcW w:w="1236" w:type="dxa"/>
            <w:tcBorders>
              <w:top w:val="single" w:sz="4" w:space="0" w:color="auto"/>
              <w:bottom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73.1</w:t>
            </w:r>
          </w:p>
        </w:tc>
        <w:tc>
          <w:tcPr>
            <w:tcW w:w="927" w:type="dxa"/>
            <w:tcBorders>
              <w:top w:val="single" w:sz="4" w:space="0" w:color="auto"/>
              <w:bottom w:val="single" w:sz="4" w:space="0" w:color="auto"/>
            </w:tcBorders>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647 94</w:t>
            </w:r>
          </w:p>
        </w:tc>
        <w:tc>
          <w:tcPr>
            <w:tcW w:w="1133" w:type="dxa"/>
            <w:tcBorders>
              <w:top w:val="single" w:sz="4" w:space="0" w:color="auto"/>
              <w:bottom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719 69</w:t>
            </w:r>
          </w:p>
        </w:tc>
        <w:tc>
          <w:tcPr>
            <w:tcW w:w="1132" w:type="dxa"/>
            <w:tcBorders>
              <w:top w:val="single" w:sz="4" w:space="0" w:color="auto"/>
              <w:bottom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73.7</w:t>
            </w:r>
          </w:p>
        </w:tc>
      </w:tr>
      <w:tr w:rsidR="002D3A4A" w:rsidRPr="0069236F">
        <w:tblPrEx>
          <w:tblCellMar>
            <w:top w:w="0" w:type="dxa"/>
            <w:bottom w:w="0" w:type="dxa"/>
          </w:tblCellMar>
        </w:tblPrEx>
        <w:trPr>
          <w:cantSplit/>
          <w:jc w:val="center"/>
        </w:trPr>
        <w:tc>
          <w:tcPr>
            <w:tcW w:w="3283" w:type="dxa"/>
            <w:tcBorders>
              <w:top w:val="single" w:sz="4" w:space="0" w:color="auto"/>
            </w:tcBorders>
            <w:shd w:val="clear" w:color="auto" w:fill="auto"/>
            <w:vAlign w:val="bottom"/>
          </w:tcPr>
          <w:p w:rsidR="002D3A4A" w:rsidRPr="0069236F" w:rsidRDefault="002D3A4A" w:rsidP="002D3A4A">
            <w:pPr>
              <w:spacing w:before="20" w:after="40" w:line="240" w:lineRule="exact"/>
              <w:rPr>
                <w:rFonts w:hint="cs"/>
                <w:b/>
                <w:bCs/>
                <w:sz w:val="16"/>
                <w:szCs w:val="24"/>
                <w:rtl/>
              </w:rPr>
            </w:pPr>
            <w:r w:rsidRPr="0069236F">
              <w:rPr>
                <w:rFonts w:hint="cs"/>
                <w:b/>
                <w:bCs/>
                <w:sz w:val="16"/>
                <w:szCs w:val="24"/>
                <w:rtl/>
              </w:rPr>
              <w:t>مجموع كليات التدريب الحرفي</w:t>
            </w:r>
          </w:p>
        </w:tc>
        <w:tc>
          <w:tcPr>
            <w:tcW w:w="1005" w:type="dxa"/>
            <w:tcBorders>
              <w:top w:val="single" w:sz="4" w:space="0" w:color="auto"/>
            </w:tcBorders>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664 4</w:t>
            </w:r>
          </w:p>
        </w:tc>
        <w:tc>
          <w:tcPr>
            <w:tcW w:w="1133" w:type="dxa"/>
            <w:tcBorders>
              <w:top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372 1</w:t>
            </w:r>
          </w:p>
        </w:tc>
        <w:tc>
          <w:tcPr>
            <w:tcW w:w="1236" w:type="dxa"/>
            <w:tcBorders>
              <w:top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29.4</w:t>
            </w:r>
          </w:p>
        </w:tc>
        <w:tc>
          <w:tcPr>
            <w:tcW w:w="927" w:type="dxa"/>
            <w:tcBorders>
              <w:top w:val="single" w:sz="4" w:space="0" w:color="auto"/>
            </w:tcBorders>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664 4</w:t>
            </w:r>
          </w:p>
        </w:tc>
        <w:tc>
          <w:tcPr>
            <w:tcW w:w="1133" w:type="dxa"/>
            <w:tcBorders>
              <w:top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372 1</w:t>
            </w:r>
          </w:p>
        </w:tc>
        <w:tc>
          <w:tcPr>
            <w:tcW w:w="1132" w:type="dxa"/>
            <w:tcBorders>
              <w:top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29.4</w:t>
            </w:r>
          </w:p>
        </w:tc>
      </w:tr>
      <w:tr w:rsidR="002D3A4A" w:rsidRPr="0069236F">
        <w:tblPrEx>
          <w:tblCellMar>
            <w:top w:w="0" w:type="dxa"/>
            <w:bottom w:w="0" w:type="dxa"/>
          </w:tblCellMar>
        </w:tblPrEx>
        <w:trPr>
          <w:cantSplit/>
          <w:jc w:val="center"/>
        </w:trPr>
        <w:tc>
          <w:tcPr>
            <w:tcW w:w="328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الصنائع والحرف والفنون</w:t>
            </w:r>
          </w:p>
        </w:tc>
        <w:tc>
          <w:tcPr>
            <w:tcW w:w="1005"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747 6</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283 1</w:t>
            </w:r>
          </w:p>
        </w:tc>
        <w:tc>
          <w:tcPr>
            <w:tcW w:w="1236"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19.0</w:t>
            </w:r>
          </w:p>
        </w:tc>
        <w:tc>
          <w:tcPr>
            <w:tcW w:w="927"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861 6</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238 1</w:t>
            </w:r>
          </w:p>
        </w:tc>
        <w:tc>
          <w:tcPr>
            <w:tcW w:w="113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18.0</w:t>
            </w:r>
          </w:p>
        </w:tc>
      </w:tr>
      <w:tr w:rsidR="002D3A4A" w:rsidRPr="0069236F">
        <w:tblPrEx>
          <w:tblCellMar>
            <w:top w:w="0" w:type="dxa"/>
            <w:bottom w:w="0" w:type="dxa"/>
          </w:tblCellMar>
        </w:tblPrEx>
        <w:trPr>
          <w:cantSplit/>
          <w:jc w:val="center"/>
        </w:trPr>
        <w:tc>
          <w:tcPr>
            <w:tcW w:w="328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السياحة</w:t>
            </w:r>
          </w:p>
        </w:tc>
        <w:tc>
          <w:tcPr>
            <w:tcW w:w="1005"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984</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474</w:t>
            </w:r>
          </w:p>
        </w:tc>
        <w:tc>
          <w:tcPr>
            <w:tcW w:w="1236"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48.2</w:t>
            </w:r>
          </w:p>
        </w:tc>
        <w:tc>
          <w:tcPr>
            <w:tcW w:w="927"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078 1</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542</w:t>
            </w:r>
          </w:p>
        </w:tc>
        <w:tc>
          <w:tcPr>
            <w:tcW w:w="113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50.3</w:t>
            </w:r>
          </w:p>
        </w:tc>
      </w:tr>
      <w:tr w:rsidR="002D3A4A" w:rsidRPr="0069236F">
        <w:tblPrEx>
          <w:tblCellMar>
            <w:top w:w="0" w:type="dxa"/>
            <w:bottom w:w="0" w:type="dxa"/>
          </w:tblCellMar>
        </w:tblPrEx>
        <w:trPr>
          <w:cantSplit/>
          <w:jc w:val="center"/>
        </w:trPr>
        <w:tc>
          <w:tcPr>
            <w:tcW w:w="328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الأعمال</w:t>
            </w:r>
          </w:p>
        </w:tc>
        <w:tc>
          <w:tcPr>
            <w:tcW w:w="1005"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527 5</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372 3</w:t>
            </w:r>
          </w:p>
        </w:tc>
        <w:tc>
          <w:tcPr>
            <w:tcW w:w="1236"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61.0</w:t>
            </w:r>
          </w:p>
        </w:tc>
        <w:tc>
          <w:tcPr>
            <w:tcW w:w="927"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616 5</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450 3</w:t>
            </w:r>
          </w:p>
        </w:tc>
        <w:tc>
          <w:tcPr>
            <w:tcW w:w="113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61.4</w:t>
            </w:r>
          </w:p>
        </w:tc>
      </w:tr>
      <w:tr w:rsidR="002D3A4A" w:rsidRPr="0069236F">
        <w:tblPrEx>
          <w:tblCellMar>
            <w:top w:w="0" w:type="dxa"/>
            <w:bottom w:w="0" w:type="dxa"/>
          </w:tblCellMar>
        </w:tblPrEx>
        <w:trPr>
          <w:cantSplit/>
          <w:jc w:val="center"/>
        </w:trPr>
        <w:tc>
          <w:tcPr>
            <w:tcW w:w="328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العلوم المنزلية والتجارية</w:t>
            </w:r>
            <w:r w:rsidRPr="0069236F">
              <w:rPr>
                <w:sz w:val="16"/>
                <w:szCs w:val="24"/>
                <w:vertAlign w:val="superscript"/>
                <w:rtl/>
              </w:rPr>
              <w:t>(</w:t>
            </w:r>
            <w:r>
              <w:rPr>
                <w:rStyle w:val="FootnoteReference"/>
                <w:rFonts w:hint="cs"/>
                <w:sz w:val="16"/>
                <w:szCs w:val="24"/>
                <w:rtl/>
                <w:lang w:bidi="ar-LB"/>
              </w:rPr>
              <w:t>2</w:t>
            </w:r>
            <w:r w:rsidRPr="0069236F">
              <w:rPr>
                <w:sz w:val="16"/>
                <w:szCs w:val="24"/>
                <w:vertAlign w:val="superscript"/>
                <w:rtl/>
              </w:rPr>
              <w:t>)</w:t>
            </w:r>
          </w:p>
        </w:tc>
        <w:tc>
          <w:tcPr>
            <w:tcW w:w="1005"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722 4</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768 3</w:t>
            </w:r>
          </w:p>
        </w:tc>
        <w:tc>
          <w:tcPr>
            <w:tcW w:w="1236"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79.8</w:t>
            </w:r>
          </w:p>
        </w:tc>
        <w:tc>
          <w:tcPr>
            <w:tcW w:w="927"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806 4</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834 3</w:t>
            </w:r>
          </w:p>
        </w:tc>
        <w:tc>
          <w:tcPr>
            <w:tcW w:w="113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79.8</w:t>
            </w:r>
          </w:p>
        </w:tc>
      </w:tr>
      <w:tr w:rsidR="002D3A4A" w:rsidRPr="0069236F">
        <w:tblPrEx>
          <w:tblCellMar>
            <w:top w:w="0" w:type="dxa"/>
            <w:bottom w:w="0" w:type="dxa"/>
          </w:tblCellMar>
        </w:tblPrEx>
        <w:trPr>
          <w:cantSplit/>
          <w:jc w:val="center"/>
        </w:trPr>
        <w:tc>
          <w:tcPr>
            <w:tcW w:w="328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الرعاية الاجتماعية</w:t>
            </w:r>
          </w:p>
        </w:tc>
        <w:tc>
          <w:tcPr>
            <w:tcW w:w="1005"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72</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65</w:t>
            </w:r>
          </w:p>
        </w:tc>
        <w:tc>
          <w:tcPr>
            <w:tcW w:w="1236"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90.3</w:t>
            </w:r>
          </w:p>
        </w:tc>
        <w:tc>
          <w:tcPr>
            <w:tcW w:w="927"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143</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123</w:t>
            </w:r>
          </w:p>
        </w:tc>
        <w:tc>
          <w:tcPr>
            <w:tcW w:w="113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86.0</w:t>
            </w:r>
          </w:p>
        </w:tc>
      </w:tr>
      <w:tr w:rsidR="002D3A4A" w:rsidRPr="0069236F">
        <w:tblPrEx>
          <w:tblCellMar>
            <w:top w:w="0" w:type="dxa"/>
            <w:bottom w:w="0" w:type="dxa"/>
          </w:tblCellMar>
        </w:tblPrEx>
        <w:trPr>
          <w:cantSplit/>
          <w:jc w:val="center"/>
        </w:trPr>
        <w:tc>
          <w:tcPr>
            <w:tcW w:w="328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 xml:space="preserve">   </w:t>
            </w:r>
            <w:r w:rsidRPr="0069236F">
              <w:rPr>
                <w:rFonts w:hint="cs"/>
                <w:sz w:val="16"/>
                <w:szCs w:val="24"/>
                <w:rtl/>
              </w:rPr>
              <w:t>الزراعة والحراجة</w:t>
            </w:r>
          </w:p>
        </w:tc>
        <w:tc>
          <w:tcPr>
            <w:tcW w:w="1005"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229 2</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154 1</w:t>
            </w:r>
          </w:p>
        </w:tc>
        <w:tc>
          <w:tcPr>
            <w:tcW w:w="1236"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51.8</w:t>
            </w:r>
          </w:p>
        </w:tc>
        <w:tc>
          <w:tcPr>
            <w:tcW w:w="927"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229 2</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154 1</w:t>
            </w:r>
          </w:p>
        </w:tc>
        <w:tc>
          <w:tcPr>
            <w:tcW w:w="113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51.8</w:t>
            </w:r>
          </w:p>
        </w:tc>
      </w:tr>
      <w:tr w:rsidR="002D3A4A" w:rsidRPr="0069236F">
        <w:tblPrEx>
          <w:tblCellMar>
            <w:top w:w="0" w:type="dxa"/>
            <w:bottom w:w="0" w:type="dxa"/>
          </w:tblCellMar>
        </w:tblPrEx>
        <w:trPr>
          <w:cantSplit/>
          <w:jc w:val="center"/>
        </w:trPr>
        <w:tc>
          <w:tcPr>
            <w:tcW w:w="3283" w:type="dxa"/>
            <w:shd w:val="clear" w:color="auto" w:fill="auto"/>
            <w:vAlign w:val="bottom"/>
          </w:tcPr>
          <w:p w:rsidR="002D3A4A" w:rsidRPr="0069236F" w:rsidRDefault="002D3A4A" w:rsidP="002D3A4A">
            <w:pPr>
              <w:spacing w:before="20" w:after="40" w:line="240" w:lineRule="exact"/>
              <w:rPr>
                <w:rFonts w:hint="cs"/>
                <w:b/>
                <w:bCs/>
                <w:sz w:val="16"/>
                <w:szCs w:val="24"/>
                <w:rtl/>
              </w:rPr>
            </w:pPr>
            <w:r w:rsidRPr="0069236F">
              <w:rPr>
                <w:rFonts w:hint="cs"/>
                <w:b/>
                <w:bCs/>
                <w:sz w:val="16"/>
                <w:szCs w:val="24"/>
                <w:rtl/>
              </w:rPr>
              <w:t>مجموع الكليات المتوسطة والعليا</w:t>
            </w:r>
          </w:p>
        </w:tc>
        <w:tc>
          <w:tcPr>
            <w:tcW w:w="1005"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281 20</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116 10</w:t>
            </w:r>
          </w:p>
        </w:tc>
        <w:tc>
          <w:tcPr>
            <w:tcW w:w="1236"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49.9</w:t>
            </w:r>
          </w:p>
        </w:tc>
        <w:tc>
          <w:tcPr>
            <w:tcW w:w="927"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733 20</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341 10</w:t>
            </w:r>
          </w:p>
        </w:tc>
        <w:tc>
          <w:tcPr>
            <w:tcW w:w="113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49.9</w:t>
            </w:r>
          </w:p>
        </w:tc>
      </w:tr>
      <w:tr w:rsidR="002D3A4A" w:rsidRPr="0069236F">
        <w:tblPrEx>
          <w:tblCellMar>
            <w:top w:w="0" w:type="dxa"/>
            <w:bottom w:w="0" w:type="dxa"/>
          </w:tblCellMar>
        </w:tblPrEx>
        <w:trPr>
          <w:cantSplit/>
          <w:jc w:val="center"/>
        </w:trPr>
        <w:tc>
          <w:tcPr>
            <w:tcW w:w="3283" w:type="dxa"/>
            <w:tcBorders>
              <w:bottom w:val="single" w:sz="4" w:space="0" w:color="auto"/>
            </w:tcBorders>
            <w:shd w:val="clear" w:color="auto" w:fill="auto"/>
            <w:vAlign w:val="bottom"/>
          </w:tcPr>
          <w:p w:rsidR="002D3A4A" w:rsidRPr="0069236F" w:rsidRDefault="002D3A4A" w:rsidP="002D3A4A">
            <w:pPr>
              <w:spacing w:before="20" w:after="40" w:line="240" w:lineRule="exact"/>
              <w:rPr>
                <w:rFonts w:hint="cs"/>
                <w:b/>
                <w:bCs/>
                <w:sz w:val="16"/>
                <w:szCs w:val="24"/>
                <w:rtl/>
              </w:rPr>
            </w:pPr>
            <w:r w:rsidRPr="0069236F">
              <w:rPr>
                <w:rFonts w:hint="cs"/>
                <w:b/>
                <w:bCs/>
                <w:sz w:val="16"/>
                <w:szCs w:val="24"/>
                <w:rtl/>
              </w:rPr>
              <w:t>كليات الخدمة الاجتماعية</w:t>
            </w:r>
          </w:p>
        </w:tc>
        <w:tc>
          <w:tcPr>
            <w:tcW w:w="1005" w:type="dxa"/>
            <w:tcBorders>
              <w:bottom w:val="single" w:sz="4" w:space="0" w:color="auto"/>
            </w:tcBorders>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205</w:t>
            </w:r>
          </w:p>
        </w:tc>
        <w:tc>
          <w:tcPr>
            <w:tcW w:w="1133" w:type="dxa"/>
            <w:tcBorders>
              <w:bottom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105</w:t>
            </w:r>
          </w:p>
        </w:tc>
        <w:tc>
          <w:tcPr>
            <w:tcW w:w="1236" w:type="dxa"/>
            <w:tcBorders>
              <w:bottom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51.2</w:t>
            </w:r>
          </w:p>
        </w:tc>
        <w:tc>
          <w:tcPr>
            <w:tcW w:w="927" w:type="dxa"/>
            <w:tcBorders>
              <w:bottom w:val="single" w:sz="4" w:space="0" w:color="auto"/>
            </w:tcBorders>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167</w:t>
            </w:r>
          </w:p>
        </w:tc>
        <w:tc>
          <w:tcPr>
            <w:tcW w:w="1133" w:type="dxa"/>
            <w:tcBorders>
              <w:bottom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83</w:t>
            </w:r>
          </w:p>
        </w:tc>
        <w:tc>
          <w:tcPr>
            <w:tcW w:w="1132" w:type="dxa"/>
            <w:tcBorders>
              <w:bottom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49.7</w:t>
            </w:r>
          </w:p>
        </w:tc>
      </w:tr>
      <w:tr w:rsidR="002D3A4A" w:rsidRPr="0069236F">
        <w:tblPrEx>
          <w:tblCellMar>
            <w:top w:w="0" w:type="dxa"/>
            <w:bottom w:w="0" w:type="dxa"/>
          </w:tblCellMar>
        </w:tblPrEx>
        <w:trPr>
          <w:cantSplit/>
          <w:jc w:val="center"/>
        </w:trPr>
        <w:tc>
          <w:tcPr>
            <w:tcW w:w="3283" w:type="dxa"/>
            <w:tcBorders>
              <w:top w:val="single" w:sz="4" w:space="0" w:color="auto"/>
              <w:bottom w:val="single" w:sz="4" w:space="0" w:color="auto"/>
            </w:tcBorders>
            <w:shd w:val="clear" w:color="auto" w:fill="auto"/>
            <w:vAlign w:val="bottom"/>
          </w:tcPr>
          <w:p w:rsidR="002D3A4A" w:rsidRPr="0069236F" w:rsidRDefault="002D3A4A" w:rsidP="002D3A4A">
            <w:pPr>
              <w:spacing w:before="20" w:after="40" w:line="240" w:lineRule="exact"/>
              <w:rPr>
                <w:rFonts w:hint="cs"/>
                <w:b/>
                <w:bCs/>
                <w:sz w:val="16"/>
                <w:szCs w:val="24"/>
                <w:rtl/>
              </w:rPr>
            </w:pPr>
            <w:r w:rsidRPr="0069236F">
              <w:rPr>
                <w:rFonts w:hint="cs"/>
                <w:b/>
                <w:bCs/>
                <w:sz w:val="16"/>
                <w:szCs w:val="24"/>
                <w:rtl/>
              </w:rPr>
              <w:t>مجموع كليات التربية للتدريب المهني</w:t>
            </w:r>
          </w:p>
        </w:tc>
        <w:tc>
          <w:tcPr>
            <w:tcW w:w="1005" w:type="dxa"/>
            <w:tcBorders>
              <w:top w:val="single" w:sz="4" w:space="0" w:color="auto"/>
              <w:bottom w:val="single" w:sz="4" w:space="0" w:color="auto"/>
            </w:tcBorders>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150 25</w:t>
            </w:r>
          </w:p>
        </w:tc>
        <w:tc>
          <w:tcPr>
            <w:tcW w:w="1133" w:type="dxa"/>
            <w:tcBorders>
              <w:top w:val="single" w:sz="4" w:space="0" w:color="auto"/>
              <w:bottom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593 11</w:t>
            </w:r>
          </w:p>
        </w:tc>
        <w:tc>
          <w:tcPr>
            <w:tcW w:w="1236" w:type="dxa"/>
            <w:tcBorders>
              <w:top w:val="single" w:sz="4" w:space="0" w:color="auto"/>
              <w:bottom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46.1</w:t>
            </w:r>
          </w:p>
        </w:tc>
        <w:tc>
          <w:tcPr>
            <w:tcW w:w="927" w:type="dxa"/>
            <w:tcBorders>
              <w:top w:val="single" w:sz="4" w:space="0" w:color="auto"/>
              <w:bottom w:val="single" w:sz="4" w:space="0" w:color="auto"/>
            </w:tcBorders>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564 25</w:t>
            </w:r>
          </w:p>
        </w:tc>
        <w:tc>
          <w:tcPr>
            <w:tcW w:w="1133" w:type="dxa"/>
            <w:tcBorders>
              <w:top w:val="single" w:sz="4" w:space="0" w:color="auto"/>
              <w:bottom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796 11</w:t>
            </w:r>
          </w:p>
        </w:tc>
        <w:tc>
          <w:tcPr>
            <w:tcW w:w="1132" w:type="dxa"/>
            <w:tcBorders>
              <w:top w:val="single" w:sz="4" w:space="0" w:color="auto"/>
              <w:bottom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46.1</w:t>
            </w:r>
          </w:p>
        </w:tc>
      </w:tr>
      <w:tr w:rsidR="002D3A4A" w:rsidRPr="0069236F">
        <w:tblPrEx>
          <w:tblCellMar>
            <w:top w:w="0" w:type="dxa"/>
            <w:bottom w:w="0" w:type="dxa"/>
          </w:tblCellMar>
        </w:tblPrEx>
        <w:trPr>
          <w:cantSplit/>
          <w:jc w:val="center"/>
        </w:trPr>
        <w:tc>
          <w:tcPr>
            <w:tcW w:w="3283" w:type="dxa"/>
            <w:tcBorders>
              <w:top w:val="single" w:sz="4" w:space="0" w:color="auto"/>
            </w:tcBorders>
            <w:shd w:val="clear" w:color="auto" w:fill="auto"/>
            <w:vAlign w:val="bottom"/>
          </w:tcPr>
          <w:p w:rsidR="002D3A4A" w:rsidRPr="0069236F" w:rsidRDefault="002D3A4A" w:rsidP="002D3A4A">
            <w:pPr>
              <w:spacing w:before="20" w:after="40" w:line="240" w:lineRule="exact"/>
              <w:rPr>
                <w:rFonts w:hint="cs"/>
                <w:b/>
                <w:bCs/>
                <w:sz w:val="16"/>
                <w:szCs w:val="24"/>
                <w:rtl/>
              </w:rPr>
            </w:pPr>
            <w:r>
              <w:rPr>
                <w:rFonts w:hint="cs"/>
                <w:b/>
                <w:bCs/>
                <w:sz w:val="16"/>
                <w:szCs w:val="24"/>
                <w:rtl/>
              </w:rPr>
              <w:t>مجموع</w:t>
            </w:r>
          </w:p>
        </w:tc>
        <w:tc>
          <w:tcPr>
            <w:tcW w:w="1005" w:type="dxa"/>
            <w:tcBorders>
              <w:top w:val="single" w:sz="4" w:space="0" w:color="auto"/>
            </w:tcBorders>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443 1</w:t>
            </w:r>
          </w:p>
        </w:tc>
        <w:tc>
          <w:tcPr>
            <w:tcW w:w="1133" w:type="dxa"/>
            <w:tcBorders>
              <w:top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135 1</w:t>
            </w:r>
          </w:p>
        </w:tc>
        <w:tc>
          <w:tcPr>
            <w:tcW w:w="1236" w:type="dxa"/>
            <w:tcBorders>
              <w:top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78.7</w:t>
            </w:r>
          </w:p>
        </w:tc>
        <w:tc>
          <w:tcPr>
            <w:tcW w:w="927" w:type="dxa"/>
            <w:tcBorders>
              <w:top w:val="single" w:sz="4" w:space="0" w:color="auto"/>
            </w:tcBorders>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147 4</w:t>
            </w:r>
          </w:p>
        </w:tc>
        <w:tc>
          <w:tcPr>
            <w:tcW w:w="1133" w:type="dxa"/>
            <w:tcBorders>
              <w:top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345 2</w:t>
            </w:r>
          </w:p>
        </w:tc>
        <w:tc>
          <w:tcPr>
            <w:tcW w:w="1132" w:type="dxa"/>
            <w:tcBorders>
              <w:top w:val="single" w:sz="4" w:space="0" w:color="auto"/>
            </w:tcBorders>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56.5</w:t>
            </w:r>
          </w:p>
        </w:tc>
      </w:tr>
      <w:tr w:rsidR="002D3A4A" w:rsidRPr="0069236F">
        <w:tblPrEx>
          <w:tblCellMar>
            <w:top w:w="0" w:type="dxa"/>
            <w:bottom w:w="0" w:type="dxa"/>
          </w:tblCellMar>
        </w:tblPrEx>
        <w:trPr>
          <w:cantSplit/>
          <w:jc w:val="center"/>
        </w:trPr>
        <w:tc>
          <w:tcPr>
            <w:tcW w:w="3283" w:type="dxa"/>
            <w:shd w:val="clear" w:color="auto" w:fill="auto"/>
            <w:vAlign w:val="bottom"/>
          </w:tcPr>
          <w:p w:rsidR="002D3A4A" w:rsidRPr="0069236F" w:rsidRDefault="002D3A4A" w:rsidP="002D3A4A">
            <w:pPr>
              <w:spacing w:before="20" w:after="40" w:line="240" w:lineRule="exact"/>
              <w:rPr>
                <w:rFonts w:hint="cs"/>
                <w:b/>
                <w:bCs/>
                <w:sz w:val="16"/>
                <w:szCs w:val="24"/>
                <w:rtl/>
              </w:rPr>
            </w:pPr>
            <w:r w:rsidRPr="0069236F">
              <w:rPr>
                <w:rFonts w:hint="cs"/>
                <w:b/>
                <w:bCs/>
                <w:sz w:val="16"/>
                <w:szCs w:val="24"/>
                <w:rtl/>
              </w:rPr>
              <w:t>مجموع كليات التربية، المستوى الثالث</w:t>
            </w:r>
          </w:p>
        </w:tc>
        <w:tc>
          <w:tcPr>
            <w:tcW w:w="1005"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674 2</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171 1</w:t>
            </w:r>
          </w:p>
        </w:tc>
        <w:tc>
          <w:tcPr>
            <w:tcW w:w="1236"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43.8</w:t>
            </w:r>
          </w:p>
        </w:tc>
        <w:tc>
          <w:tcPr>
            <w:tcW w:w="927"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444 1</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138 1</w:t>
            </w:r>
          </w:p>
        </w:tc>
        <w:tc>
          <w:tcPr>
            <w:tcW w:w="113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78.8</w:t>
            </w:r>
          </w:p>
        </w:tc>
      </w:tr>
      <w:tr w:rsidR="002D3A4A" w:rsidRPr="0069236F">
        <w:tblPrEx>
          <w:tblCellMar>
            <w:top w:w="0" w:type="dxa"/>
            <w:bottom w:w="0" w:type="dxa"/>
          </w:tblCellMar>
        </w:tblPrEx>
        <w:trPr>
          <w:cantSplit/>
          <w:jc w:val="center"/>
        </w:trPr>
        <w:tc>
          <w:tcPr>
            <w:tcW w:w="3283" w:type="dxa"/>
            <w:shd w:val="clear" w:color="auto" w:fill="auto"/>
            <w:vAlign w:val="bottom"/>
          </w:tcPr>
          <w:p w:rsidR="002D3A4A" w:rsidRPr="0069236F" w:rsidRDefault="002D3A4A" w:rsidP="002D3A4A">
            <w:pPr>
              <w:spacing w:before="20" w:after="40" w:line="240" w:lineRule="exact"/>
              <w:rPr>
                <w:rFonts w:hint="cs"/>
                <w:b/>
                <w:bCs/>
                <w:sz w:val="16"/>
                <w:szCs w:val="24"/>
                <w:rtl/>
              </w:rPr>
            </w:pPr>
            <w:r w:rsidRPr="0069236F">
              <w:rPr>
                <w:rFonts w:hint="cs"/>
                <w:b/>
                <w:bCs/>
                <w:sz w:val="16"/>
                <w:szCs w:val="24"/>
                <w:rtl/>
              </w:rPr>
              <w:t>المجموع بالنسبة لتدريب المعلمين</w:t>
            </w:r>
          </w:p>
        </w:tc>
        <w:tc>
          <w:tcPr>
            <w:tcW w:w="1005"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117 4</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306 2</w:t>
            </w:r>
          </w:p>
        </w:tc>
        <w:tc>
          <w:tcPr>
            <w:tcW w:w="1236"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56.0</w:t>
            </w:r>
          </w:p>
        </w:tc>
        <w:tc>
          <w:tcPr>
            <w:tcW w:w="927" w:type="dxa"/>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703 2</w:t>
            </w:r>
          </w:p>
        </w:tc>
        <w:tc>
          <w:tcPr>
            <w:tcW w:w="1133"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207 1</w:t>
            </w:r>
          </w:p>
        </w:tc>
        <w:tc>
          <w:tcPr>
            <w:tcW w:w="1132" w:type="dxa"/>
            <w:shd w:val="clear" w:color="auto" w:fill="auto"/>
            <w:vAlign w:val="bottom"/>
          </w:tcPr>
          <w:p w:rsidR="002D3A4A" w:rsidRPr="0069236F" w:rsidRDefault="002D3A4A" w:rsidP="002D3A4A">
            <w:pPr>
              <w:spacing w:before="20" w:after="40" w:line="240" w:lineRule="exact"/>
              <w:rPr>
                <w:rFonts w:hint="cs"/>
                <w:sz w:val="16"/>
                <w:szCs w:val="24"/>
                <w:rtl/>
              </w:rPr>
            </w:pPr>
            <w:r>
              <w:rPr>
                <w:rFonts w:hint="cs"/>
                <w:sz w:val="16"/>
                <w:szCs w:val="24"/>
                <w:rtl/>
              </w:rPr>
              <w:t>44.7</w:t>
            </w:r>
          </w:p>
        </w:tc>
      </w:tr>
      <w:tr w:rsidR="002D3A4A" w:rsidRPr="0069236F">
        <w:tblPrEx>
          <w:tblCellMar>
            <w:top w:w="0" w:type="dxa"/>
            <w:bottom w:w="0" w:type="dxa"/>
          </w:tblCellMar>
        </w:tblPrEx>
        <w:trPr>
          <w:cantSplit/>
          <w:jc w:val="center"/>
        </w:trPr>
        <w:tc>
          <w:tcPr>
            <w:tcW w:w="3283" w:type="dxa"/>
            <w:tcBorders>
              <w:bottom w:val="single" w:sz="12" w:space="0" w:color="auto"/>
            </w:tcBorders>
            <w:shd w:val="clear" w:color="auto" w:fill="D9D9D9"/>
            <w:vAlign w:val="bottom"/>
          </w:tcPr>
          <w:p w:rsidR="002D3A4A" w:rsidRPr="0069236F" w:rsidRDefault="002D3A4A" w:rsidP="002D3A4A">
            <w:pPr>
              <w:spacing w:before="20" w:after="40" w:line="240" w:lineRule="exact"/>
              <w:rPr>
                <w:rFonts w:hint="cs"/>
                <w:b/>
                <w:bCs/>
                <w:sz w:val="16"/>
                <w:szCs w:val="24"/>
                <w:rtl/>
              </w:rPr>
            </w:pPr>
            <w:r w:rsidRPr="0069236F">
              <w:rPr>
                <w:rFonts w:hint="cs"/>
                <w:b/>
                <w:bCs/>
                <w:sz w:val="16"/>
                <w:szCs w:val="24"/>
                <w:rtl/>
              </w:rPr>
              <w:t>المجموع بالنسبة لكل المدارس</w:t>
            </w:r>
          </w:p>
        </w:tc>
        <w:tc>
          <w:tcPr>
            <w:tcW w:w="1005" w:type="dxa"/>
            <w:tcBorders>
              <w:bottom w:val="single" w:sz="12" w:space="0" w:color="auto"/>
            </w:tcBorders>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270 124</w:t>
            </w:r>
          </w:p>
        </w:tc>
        <w:tc>
          <w:tcPr>
            <w:tcW w:w="1133" w:type="dxa"/>
            <w:tcBorders>
              <w:bottom w:val="single" w:sz="12" w:space="0" w:color="auto"/>
            </w:tcBorders>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309 83</w:t>
            </w:r>
          </w:p>
        </w:tc>
        <w:tc>
          <w:tcPr>
            <w:tcW w:w="1236" w:type="dxa"/>
            <w:tcBorders>
              <w:bottom w:val="single" w:sz="12" w:space="0" w:color="auto"/>
            </w:tcBorders>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67.0</w:t>
            </w:r>
          </w:p>
        </w:tc>
        <w:tc>
          <w:tcPr>
            <w:tcW w:w="927" w:type="dxa"/>
            <w:tcBorders>
              <w:bottom w:val="single" w:sz="12" w:space="0" w:color="auto"/>
            </w:tcBorders>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358 124</w:t>
            </w:r>
          </w:p>
        </w:tc>
        <w:tc>
          <w:tcPr>
            <w:tcW w:w="1133" w:type="dxa"/>
            <w:tcBorders>
              <w:bottom w:val="single" w:sz="12" w:space="0" w:color="auto"/>
            </w:tcBorders>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860 83</w:t>
            </w:r>
          </w:p>
        </w:tc>
        <w:tc>
          <w:tcPr>
            <w:tcW w:w="1132" w:type="dxa"/>
            <w:tcBorders>
              <w:bottom w:val="single" w:sz="12" w:space="0" w:color="auto"/>
            </w:tcBorders>
            <w:shd w:val="clear" w:color="auto" w:fill="D9D9D9"/>
            <w:vAlign w:val="bottom"/>
          </w:tcPr>
          <w:p w:rsidR="002D3A4A" w:rsidRPr="0069236F" w:rsidRDefault="002D3A4A" w:rsidP="002D3A4A">
            <w:pPr>
              <w:spacing w:before="20" w:after="40" w:line="240" w:lineRule="exact"/>
              <w:rPr>
                <w:rFonts w:hint="cs"/>
                <w:sz w:val="16"/>
                <w:szCs w:val="24"/>
                <w:rtl/>
              </w:rPr>
            </w:pPr>
            <w:r>
              <w:rPr>
                <w:rFonts w:hint="cs"/>
                <w:sz w:val="16"/>
                <w:szCs w:val="24"/>
                <w:rtl/>
              </w:rPr>
              <w:t>67.4</w:t>
            </w:r>
          </w:p>
        </w:tc>
      </w:tr>
    </w:tbl>
    <w:p w:rsidR="002D3A4A" w:rsidRPr="0032035A" w:rsidRDefault="002D3A4A" w:rsidP="002D3A4A">
      <w:pPr>
        <w:spacing w:line="120" w:lineRule="exact"/>
        <w:rPr>
          <w:rFonts w:hint="cs"/>
          <w:sz w:val="10"/>
          <w:rtl/>
        </w:rPr>
      </w:pPr>
    </w:p>
    <w:p w:rsidR="002D3A4A" w:rsidRDefault="002D3A4A" w:rsidP="002D3A4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20" w:lineRule="exact"/>
        <w:ind w:left="1264" w:right="1264" w:hanging="1264"/>
        <w:rPr>
          <w:rFonts w:hint="cs"/>
          <w:rtl/>
        </w:rPr>
      </w:pPr>
      <w:r>
        <w:rPr>
          <w:rFonts w:hint="cs"/>
          <w:rtl/>
        </w:rPr>
        <w:tab/>
      </w:r>
      <w:r>
        <w:rPr>
          <w:rFonts w:hint="cs"/>
          <w:rtl/>
        </w:rPr>
        <w:tab/>
      </w:r>
      <w:r>
        <w:rPr>
          <w:rtl/>
        </w:rPr>
        <w:br w:type="column"/>
      </w:r>
      <w:r>
        <w:rPr>
          <w:rFonts w:hint="cs"/>
          <w:rtl/>
        </w:rPr>
        <w:t>خريجو المدارس الثانوية العليا</w:t>
      </w:r>
    </w:p>
    <w:p w:rsidR="002D3A4A" w:rsidRDefault="002D3A4A" w:rsidP="002D3A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20" w:lineRule="exact"/>
        <w:ind w:left="1264" w:right="1264" w:hanging="1264"/>
        <w:jc w:val="lowKashida"/>
        <w:rPr>
          <w:rFonts w:hint="cs"/>
          <w:rtl/>
          <w:lang w:bidi="ar-LB"/>
        </w:rPr>
      </w:pPr>
      <w:r>
        <w:rPr>
          <w:rFonts w:hint="cs"/>
          <w:rtl/>
        </w:rPr>
        <w:tab/>
      </w:r>
      <w:r>
        <w:rPr>
          <w:rFonts w:hint="cs"/>
          <w:rtl/>
        </w:rPr>
        <w:tab/>
        <w:t>الخريجون النمساويون والأجانب</w:t>
      </w:r>
      <w:r w:rsidRPr="001B42DA">
        <w:rPr>
          <w:rFonts w:hint="cs"/>
          <w:vertAlign w:val="superscript"/>
          <w:rtl/>
        </w:rPr>
        <w:t>(1)</w:t>
      </w:r>
      <w:r>
        <w:rPr>
          <w:rFonts w:hint="cs"/>
          <w:rtl/>
        </w:rPr>
        <w:t xml:space="preserve"> </w:t>
      </w:r>
      <w:r>
        <w:rPr>
          <w:rFonts w:hint="cs"/>
          <w:rtl/>
          <w:lang w:bidi="ar-LB"/>
        </w:rPr>
        <w:t>من المدارس الثانوية العليا، موزعين بحسب الجنس وصفوف التخرج لعام 1990 والفترة 1999-2003</w:t>
      </w:r>
    </w:p>
    <w:tbl>
      <w:tblPr>
        <w:bidiVisual/>
        <w:tblW w:w="10879" w:type="dxa"/>
        <w:jc w:val="center"/>
        <w:tblInd w:w="-284" w:type="dxa"/>
        <w:tblLayout w:type="fixed"/>
        <w:tblCellMar>
          <w:left w:w="0" w:type="dxa"/>
          <w:right w:w="0" w:type="dxa"/>
        </w:tblCellMar>
        <w:tblLook w:val="0000" w:firstRow="0" w:lastRow="0" w:firstColumn="0" w:lastColumn="0" w:noHBand="0" w:noVBand="0"/>
      </w:tblPr>
      <w:tblGrid>
        <w:gridCol w:w="2309"/>
        <w:gridCol w:w="721"/>
        <w:gridCol w:w="721"/>
        <w:gridCol w:w="515"/>
        <w:gridCol w:w="783"/>
        <w:gridCol w:w="515"/>
        <w:gridCol w:w="721"/>
        <w:gridCol w:w="618"/>
        <w:gridCol w:w="721"/>
        <w:gridCol w:w="618"/>
        <w:gridCol w:w="721"/>
        <w:gridCol w:w="515"/>
        <w:gridCol w:w="721"/>
        <w:gridCol w:w="680"/>
      </w:tblGrid>
      <w:tr w:rsidR="002D3A4A" w:rsidRPr="00576B60">
        <w:tblPrEx>
          <w:tblCellMar>
            <w:top w:w="0" w:type="dxa"/>
            <w:bottom w:w="0" w:type="dxa"/>
          </w:tblCellMar>
        </w:tblPrEx>
        <w:trPr>
          <w:cantSplit/>
          <w:tblHeader/>
          <w:jc w:val="center"/>
        </w:trPr>
        <w:tc>
          <w:tcPr>
            <w:tcW w:w="10879" w:type="dxa"/>
            <w:gridSpan w:val="14"/>
            <w:tcBorders>
              <w:top w:val="single" w:sz="4" w:space="0" w:color="auto"/>
            </w:tcBorders>
            <w:shd w:val="clear" w:color="auto" w:fill="auto"/>
            <w:tcMar>
              <w:left w:w="0" w:type="dxa"/>
              <w:right w:w="0" w:type="dxa"/>
            </w:tcMar>
            <w:vAlign w:val="bottom"/>
          </w:tcPr>
          <w:p w:rsidR="002D3A4A" w:rsidRPr="00576B60" w:rsidRDefault="002D3A4A" w:rsidP="002D3A4A">
            <w:pPr>
              <w:spacing w:before="80" w:after="80" w:line="240" w:lineRule="exact"/>
              <w:jc w:val="center"/>
              <w:rPr>
                <w:rFonts w:hint="cs"/>
                <w:i/>
                <w:iCs/>
                <w:sz w:val="16"/>
                <w:szCs w:val="24"/>
                <w:rtl/>
              </w:rPr>
            </w:pPr>
            <w:r w:rsidRPr="00576B60">
              <w:rPr>
                <w:rFonts w:hint="cs"/>
                <w:i/>
                <w:iCs/>
                <w:sz w:val="16"/>
                <w:szCs w:val="24"/>
                <w:rtl/>
              </w:rPr>
              <w:t>سنة التخرج</w:t>
            </w:r>
          </w:p>
        </w:tc>
      </w:tr>
      <w:tr w:rsidR="002D3A4A" w:rsidRPr="00576B60">
        <w:tblPrEx>
          <w:tblCellMar>
            <w:top w:w="0" w:type="dxa"/>
            <w:bottom w:w="0" w:type="dxa"/>
          </w:tblCellMar>
        </w:tblPrEx>
        <w:trPr>
          <w:cantSplit/>
          <w:tblHeader/>
          <w:jc w:val="center"/>
        </w:trPr>
        <w:tc>
          <w:tcPr>
            <w:tcW w:w="2309" w:type="dxa"/>
            <w:shd w:val="clear" w:color="auto" w:fill="auto"/>
            <w:tcMar>
              <w:left w:w="0" w:type="dxa"/>
              <w:right w:w="0" w:type="dxa"/>
            </w:tcMar>
            <w:vAlign w:val="bottom"/>
          </w:tcPr>
          <w:p w:rsidR="002D3A4A" w:rsidRPr="00576B60" w:rsidRDefault="002D3A4A" w:rsidP="002D3A4A">
            <w:pPr>
              <w:spacing w:after="80" w:line="240" w:lineRule="exact"/>
              <w:ind w:right="144"/>
              <w:jc w:val="lowKashida"/>
              <w:rPr>
                <w:rFonts w:hint="cs"/>
                <w:i/>
                <w:iCs/>
                <w:sz w:val="16"/>
                <w:szCs w:val="24"/>
                <w:rtl/>
              </w:rPr>
            </w:pPr>
          </w:p>
        </w:tc>
        <w:tc>
          <w:tcPr>
            <w:tcW w:w="721" w:type="dxa"/>
            <w:shd w:val="clear" w:color="auto" w:fill="auto"/>
            <w:vAlign w:val="bottom"/>
          </w:tcPr>
          <w:p w:rsidR="002D3A4A" w:rsidRPr="00576B60" w:rsidRDefault="002D3A4A" w:rsidP="002D3A4A">
            <w:pPr>
              <w:spacing w:after="80" w:line="240" w:lineRule="exact"/>
              <w:ind w:right="144"/>
              <w:jc w:val="lowKashida"/>
              <w:rPr>
                <w:rFonts w:hint="cs"/>
                <w:i/>
                <w:iCs/>
                <w:sz w:val="16"/>
                <w:szCs w:val="24"/>
                <w:rtl/>
              </w:rPr>
            </w:pPr>
          </w:p>
        </w:tc>
        <w:tc>
          <w:tcPr>
            <w:tcW w:w="1236" w:type="dxa"/>
            <w:gridSpan w:val="2"/>
            <w:tcBorders>
              <w:top w:val="single" w:sz="4" w:space="0" w:color="auto"/>
              <w:bottom w:val="single" w:sz="4" w:space="0" w:color="auto"/>
            </w:tcBorders>
            <w:shd w:val="clear" w:color="auto" w:fill="auto"/>
            <w:vAlign w:val="bottom"/>
          </w:tcPr>
          <w:p w:rsidR="002D3A4A" w:rsidRPr="00576B60" w:rsidRDefault="002D3A4A" w:rsidP="002D3A4A">
            <w:pPr>
              <w:spacing w:after="80" w:line="240" w:lineRule="exact"/>
              <w:ind w:right="144"/>
              <w:jc w:val="center"/>
              <w:rPr>
                <w:rFonts w:hint="cs"/>
                <w:i/>
                <w:iCs/>
                <w:sz w:val="16"/>
                <w:szCs w:val="24"/>
                <w:rtl/>
              </w:rPr>
            </w:pPr>
            <w:r w:rsidRPr="00576B60">
              <w:rPr>
                <w:rFonts w:hint="cs"/>
                <w:i/>
                <w:iCs/>
                <w:sz w:val="16"/>
                <w:szCs w:val="24"/>
                <w:rtl/>
              </w:rPr>
              <w:t>1990</w:t>
            </w:r>
          </w:p>
        </w:tc>
        <w:tc>
          <w:tcPr>
            <w:tcW w:w="1298" w:type="dxa"/>
            <w:gridSpan w:val="2"/>
            <w:tcBorders>
              <w:top w:val="single" w:sz="4" w:space="0" w:color="auto"/>
              <w:bottom w:val="single" w:sz="4" w:space="0" w:color="auto"/>
            </w:tcBorders>
            <w:shd w:val="clear" w:color="auto" w:fill="auto"/>
            <w:vAlign w:val="bottom"/>
          </w:tcPr>
          <w:p w:rsidR="002D3A4A" w:rsidRPr="00576B60" w:rsidRDefault="002D3A4A" w:rsidP="002D3A4A">
            <w:pPr>
              <w:spacing w:after="80" w:line="240" w:lineRule="exact"/>
              <w:ind w:right="144"/>
              <w:jc w:val="center"/>
              <w:rPr>
                <w:rFonts w:hint="cs"/>
                <w:i/>
                <w:iCs/>
                <w:sz w:val="16"/>
                <w:szCs w:val="24"/>
                <w:rtl/>
              </w:rPr>
            </w:pPr>
            <w:r w:rsidRPr="00576B60">
              <w:rPr>
                <w:rFonts w:hint="cs"/>
                <w:i/>
                <w:iCs/>
                <w:sz w:val="16"/>
                <w:szCs w:val="24"/>
                <w:rtl/>
              </w:rPr>
              <w:t>1999</w:t>
            </w:r>
          </w:p>
        </w:tc>
        <w:tc>
          <w:tcPr>
            <w:tcW w:w="1339" w:type="dxa"/>
            <w:gridSpan w:val="2"/>
            <w:tcBorders>
              <w:top w:val="single" w:sz="4" w:space="0" w:color="auto"/>
              <w:bottom w:val="single" w:sz="4" w:space="0" w:color="auto"/>
            </w:tcBorders>
            <w:shd w:val="clear" w:color="auto" w:fill="auto"/>
            <w:vAlign w:val="bottom"/>
          </w:tcPr>
          <w:p w:rsidR="002D3A4A" w:rsidRPr="00576B60" w:rsidRDefault="002D3A4A" w:rsidP="002D3A4A">
            <w:pPr>
              <w:spacing w:after="80" w:line="240" w:lineRule="exact"/>
              <w:ind w:right="144"/>
              <w:jc w:val="center"/>
              <w:rPr>
                <w:rFonts w:hint="cs"/>
                <w:i/>
                <w:iCs/>
                <w:sz w:val="16"/>
                <w:szCs w:val="24"/>
                <w:rtl/>
              </w:rPr>
            </w:pPr>
            <w:r w:rsidRPr="00576B60">
              <w:rPr>
                <w:rFonts w:hint="cs"/>
                <w:i/>
                <w:iCs/>
                <w:sz w:val="16"/>
                <w:szCs w:val="24"/>
                <w:rtl/>
              </w:rPr>
              <w:t>2000</w:t>
            </w:r>
          </w:p>
        </w:tc>
        <w:tc>
          <w:tcPr>
            <w:tcW w:w="1339" w:type="dxa"/>
            <w:gridSpan w:val="2"/>
            <w:tcBorders>
              <w:top w:val="single" w:sz="4" w:space="0" w:color="auto"/>
              <w:bottom w:val="single" w:sz="4" w:space="0" w:color="auto"/>
            </w:tcBorders>
            <w:shd w:val="clear" w:color="auto" w:fill="auto"/>
            <w:vAlign w:val="bottom"/>
          </w:tcPr>
          <w:p w:rsidR="002D3A4A" w:rsidRPr="00576B60" w:rsidRDefault="002D3A4A" w:rsidP="002D3A4A">
            <w:pPr>
              <w:spacing w:after="80" w:line="240" w:lineRule="exact"/>
              <w:ind w:right="144"/>
              <w:jc w:val="center"/>
              <w:rPr>
                <w:rFonts w:hint="cs"/>
                <w:i/>
                <w:iCs/>
                <w:sz w:val="16"/>
                <w:szCs w:val="24"/>
                <w:rtl/>
              </w:rPr>
            </w:pPr>
            <w:r w:rsidRPr="00576B60">
              <w:rPr>
                <w:rFonts w:hint="cs"/>
                <w:i/>
                <w:iCs/>
                <w:sz w:val="16"/>
                <w:szCs w:val="24"/>
                <w:rtl/>
              </w:rPr>
              <w:t>2001</w:t>
            </w:r>
          </w:p>
        </w:tc>
        <w:tc>
          <w:tcPr>
            <w:tcW w:w="1236" w:type="dxa"/>
            <w:gridSpan w:val="2"/>
            <w:tcBorders>
              <w:top w:val="single" w:sz="4" w:space="0" w:color="auto"/>
              <w:bottom w:val="single" w:sz="4" w:space="0" w:color="auto"/>
            </w:tcBorders>
            <w:shd w:val="clear" w:color="auto" w:fill="auto"/>
            <w:vAlign w:val="bottom"/>
          </w:tcPr>
          <w:p w:rsidR="002D3A4A" w:rsidRPr="00576B60" w:rsidRDefault="002D3A4A" w:rsidP="002D3A4A">
            <w:pPr>
              <w:spacing w:after="80" w:line="240" w:lineRule="exact"/>
              <w:ind w:right="144"/>
              <w:jc w:val="center"/>
              <w:rPr>
                <w:rFonts w:hint="cs"/>
                <w:i/>
                <w:iCs/>
                <w:sz w:val="16"/>
                <w:szCs w:val="24"/>
                <w:rtl/>
              </w:rPr>
            </w:pPr>
            <w:r w:rsidRPr="00576B60">
              <w:rPr>
                <w:rFonts w:hint="cs"/>
                <w:i/>
                <w:iCs/>
                <w:sz w:val="16"/>
                <w:szCs w:val="24"/>
                <w:rtl/>
              </w:rPr>
              <w:t>2002</w:t>
            </w:r>
          </w:p>
        </w:tc>
        <w:tc>
          <w:tcPr>
            <w:tcW w:w="1401" w:type="dxa"/>
            <w:gridSpan w:val="2"/>
            <w:tcBorders>
              <w:top w:val="single" w:sz="4" w:space="0" w:color="auto"/>
              <w:bottom w:val="single" w:sz="4" w:space="0" w:color="auto"/>
            </w:tcBorders>
            <w:shd w:val="clear" w:color="auto" w:fill="auto"/>
            <w:vAlign w:val="bottom"/>
          </w:tcPr>
          <w:p w:rsidR="002D3A4A" w:rsidRPr="00576B60" w:rsidRDefault="002D3A4A" w:rsidP="002D3A4A">
            <w:pPr>
              <w:spacing w:after="80" w:line="240" w:lineRule="exact"/>
              <w:ind w:right="144"/>
              <w:jc w:val="center"/>
              <w:rPr>
                <w:rFonts w:hint="cs"/>
                <w:i/>
                <w:iCs/>
                <w:sz w:val="16"/>
                <w:szCs w:val="24"/>
                <w:rtl/>
              </w:rPr>
            </w:pPr>
            <w:r w:rsidRPr="00576B60">
              <w:rPr>
                <w:rFonts w:hint="cs"/>
                <w:i/>
                <w:iCs/>
                <w:sz w:val="16"/>
                <w:szCs w:val="24"/>
                <w:rtl/>
              </w:rPr>
              <w:t>2003</w:t>
            </w:r>
          </w:p>
        </w:tc>
      </w:tr>
      <w:tr w:rsidR="002D3A4A" w:rsidRPr="00576B60">
        <w:tblPrEx>
          <w:tblCellMar>
            <w:top w:w="0" w:type="dxa"/>
            <w:bottom w:w="0" w:type="dxa"/>
          </w:tblCellMar>
        </w:tblPrEx>
        <w:trPr>
          <w:cantSplit/>
          <w:tblHeader/>
          <w:jc w:val="center"/>
        </w:trPr>
        <w:tc>
          <w:tcPr>
            <w:tcW w:w="2309" w:type="dxa"/>
            <w:tcBorders>
              <w:bottom w:val="single" w:sz="12" w:space="0" w:color="auto"/>
            </w:tcBorders>
            <w:shd w:val="clear" w:color="auto" w:fill="auto"/>
            <w:vAlign w:val="bottom"/>
          </w:tcPr>
          <w:p w:rsidR="002D3A4A" w:rsidRPr="00576B60" w:rsidRDefault="002D3A4A" w:rsidP="002D3A4A">
            <w:pPr>
              <w:spacing w:after="80" w:line="240" w:lineRule="exact"/>
              <w:ind w:right="144"/>
              <w:jc w:val="lowKashida"/>
              <w:rPr>
                <w:rFonts w:hint="cs"/>
                <w:i/>
                <w:iCs/>
                <w:sz w:val="16"/>
                <w:szCs w:val="24"/>
                <w:rtl/>
              </w:rPr>
            </w:pPr>
            <w:r w:rsidRPr="00576B60">
              <w:rPr>
                <w:rFonts w:hint="cs"/>
                <w:i/>
                <w:iCs/>
                <w:sz w:val="16"/>
                <w:szCs w:val="24"/>
                <w:rtl/>
              </w:rPr>
              <w:t>نوع المدرسة</w:t>
            </w:r>
          </w:p>
        </w:tc>
        <w:tc>
          <w:tcPr>
            <w:tcW w:w="721" w:type="dxa"/>
            <w:tcBorders>
              <w:bottom w:val="single" w:sz="12" w:space="0" w:color="auto"/>
            </w:tcBorders>
            <w:shd w:val="clear" w:color="auto" w:fill="auto"/>
            <w:vAlign w:val="bottom"/>
          </w:tcPr>
          <w:p w:rsidR="002D3A4A" w:rsidRPr="00576B60" w:rsidRDefault="002D3A4A" w:rsidP="002D3A4A">
            <w:pPr>
              <w:spacing w:after="80" w:line="240" w:lineRule="exact"/>
              <w:ind w:right="144"/>
              <w:jc w:val="lowKashida"/>
              <w:rPr>
                <w:rFonts w:hint="cs"/>
                <w:i/>
                <w:iCs/>
                <w:sz w:val="16"/>
                <w:szCs w:val="24"/>
                <w:rtl/>
              </w:rPr>
            </w:pPr>
          </w:p>
        </w:tc>
        <w:tc>
          <w:tcPr>
            <w:tcW w:w="721" w:type="dxa"/>
            <w:tcBorders>
              <w:bottom w:val="single" w:sz="12" w:space="0" w:color="auto"/>
            </w:tcBorders>
            <w:shd w:val="clear" w:color="auto" w:fill="D9D9D9"/>
            <w:vAlign w:val="bottom"/>
          </w:tcPr>
          <w:p w:rsidR="002D3A4A" w:rsidRPr="00576B60" w:rsidRDefault="002D3A4A" w:rsidP="002D3A4A">
            <w:pPr>
              <w:spacing w:after="80" w:line="240" w:lineRule="exact"/>
              <w:ind w:right="144"/>
              <w:jc w:val="lowKashida"/>
              <w:rPr>
                <w:rFonts w:hint="cs"/>
                <w:i/>
                <w:iCs/>
                <w:sz w:val="16"/>
                <w:szCs w:val="24"/>
                <w:rtl/>
                <w:lang w:bidi="ar-LB"/>
              </w:rPr>
            </w:pPr>
            <w:r w:rsidRPr="00576B60">
              <w:rPr>
                <w:rFonts w:hint="cs"/>
                <w:i/>
                <w:iCs/>
                <w:sz w:val="16"/>
                <w:szCs w:val="24"/>
                <w:rtl/>
              </w:rPr>
              <w:t>المجموع</w:t>
            </w:r>
          </w:p>
        </w:tc>
        <w:tc>
          <w:tcPr>
            <w:tcW w:w="515" w:type="dxa"/>
            <w:tcBorders>
              <w:bottom w:val="single" w:sz="12" w:space="0" w:color="auto"/>
            </w:tcBorders>
            <w:shd w:val="clear" w:color="auto" w:fill="auto"/>
            <w:vAlign w:val="bottom"/>
          </w:tcPr>
          <w:p w:rsidR="002D3A4A" w:rsidRPr="00576B60" w:rsidRDefault="002D3A4A" w:rsidP="002D3A4A">
            <w:pPr>
              <w:spacing w:after="80" w:line="240" w:lineRule="exact"/>
              <w:ind w:right="144"/>
              <w:jc w:val="lowKashida"/>
              <w:rPr>
                <w:rFonts w:hint="cs"/>
                <w:i/>
                <w:iCs/>
                <w:sz w:val="16"/>
                <w:szCs w:val="24"/>
                <w:rtl/>
              </w:rPr>
            </w:pPr>
            <w:r w:rsidRPr="00576B60">
              <w:rPr>
                <w:rFonts w:hint="cs"/>
                <w:i/>
                <w:iCs/>
                <w:sz w:val="16"/>
                <w:szCs w:val="24"/>
                <w:rtl/>
              </w:rPr>
              <w:t>نسبة النساء</w:t>
            </w:r>
          </w:p>
        </w:tc>
        <w:tc>
          <w:tcPr>
            <w:tcW w:w="783" w:type="dxa"/>
            <w:tcBorders>
              <w:bottom w:val="single" w:sz="12" w:space="0" w:color="auto"/>
            </w:tcBorders>
            <w:shd w:val="clear" w:color="auto" w:fill="D9D9D9"/>
            <w:vAlign w:val="bottom"/>
          </w:tcPr>
          <w:p w:rsidR="002D3A4A" w:rsidRPr="00576B60" w:rsidRDefault="002D3A4A" w:rsidP="002D3A4A">
            <w:pPr>
              <w:spacing w:after="80" w:line="240" w:lineRule="exact"/>
              <w:ind w:right="144"/>
              <w:jc w:val="lowKashida"/>
              <w:rPr>
                <w:rFonts w:hint="cs"/>
                <w:i/>
                <w:iCs/>
                <w:sz w:val="16"/>
                <w:szCs w:val="24"/>
                <w:rtl/>
                <w:lang w:bidi="ar-LB"/>
              </w:rPr>
            </w:pPr>
            <w:r w:rsidRPr="00576B60">
              <w:rPr>
                <w:rFonts w:hint="cs"/>
                <w:i/>
                <w:iCs/>
                <w:sz w:val="16"/>
                <w:szCs w:val="24"/>
                <w:rtl/>
              </w:rPr>
              <w:t>المجموع</w:t>
            </w:r>
          </w:p>
        </w:tc>
        <w:tc>
          <w:tcPr>
            <w:tcW w:w="515" w:type="dxa"/>
            <w:tcBorders>
              <w:bottom w:val="single" w:sz="12" w:space="0" w:color="auto"/>
            </w:tcBorders>
            <w:shd w:val="clear" w:color="auto" w:fill="auto"/>
            <w:vAlign w:val="bottom"/>
          </w:tcPr>
          <w:p w:rsidR="002D3A4A" w:rsidRPr="00576B60" w:rsidRDefault="002D3A4A" w:rsidP="002D3A4A">
            <w:pPr>
              <w:spacing w:after="80" w:line="240" w:lineRule="exact"/>
              <w:ind w:right="144"/>
              <w:jc w:val="lowKashida"/>
              <w:rPr>
                <w:rFonts w:hint="cs"/>
                <w:i/>
                <w:iCs/>
                <w:sz w:val="16"/>
                <w:szCs w:val="24"/>
                <w:rtl/>
              </w:rPr>
            </w:pPr>
            <w:r w:rsidRPr="00576B60">
              <w:rPr>
                <w:rFonts w:hint="cs"/>
                <w:i/>
                <w:iCs/>
                <w:sz w:val="16"/>
                <w:szCs w:val="24"/>
                <w:rtl/>
              </w:rPr>
              <w:t>نسبة النساء</w:t>
            </w:r>
          </w:p>
        </w:tc>
        <w:tc>
          <w:tcPr>
            <w:tcW w:w="721" w:type="dxa"/>
            <w:tcBorders>
              <w:bottom w:val="single" w:sz="12" w:space="0" w:color="auto"/>
            </w:tcBorders>
            <w:shd w:val="clear" w:color="auto" w:fill="D9D9D9"/>
            <w:vAlign w:val="bottom"/>
          </w:tcPr>
          <w:p w:rsidR="002D3A4A" w:rsidRPr="00576B60" w:rsidRDefault="002D3A4A" w:rsidP="002D3A4A">
            <w:pPr>
              <w:spacing w:after="80" w:line="240" w:lineRule="exact"/>
              <w:ind w:right="144"/>
              <w:jc w:val="lowKashida"/>
              <w:rPr>
                <w:rFonts w:hint="cs"/>
                <w:i/>
                <w:iCs/>
                <w:sz w:val="16"/>
                <w:szCs w:val="24"/>
                <w:rtl/>
                <w:lang w:bidi="ar-LB"/>
              </w:rPr>
            </w:pPr>
            <w:r w:rsidRPr="00576B60">
              <w:rPr>
                <w:rFonts w:hint="cs"/>
                <w:i/>
                <w:iCs/>
                <w:sz w:val="16"/>
                <w:szCs w:val="24"/>
                <w:rtl/>
              </w:rPr>
              <w:t>المجموع</w:t>
            </w:r>
          </w:p>
        </w:tc>
        <w:tc>
          <w:tcPr>
            <w:tcW w:w="618" w:type="dxa"/>
            <w:tcBorders>
              <w:bottom w:val="single" w:sz="12" w:space="0" w:color="auto"/>
            </w:tcBorders>
            <w:shd w:val="clear" w:color="auto" w:fill="auto"/>
            <w:vAlign w:val="bottom"/>
          </w:tcPr>
          <w:p w:rsidR="002D3A4A" w:rsidRPr="00576B60" w:rsidRDefault="002D3A4A" w:rsidP="002D3A4A">
            <w:pPr>
              <w:spacing w:after="80" w:line="240" w:lineRule="exact"/>
              <w:ind w:right="144"/>
              <w:jc w:val="lowKashida"/>
              <w:rPr>
                <w:rFonts w:hint="cs"/>
                <w:i/>
                <w:iCs/>
                <w:sz w:val="16"/>
                <w:szCs w:val="24"/>
                <w:rtl/>
              </w:rPr>
            </w:pPr>
            <w:r w:rsidRPr="00576B60">
              <w:rPr>
                <w:rFonts w:hint="cs"/>
                <w:i/>
                <w:iCs/>
                <w:sz w:val="16"/>
                <w:szCs w:val="24"/>
                <w:rtl/>
              </w:rPr>
              <w:t>نسبة النساء</w:t>
            </w:r>
          </w:p>
        </w:tc>
        <w:tc>
          <w:tcPr>
            <w:tcW w:w="721" w:type="dxa"/>
            <w:tcBorders>
              <w:bottom w:val="single" w:sz="12" w:space="0" w:color="auto"/>
            </w:tcBorders>
            <w:shd w:val="clear" w:color="auto" w:fill="D9D9D9"/>
            <w:vAlign w:val="bottom"/>
          </w:tcPr>
          <w:p w:rsidR="002D3A4A" w:rsidRDefault="002D3A4A" w:rsidP="002D3A4A">
            <w:pPr>
              <w:spacing w:after="80" w:line="240" w:lineRule="exact"/>
              <w:ind w:right="144"/>
              <w:jc w:val="lowKashida"/>
              <w:rPr>
                <w:rFonts w:hint="cs"/>
                <w:i/>
                <w:iCs/>
                <w:sz w:val="16"/>
                <w:szCs w:val="24"/>
                <w:rtl/>
                <w:lang w:bidi="ar-LB"/>
              </w:rPr>
            </w:pPr>
            <w:r w:rsidRPr="00576B60">
              <w:rPr>
                <w:rFonts w:hint="cs"/>
                <w:i/>
                <w:iCs/>
                <w:sz w:val="16"/>
                <w:szCs w:val="24"/>
                <w:rtl/>
              </w:rPr>
              <w:t>المجموع</w:t>
            </w:r>
          </w:p>
          <w:p w:rsidR="002D3A4A" w:rsidRPr="00576B60" w:rsidRDefault="002D3A4A" w:rsidP="002D3A4A">
            <w:pPr>
              <w:spacing w:after="80" w:line="240" w:lineRule="exact"/>
              <w:ind w:right="144"/>
              <w:jc w:val="lowKashida"/>
              <w:rPr>
                <w:rFonts w:hint="cs"/>
                <w:i/>
                <w:iCs/>
                <w:sz w:val="16"/>
                <w:szCs w:val="24"/>
                <w:rtl/>
                <w:lang w:bidi="ar-LB"/>
              </w:rPr>
            </w:pPr>
          </w:p>
        </w:tc>
        <w:tc>
          <w:tcPr>
            <w:tcW w:w="618" w:type="dxa"/>
            <w:tcBorders>
              <w:bottom w:val="single" w:sz="12" w:space="0" w:color="auto"/>
            </w:tcBorders>
            <w:shd w:val="clear" w:color="auto" w:fill="auto"/>
            <w:vAlign w:val="bottom"/>
          </w:tcPr>
          <w:p w:rsidR="002D3A4A" w:rsidRPr="00576B60" w:rsidRDefault="002D3A4A" w:rsidP="002D3A4A">
            <w:pPr>
              <w:spacing w:after="80" w:line="240" w:lineRule="exact"/>
              <w:ind w:right="144"/>
              <w:jc w:val="lowKashida"/>
              <w:rPr>
                <w:rFonts w:hint="cs"/>
                <w:i/>
                <w:iCs/>
                <w:sz w:val="16"/>
                <w:szCs w:val="24"/>
                <w:rtl/>
              </w:rPr>
            </w:pPr>
            <w:r w:rsidRPr="00576B60">
              <w:rPr>
                <w:rFonts w:hint="cs"/>
                <w:i/>
                <w:iCs/>
                <w:sz w:val="16"/>
                <w:szCs w:val="24"/>
                <w:rtl/>
              </w:rPr>
              <w:t>نسبة النساء</w:t>
            </w:r>
          </w:p>
        </w:tc>
        <w:tc>
          <w:tcPr>
            <w:tcW w:w="721" w:type="dxa"/>
            <w:tcBorders>
              <w:bottom w:val="single" w:sz="12" w:space="0" w:color="auto"/>
            </w:tcBorders>
            <w:shd w:val="clear" w:color="auto" w:fill="D9D9D9"/>
            <w:vAlign w:val="bottom"/>
          </w:tcPr>
          <w:p w:rsidR="002D3A4A" w:rsidRDefault="002D3A4A" w:rsidP="002D3A4A">
            <w:pPr>
              <w:spacing w:after="80" w:line="240" w:lineRule="exact"/>
              <w:ind w:right="144"/>
              <w:jc w:val="lowKashida"/>
              <w:rPr>
                <w:rFonts w:hint="cs"/>
                <w:i/>
                <w:iCs/>
                <w:sz w:val="16"/>
                <w:szCs w:val="24"/>
                <w:rtl/>
                <w:lang w:bidi="ar-LB"/>
              </w:rPr>
            </w:pPr>
            <w:r w:rsidRPr="00576B60">
              <w:rPr>
                <w:rFonts w:hint="cs"/>
                <w:i/>
                <w:iCs/>
                <w:sz w:val="16"/>
                <w:szCs w:val="24"/>
                <w:rtl/>
              </w:rPr>
              <w:t>المجموع</w:t>
            </w:r>
          </w:p>
          <w:p w:rsidR="002D3A4A" w:rsidRPr="00576B60" w:rsidRDefault="002D3A4A" w:rsidP="002D3A4A">
            <w:pPr>
              <w:spacing w:after="80" w:line="240" w:lineRule="exact"/>
              <w:ind w:right="144"/>
              <w:jc w:val="lowKashida"/>
              <w:rPr>
                <w:rFonts w:hint="cs"/>
                <w:i/>
                <w:iCs/>
                <w:sz w:val="16"/>
                <w:szCs w:val="24"/>
                <w:rtl/>
                <w:lang w:bidi="ar-LB"/>
              </w:rPr>
            </w:pPr>
          </w:p>
        </w:tc>
        <w:tc>
          <w:tcPr>
            <w:tcW w:w="515" w:type="dxa"/>
            <w:tcBorders>
              <w:bottom w:val="single" w:sz="12" w:space="0" w:color="auto"/>
            </w:tcBorders>
            <w:shd w:val="clear" w:color="auto" w:fill="auto"/>
            <w:vAlign w:val="bottom"/>
          </w:tcPr>
          <w:p w:rsidR="002D3A4A" w:rsidRPr="00576B60" w:rsidRDefault="002D3A4A" w:rsidP="002D3A4A">
            <w:pPr>
              <w:spacing w:after="80" w:line="240" w:lineRule="exact"/>
              <w:ind w:right="144"/>
              <w:jc w:val="lowKashida"/>
              <w:rPr>
                <w:rFonts w:hint="cs"/>
                <w:i/>
                <w:iCs/>
                <w:sz w:val="16"/>
                <w:szCs w:val="24"/>
                <w:rtl/>
              </w:rPr>
            </w:pPr>
            <w:r w:rsidRPr="00576B60">
              <w:rPr>
                <w:rFonts w:hint="cs"/>
                <w:i/>
                <w:iCs/>
                <w:sz w:val="16"/>
                <w:szCs w:val="24"/>
                <w:rtl/>
              </w:rPr>
              <w:t>نسبة النساء</w:t>
            </w:r>
          </w:p>
        </w:tc>
        <w:tc>
          <w:tcPr>
            <w:tcW w:w="721" w:type="dxa"/>
            <w:tcBorders>
              <w:bottom w:val="single" w:sz="12" w:space="0" w:color="auto"/>
            </w:tcBorders>
            <w:shd w:val="clear" w:color="auto" w:fill="D9D9D9"/>
            <w:vAlign w:val="bottom"/>
          </w:tcPr>
          <w:p w:rsidR="002D3A4A" w:rsidRDefault="002D3A4A" w:rsidP="002D3A4A">
            <w:pPr>
              <w:spacing w:after="80" w:line="240" w:lineRule="exact"/>
              <w:ind w:right="144"/>
              <w:jc w:val="lowKashida"/>
              <w:rPr>
                <w:rFonts w:hint="cs"/>
                <w:i/>
                <w:iCs/>
                <w:sz w:val="16"/>
                <w:szCs w:val="24"/>
                <w:rtl/>
                <w:lang w:bidi="ar-LB"/>
              </w:rPr>
            </w:pPr>
            <w:r w:rsidRPr="00576B60">
              <w:rPr>
                <w:rFonts w:hint="cs"/>
                <w:i/>
                <w:iCs/>
                <w:sz w:val="16"/>
                <w:szCs w:val="24"/>
                <w:rtl/>
              </w:rPr>
              <w:t>المجموع</w:t>
            </w:r>
          </w:p>
          <w:p w:rsidR="002D3A4A" w:rsidRPr="00576B60" w:rsidRDefault="002D3A4A" w:rsidP="002D3A4A">
            <w:pPr>
              <w:spacing w:after="80" w:line="240" w:lineRule="exact"/>
              <w:ind w:right="144"/>
              <w:jc w:val="lowKashida"/>
              <w:rPr>
                <w:rFonts w:hint="cs"/>
                <w:i/>
                <w:iCs/>
                <w:sz w:val="16"/>
                <w:szCs w:val="24"/>
                <w:rtl/>
                <w:lang w:bidi="ar-LB"/>
              </w:rPr>
            </w:pPr>
          </w:p>
        </w:tc>
        <w:tc>
          <w:tcPr>
            <w:tcW w:w="680" w:type="dxa"/>
            <w:tcBorders>
              <w:bottom w:val="single" w:sz="12" w:space="0" w:color="auto"/>
            </w:tcBorders>
            <w:shd w:val="clear" w:color="auto" w:fill="auto"/>
            <w:vAlign w:val="bottom"/>
          </w:tcPr>
          <w:p w:rsidR="002D3A4A" w:rsidRPr="00576B60" w:rsidRDefault="002D3A4A" w:rsidP="002D3A4A">
            <w:pPr>
              <w:spacing w:after="80" w:line="240" w:lineRule="exact"/>
              <w:ind w:right="144"/>
              <w:jc w:val="lowKashida"/>
              <w:rPr>
                <w:rFonts w:hint="cs"/>
                <w:i/>
                <w:iCs/>
                <w:sz w:val="16"/>
                <w:szCs w:val="24"/>
                <w:rtl/>
              </w:rPr>
            </w:pPr>
            <w:r w:rsidRPr="00576B60">
              <w:rPr>
                <w:rFonts w:hint="cs"/>
                <w:i/>
                <w:iCs/>
                <w:sz w:val="16"/>
                <w:szCs w:val="24"/>
                <w:rtl/>
              </w:rPr>
              <w:t>نسبة النساء</w:t>
            </w:r>
          </w:p>
        </w:tc>
      </w:tr>
      <w:tr w:rsidR="002D3A4A" w:rsidRPr="00576B60">
        <w:tblPrEx>
          <w:tblCellMar>
            <w:top w:w="0" w:type="dxa"/>
            <w:bottom w:w="0" w:type="dxa"/>
          </w:tblCellMar>
        </w:tblPrEx>
        <w:trPr>
          <w:cantSplit/>
          <w:trHeight w:hRule="exact" w:val="115"/>
          <w:tblHeader/>
          <w:jc w:val="center"/>
        </w:trPr>
        <w:tc>
          <w:tcPr>
            <w:tcW w:w="2309" w:type="dxa"/>
            <w:tcBorders>
              <w:top w:val="single" w:sz="12" w:space="0" w:color="auto"/>
            </w:tcBorders>
            <w:shd w:val="clear" w:color="auto" w:fill="auto"/>
            <w:vAlign w:val="bottom"/>
          </w:tcPr>
          <w:p w:rsidR="002D3A4A" w:rsidRPr="00576B60" w:rsidRDefault="002D3A4A" w:rsidP="002D3A4A">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2D3A4A" w:rsidRPr="00576B60" w:rsidRDefault="002D3A4A" w:rsidP="002D3A4A">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D9D9D9"/>
            <w:vAlign w:val="bottom"/>
          </w:tcPr>
          <w:p w:rsidR="002D3A4A" w:rsidRPr="00576B60" w:rsidRDefault="002D3A4A" w:rsidP="002D3A4A">
            <w:pPr>
              <w:spacing w:before="40" w:after="80" w:line="240" w:lineRule="exact"/>
              <w:ind w:right="144"/>
              <w:jc w:val="lowKashida"/>
              <w:rPr>
                <w:rFonts w:hint="cs"/>
                <w:sz w:val="16"/>
                <w:szCs w:val="24"/>
                <w:rtl/>
              </w:rPr>
            </w:pPr>
          </w:p>
        </w:tc>
        <w:tc>
          <w:tcPr>
            <w:tcW w:w="515" w:type="dxa"/>
            <w:tcBorders>
              <w:top w:val="single" w:sz="12" w:space="0" w:color="auto"/>
            </w:tcBorders>
            <w:shd w:val="clear" w:color="auto" w:fill="auto"/>
            <w:vAlign w:val="bottom"/>
          </w:tcPr>
          <w:p w:rsidR="002D3A4A" w:rsidRPr="00576B60" w:rsidRDefault="002D3A4A" w:rsidP="002D3A4A">
            <w:pPr>
              <w:spacing w:before="40" w:after="80" w:line="240" w:lineRule="exact"/>
              <w:ind w:right="144"/>
              <w:jc w:val="lowKashida"/>
              <w:rPr>
                <w:rFonts w:hint="cs"/>
                <w:sz w:val="16"/>
                <w:szCs w:val="24"/>
                <w:rtl/>
              </w:rPr>
            </w:pPr>
          </w:p>
        </w:tc>
        <w:tc>
          <w:tcPr>
            <w:tcW w:w="783" w:type="dxa"/>
            <w:tcBorders>
              <w:top w:val="single" w:sz="12" w:space="0" w:color="auto"/>
            </w:tcBorders>
            <w:shd w:val="clear" w:color="auto" w:fill="D9D9D9"/>
            <w:vAlign w:val="bottom"/>
          </w:tcPr>
          <w:p w:rsidR="002D3A4A" w:rsidRPr="00576B60" w:rsidRDefault="002D3A4A" w:rsidP="002D3A4A">
            <w:pPr>
              <w:spacing w:before="40" w:after="80" w:line="240" w:lineRule="exact"/>
              <w:ind w:right="144"/>
              <w:jc w:val="lowKashida"/>
              <w:rPr>
                <w:rFonts w:hint="cs"/>
                <w:sz w:val="16"/>
                <w:szCs w:val="24"/>
                <w:rtl/>
              </w:rPr>
            </w:pPr>
          </w:p>
        </w:tc>
        <w:tc>
          <w:tcPr>
            <w:tcW w:w="515" w:type="dxa"/>
            <w:tcBorders>
              <w:top w:val="single" w:sz="12" w:space="0" w:color="auto"/>
            </w:tcBorders>
            <w:shd w:val="clear" w:color="auto" w:fill="auto"/>
            <w:vAlign w:val="bottom"/>
          </w:tcPr>
          <w:p w:rsidR="002D3A4A" w:rsidRPr="00576B60" w:rsidRDefault="002D3A4A" w:rsidP="002D3A4A">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D9D9D9"/>
            <w:vAlign w:val="bottom"/>
          </w:tcPr>
          <w:p w:rsidR="002D3A4A" w:rsidRPr="00576B60" w:rsidRDefault="002D3A4A" w:rsidP="002D3A4A">
            <w:pPr>
              <w:spacing w:before="40" w:after="80" w:line="240" w:lineRule="exact"/>
              <w:ind w:right="144"/>
              <w:jc w:val="lowKashida"/>
              <w:rPr>
                <w:rFonts w:hint="cs"/>
                <w:sz w:val="16"/>
                <w:szCs w:val="24"/>
                <w:rtl/>
              </w:rPr>
            </w:pPr>
          </w:p>
        </w:tc>
        <w:tc>
          <w:tcPr>
            <w:tcW w:w="618" w:type="dxa"/>
            <w:tcBorders>
              <w:top w:val="single" w:sz="12" w:space="0" w:color="auto"/>
            </w:tcBorders>
            <w:shd w:val="clear" w:color="auto" w:fill="auto"/>
            <w:vAlign w:val="bottom"/>
          </w:tcPr>
          <w:p w:rsidR="002D3A4A" w:rsidRPr="00576B60" w:rsidRDefault="002D3A4A" w:rsidP="002D3A4A">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D9D9D9"/>
            <w:vAlign w:val="bottom"/>
          </w:tcPr>
          <w:p w:rsidR="002D3A4A" w:rsidRPr="00576B60" w:rsidRDefault="002D3A4A" w:rsidP="002D3A4A">
            <w:pPr>
              <w:spacing w:before="40" w:after="80" w:line="240" w:lineRule="exact"/>
              <w:ind w:right="144"/>
              <w:jc w:val="lowKashida"/>
              <w:rPr>
                <w:rFonts w:hint="cs"/>
                <w:sz w:val="16"/>
                <w:szCs w:val="24"/>
                <w:rtl/>
              </w:rPr>
            </w:pPr>
          </w:p>
        </w:tc>
        <w:tc>
          <w:tcPr>
            <w:tcW w:w="618" w:type="dxa"/>
            <w:tcBorders>
              <w:top w:val="single" w:sz="12" w:space="0" w:color="auto"/>
            </w:tcBorders>
            <w:shd w:val="clear" w:color="auto" w:fill="auto"/>
            <w:vAlign w:val="bottom"/>
          </w:tcPr>
          <w:p w:rsidR="002D3A4A" w:rsidRPr="00576B60" w:rsidRDefault="002D3A4A" w:rsidP="002D3A4A">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D9D9D9"/>
            <w:vAlign w:val="bottom"/>
          </w:tcPr>
          <w:p w:rsidR="002D3A4A" w:rsidRPr="00576B60" w:rsidRDefault="002D3A4A" w:rsidP="002D3A4A">
            <w:pPr>
              <w:spacing w:before="40" w:after="80" w:line="240" w:lineRule="exact"/>
              <w:ind w:right="144"/>
              <w:jc w:val="lowKashida"/>
              <w:rPr>
                <w:rFonts w:hint="cs"/>
                <w:sz w:val="16"/>
                <w:szCs w:val="24"/>
                <w:rtl/>
              </w:rPr>
            </w:pPr>
          </w:p>
        </w:tc>
        <w:tc>
          <w:tcPr>
            <w:tcW w:w="515" w:type="dxa"/>
            <w:tcBorders>
              <w:top w:val="single" w:sz="12" w:space="0" w:color="auto"/>
            </w:tcBorders>
            <w:shd w:val="clear" w:color="auto" w:fill="auto"/>
            <w:vAlign w:val="bottom"/>
          </w:tcPr>
          <w:p w:rsidR="002D3A4A" w:rsidRPr="00576B60" w:rsidRDefault="002D3A4A" w:rsidP="002D3A4A">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D9D9D9"/>
            <w:vAlign w:val="bottom"/>
          </w:tcPr>
          <w:p w:rsidR="002D3A4A" w:rsidRPr="00576B60" w:rsidRDefault="002D3A4A" w:rsidP="002D3A4A">
            <w:pPr>
              <w:spacing w:before="40" w:after="80" w:line="240" w:lineRule="exact"/>
              <w:ind w:right="144"/>
              <w:jc w:val="lowKashida"/>
              <w:rPr>
                <w:rFonts w:hint="cs"/>
                <w:sz w:val="16"/>
                <w:szCs w:val="24"/>
                <w:rtl/>
              </w:rPr>
            </w:pPr>
          </w:p>
        </w:tc>
        <w:tc>
          <w:tcPr>
            <w:tcW w:w="680" w:type="dxa"/>
            <w:tcBorders>
              <w:top w:val="single" w:sz="12" w:space="0" w:color="auto"/>
            </w:tcBorders>
            <w:shd w:val="clear" w:color="auto" w:fill="auto"/>
            <w:vAlign w:val="bottom"/>
          </w:tcPr>
          <w:p w:rsidR="002D3A4A" w:rsidRPr="00576B60" w:rsidRDefault="002D3A4A" w:rsidP="002D3A4A">
            <w:pPr>
              <w:spacing w:before="40" w:after="80" w:line="240" w:lineRule="exact"/>
              <w:ind w:right="144"/>
              <w:jc w:val="lowKashida"/>
              <w:rPr>
                <w:rFonts w:hint="cs"/>
                <w:sz w:val="16"/>
                <w:szCs w:val="24"/>
                <w:rtl/>
              </w:rPr>
            </w:pPr>
          </w:p>
        </w:tc>
      </w:tr>
      <w:tr w:rsidR="002D3A4A" w:rsidRPr="00576B60">
        <w:tblPrEx>
          <w:tblCellMar>
            <w:top w:w="0" w:type="dxa"/>
            <w:bottom w:w="0" w:type="dxa"/>
          </w:tblCellMar>
        </w:tblPrEx>
        <w:trPr>
          <w:cantSplit/>
          <w:jc w:val="center"/>
        </w:trPr>
        <w:tc>
          <w:tcPr>
            <w:tcW w:w="2309" w:type="dxa"/>
            <w:vMerge w:val="restart"/>
            <w:shd w:val="clear" w:color="auto" w:fill="auto"/>
          </w:tcPr>
          <w:p w:rsidR="002D3A4A" w:rsidRPr="00576B60" w:rsidRDefault="002D3A4A" w:rsidP="002D3A4A">
            <w:pPr>
              <w:spacing w:before="40" w:after="80" w:line="240" w:lineRule="exact"/>
              <w:jc w:val="lowKashida"/>
              <w:rPr>
                <w:rFonts w:hint="cs"/>
                <w:sz w:val="16"/>
                <w:szCs w:val="24"/>
                <w:rtl/>
              </w:rPr>
            </w:pPr>
            <w:r w:rsidRPr="00576B60">
              <w:rPr>
                <w:rFonts w:hint="cs"/>
                <w:sz w:val="16"/>
                <w:szCs w:val="24"/>
                <w:rtl/>
              </w:rPr>
              <w:t>المدارس العليا للتعليم العام (المدارس الثانوية)</w:t>
            </w:r>
            <w:r w:rsidRPr="001B42DA">
              <w:rPr>
                <w:rFonts w:hint="cs"/>
                <w:sz w:val="16"/>
                <w:szCs w:val="24"/>
                <w:vertAlign w:val="superscript"/>
                <w:rtl/>
              </w:rPr>
              <w:t>(2)</w:t>
            </w:r>
            <w:r w:rsidRPr="00576B60">
              <w:rPr>
                <w:rFonts w:hint="cs"/>
                <w:sz w:val="16"/>
                <w:szCs w:val="24"/>
                <w:rtl/>
              </w:rPr>
              <w:t xml:space="preserve"> (من الصف 5 إلى الصف 12)</w:t>
            </w:r>
          </w:p>
        </w:tc>
        <w:tc>
          <w:tcPr>
            <w:tcW w:w="721"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الرجال</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204 5</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83"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816 5</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531 5</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368 5</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974 4</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071 5</w:t>
            </w:r>
          </w:p>
        </w:tc>
        <w:tc>
          <w:tcPr>
            <w:tcW w:w="680" w:type="dxa"/>
            <w:shd w:val="clear" w:color="auto" w:fill="auto"/>
            <w:vAlign w:val="bottom"/>
          </w:tcPr>
          <w:p w:rsidR="002D3A4A" w:rsidRPr="00576B60" w:rsidRDefault="002D3A4A" w:rsidP="002D3A4A">
            <w:pPr>
              <w:spacing w:before="40" w:after="80" w:line="240" w:lineRule="exact"/>
              <w:rPr>
                <w:rFonts w:hint="cs"/>
                <w:sz w:val="16"/>
                <w:szCs w:val="24"/>
                <w:rtl/>
              </w:rPr>
            </w:pPr>
          </w:p>
        </w:tc>
      </w:tr>
      <w:tr w:rsidR="002D3A4A" w:rsidRPr="00576B60">
        <w:tblPrEx>
          <w:tblCellMar>
            <w:top w:w="0" w:type="dxa"/>
            <w:bottom w:w="0" w:type="dxa"/>
          </w:tblCellMar>
        </w:tblPrEx>
        <w:trPr>
          <w:cantSplit/>
          <w:jc w:val="center"/>
        </w:trPr>
        <w:tc>
          <w:tcPr>
            <w:tcW w:w="2309" w:type="dxa"/>
            <w:vMerge/>
            <w:shd w:val="clear" w:color="auto" w:fill="auto"/>
            <w:vAlign w:val="bottom"/>
          </w:tcPr>
          <w:p w:rsidR="002D3A4A" w:rsidRPr="00576B60" w:rsidRDefault="002D3A4A" w:rsidP="002D3A4A">
            <w:pPr>
              <w:spacing w:before="40" w:after="80" w:line="240" w:lineRule="exact"/>
              <w:jc w:val="lowKashida"/>
              <w:rPr>
                <w:rFonts w:hint="cs"/>
                <w:sz w:val="16"/>
                <w:szCs w:val="24"/>
                <w:rtl/>
              </w:rPr>
            </w:pPr>
          </w:p>
        </w:tc>
        <w:tc>
          <w:tcPr>
            <w:tcW w:w="721"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النساء</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820 5</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83"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246 7</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277 7</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980 6</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478 6</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551 6</w:t>
            </w:r>
          </w:p>
        </w:tc>
        <w:tc>
          <w:tcPr>
            <w:tcW w:w="680" w:type="dxa"/>
            <w:shd w:val="clear" w:color="auto" w:fill="auto"/>
            <w:vAlign w:val="bottom"/>
          </w:tcPr>
          <w:p w:rsidR="002D3A4A" w:rsidRPr="00576B60" w:rsidRDefault="002D3A4A" w:rsidP="002D3A4A">
            <w:pPr>
              <w:spacing w:before="40" w:after="80" w:line="240" w:lineRule="exact"/>
              <w:rPr>
                <w:rFonts w:hint="cs"/>
                <w:sz w:val="16"/>
                <w:szCs w:val="24"/>
                <w:rtl/>
              </w:rPr>
            </w:pPr>
          </w:p>
        </w:tc>
      </w:tr>
      <w:tr w:rsidR="002D3A4A" w:rsidRPr="00576B60">
        <w:tblPrEx>
          <w:tblCellMar>
            <w:top w:w="0" w:type="dxa"/>
            <w:bottom w:w="0" w:type="dxa"/>
          </w:tblCellMar>
        </w:tblPrEx>
        <w:trPr>
          <w:cantSplit/>
          <w:jc w:val="center"/>
        </w:trPr>
        <w:tc>
          <w:tcPr>
            <w:tcW w:w="2309" w:type="dxa"/>
            <w:vMerge/>
            <w:shd w:val="clear" w:color="auto" w:fill="auto"/>
            <w:vAlign w:val="bottom"/>
          </w:tcPr>
          <w:p w:rsidR="002D3A4A" w:rsidRPr="00576B60" w:rsidRDefault="002D3A4A" w:rsidP="002D3A4A">
            <w:pPr>
              <w:spacing w:before="40" w:after="80" w:line="240" w:lineRule="exact"/>
              <w:jc w:val="lowKashida"/>
              <w:rPr>
                <w:rFonts w:hint="cs"/>
                <w:sz w:val="16"/>
                <w:szCs w:val="24"/>
                <w:rtl/>
              </w:rPr>
            </w:pPr>
          </w:p>
        </w:tc>
        <w:tc>
          <w:tcPr>
            <w:tcW w:w="721"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المجموع</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024 11</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52.8</w:t>
            </w:r>
          </w:p>
        </w:tc>
        <w:tc>
          <w:tcPr>
            <w:tcW w:w="783"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062 13</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55.5</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808 12</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56.8</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348 12</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56.5</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452 11</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56.6</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622 11</w:t>
            </w:r>
          </w:p>
        </w:tc>
        <w:tc>
          <w:tcPr>
            <w:tcW w:w="680"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56.4</w:t>
            </w:r>
          </w:p>
        </w:tc>
      </w:tr>
      <w:tr w:rsidR="002D3A4A" w:rsidRPr="00576B60">
        <w:tblPrEx>
          <w:tblCellMar>
            <w:top w:w="0" w:type="dxa"/>
            <w:bottom w:w="0" w:type="dxa"/>
          </w:tblCellMar>
        </w:tblPrEx>
        <w:trPr>
          <w:cantSplit/>
          <w:jc w:val="center"/>
        </w:trPr>
        <w:tc>
          <w:tcPr>
            <w:tcW w:w="2309" w:type="dxa"/>
            <w:vMerge w:val="restart"/>
            <w:shd w:val="clear" w:color="auto" w:fill="auto"/>
          </w:tcPr>
          <w:p w:rsidR="002D3A4A" w:rsidRPr="00576B60" w:rsidRDefault="002D3A4A" w:rsidP="002D3A4A">
            <w:pPr>
              <w:spacing w:before="40" w:after="80" w:line="240" w:lineRule="exact"/>
              <w:jc w:val="lowKashida"/>
              <w:rPr>
                <w:rFonts w:hint="cs"/>
                <w:sz w:val="16"/>
                <w:szCs w:val="24"/>
                <w:rtl/>
              </w:rPr>
            </w:pPr>
            <w:r w:rsidRPr="00576B60">
              <w:rPr>
                <w:rFonts w:hint="cs"/>
                <w:sz w:val="16"/>
                <w:szCs w:val="24"/>
                <w:rtl/>
              </w:rPr>
              <w:t>المدارس الثانوية</w:t>
            </w:r>
          </w:p>
          <w:p w:rsidR="002D3A4A" w:rsidRPr="00576B60" w:rsidRDefault="002D3A4A" w:rsidP="002D3A4A">
            <w:pPr>
              <w:spacing w:before="40" w:after="80" w:line="240" w:lineRule="exact"/>
              <w:jc w:val="lowKashida"/>
              <w:rPr>
                <w:rFonts w:hint="cs"/>
                <w:sz w:val="16"/>
                <w:szCs w:val="24"/>
                <w:rtl/>
              </w:rPr>
            </w:pPr>
            <w:r w:rsidRPr="00576B60">
              <w:rPr>
                <w:rFonts w:hint="cs"/>
                <w:sz w:val="16"/>
                <w:szCs w:val="24"/>
                <w:rtl/>
              </w:rPr>
              <w:t>(من الصف 9 إلى الصف 12)</w:t>
            </w:r>
          </w:p>
        </w:tc>
        <w:tc>
          <w:tcPr>
            <w:tcW w:w="721"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الرجال</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730 1</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83"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725 1</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617 1</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573 1</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493 1</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551 1</w:t>
            </w:r>
          </w:p>
        </w:tc>
        <w:tc>
          <w:tcPr>
            <w:tcW w:w="680" w:type="dxa"/>
            <w:shd w:val="clear" w:color="auto" w:fill="auto"/>
            <w:vAlign w:val="bottom"/>
          </w:tcPr>
          <w:p w:rsidR="002D3A4A" w:rsidRPr="00576B60" w:rsidRDefault="002D3A4A" w:rsidP="002D3A4A">
            <w:pPr>
              <w:spacing w:before="40" w:after="80" w:line="240" w:lineRule="exact"/>
              <w:rPr>
                <w:rFonts w:hint="cs"/>
                <w:sz w:val="16"/>
                <w:szCs w:val="24"/>
                <w:rtl/>
              </w:rPr>
            </w:pPr>
          </w:p>
        </w:tc>
      </w:tr>
      <w:tr w:rsidR="002D3A4A" w:rsidRPr="00576B60">
        <w:tblPrEx>
          <w:tblCellMar>
            <w:top w:w="0" w:type="dxa"/>
            <w:bottom w:w="0" w:type="dxa"/>
          </w:tblCellMar>
        </w:tblPrEx>
        <w:trPr>
          <w:cantSplit/>
          <w:jc w:val="center"/>
        </w:trPr>
        <w:tc>
          <w:tcPr>
            <w:tcW w:w="2309" w:type="dxa"/>
            <w:vMerge/>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النساء</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357 2</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83"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221 3</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182 3</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944 2</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825 2</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779 2</w:t>
            </w:r>
          </w:p>
        </w:tc>
        <w:tc>
          <w:tcPr>
            <w:tcW w:w="680" w:type="dxa"/>
            <w:shd w:val="clear" w:color="auto" w:fill="auto"/>
            <w:vAlign w:val="bottom"/>
          </w:tcPr>
          <w:p w:rsidR="002D3A4A" w:rsidRPr="00576B60" w:rsidRDefault="002D3A4A" w:rsidP="002D3A4A">
            <w:pPr>
              <w:spacing w:before="40" w:after="80" w:line="240" w:lineRule="exact"/>
              <w:rPr>
                <w:rFonts w:hint="cs"/>
                <w:sz w:val="16"/>
                <w:szCs w:val="24"/>
                <w:rtl/>
              </w:rPr>
            </w:pPr>
          </w:p>
        </w:tc>
      </w:tr>
      <w:tr w:rsidR="002D3A4A" w:rsidRPr="00576B60">
        <w:tblPrEx>
          <w:tblCellMar>
            <w:top w:w="0" w:type="dxa"/>
            <w:bottom w:w="0" w:type="dxa"/>
          </w:tblCellMar>
        </w:tblPrEx>
        <w:trPr>
          <w:cantSplit/>
          <w:trHeight w:val="74"/>
          <w:jc w:val="center"/>
        </w:trPr>
        <w:tc>
          <w:tcPr>
            <w:tcW w:w="2309" w:type="dxa"/>
            <w:vMerge/>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المجموع</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087 4</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57.7</w:t>
            </w:r>
          </w:p>
        </w:tc>
        <w:tc>
          <w:tcPr>
            <w:tcW w:w="783"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946 4</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65.1</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799 4</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66.3</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517 4</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65.2</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318 4</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65.4</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330 4</w:t>
            </w:r>
          </w:p>
        </w:tc>
        <w:tc>
          <w:tcPr>
            <w:tcW w:w="680"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64.2</w:t>
            </w:r>
          </w:p>
        </w:tc>
      </w:tr>
      <w:tr w:rsidR="002D3A4A" w:rsidRPr="00576B60">
        <w:tblPrEx>
          <w:tblCellMar>
            <w:top w:w="0" w:type="dxa"/>
            <w:bottom w:w="0" w:type="dxa"/>
          </w:tblCellMar>
        </w:tblPrEx>
        <w:trPr>
          <w:cantSplit/>
          <w:jc w:val="center"/>
        </w:trPr>
        <w:tc>
          <w:tcPr>
            <w:tcW w:w="2309" w:type="dxa"/>
            <w:vMerge w:val="restart"/>
            <w:shd w:val="clear" w:color="auto" w:fill="auto"/>
          </w:tcPr>
          <w:p w:rsidR="002D3A4A" w:rsidRPr="00576B60" w:rsidRDefault="002D3A4A" w:rsidP="002D3A4A">
            <w:pPr>
              <w:spacing w:before="40" w:after="80" w:line="240" w:lineRule="exact"/>
              <w:jc w:val="lowKashida"/>
              <w:rPr>
                <w:rFonts w:hint="cs"/>
                <w:sz w:val="16"/>
                <w:szCs w:val="24"/>
                <w:rtl/>
              </w:rPr>
            </w:pPr>
            <w:r w:rsidRPr="00576B60">
              <w:rPr>
                <w:rFonts w:hint="cs"/>
                <w:sz w:val="16"/>
                <w:szCs w:val="24"/>
                <w:rtl/>
              </w:rPr>
              <w:t>المدارس العليا للتعليم العام</w:t>
            </w:r>
          </w:p>
          <w:p w:rsidR="002D3A4A" w:rsidRPr="00576B60" w:rsidRDefault="002D3A4A" w:rsidP="002D3A4A">
            <w:pPr>
              <w:spacing w:before="40" w:after="80" w:line="240" w:lineRule="exact"/>
              <w:jc w:val="lowKashida"/>
              <w:rPr>
                <w:rFonts w:hint="cs"/>
                <w:sz w:val="16"/>
                <w:szCs w:val="24"/>
                <w:rtl/>
              </w:rPr>
            </w:pPr>
            <w:r w:rsidRPr="00576B60">
              <w:rPr>
                <w:rFonts w:hint="cs"/>
                <w:sz w:val="16"/>
                <w:szCs w:val="24"/>
                <w:rtl/>
              </w:rPr>
              <w:t>(أنواع خاصة)</w:t>
            </w:r>
            <w:r w:rsidRPr="00576B60">
              <w:rPr>
                <w:sz w:val="16"/>
                <w:szCs w:val="24"/>
                <w:vertAlign w:val="superscript"/>
                <w:rtl/>
              </w:rPr>
              <w:t>(</w:t>
            </w:r>
            <w:r>
              <w:rPr>
                <w:rFonts w:hint="cs"/>
                <w:sz w:val="16"/>
                <w:szCs w:val="24"/>
                <w:vertAlign w:val="superscript"/>
                <w:rtl/>
              </w:rPr>
              <w:t xml:space="preserve">3 </w:t>
            </w:r>
            <w:r w:rsidRPr="00576B60">
              <w:rPr>
                <w:sz w:val="16"/>
                <w:szCs w:val="24"/>
                <w:vertAlign w:val="superscript"/>
                <w:rtl/>
              </w:rPr>
              <w:t>)</w:t>
            </w:r>
          </w:p>
        </w:tc>
        <w:tc>
          <w:tcPr>
            <w:tcW w:w="721"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الرجال</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234</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83"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227</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202</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183</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175</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158</w:t>
            </w:r>
          </w:p>
        </w:tc>
        <w:tc>
          <w:tcPr>
            <w:tcW w:w="680" w:type="dxa"/>
            <w:shd w:val="clear" w:color="auto" w:fill="auto"/>
            <w:vAlign w:val="bottom"/>
          </w:tcPr>
          <w:p w:rsidR="002D3A4A" w:rsidRPr="00576B60" w:rsidRDefault="002D3A4A" w:rsidP="002D3A4A">
            <w:pPr>
              <w:spacing w:before="40" w:after="80" w:line="240" w:lineRule="exact"/>
              <w:rPr>
                <w:rFonts w:hint="cs"/>
                <w:sz w:val="16"/>
                <w:szCs w:val="24"/>
                <w:rtl/>
              </w:rPr>
            </w:pPr>
          </w:p>
        </w:tc>
      </w:tr>
      <w:tr w:rsidR="002D3A4A" w:rsidRPr="00576B60">
        <w:tblPrEx>
          <w:tblCellMar>
            <w:top w:w="0" w:type="dxa"/>
            <w:bottom w:w="0" w:type="dxa"/>
          </w:tblCellMar>
        </w:tblPrEx>
        <w:trPr>
          <w:cantSplit/>
          <w:jc w:val="center"/>
        </w:trPr>
        <w:tc>
          <w:tcPr>
            <w:tcW w:w="2309" w:type="dxa"/>
            <w:vMerge/>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النساء</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128</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83"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253</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239</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207</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236</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208</w:t>
            </w:r>
          </w:p>
        </w:tc>
        <w:tc>
          <w:tcPr>
            <w:tcW w:w="680" w:type="dxa"/>
            <w:shd w:val="clear" w:color="auto" w:fill="auto"/>
            <w:vAlign w:val="bottom"/>
          </w:tcPr>
          <w:p w:rsidR="002D3A4A" w:rsidRPr="00576B60" w:rsidRDefault="002D3A4A" w:rsidP="002D3A4A">
            <w:pPr>
              <w:spacing w:before="40" w:after="80" w:line="240" w:lineRule="exact"/>
              <w:rPr>
                <w:rFonts w:hint="cs"/>
                <w:sz w:val="16"/>
                <w:szCs w:val="24"/>
                <w:rtl/>
              </w:rPr>
            </w:pPr>
          </w:p>
        </w:tc>
      </w:tr>
      <w:tr w:rsidR="002D3A4A" w:rsidRPr="00576B60">
        <w:tblPrEx>
          <w:tblCellMar>
            <w:top w:w="0" w:type="dxa"/>
            <w:bottom w:w="0" w:type="dxa"/>
          </w:tblCellMar>
        </w:tblPrEx>
        <w:trPr>
          <w:cantSplit/>
          <w:jc w:val="center"/>
        </w:trPr>
        <w:tc>
          <w:tcPr>
            <w:tcW w:w="2309" w:type="dxa"/>
            <w:vMerge/>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المجموع</w:t>
            </w:r>
          </w:p>
        </w:tc>
        <w:tc>
          <w:tcPr>
            <w:tcW w:w="721" w:type="dxa"/>
            <w:tcBorders>
              <w:bottom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362</w:t>
            </w:r>
          </w:p>
        </w:tc>
        <w:tc>
          <w:tcPr>
            <w:tcW w:w="515"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35.4</w:t>
            </w:r>
          </w:p>
        </w:tc>
        <w:tc>
          <w:tcPr>
            <w:tcW w:w="783" w:type="dxa"/>
            <w:tcBorders>
              <w:bottom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480</w:t>
            </w:r>
          </w:p>
        </w:tc>
        <w:tc>
          <w:tcPr>
            <w:tcW w:w="515"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52.7</w:t>
            </w:r>
          </w:p>
        </w:tc>
        <w:tc>
          <w:tcPr>
            <w:tcW w:w="721" w:type="dxa"/>
            <w:tcBorders>
              <w:bottom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441</w:t>
            </w:r>
          </w:p>
        </w:tc>
        <w:tc>
          <w:tcPr>
            <w:tcW w:w="618"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54.2</w:t>
            </w:r>
          </w:p>
        </w:tc>
        <w:tc>
          <w:tcPr>
            <w:tcW w:w="721" w:type="dxa"/>
            <w:tcBorders>
              <w:bottom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390</w:t>
            </w:r>
          </w:p>
        </w:tc>
        <w:tc>
          <w:tcPr>
            <w:tcW w:w="618"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53.1</w:t>
            </w:r>
          </w:p>
        </w:tc>
        <w:tc>
          <w:tcPr>
            <w:tcW w:w="721" w:type="dxa"/>
            <w:tcBorders>
              <w:bottom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411</w:t>
            </w:r>
          </w:p>
        </w:tc>
        <w:tc>
          <w:tcPr>
            <w:tcW w:w="515"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57.4</w:t>
            </w:r>
          </w:p>
        </w:tc>
        <w:tc>
          <w:tcPr>
            <w:tcW w:w="721" w:type="dxa"/>
            <w:tcBorders>
              <w:bottom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366</w:t>
            </w:r>
          </w:p>
        </w:tc>
        <w:tc>
          <w:tcPr>
            <w:tcW w:w="680"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56.8</w:t>
            </w:r>
          </w:p>
        </w:tc>
      </w:tr>
      <w:tr w:rsidR="002D3A4A" w:rsidRPr="00576B60">
        <w:tblPrEx>
          <w:tblCellMar>
            <w:top w:w="0" w:type="dxa"/>
            <w:bottom w:w="0" w:type="dxa"/>
          </w:tblCellMar>
        </w:tblPrEx>
        <w:trPr>
          <w:cantSplit/>
          <w:jc w:val="center"/>
        </w:trPr>
        <w:tc>
          <w:tcPr>
            <w:tcW w:w="2309" w:type="dxa"/>
            <w:vMerge w:val="restart"/>
            <w:tcBorders>
              <w:top w:val="single" w:sz="4" w:space="0" w:color="auto"/>
            </w:tcBorders>
            <w:shd w:val="clear" w:color="auto" w:fill="auto"/>
          </w:tcPr>
          <w:p w:rsidR="002D3A4A" w:rsidRPr="00BA65D8" w:rsidRDefault="002D3A4A" w:rsidP="002D3A4A">
            <w:pPr>
              <w:spacing w:before="40" w:after="80" w:line="240" w:lineRule="exact"/>
              <w:jc w:val="right"/>
              <w:rPr>
                <w:rFonts w:hint="cs"/>
                <w:b/>
                <w:bCs/>
                <w:sz w:val="16"/>
                <w:szCs w:val="24"/>
                <w:rtl/>
              </w:rPr>
            </w:pPr>
            <w:r w:rsidRPr="00BA65D8">
              <w:rPr>
                <w:rFonts w:hint="cs"/>
                <w:b/>
                <w:bCs/>
                <w:sz w:val="16"/>
                <w:szCs w:val="24"/>
                <w:rtl/>
              </w:rPr>
              <w:t>مجموع المدارس العليا للتعليم العام</w:t>
            </w:r>
          </w:p>
        </w:tc>
        <w:tc>
          <w:tcPr>
            <w:tcW w:w="721" w:type="dxa"/>
            <w:tcBorders>
              <w:top w:val="single" w:sz="4" w:space="0" w:color="auto"/>
            </w:tcBorders>
            <w:shd w:val="clear" w:color="auto" w:fill="auto"/>
            <w:vAlign w:val="bottom"/>
          </w:tcPr>
          <w:p w:rsidR="002D3A4A" w:rsidRPr="00BA65D8" w:rsidRDefault="002D3A4A" w:rsidP="002D3A4A">
            <w:pPr>
              <w:spacing w:before="40" w:after="80" w:line="240" w:lineRule="exact"/>
              <w:rPr>
                <w:rFonts w:hint="cs"/>
                <w:b/>
                <w:bCs/>
                <w:sz w:val="16"/>
                <w:szCs w:val="24"/>
                <w:rtl/>
              </w:rPr>
            </w:pPr>
            <w:r w:rsidRPr="00BA65D8">
              <w:rPr>
                <w:rFonts w:hint="cs"/>
                <w:b/>
                <w:bCs/>
                <w:sz w:val="16"/>
                <w:szCs w:val="24"/>
                <w:rtl/>
              </w:rPr>
              <w:t>الرجال</w:t>
            </w:r>
          </w:p>
        </w:tc>
        <w:tc>
          <w:tcPr>
            <w:tcW w:w="721" w:type="dxa"/>
            <w:tcBorders>
              <w:top w:val="single" w:sz="4" w:space="0" w:color="auto"/>
            </w:tcBorders>
            <w:shd w:val="clear" w:color="auto" w:fill="D9D9D9"/>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168 7</w:t>
            </w:r>
          </w:p>
        </w:tc>
        <w:tc>
          <w:tcPr>
            <w:tcW w:w="515" w:type="dxa"/>
            <w:tcBorders>
              <w:top w:val="single" w:sz="4" w:space="0" w:color="auto"/>
            </w:tcBorders>
            <w:shd w:val="clear" w:color="auto" w:fill="auto"/>
            <w:vAlign w:val="bottom"/>
          </w:tcPr>
          <w:p w:rsidR="002D3A4A" w:rsidRPr="00782041" w:rsidRDefault="002D3A4A" w:rsidP="002D3A4A">
            <w:pPr>
              <w:spacing w:before="40" w:after="80" w:line="240" w:lineRule="exact"/>
              <w:rPr>
                <w:rFonts w:hint="cs"/>
                <w:b/>
                <w:bCs/>
                <w:sz w:val="16"/>
                <w:szCs w:val="24"/>
                <w:rtl/>
              </w:rPr>
            </w:pPr>
          </w:p>
        </w:tc>
        <w:tc>
          <w:tcPr>
            <w:tcW w:w="783" w:type="dxa"/>
            <w:tcBorders>
              <w:top w:val="single" w:sz="4" w:space="0" w:color="auto"/>
            </w:tcBorders>
            <w:shd w:val="clear" w:color="auto" w:fill="D9D9D9"/>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768 7</w:t>
            </w:r>
          </w:p>
        </w:tc>
        <w:tc>
          <w:tcPr>
            <w:tcW w:w="515" w:type="dxa"/>
            <w:tcBorders>
              <w:top w:val="single" w:sz="4" w:space="0" w:color="auto"/>
            </w:tcBorders>
            <w:shd w:val="clear" w:color="auto" w:fill="auto"/>
            <w:vAlign w:val="bottom"/>
          </w:tcPr>
          <w:p w:rsidR="002D3A4A" w:rsidRPr="00782041" w:rsidRDefault="002D3A4A" w:rsidP="002D3A4A">
            <w:pPr>
              <w:spacing w:before="40" w:after="80" w:line="240" w:lineRule="exact"/>
              <w:rPr>
                <w:rFonts w:hint="cs"/>
                <w:b/>
                <w:bCs/>
                <w:sz w:val="16"/>
                <w:szCs w:val="24"/>
                <w:rtl/>
              </w:rPr>
            </w:pPr>
          </w:p>
        </w:tc>
        <w:tc>
          <w:tcPr>
            <w:tcW w:w="721" w:type="dxa"/>
            <w:tcBorders>
              <w:top w:val="single" w:sz="4" w:space="0" w:color="auto"/>
            </w:tcBorders>
            <w:shd w:val="clear" w:color="auto" w:fill="D9D9D9"/>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350 7</w:t>
            </w:r>
          </w:p>
        </w:tc>
        <w:tc>
          <w:tcPr>
            <w:tcW w:w="618" w:type="dxa"/>
            <w:tcBorders>
              <w:top w:val="single" w:sz="4" w:space="0" w:color="auto"/>
            </w:tcBorders>
            <w:shd w:val="clear" w:color="auto" w:fill="auto"/>
            <w:vAlign w:val="bottom"/>
          </w:tcPr>
          <w:p w:rsidR="002D3A4A" w:rsidRPr="00782041" w:rsidRDefault="002D3A4A" w:rsidP="002D3A4A">
            <w:pPr>
              <w:spacing w:before="40" w:after="80" w:line="240" w:lineRule="exact"/>
              <w:rPr>
                <w:rFonts w:hint="cs"/>
                <w:b/>
                <w:bCs/>
                <w:sz w:val="16"/>
                <w:szCs w:val="24"/>
                <w:rtl/>
              </w:rPr>
            </w:pPr>
          </w:p>
        </w:tc>
        <w:tc>
          <w:tcPr>
            <w:tcW w:w="721" w:type="dxa"/>
            <w:tcBorders>
              <w:top w:val="single" w:sz="4" w:space="0" w:color="auto"/>
            </w:tcBorders>
            <w:shd w:val="clear" w:color="auto" w:fill="D9D9D9"/>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124 7</w:t>
            </w:r>
          </w:p>
        </w:tc>
        <w:tc>
          <w:tcPr>
            <w:tcW w:w="618" w:type="dxa"/>
            <w:tcBorders>
              <w:top w:val="single" w:sz="4" w:space="0" w:color="auto"/>
            </w:tcBorders>
            <w:shd w:val="clear" w:color="auto" w:fill="auto"/>
            <w:vAlign w:val="bottom"/>
          </w:tcPr>
          <w:p w:rsidR="002D3A4A" w:rsidRPr="00782041" w:rsidRDefault="002D3A4A" w:rsidP="002D3A4A">
            <w:pPr>
              <w:spacing w:before="40" w:after="80" w:line="240" w:lineRule="exact"/>
              <w:rPr>
                <w:rFonts w:hint="cs"/>
                <w:b/>
                <w:bCs/>
                <w:sz w:val="16"/>
                <w:szCs w:val="24"/>
                <w:rtl/>
              </w:rPr>
            </w:pPr>
          </w:p>
        </w:tc>
        <w:tc>
          <w:tcPr>
            <w:tcW w:w="721" w:type="dxa"/>
            <w:tcBorders>
              <w:top w:val="single" w:sz="4" w:space="0" w:color="auto"/>
            </w:tcBorders>
            <w:shd w:val="clear" w:color="auto" w:fill="D9D9D9"/>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642 6</w:t>
            </w:r>
          </w:p>
        </w:tc>
        <w:tc>
          <w:tcPr>
            <w:tcW w:w="515" w:type="dxa"/>
            <w:tcBorders>
              <w:top w:val="single" w:sz="4" w:space="0" w:color="auto"/>
            </w:tcBorders>
            <w:shd w:val="clear" w:color="auto" w:fill="auto"/>
            <w:vAlign w:val="bottom"/>
          </w:tcPr>
          <w:p w:rsidR="002D3A4A" w:rsidRPr="00782041" w:rsidRDefault="002D3A4A" w:rsidP="002D3A4A">
            <w:pPr>
              <w:spacing w:before="40" w:after="80" w:line="240" w:lineRule="exact"/>
              <w:rPr>
                <w:rFonts w:hint="cs"/>
                <w:b/>
                <w:bCs/>
                <w:sz w:val="16"/>
                <w:szCs w:val="24"/>
                <w:rtl/>
              </w:rPr>
            </w:pPr>
          </w:p>
        </w:tc>
        <w:tc>
          <w:tcPr>
            <w:tcW w:w="721" w:type="dxa"/>
            <w:tcBorders>
              <w:top w:val="single" w:sz="4" w:space="0" w:color="auto"/>
            </w:tcBorders>
            <w:shd w:val="clear" w:color="auto" w:fill="D9D9D9"/>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780 6</w:t>
            </w:r>
          </w:p>
        </w:tc>
        <w:tc>
          <w:tcPr>
            <w:tcW w:w="680" w:type="dxa"/>
            <w:tcBorders>
              <w:top w:val="single" w:sz="4" w:space="0" w:color="auto"/>
            </w:tcBorders>
            <w:shd w:val="clear" w:color="auto" w:fill="auto"/>
            <w:vAlign w:val="bottom"/>
          </w:tcPr>
          <w:p w:rsidR="002D3A4A" w:rsidRPr="00782041" w:rsidRDefault="002D3A4A" w:rsidP="002D3A4A">
            <w:pPr>
              <w:spacing w:before="40" w:after="80" w:line="240" w:lineRule="exact"/>
              <w:rPr>
                <w:rFonts w:hint="cs"/>
                <w:b/>
                <w:bCs/>
                <w:sz w:val="16"/>
                <w:szCs w:val="24"/>
                <w:rtl/>
              </w:rPr>
            </w:pPr>
          </w:p>
        </w:tc>
      </w:tr>
      <w:tr w:rsidR="002D3A4A" w:rsidRPr="00576B60">
        <w:tblPrEx>
          <w:tblCellMar>
            <w:top w:w="0" w:type="dxa"/>
            <w:bottom w:w="0" w:type="dxa"/>
          </w:tblCellMar>
        </w:tblPrEx>
        <w:trPr>
          <w:cantSplit/>
          <w:jc w:val="center"/>
        </w:trPr>
        <w:tc>
          <w:tcPr>
            <w:tcW w:w="2309" w:type="dxa"/>
            <w:vMerge/>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auto"/>
            <w:vAlign w:val="bottom"/>
          </w:tcPr>
          <w:p w:rsidR="002D3A4A" w:rsidRPr="00BA65D8" w:rsidRDefault="002D3A4A" w:rsidP="002D3A4A">
            <w:pPr>
              <w:spacing w:before="40" w:after="80" w:line="240" w:lineRule="exact"/>
              <w:rPr>
                <w:rFonts w:hint="cs"/>
                <w:b/>
                <w:bCs/>
                <w:sz w:val="16"/>
                <w:szCs w:val="24"/>
                <w:rtl/>
              </w:rPr>
            </w:pPr>
            <w:r w:rsidRPr="00BA65D8">
              <w:rPr>
                <w:rFonts w:hint="cs"/>
                <w:b/>
                <w:bCs/>
                <w:sz w:val="16"/>
                <w:szCs w:val="24"/>
                <w:rtl/>
              </w:rPr>
              <w:t>النساء</w:t>
            </w:r>
          </w:p>
        </w:tc>
        <w:tc>
          <w:tcPr>
            <w:tcW w:w="721" w:type="dxa"/>
            <w:shd w:val="clear" w:color="auto" w:fill="D9D9D9"/>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305 8</w:t>
            </w:r>
          </w:p>
        </w:tc>
        <w:tc>
          <w:tcPr>
            <w:tcW w:w="515" w:type="dxa"/>
            <w:shd w:val="clear" w:color="auto" w:fill="auto"/>
            <w:vAlign w:val="bottom"/>
          </w:tcPr>
          <w:p w:rsidR="002D3A4A" w:rsidRPr="00782041" w:rsidRDefault="002D3A4A" w:rsidP="002D3A4A">
            <w:pPr>
              <w:spacing w:before="40" w:after="80" w:line="240" w:lineRule="exact"/>
              <w:rPr>
                <w:rFonts w:hint="cs"/>
                <w:b/>
                <w:bCs/>
                <w:sz w:val="16"/>
                <w:szCs w:val="24"/>
                <w:rtl/>
              </w:rPr>
            </w:pPr>
          </w:p>
        </w:tc>
        <w:tc>
          <w:tcPr>
            <w:tcW w:w="783" w:type="dxa"/>
            <w:shd w:val="clear" w:color="auto" w:fill="D9D9D9"/>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720 10</w:t>
            </w:r>
          </w:p>
        </w:tc>
        <w:tc>
          <w:tcPr>
            <w:tcW w:w="515" w:type="dxa"/>
            <w:shd w:val="clear" w:color="auto" w:fill="auto"/>
            <w:vAlign w:val="bottom"/>
          </w:tcPr>
          <w:p w:rsidR="002D3A4A" w:rsidRPr="00782041" w:rsidRDefault="002D3A4A" w:rsidP="002D3A4A">
            <w:pPr>
              <w:spacing w:before="40" w:after="80" w:line="240" w:lineRule="exact"/>
              <w:rPr>
                <w:rFonts w:hint="cs"/>
                <w:b/>
                <w:bCs/>
                <w:sz w:val="16"/>
                <w:szCs w:val="24"/>
                <w:rtl/>
              </w:rPr>
            </w:pPr>
          </w:p>
        </w:tc>
        <w:tc>
          <w:tcPr>
            <w:tcW w:w="721" w:type="dxa"/>
            <w:shd w:val="clear" w:color="auto" w:fill="D9D9D9"/>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698 10</w:t>
            </w:r>
          </w:p>
        </w:tc>
        <w:tc>
          <w:tcPr>
            <w:tcW w:w="618" w:type="dxa"/>
            <w:shd w:val="clear" w:color="auto" w:fill="auto"/>
            <w:vAlign w:val="bottom"/>
          </w:tcPr>
          <w:p w:rsidR="002D3A4A" w:rsidRPr="00782041" w:rsidRDefault="002D3A4A" w:rsidP="002D3A4A">
            <w:pPr>
              <w:spacing w:before="40" w:after="80" w:line="240" w:lineRule="exact"/>
              <w:rPr>
                <w:rFonts w:hint="cs"/>
                <w:b/>
                <w:bCs/>
                <w:sz w:val="16"/>
                <w:szCs w:val="24"/>
                <w:rtl/>
              </w:rPr>
            </w:pPr>
          </w:p>
        </w:tc>
        <w:tc>
          <w:tcPr>
            <w:tcW w:w="721" w:type="dxa"/>
            <w:shd w:val="clear" w:color="auto" w:fill="D9D9D9"/>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131 10</w:t>
            </w:r>
          </w:p>
        </w:tc>
        <w:tc>
          <w:tcPr>
            <w:tcW w:w="618" w:type="dxa"/>
            <w:shd w:val="clear" w:color="auto" w:fill="auto"/>
            <w:vAlign w:val="bottom"/>
          </w:tcPr>
          <w:p w:rsidR="002D3A4A" w:rsidRPr="00782041" w:rsidRDefault="002D3A4A" w:rsidP="002D3A4A">
            <w:pPr>
              <w:spacing w:before="40" w:after="80" w:line="240" w:lineRule="exact"/>
              <w:rPr>
                <w:rFonts w:hint="cs"/>
                <w:b/>
                <w:bCs/>
                <w:sz w:val="16"/>
                <w:szCs w:val="24"/>
                <w:rtl/>
              </w:rPr>
            </w:pPr>
          </w:p>
        </w:tc>
        <w:tc>
          <w:tcPr>
            <w:tcW w:w="721" w:type="dxa"/>
            <w:shd w:val="clear" w:color="auto" w:fill="D9D9D9"/>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539 9</w:t>
            </w:r>
          </w:p>
        </w:tc>
        <w:tc>
          <w:tcPr>
            <w:tcW w:w="515" w:type="dxa"/>
            <w:shd w:val="clear" w:color="auto" w:fill="auto"/>
            <w:vAlign w:val="bottom"/>
          </w:tcPr>
          <w:p w:rsidR="002D3A4A" w:rsidRPr="00782041" w:rsidRDefault="002D3A4A" w:rsidP="002D3A4A">
            <w:pPr>
              <w:spacing w:before="40" w:after="80" w:line="240" w:lineRule="exact"/>
              <w:rPr>
                <w:rFonts w:hint="cs"/>
                <w:b/>
                <w:bCs/>
                <w:sz w:val="16"/>
                <w:szCs w:val="24"/>
                <w:rtl/>
              </w:rPr>
            </w:pPr>
          </w:p>
        </w:tc>
        <w:tc>
          <w:tcPr>
            <w:tcW w:w="721" w:type="dxa"/>
            <w:shd w:val="clear" w:color="auto" w:fill="D9D9D9"/>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538 9</w:t>
            </w:r>
          </w:p>
        </w:tc>
        <w:tc>
          <w:tcPr>
            <w:tcW w:w="680" w:type="dxa"/>
            <w:shd w:val="clear" w:color="auto" w:fill="auto"/>
            <w:vAlign w:val="bottom"/>
          </w:tcPr>
          <w:p w:rsidR="002D3A4A" w:rsidRPr="00782041" w:rsidRDefault="002D3A4A" w:rsidP="002D3A4A">
            <w:pPr>
              <w:spacing w:before="40" w:after="80" w:line="240" w:lineRule="exact"/>
              <w:rPr>
                <w:rFonts w:hint="cs"/>
                <w:b/>
                <w:bCs/>
                <w:sz w:val="16"/>
                <w:szCs w:val="24"/>
                <w:rtl/>
              </w:rPr>
            </w:pPr>
          </w:p>
        </w:tc>
      </w:tr>
      <w:tr w:rsidR="002D3A4A" w:rsidRPr="00576B60">
        <w:tblPrEx>
          <w:tblCellMar>
            <w:top w:w="0" w:type="dxa"/>
            <w:bottom w:w="0" w:type="dxa"/>
          </w:tblCellMar>
        </w:tblPrEx>
        <w:trPr>
          <w:cantSplit/>
          <w:jc w:val="center"/>
        </w:trPr>
        <w:tc>
          <w:tcPr>
            <w:tcW w:w="2309" w:type="dxa"/>
            <w:vMerge/>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tcBorders>
              <w:bottom w:val="single" w:sz="4" w:space="0" w:color="auto"/>
            </w:tcBorders>
            <w:shd w:val="clear" w:color="auto" w:fill="auto"/>
            <w:vAlign w:val="bottom"/>
          </w:tcPr>
          <w:p w:rsidR="002D3A4A" w:rsidRPr="00BA65D8" w:rsidRDefault="002D3A4A" w:rsidP="002D3A4A">
            <w:pPr>
              <w:spacing w:before="40" w:after="80" w:line="240" w:lineRule="exact"/>
              <w:rPr>
                <w:rFonts w:hint="cs"/>
                <w:b/>
                <w:bCs/>
                <w:sz w:val="16"/>
                <w:szCs w:val="24"/>
                <w:rtl/>
              </w:rPr>
            </w:pPr>
            <w:r w:rsidRPr="00BA65D8">
              <w:rPr>
                <w:rFonts w:hint="cs"/>
                <w:b/>
                <w:bCs/>
                <w:sz w:val="16"/>
                <w:szCs w:val="24"/>
                <w:rtl/>
              </w:rPr>
              <w:t>المجموع</w:t>
            </w:r>
          </w:p>
        </w:tc>
        <w:tc>
          <w:tcPr>
            <w:tcW w:w="721" w:type="dxa"/>
            <w:tcBorders>
              <w:bottom w:val="single" w:sz="4" w:space="0" w:color="auto"/>
            </w:tcBorders>
            <w:shd w:val="clear" w:color="auto" w:fill="D9D9D9"/>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473 15</w:t>
            </w:r>
          </w:p>
        </w:tc>
        <w:tc>
          <w:tcPr>
            <w:tcW w:w="515" w:type="dxa"/>
            <w:tcBorders>
              <w:bottom w:val="single" w:sz="4" w:space="0" w:color="auto"/>
            </w:tcBorders>
            <w:shd w:val="clear" w:color="auto" w:fill="auto"/>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53.7</w:t>
            </w:r>
          </w:p>
        </w:tc>
        <w:tc>
          <w:tcPr>
            <w:tcW w:w="783" w:type="dxa"/>
            <w:tcBorders>
              <w:bottom w:val="single" w:sz="4" w:space="0" w:color="auto"/>
            </w:tcBorders>
            <w:shd w:val="clear" w:color="auto" w:fill="D9D9D9"/>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488 18</w:t>
            </w:r>
          </w:p>
        </w:tc>
        <w:tc>
          <w:tcPr>
            <w:tcW w:w="515" w:type="dxa"/>
            <w:tcBorders>
              <w:bottom w:val="single" w:sz="4" w:space="0" w:color="auto"/>
            </w:tcBorders>
            <w:shd w:val="clear" w:color="auto" w:fill="auto"/>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58.0</w:t>
            </w:r>
          </w:p>
        </w:tc>
        <w:tc>
          <w:tcPr>
            <w:tcW w:w="721" w:type="dxa"/>
            <w:tcBorders>
              <w:bottom w:val="single" w:sz="4" w:space="0" w:color="auto"/>
            </w:tcBorders>
            <w:shd w:val="clear" w:color="auto" w:fill="D9D9D9"/>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048 18</w:t>
            </w:r>
          </w:p>
        </w:tc>
        <w:tc>
          <w:tcPr>
            <w:tcW w:w="618" w:type="dxa"/>
            <w:tcBorders>
              <w:bottom w:val="single" w:sz="4" w:space="0" w:color="auto"/>
            </w:tcBorders>
            <w:shd w:val="clear" w:color="auto" w:fill="auto"/>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59.3</w:t>
            </w:r>
          </w:p>
        </w:tc>
        <w:tc>
          <w:tcPr>
            <w:tcW w:w="721" w:type="dxa"/>
            <w:tcBorders>
              <w:bottom w:val="single" w:sz="4" w:space="0" w:color="auto"/>
            </w:tcBorders>
            <w:shd w:val="clear" w:color="auto" w:fill="D9D9D9"/>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255 17</w:t>
            </w:r>
          </w:p>
        </w:tc>
        <w:tc>
          <w:tcPr>
            <w:tcW w:w="618" w:type="dxa"/>
            <w:tcBorders>
              <w:bottom w:val="single" w:sz="4" w:space="0" w:color="auto"/>
            </w:tcBorders>
            <w:shd w:val="clear" w:color="auto" w:fill="auto"/>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58.7</w:t>
            </w:r>
          </w:p>
        </w:tc>
        <w:tc>
          <w:tcPr>
            <w:tcW w:w="721" w:type="dxa"/>
            <w:tcBorders>
              <w:bottom w:val="single" w:sz="4" w:space="0" w:color="auto"/>
            </w:tcBorders>
            <w:shd w:val="clear" w:color="auto" w:fill="D9D9D9"/>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181 16</w:t>
            </w:r>
          </w:p>
        </w:tc>
        <w:tc>
          <w:tcPr>
            <w:tcW w:w="515" w:type="dxa"/>
            <w:tcBorders>
              <w:bottom w:val="single" w:sz="4" w:space="0" w:color="auto"/>
            </w:tcBorders>
            <w:shd w:val="clear" w:color="auto" w:fill="auto"/>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59.0</w:t>
            </w:r>
          </w:p>
        </w:tc>
        <w:tc>
          <w:tcPr>
            <w:tcW w:w="721" w:type="dxa"/>
            <w:tcBorders>
              <w:bottom w:val="single" w:sz="4" w:space="0" w:color="auto"/>
            </w:tcBorders>
            <w:shd w:val="clear" w:color="auto" w:fill="D9D9D9"/>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318 16</w:t>
            </w:r>
          </w:p>
        </w:tc>
        <w:tc>
          <w:tcPr>
            <w:tcW w:w="680" w:type="dxa"/>
            <w:tcBorders>
              <w:bottom w:val="single" w:sz="4" w:space="0" w:color="auto"/>
            </w:tcBorders>
            <w:shd w:val="clear" w:color="auto" w:fill="auto"/>
            <w:vAlign w:val="bottom"/>
          </w:tcPr>
          <w:p w:rsidR="002D3A4A" w:rsidRPr="00782041" w:rsidRDefault="002D3A4A" w:rsidP="002D3A4A">
            <w:pPr>
              <w:spacing w:before="40" w:after="80" w:line="240" w:lineRule="exact"/>
              <w:rPr>
                <w:rFonts w:hint="cs"/>
                <w:b/>
                <w:bCs/>
                <w:sz w:val="16"/>
                <w:szCs w:val="24"/>
                <w:rtl/>
              </w:rPr>
            </w:pPr>
            <w:r w:rsidRPr="00782041">
              <w:rPr>
                <w:rFonts w:hint="cs"/>
                <w:b/>
                <w:bCs/>
                <w:sz w:val="16"/>
                <w:szCs w:val="24"/>
                <w:rtl/>
              </w:rPr>
              <w:t>58.5</w:t>
            </w:r>
          </w:p>
        </w:tc>
      </w:tr>
      <w:tr w:rsidR="002D3A4A" w:rsidRPr="00576B60">
        <w:tblPrEx>
          <w:tblCellMar>
            <w:top w:w="0" w:type="dxa"/>
            <w:bottom w:w="0" w:type="dxa"/>
          </w:tblCellMar>
        </w:tblPrEx>
        <w:trPr>
          <w:cantSplit/>
          <w:jc w:val="center"/>
        </w:trPr>
        <w:tc>
          <w:tcPr>
            <w:tcW w:w="2309" w:type="dxa"/>
            <w:vMerge w:val="restart"/>
            <w:tcBorders>
              <w:top w:val="single" w:sz="4" w:space="0" w:color="auto"/>
            </w:tcBorders>
            <w:shd w:val="clear" w:color="auto" w:fill="auto"/>
          </w:tcPr>
          <w:p w:rsidR="002D3A4A" w:rsidRDefault="002D3A4A" w:rsidP="002D3A4A">
            <w:pPr>
              <w:spacing w:before="40" w:after="80" w:line="240" w:lineRule="exact"/>
              <w:jc w:val="lowKashida"/>
              <w:rPr>
                <w:rFonts w:hint="cs"/>
                <w:sz w:val="16"/>
                <w:szCs w:val="24"/>
                <w:vertAlign w:val="superscript"/>
                <w:rtl/>
              </w:rPr>
            </w:pPr>
            <w:r>
              <w:rPr>
                <w:rFonts w:hint="cs"/>
                <w:sz w:val="16"/>
                <w:szCs w:val="24"/>
                <w:rtl/>
              </w:rPr>
              <w:t>ا</w:t>
            </w:r>
            <w:r w:rsidRPr="00576B60">
              <w:rPr>
                <w:rFonts w:hint="cs"/>
                <w:sz w:val="16"/>
                <w:szCs w:val="24"/>
                <w:rtl/>
              </w:rPr>
              <w:t>لكليات التقنية والتدريب المهني</w:t>
            </w:r>
            <w:r>
              <w:rPr>
                <w:rFonts w:hint="cs"/>
                <w:sz w:val="16"/>
                <w:szCs w:val="24"/>
                <w:vertAlign w:val="superscript"/>
                <w:rtl/>
              </w:rPr>
              <w:t>(4</w:t>
            </w:r>
            <w:r w:rsidRPr="00576B60">
              <w:rPr>
                <w:sz w:val="16"/>
                <w:szCs w:val="24"/>
                <w:vertAlign w:val="superscript"/>
                <w:rtl/>
              </w:rPr>
              <w:t>)</w:t>
            </w:r>
          </w:p>
          <w:p w:rsidR="002D3A4A" w:rsidRPr="00915D80" w:rsidRDefault="002D3A4A" w:rsidP="002D3A4A">
            <w:pPr>
              <w:spacing w:before="40" w:after="80" w:line="240" w:lineRule="exact"/>
              <w:jc w:val="lowKashida"/>
              <w:rPr>
                <w:rFonts w:hint="cs"/>
                <w:sz w:val="16"/>
                <w:szCs w:val="24"/>
                <w:rtl/>
              </w:rPr>
            </w:pPr>
            <w:r>
              <w:rPr>
                <w:rFonts w:hint="cs"/>
                <w:sz w:val="16"/>
                <w:szCs w:val="24"/>
                <w:rtl/>
              </w:rPr>
              <w:t>(الصنائع والحرف والفنون)</w:t>
            </w:r>
          </w:p>
        </w:tc>
        <w:tc>
          <w:tcPr>
            <w:tcW w:w="721"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الرجال</w:t>
            </w:r>
          </w:p>
        </w:tc>
        <w:tc>
          <w:tcPr>
            <w:tcW w:w="721" w:type="dxa"/>
            <w:tcBorders>
              <w:top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343 5</w:t>
            </w:r>
          </w:p>
        </w:tc>
        <w:tc>
          <w:tcPr>
            <w:tcW w:w="515"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83" w:type="dxa"/>
            <w:tcBorders>
              <w:top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584 5</w:t>
            </w:r>
          </w:p>
        </w:tc>
        <w:tc>
          <w:tcPr>
            <w:tcW w:w="515"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tcBorders>
              <w:top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799 5</w:t>
            </w:r>
          </w:p>
        </w:tc>
        <w:tc>
          <w:tcPr>
            <w:tcW w:w="618"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tcBorders>
              <w:top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167 6</w:t>
            </w:r>
          </w:p>
        </w:tc>
        <w:tc>
          <w:tcPr>
            <w:tcW w:w="618"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tcBorders>
              <w:top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260 6</w:t>
            </w:r>
          </w:p>
        </w:tc>
        <w:tc>
          <w:tcPr>
            <w:tcW w:w="515"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tcBorders>
              <w:top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437 6</w:t>
            </w:r>
          </w:p>
        </w:tc>
        <w:tc>
          <w:tcPr>
            <w:tcW w:w="680"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r>
      <w:tr w:rsidR="002D3A4A" w:rsidRPr="00576B60">
        <w:tblPrEx>
          <w:tblCellMar>
            <w:top w:w="0" w:type="dxa"/>
            <w:bottom w:w="0" w:type="dxa"/>
          </w:tblCellMar>
        </w:tblPrEx>
        <w:trPr>
          <w:cantSplit/>
          <w:jc w:val="center"/>
        </w:trPr>
        <w:tc>
          <w:tcPr>
            <w:tcW w:w="2309" w:type="dxa"/>
            <w:vMerge/>
            <w:shd w:val="clear" w:color="auto" w:fill="auto"/>
            <w:vAlign w:val="bottom"/>
          </w:tcPr>
          <w:p w:rsidR="002D3A4A" w:rsidRPr="00576B60" w:rsidRDefault="002D3A4A" w:rsidP="002D3A4A">
            <w:pPr>
              <w:spacing w:before="40" w:after="80" w:line="240" w:lineRule="exact"/>
              <w:jc w:val="lowKashida"/>
              <w:rPr>
                <w:rFonts w:hint="cs"/>
                <w:sz w:val="16"/>
                <w:szCs w:val="24"/>
                <w:rtl/>
              </w:rPr>
            </w:pPr>
          </w:p>
        </w:tc>
        <w:tc>
          <w:tcPr>
            <w:tcW w:w="721"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النساء</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108 1</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83"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298 1</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508 1</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627 1</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892 1</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081 2</w:t>
            </w:r>
          </w:p>
        </w:tc>
        <w:tc>
          <w:tcPr>
            <w:tcW w:w="680" w:type="dxa"/>
            <w:shd w:val="clear" w:color="auto" w:fill="auto"/>
            <w:vAlign w:val="bottom"/>
          </w:tcPr>
          <w:p w:rsidR="002D3A4A" w:rsidRPr="00576B60" w:rsidRDefault="002D3A4A" w:rsidP="002D3A4A">
            <w:pPr>
              <w:spacing w:before="40" w:after="80" w:line="240" w:lineRule="exact"/>
              <w:rPr>
                <w:rFonts w:hint="cs"/>
                <w:sz w:val="16"/>
                <w:szCs w:val="24"/>
                <w:rtl/>
              </w:rPr>
            </w:pPr>
          </w:p>
        </w:tc>
      </w:tr>
      <w:tr w:rsidR="002D3A4A" w:rsidRPr="00576B60">
        <w:tblPrEx>
          <w:tblCellMar>
            <w:top w:w="0" w:type="dxa"/>
            <w:bottom w:w="0" w:type="dxa"/>
          </w:tblCellMar>
        </w:tblPrEx>
        <w:trPr>
          <w:cantSplit/>
          <w:jc w:val="center"/>
        </w:trPr>
        <w:tc>
          <w:tcPr>
            <w:tcW w:w="2309" w:type="dxa"/>
            <w:vMerge/>
            <w:tcBorders>
              <w:bottom w:val="single" w:sz="4" w:space="0" w:color="auto"/>
            </w:tcBorders>
            <w:shd w:val="clear" w:color="auto" w:fill="auto"/>
            <w:vAlign w:val="bottom"/>
          </w:tcPr>
          <w:p w:rsidR="002D3A4A" w:rsidRPr="00576B60" w:rsidRDefault="002D3A4A" w:rsidP="002D3A4A">
            <w:pPr>
              <w:spacing w:before="40" w:after="80" w:line="240" w:lineRule="exact"/>
              <w:jc w:val="lowKashida"/>
              <w:rPr>
                <w:rFonts w:hint="cs"/>
                <w:sz w:val="16"/>
                <w:szCs w:val="24"/>
                <w:rtl/>
              </w:rPr>
            </w:pPr>
          </w:p>
        </w:tc>
        <w:tc>
          <w:tcPr>
            <w:tcW w:w="721"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المجموع</w:t>
            </w:r>
          </w:p>
        </w:tc>
        <w:tc>
          <w:tcPr>
            <w:tcW w:w="721" w:type="dxa"/>
            <w:tcBorders>
              <w:bottom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451 6</w:t>
            </w:r>
          </w:p>
        </w:tc>
        <w:tc>
          <w:tcPr>
            <w:tcW w:w="515"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17.2</w:t>
            </w:r>
          </w:p>
        </w:tc>
        <w:tc>
          <w:tcPr>
            <w:tcW w:w="783" w:type="dxa"/>
            <w:tcBorders>
              <w:bottom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882 6</w:t>
            </w:r>
          </w:p>
        </w:tc>
        <w:tc>
          <w:tcPr>
            <w:tcW w:w="515"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18.9</w:t>
            </w:r>
          </w:p>
        </w:tc>
        <w:tc>
          <w:tcPr>
            <w:tcW w:w="721" w:type="dxa"/>
            <w:tcBorders>
              <w:bottom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307 7</w:t>
            </w:r>
          </w:p>
        </w:tc>
        <w:tc>
          <w:tcPr>
            <w:tcW w:w="618"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20.6</w:t>
            </w:r>
          </w:p>
        </w:tc>
        <w:tc>
          <w:tcPr>
            <w:tcW w:w="721" w:type="dxa"/>
            <w:tcBorders>
              <w:bottom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794 7</w:t>
            </w:r>
          </w:p>
        </w:tc>
        <w:tc>
          <w:tcPr>
            <w:tcW w:w="618"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20.9</w:t>
            </w:r>
          </w:p>
        </w:tc>
        <w:tc>
          <w:tcPr>
            <w:tcW w:w="721" w:type="dxa"/>
            <w:tcBorders>
              <w:bottom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152 8</w:t>
            </w:r>
          </w:p>
        </w:tc>
        <w:tc>
          <w:tcPr>
            <w:tcW w:w="515"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23.2</w:t>
            </w:r>
          </w:p>
        </w:tc>
        <w:tc>
          <w:tcPr>
            <w:tcW w:w="721" w:type="dxa"/>
            <w:tcBorders>
              <w:bottom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518 8</w:t>
            </w:r>
          </w:p>
        </w:tc>
        <w:tc>
          <w:tcPr>
            <w:tcW w:w="680"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24.4</w:t>
            </w:r>
          </w:p>
        </w:tc>
      </w:tr>
      <w:tr w:rsidR="002D3A4A" w:rsidRPr="00576B60">
        <w:tblPrEx>
          <w:tblCellMar>
            <w:top w:w="0" w:type="dxa"/>
            <w:bottom w:w="0" w:type="dxa"/>
          </w:tblCellMar>
        </w:tblPrEx>
        <w:trPr>
          <w:cantSplit/>
          <w:jc w:val="center"/>
        </w:trPr>
        <w:tc>
          <w:tcPr>
            <w:tcW w:w="2309" w:type="dxa"/>
            <w:vMerge w:val="restart"/>
            <w:tcBorders>
              <w:top w:val="single" w:sz="4" w:space="0" w:color="auto"/>
            </w:tcBorders>
            <w:shd w:val="clear" w:color="auto" w:fill="auto"/>
          </w:tcPr>
          <w:p w:rsidR="002D3A4A" w:rsidRPr="00576B60" w:rsidRDefault="002D3A4A" w:rsidP="002D3A4A">
            <w:pPr>
              <w:spacing w:before="40" w:after="80" w:line="240" w:lineRule="exact"/>
              <w:jc w:val="lowKashida"/>
              <w:rPr>
                <w:rFonts w:hint="cs"/>
                <w:sz w:val="16"/>
                <w:szCs w:val="24"/>
                <w:rtl/>
              </w:rPr>
            </w:pPr>
            <w:r>
              <w:rPr>
                <w:rFonts w:hint="cs"/>
                <w:sz w:val="16"/>
                <w:szCs w:val="24"/>
                <w:rtl/>
              </w:rPr>
              <w:t>الكليات الفنية والتدريب المهني (الأعمال)</w:t>
            </w:r>
          </w:p>
        </w:tc>
        <w:tc>
          <w:tcPr>
            <w:tcW w:w="721"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الرجال</w:t>
            </w:r>
          </w:p>
        </w:tc>
        <w:tc>
          <w:tcPr>
            <w:tcW w:w="721" w:type="dxa"/>
            <w:tcBorders>
              <w:top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191 2</w:t>
            </w:r>
          </w:p>
        </w:tc>
        <w:tc>
          <w:tcPr>
            <w:tcW w:w="515"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83" w:type="dxa"/>
            <w:tcBorders>
              <w:top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190 2</w:t>
            </w:r>
          </w:p>
        </w:tc>
        <w:tc>
          <w:tcPr>
            <w:tcW w:w="515"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tcBorders>
              <w:top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500 2</w:t>
            </w:r>
          </w:p>
        </w:tc>
        <w:tc>
          <w:tcPr>
            <w:tcW w:w="618"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tcBorders>
              <w:top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638 2</w:t>
            </w:r>
          </w:p>
        </w:tc>
        <w:tc>
          <w:tcPr>
            <w:tcW w:w="618"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tcBorders>
              <w:top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437 2</w:t>
            </w:r>
          </w:p>
        </w:tc>
        <w:tc>
          <w:tcPr>
            <w:tcW w:w="515"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tcBorders>
              <w:top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402 2</w:t>
            </w:r>
          </w:p>
        </w:tc>
        <w:tc>
          <w:tcPr>
            <w:tcW w:w="680"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r>
      <w:tr w:rsidR="002D3A4A" w:rsidRPr="00576B60">
        <w:tblPrEx>
          <w:tblCellMar>
            <w:top w:w="0" w:type="dxa"/>
            <w:bottom w:w="0" w:type="dxa"/>
          </w:tblCellMar>
        </w:tblPrEx>
        <w:trPr>
          <w:cantSplit/>
          <w:jc w:val="center"/>
        </w:trPr>
        <w:tc>
          <w:tcPr>
            <w:tcW w:w="2309" w:type="dxa"/>
            <w:vMerge/>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النساء</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849 3</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83"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539 3</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077 4</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103 4</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041 4</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232 4</w:t>
            </w:r>
          </w:p>
        </w:tc>
        <w:tc>
          <w:tcPr>
            <w:tcW w:w="680" w:type="dxa"/>
            <w:shd w:val="clear" w:color="auto" w:fill="auto"/>
            <w:vAlign w:val="bottom"/>
          </w:tcPr>
          <w:p w:rsidR="002D3A4A" w:rsidRPr="00576B60" w:rsidRDefault="002D3A4A" w:rsidP="002D3A4A">
            <w:pPr>
              <w:spacing w:before="40" w:after="80" w:line="240" w:lineRule="exact"/>
              <w:rPr>
                <w:rFonts w:hint="cs"/>
                <w:sz w:val="16"/>
                <w:szCs w:val="24"/>
                <w:rtl/>
              </w:rPr>
            </w:pPr>
          </w:p>
        </w:tc>
      </w:tr>
      <w:tr w:rsidR="002D3A4A" w:rsidRPr="00576B60">
        <w:tblPrEx>
          <w:tblCellMar>
            <w:top w:w="0" w:type="dxa"/>
            <w:bottom w:w="0" w:type="dxa"/>
          </w:tblCellMar>
        </w:tblPrEx>
        <w:trPr>
          <w:cantSplit/>
          <w:jc w:val="center"/>
        </w:trPr>
        <w:tc>
          <w:tcPr>
            <w:tcW w:w="2309" w:type="dxa"/>
            <w:vMerge/>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المجموع</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040 6</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63.7</w:t>
            </w:r>
          </w:p>
        </w:tc>
        <w:tc>
          <w:tcPr>
            <w:tcW w:w="783"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729 5</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61.8</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577 6</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62.0</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741 6</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60.9</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478 6</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62.4</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634 6</w:t>
            </w:r>
          </w:p>
        </w:tc>
        <w:tc>
          <w:tcPr>
            <w:tcW w:w="680"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63.8</w:t>
            </w:r>
          </w:p>
        </w:tc>
      </w:tr>
      <w:tr w:rsidR="002D3A4A" w:rsidRPr="00576B60">
        <w:tblPrEx>
          <w:tblCellMar>
            <w:top w:w="0" w:type="dxa"/>
            <w:bottom w:w="0" w:type="dxa"/>
          </w:tblCellMar>
        </w:tblPrEx>
        <w:trPr>
          <w:cantSplit/>
          <w:jc w:val="center"/>
        </w:trPr>
        <w:tc>
          <w:tcPr>
            <w:tcW w:w="2309" w:type="dxa"/>
            <w:vMerge w:val="restart"/>
            <w:tcBorders>
              <w:bottom w:val="single" w:sz="4" w:space="0" w:color="auto"/>
            </w:tcBorders>
            <w:shd w:val="clear" w:color="auto" w:fill="auto"/>
          </w:tcPr>
          <w:p w:rsidR="002D3A4A" w:rsidRPr="00576B60" w:rsidRDefault="002D3A4A" w:rsidP="002D3A4A">
            <w:pPr>
              <w:spacing w:before="40" w:after="80" w:line="240" w:lineRule="exact"/>
              <w:jc w:val="lowKashida"/>
              <w:rPr>
                <w:rFonts w:hint="cs"/>
                <w:sz w:val="16"/>
                <w:szCs w:val="24"/>
                <w:rtl/>
              </w:rPr>
            </w:pPr>
            <w:r>
              <w:rPr>
                <w:rFonts w:hint="cs"/>
                <w:sz w:val="16"/>
                <w:szCs w:val="24"/>
                <w:rtl/>
              </w:rPr>
              <w:t>الكليات الفنية والتدريب المهني (العلوم المنزلية والتجارية)</w:t>
            </w:r>
          </w:p>
        </w:tc>
        <w:tc>
          <w:tcPr>
            <w:tcW w:w="721"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الرجال</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12</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83"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122</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161</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197</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190</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212</w:t>
            </w:r>
          </w:p>
        </w:tc>
        <w:tc>
          <w:tcPr>
            <w:tcW w:w="680" w:type="dxa"/>
            <w:shd w:val="clear" w:color="auto" w:fill="auto"/>
            <w:vAlign w:val="bottom"/>
          </w:tcPr>
          <w:p w:rsidR="002D3A4A" w:rsidRPr="00576B60" w:rsidRDefault="002D3A4A" w:rsidP="002D3A4A">
            <w:pPr>
              <w:spacing w:before="40" w:after="80" w:line="240" w:lineRule="exact"/>
              <w:rPr>
                <w:rFonts w:hint="cs"/>
                <w:sz w:val="16"/>
                <w:szCs w:val="24"/>
                <w:rtl/>
              </w:rPr>
            </w:pPr>
          </w:p>
        </w:tc>
      </w:tr>
      <w:tr w:rsidR="002D3A4A" w:rsidRPr="00576B60">
        <w:tblPrEx>
          <w:tblCellMar>
            <w:top w:w="0" w:type="dxa"/>
            <w:bottom w:w="0" w:type="dxa"/>
          </w:tblCellMar>
        </w:tblPrEx>
        <w:trPr>
          <w:cantSplit/>
          <w:jc w:val="center"/>
        </w:trPr>
        <w:tc>
          <w:tcPr>
            <w:tcW w:w="2309" w:type="dxa"/>
            <w:vMerge/>
            <w:tcBorders>
              <w:bottom w:val="single" w:sz="4" w:space="0" w:color="auto"/>
            </w:tcBorders>
            <w:shd w:val="clear" w:color="auto" w:fill="auto"/>
            <w:vAlign w:val="bottom"/>
          </w:tcPr>
          <w:p w:rsidR="002D3A4A" w:rsidRPr="00576B60" w:rsidRDefault="002D3A4A" w:rsidP="002D3A4A">
            <w:pPr>
              <w:spacing w:before="40" w:after="80" w:line="240" w:lineRule="exact"/>
              <w:jc w:val="lowKashida"/>
              <w:rPr>
                <w:rFonts w:hint="cs"/>
                <w:sz w:val="16"/>
                <w:szCs w:val="24"/>
                <w:rtl/>
              </w:rPr>
            </w:pPr>
          </w:p>
        </w:tc>
        <w:tc>
          <w:tcPr>
            <w:tcW w:w="721"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النساء</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390 2</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83"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032 3</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395 3</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599 3</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659 3</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938 3</w:t>
            </w:r>
          </w:p>
        </w:tc>
        <w:tc>
          <w:tcPr>
            <w:tcW w:w="680" w:type="dxa"/>
            <w:shd w:val="clear" w:color="auto" w:fill="auto"/>
            <w:vAlign w:val="bottom"/>
          </w:tcPr>
          <w:p w:rsidR="002D3A4A" w:rsidRPr="00576B60" w:rsidRDefault="002D3A4A" w:rsidP="002D3A4A">
            <w:pPr>
              <w:spacing w:before="40" w:after="80" w:line="240" w:lineRule="exact"/>
              <w:rPr>
                <w:rFonts w:hint="cs"/>
                <w:sz w:val="16"/>
                <w:szCs w:val="24"/>
                <w:rtl/>
              </w:rPr>
            </w:pPr>
          </w:p>
        </w:tc>
      </w:tr>
      <w:tr w:rsidR="002D3A4A" w:rsidRPr="00576B60">
        <w:tblPrEx>
          <w:tblCellMar>
            <w:top w:w="0" w:type="dxa"/>
            <w:bottom w:w="0" w:type="dxa"/>
          </w:tblCellMar>
        </w:tblPrEx>
        <w:trPr>
          <w:cantSplit/>
          <w:jc w:val="center"/>
        </w:trPr>
        <w:tc>
          <w:tcPr>
            <w:tcW w:w="2309" w:type="dxa"/>
            <w:vMerge/>
            <w:tcBorders>
              <w:top w:val="single" w:sz="4" w:space="0" w:color="auto"/>
              <w:bottom w:val="single" w:sz="4" w:space="0" w:color="auto"/>
            </w:tcBorders>
            <w:shd w:val="clear" w:color="auto" w:fill="auto"/>
            <w:vAlign w:val="bottom"/>
          </w:tcPr>
          <w:p w:rsidR="002D3A4A" w:rsidRPr="00576B60" w:rsidRDefault="002D3A4A" w:rsidP="002D3A4A">
            <w:pPr>
              <w:spacing w:before="40" w:after="80" w:line="240" w:lineRule="exact"/>
              <w:jc w:val="lowKashida"/>
              <w:rPr>
                <w:rFonts w:hint="cs"/>
                <w:sz w:val="16"/>
                <w:szCs w:val="24"/>
                <w:rtl/>
              </w:rPr>
            </w:pPr>
          </w:p>
        </w:tc>
        <w:tc>
          <w:tcPr>
            <w:tcW w:w="721"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المجموع</w:t>
            </w:r>
          </w:p>
        </w:tc>
        <w:tc>
          <w:tcPr>
            <w:tcW w:w="721" w:type="dxa"/>
            <w:tcBorders>
              <w:bottom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402 2</w:t>
            </w:r>
          </w:p>
        </w:tc>
        <w:tc>
          <w:tcPr>
            <w:tcW w:w="515"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99.5</w:t>
            </w:r>
          </w:p>
        </w:tc>
        <w:tc>
          <w:tcPr>
            <w:tcW w:w="783" w:type="dxa"/>
            <w:tcBorders>
              <w:bottom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154 3</w:t>
            </w:r>
          </w:p>
        </w:tc>
        <w:tc>
          <w:tcPr>
            <w:tcW w:w="515"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96.1</w:t>
            </w:r>
          </w:p>
        </w:tc>
        <w:tc>
          <w:tcPr>
            <w:tcW w:w="721" w:type="dxa"/>
            <w:tcBorders>
              <w:bottom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556 3</w:t>
            </w:r>
          </w:p>
        </w:tc>
        <w:tc>
          <w:tcPr>
            <w:tcW w:w="618"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95.5</w:t>
            </w:r>
          </w:p>
        </w:tc>
        <w:tc>
          <w:tcPr>
            <w:tcW w:w="721" w:type="dxa"/>
            <w:tcBorders>
              <w:bottom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796 3</w:t>
            </w:r>
          </w:p>
        </w:tc>
        <w:tc>
          <w:tcPr>
            <w:tcW w:w="618"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94.8</w:t>
            </w:r>
          </w:p>
        </w:tc>
        <w:tc>
          <w:tcPr>
            <w:tcW w:w="721" w:type="dxa"/>
            <w:tcBorders>
              <w:bottom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849 3</w:t>
            </w:r>
          </w:p>
        </w:tc>
        <w:tc>
          <w:tcPr>
            <w:tcW w:w="515"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95.1</w:t>
            </w:r>
          </w:p>
        </w:tc>
        <w:tc>
          <w:tcPr>
            <w:tcW w:w="721" w:type="dxa"/>
            <w:tcBorders>
              <w:bottom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150 4</w:t>
            </w:r>
          </w:p>
        </w:tc>
        <w:tc>
          <w:tcPr>
            <w:tcW w:w="680" w:type="dxa"/>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94.9</w:t>
            </w:r>
          </w:p>
        </w:tc>
      </w:tr>
      <w:tr w:rsidR="002D3A4A" w:rsidRPr="00576B60">
        <w:tblPrEx>
          <w:tblCellMar>
            <w:top w:w="0" w:type="dxa"/>
            <w:bottom w:w="0" w:type="dxa"/>
          </w:tblCellMar>
        </w:tblPrEx>
        <w:trPr>
          <w:cantSplit/>
          <w:jc w:val="center"/>
        </w:trPr>
        <w:tc>
          <w:tcPr>
            <w:tcW w:w="2309" w:type="dxa"/>
            <w:vMerge w:val="restart"/>
            <w:tcBorders>
              <w:top w:val="single" w:sz="4" w:space="0" w:color="auto"/>
            </w:tcBorders>
            <w:shd w:val="clear" w:color="auto" w:fill="auto"/>
          </w:tcPr>
          <w:p w:rsidR="002D3A4A" w:rsidRPr="00576B60" w:rsidRDefault="002D3A4A" w:rsidP="002D3A4A">
            <w:pPr>
              <w:spacing w:before="40" w:after="80" w:line="240" w:lineRule="exact"/>
              <w:jc w:val="lowKashida"/>
              <w:rPr>
                <w:rFonts w:hint="cs"/>
                <w:sz w:val="16"/>
                <w:szCs w:val="24"/>
                <w:rtl/>
              </w:rPr>
            </w:pPr>
            <w:r>
              <w:rPr>
                <w:rFonts w:hint="cs"/>
                <w:sz w:val="16"/>
                <w:szCs w:val="24"/>
                <w:rtl/>
              </w:rPr>
              <w:t>الكليات الفنية والتدريب المهني (الزراعة والحراجة)</w:t>
            </w:r>
          </w:p>
        </w:tc>
        <w:tc>
          <w:tcPr>
            <w:tcW w:w="721"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الرجال</w:t>
            </w:r>
          </w:p>
        </w:tc>
        <w:tc>
          <w:tcPr>
            <w:tcW w:w="721" w:type="dxa"/>
            <w:tcBorders>
              <w:top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360</w:t>
            </w:r>
          </w:p>
        </w:tc>
        <w:tc>
          <w:tcPr>
            <w:tcW w:w="515"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83" w:type="dxa"/>
            <w:tcBorders>
              <w:top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394</w:t>
            </w:r>
          </w:p>
        </w:tc>
        <w:tc>
          <w:tcPr>
            <w:tcW w:w="515"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tcBorders>
              <w:top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396</w:t>
            </w:r>
          </w:p>
        </w:tc>
        <w:tc>
          <w:tcPr>
            <w:tcW w:w="618"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tcBorders>
              <w:top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354</w:t>
            </w:r>
          </w:p>
        </w:tc>
        <w:tc>
          <w:tcPr>
            <w:tcW w:w="618"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tcBorders>
              <w:top w:val="single" w:sz="4" w:space="0" w:color="auto"/>
            </w:tcBorders>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357</w:t>
            </w:r>
          </w:p>
        </w:tc>
        <w:tc>
          <w:tcPr>
            <w:tcW w:w="515"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tcBorders>
              <w:top w:val="single" w:sz="4" w:space="0" w:color="auto"/>
            </w:tcBorders>
            <w:shd w:val="clear" w:color="auto" w:fill="D9D9D9"/>
            <w:vAlign w:val="bottom"/>
          </w:tcPr>
          <w:p w:rsidR="002D3A4A" w:rsidRPr="001B42DA" w:rsidRDefault="002D3A4A" w:rsidP="002D3A4A">
            <w:pPr>
              <w:spacing w:before="40" w:after="80" w:line="240" w:lineRule="exact"/>
              <w:rPr>
                <w:rFonts w:hint="cs"/>
                <w:sz w:val="16"/>
                <w:szCs w:val="24"/>
                <w:vertAlign w:val="superscript"/>
                <w:rtl/>
              </w:rPr>
            </w:pPr>
            <w:r>
              <w:rPr>
                <w:rFonts w:hint="cs"/>
                <w:sz w:val="16"/>
                <w:szCs w:val="24"/>
                <w:rtl/>
              </w:rPr>
              <w:t>(357)</w:t>
            </w:r>
            <w:r>
              <w:rPr>
                <w:rFonts w:hint="cs"/>
                <w:sz w:val="16"/>
                <w:szCs w:val="24"/>
                <w:vertAlign w:val="superscript"/>
                <w:rtl/>
              </w:rPr>
              <w:t>(5)</w:t>
            </w:r>
          </w:p>
        </w:tc>
        <w:tc>
          <w:tcPr>
            <w:tcW w:w="680"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r>
      <w:tr w:rsidR="002D3A4A" w:rsidRPr="00576B60">
        <w:tblPrEx>
          <w:tblCellMar>
            <w:top w:w="0" w:type="dxa"/>
            <w:bottom w:w="0" w:type="dxa"/>
          </w:tblCellMar>
        </w:tblPrEx>
        <w:trPr>
          <w:cantSplit/>
          <w:jc w:val="center"/>
        </w:trPr>
        <w:tc>
          <w:tcPr>
            <w:tcW w:w="2309" w:type="dxa"/>
            <w:vMerge/>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النساء</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158</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83"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231</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252</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270</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238</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(238</w:t>
            </w:r>
            <w:r>
              <w:rPr>
                <w:rFonts w:hint="cs"/>
                <w:sz w:val="16"/>
                <w:szCs w:val="24"/>
                <w:rtl/>
                <w:lang w:bidi="ar-LB"/>
              </w:rPr>
              <w:t>)</w:t>
            </w:r>
            <w:r>
              <w:rPr>
                <w:rFonts w:hint="cs"/>
                <w:sz w:val="16"/>
                <w:szCs w:val="24"/>
                <w:vertAlign w:val="superscript"/>
                <w:rtl/>
              </w:rPr>
              <w:t xml:space="preserve"> (5)</w:t>
            </w:r>
          </w:p>
        </w:tc>
        <w:tc>
          <w:tcPr>
            <w:tcW w:w="680" w:type="dxa"/>
            <w:shd w:val="clear" w:color="auto" w:fill="auto"/>
            <w:vAlign w:val="bottom"/>
          </w:tcPr>
          <w:p w:rsidR="002D3A4A" w:rsidRPr="00576B60" w:rsidRDefault="002D3A4A" w:rsidP="002D3A4A">
            <w:pPr>
              <w:spacing w:before="40" w:after="80" w:line="240" w:lineRule="exact"/>
              <w:rPr>
                <w:rFonts w:hint="cs"/>
                <w:sz w:val="16"/>
                <w:szCs w:val="24"/>
                <w:rtl/>
              </w:rPr>
            </w:pPr>
          </w:p>
        </w:tc>
      </w:tr>
      <w:tr w:rsidR="002D3A4A" w:rsidRPr="00576B60">
        <w:tblPrEx>
          <w:tblCellMar>
            <w:top w:w="0" w:type="dxa"/>
            <w:bottom w:w="0" w:type="dxa"/>
          </w:tblCellMar>
        </w:tblPrEx>
        <w:trPr>
          <w:cantSplit/>
          <w:jc w:val="center"/>
        </w:trPr>
        <w:tc>
          <w:tcPr>
            <w:tcW w:w="2309" w:type="dxa"/>
            <w:vMerge/>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المجموع</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518</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30.5</w:t>
            </w:r>
          </w:p>
        </w:tc>
        <w:tc>
          <w:tcPr>
            <w:tcW w:w="783"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625</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37.2</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648</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38.9</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624</w:t>
            </w:r>
          </w:p>
        </w:tc>
        <w:tc>
          <w:tcPr>
            <w:tcW w:w="618"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43.3</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595</w:t>
            </w:r>
          </w:p>
        </w:tc>
        <w:tc>
          <w:tcPr>
            <w:tcW w:w="515" w:type="dxa"/>
            <w:shd w:val="clear" w:color="auto" w:fill="auto"/>
            <w:vAlign w:val="bottom"/>
          </w:tcPr>
          <w:p w:rsidR="002D3A4A" w:rsidRPr="00576B60" w:rsidRDefault="002D3A4A" w:rsidP="002D3A4A">
            <w:pPr>
              <w:spacing w:before="40" w:after="80" w:line="240" w:lineRule="exact"/>
              <w:rPr>
                <w:rFonts w:hint="cs"/>
                <w:sz w:val="16"/>
                <w:szCs w:val="24"/>
                <w:rtl/>
              </w:rPr>
            </w:pPr>
            <w:r>
              <w:rPr>
                <w:rFonts w:hint="cs"/>
                <w:sz w:val="16"/>
                <w:szCs w:val="24"/>
                <w:rtl/>
              </w:rPr>
              <w:t>40.0</w:t>
            </w:r>
          </w:p>
        </w:tc>
        <w:tc>
          <w:tcPr>
            <w:tcW w:w="721" w:type="dxa"/>
            <w:shd w:val="clear" w:color="auto" w:fill="D9D9D9"/>
            <w:vAlign w:val="bottom"/>
          </w:tcPr>
          <w:p w:rsidR="002D3A4A" w:rsidRPr="00576B60" w:rsidRDefault="002D3A4A" w:rsidP="002D3A4A">
            <w:pPr>
              <w:spacing w:before="40" w:after="80" w:line="240" w:lineRule="exact"/>
              <w:rPr>
                <w:rFonts w:hint="cs"/>
                <w:sz w:val="16"/>
                <w:szCs w:val="24"/>
                <w:rtl/>
              </w:rPr>
            </w:pPr>
            <w:r>
              <w:rPr>
                <w:rFonts w:hint="cs"/>
                <w:sz w:val="16"/>
                <w:szCs w:val="24"/>
                <w:rtl/>
              </w:rPr>
              <w:t>(595)</w:t>
            </w:r>
            <w:r>
              <w:rPr>
                <w:rFonts w:hint="cs"/>
                <w:sz w:val="16"/>
                <w:szCs w:val="24"/>
                <w:vertAlign w:val="superscript"/>
                <w:rtl/>
              </w:rPr>
              <w:t xml:space="preserve"> (5)</w:t>
            </w:r>
          </w:p>
        </w:tc>
        <w:tc>
          <w:tcPr>
            <w:tcW w:w="680" w:type="dxa"/>
            <w:shd w:val="clear" w:color="auto" w:fill="auto"/>
            <w:vAlign w:val="bottom"/>
          </w:tcPr>
          <w:p w:rsidR="002D3A4A" w:rsidRPr="00576B60" w:rsidRDefault="002D3A4A" w:rsidP="002D3A4A">
            <w:pPr>
              <w:spacing w:before="40" w:after="80" w:line="240" w:lineRule="exact"/>
              <w:rPr>
                <w:rFonts w:hint="cs"/>
                <w:sz w:val="16"/>
                <w:szCs w:val="24"/>
                <w:rtl/>
              </w:rPr>
            </w:pPr>
          </w:p>
        </w:tc>
      </w:tr>
      <w:tr w:rsidR="002D3A4A" w:rsidRPr="00576B60">
        <w:tblPrEx>
          <w:tblCellMar>
            <w:top w:w="0" w:type="dxa"/>
            <w:bottom w:w="0" w:type="dxa"/>
          </w:tblCellMar>
        </w:tblPrEx>
        <w:trPr>
          <w:cantSplit/>
          <w:trHeight w:val="74"/>
          <w:jc w:val="center"/>
        </w:trPr>
        <w:tc>
          <w:tcPr>
            <w:tcW w:w="2309" w:type="dxa"/>
            <w:vMerge w:val="restart"/>
            <w:shd w:val="clear" w:color="auto" w:fill="auto"/>
          </w:tcPr>
          <w:p w:rsidR="002D3A4A" w:rsidRPr="00915D80" w:rsidRDefault="002D3A4A" w:rsidP="002D3A4A">
            <w:pPr>
              <w:spacing w:before="40" w:after="80" w:line="240" w:lineRule="exact"/>
              <w:jc w:val="lowKashida"/>
              <w:rPr>
                <w:rFonts w:hint="cs"/>
                <w:b/>
                <w:bCs/>
                <w:sz w:val="16"/>
                <w:szCs w:val="24"/>
                <w:rtl/>
              </w:rPr>
            </w:pPr>
            <w:r>
              <w:rPr>
                <w:rFonts w:hint="cs"/>
                <w:b/>
                <w:bCs/>
                <w:sz w:val="16"/>
                <w:szCs w:val="24"/>
                <w:rtl/>
              </w:rPr>
              <w:t>مجموع الكليات الفنية والتدريب المهني</w:t>
            </w:r>
            <w:r w:rsidRPr="001B42DA">
              <w:rPr>
                <w:rFonts w:hint="cs"/>
                <w:b/>
                <w:bCs/>
                <w:sz w:val="16"/>
                <w:szCs w:val="24"/>
                <w:vertAlign w:val="superscript"/>
                <w:rtl/>
              </w:rPr>
              <w:t>(6)</w:t>
            </w:r>
          </w:p>
        </w:tc>
        <w:tc>
          <w:tcPr>
            <w:tcW w:w="721" w:type="dxa"/>
            <w:shd w:val="clear" w:color="auto" w:fill="auto"/>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الرجال</w:t>
            </w:r>
          </w:p>
        </w:tc>
        <w:tc>
          <w:tcPr>
            <w:tcW w:w="721" w:type="dxa"/>
            <w:shd w:val="clear" w:color="auto" w:fill="D9D9D9"/>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906 7</w:t>
            </w:r>
          </w:p>
        </w:tc>
        <w:tc>
          <w:tcPr>
            <w:tcW w:w="515" w:type="dxa"/>
            <w:shd w:val="clear" w:color="auto" w:fill="auto"/>
            <w:vAlign w:val="bottom"/>
          </w:tcPr>
          <w:p w:rsidR="002D3A4A" w:rsidRPr="00170D7D" w:rsidRDefault="002D3A4A" w:rsidP="002D3A4A">
            <w:pPr>
              <w:spacing w:before="40" w:after="80" w:line="240" w:lineRule="exact"/>
              <w:rPr>
                <w:rFonts w:hint="cs"/>
                <w:b/>
                <w:bCs/>
                <w:sz w:val="16"/>
                <w:szCs w:val="24"/>
                <w:rtl/>
              </w:rPr>
            </w:pPr>
          </w:p>
        </w:tc>
        <w:tc>
          <w:tcPr>
            <w:tcW w:w="783" w:type="dxa"/>
            <w:shd w:val="clear" w:color="auto" w:fill="D9D9D9"/>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290 8</w:t>
            </w:r>
          </w:p>
        </w:tc>
        <w:tc>
          <w:tcPr>
            <w:tcW w:w="515" w:type="dxa"/>
            <w:shd w:val="clear" w:color="auto" w:fill="auto"/>
            <w:vAlign w:val="bottom"/>
          </w:tcPr>
          <w:p w:rsidR="002D3A4A" w:rsidRPr="00170D7D" w:rsidRDefault="002D3A4A" w:rsidP="002D3A4A">
            <w:pPr>
              <w:spacing w:before="40" w:after="80" w:line="240" w:lineRule="exact"/>
              <w:rPr>
                <w:rFonts w:hint="cs"/>
                <w:b/>
                <w:bCs/>
                <w:sz w:val="16"/>
                <w:szCs w:val="24"/>
                <w:rtl/>
              </w:rPr>
            </w:pPr>
          </w:p>
        </w:tc>
        <w:tc>
          <w:tcPr>
            <w:tcW w:w="721" w:type="dxa"/>
            <w:shd w:val="clear" w:color="auto" w:fill="D9D9D9"/>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856 8</w:t>
            </w:r>
          </w:p>
        </w:tc>
        <w:tc>
          <w:tcPr>
            <w:tcW w:w="618" w:type="dxa"/>
            <w:shd w:val="clear" w:color="auto" w:fill="auto"/>
            <w:vAlign w:val="bottom"/>
          </w:tcPr>
          <w:p w:rsidR="002D3A4A" w:rsidRPr="00170D7D" w:rsidRDefault="002D3A4A" w:rsidP="002D3A4A">
            <w:pPr>
              <w:spacing w:before="40" w:after="80" w:line="240" w:lineRule="exact"/>
              <w:rPr>
                <w:rFonts w:hint="cs"/>
                <w:b/>
                <w:bCs/>
                <w:sz w:val="16"/>
                <w:szCs w:val="24"/>
                <w:rtl/>
              </w:rPr>
            </w:pPr>
          </w:p>
        </w:tc>
        <w:tc>
          <w:tcPr>
            <w:tcW w:w="721" w:type="dxa"/>
            <w:shd w:val="clear" w:color="auto" w:fill="D9D9D9"/>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398 9</w:t>
            </w:r>
          </w:p>
        </w:tc>
        <w:tc>
          <w:tcPr>
            <w:tcW w:w="618" w:type="dxa"/>
            <w:shd w:val="clear" w:color="auto" w:fill="auto"/>
            <w:vAlign w:val="bottom"/>
          </w:tcPr>
          <w:p w:rsidR="002D3A4A" w:rsidRPr="00170D7D" w:rsidRDefault="002D3A4A" w:rsidP="002D3A4A">
            <w:pPr>
              <w:spacing w:before="40" w:after="80" w:line="240" w:lineRule="exact"/>
              <w:rPr>
                <w:rFonts w:hint="cs"/>
                <w:b/>
                <w:bCs/>
                <w:sz w:val="16"/>
                <w:szCs w:val="24"/>
                <w:rtl/>
              </w:rPr>
            </w:pPr>
          </w:p>
        </w:tc>
        <w:tc>
          <w:tcPr>
            <w:tcW w:w="721" w:type="dxa"/>
            <w:shd w:val="clear" w:color="auto" w:fill="D9D9D9"/>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241 9</w:t>
            </w:r>
          </w:p>
        </w:tc>
        <w:tc>
          <w:tcPr>
            <w:tcW w:w="515" w:type="dxa"/>
            <w:shd w:val="clear" w:color="auto" w:fill="auto"/>
            <w:vAlign w:val="bottom"/>
          </w:tcPr>
          <w:p w:rsidR="002D3A4A" w:rsidRPr="00170D7D" w:rsidRDefault="002D3A4A" w:rsidP="002D3A4A">
            <w:pPr>
              <w:spacing w:before="40" w:after="80" w:line="240" w:lineRule="exact"/>
              <w:rPr>
                <w:rFonts w:hint="cs"/>
                <w:b/>
                <w:bCs/>
                <w:sz w:val="16"/>
                <w:szCs w:val="24"/>
                <w:rtl/>
              </w:rPr>
            </w:pPr>
          </w:p>
        </w:tc>
        <w:tc>
          <w:tcPr>
            <w:tcW w:w="721" w:type="dxa"/>
            <w:shd w:val="clear" w:color="auto" w:fill="D9D9D9"/>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408 9</w:t>
            </w:r>
          </w:p>
        </w:tc>
        <w:tc>
          <w:tcPr>
            <w:tcW w:w="680" w:type="dxa"/>
            <w:shd w:val="clear" w:color="auto" w:fill="auto"/>
            <w:vAlign w:val="bottom"/>
          </w:tcPr>
          <w:p w:rsidR="002D3A4A" w:rsidRPr="00170D7D" w:rsidRDefault="002D3A4A" w:rsidP="002D3A4A">
            <w:pPr>
              <w:spacing w:before="40" w:after="80" w:line="240" w:lineRule="exact"/>
              <w:rPr>
                <w:rFonts w:hint="cs"/>
                <w:b/>
                <w:bCs/>
                <w:sz w:val="16"/>
                <w:szCs w:val="24"/>
                <w:rtl/>
              </w:rPr>
            </w:pPr>
          </w:p>
        </w:tc>
      </w:tr>
      <w:tr w:rsidR="002D3A4A" w:rsidRPr="00576B60">
        <w:tblPrEx>
          <w:tblCellMar>
            <w:top w:w="0" w:type="dxa"/>
            <w:bottom w:w="0" w:type="dxa"/>
          </w:tblCellMar>
        </w:tblPrEx>
        <w:trPr>
          <w:cantSplit/>
          <w:trHeight w:val="74"/>
          <w:jc w:val="center"/>
        </w:trPr>
        <w:tc>
          <w:tcPr>
            <w:tcW w:w="2309" w:type="dxa"/>
            <w:vMerge/>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auto"/>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النساء</w:t>
            </w:r>
          </w:p>
        </w:tc>
        <w:tc>
          <w:tcPr>
            <w:tcW w:w="721" w:type="dxa"/>
            <w:shd w:val="clear" w:color="auto" w:fill="D9D9D9"/>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505 7</w:t>
            </w:r>
          </w:p>
        </w:tc>
        <w:tc>
          <w:tcPr>
            <w:tcW w:w="515" w:type="dxa"/>
            <w:shd w:val="clear" w:color="auto" w:fill="auto"/>
            <w:vAlign w:val="bottom"/>
          </w:tcPr>
          <w:p w:rsidR="002D3A4A" w:rsidRPr="00170D7D" w:rsidRDefault="002D3A4A" w:rsidP="002D3A4A">
            <w:pPr>
              <w:spacing w:before="40" w:after="80" w:line="240" w:lineRule="exact"/>
              <w:rPr>
                <w:rFonts w:hint="cs"/>
                <w:b/>
                <w:bCs/>
                <w:sz w:val="16"/>
                <w:szCs w:val="24"/>
                <w:rtl/>
              </w:rPr>
            </w:pPr>
          </w:p>
        </w:tc>
        <w:tc>
          <w:tcPr>
            <w:tcW w:w="783" w:type="dxa"/>
            <w:shd w:val="clear" w:color="auto" w:fill="D9D9D9"/>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100 8</w:t>
            </w:r>
          </w:p>
        </w:tc>
        <w:tc>
          <w:tcPr>
            <w:tcW w:w="515" w:type="dxa"/>
            <w:shd w:val="clear" w:color="auto" w:fill="auto"/>
            <w:vAlign w:val="bottom"/>
          </w:tcPr>
          <w:p w:rsidR="002D3A4A" w:rsidRPr="00170D7D" w:rsidRDefault="002D3A4A" w:rsidP="002D3A4A">
            <w:pPr>
              <w:spacing w:before="40" w:after="80" w:line="240" w:lineRule="exact"/>
              <w:rPr>
                <w:rFonts w:hint="cs"/>
                <w:b/>
                <w:bCs/>
                <w:sz w:val="16"/>
                <w:szCs w:val="24"/>
                <w:rtl/>
              </w:rPr>
            </w:pPr>
          </w:p>
        </w:tc>
        <w:tc>
          <w:tcPr>
            <w:tcW w:w="721" w:type="dxa"/>
            <w:shd w:val="clear" w:color="auto" w:fill="D9D9D9"/>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232 9</w:t>
            </w:r>
          </w:p>
        </w:tc>
        <w:tc>
          <w:tcPr>
            <w:tcW w:w="618" w:type="dxa"/>
            <w:shd w:val="clear" w:color="auto" w:fill="auto"/>
            <w:vAlign w:val="bottom"/>
          </w:tcPr>
          <w:p w:rsidR="002D3A4A" w:rsidRPr="00170D7D" w:rsidRDefault="002D3A4A" w:rsidP="002D3A4A">
            <w:pPr>
              <w:spacing w:before="40" w:after="80" w:line="240" w:lineRule="exact"/>
              <w:rPr>
                <w:rFonts w:hint="cs"/>
                <w:b/>
                <w:bCs/>
                <w:sz w:val="16"/>
                <w:szCs w:val="24"/>
                <w:rtl/>
              </w:rPr>
            </w:pPr>
          </w:p>
        </w:tc>
        <w:tc>
          <w:tcPr>
            <w:tcW w:w="721" w:type="dxa"/>
            <w:shd w:val="clear" w:color="auto" w:fill="D9D9D9"/>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581 9</w:t>
            </w:r>
          </w:p>
        </w:tc>
        <w:tc>
          <w:tcPr>
            <w:tcW w:w="618" w:type="dxa"/>
            <w:shd w:val="clear" w:color="auto" w:fill="auto"/>
            <w:vAlign w:val="bottom"/>
          </w:tcPr>
          <w:p w:rsidR="002D3A4A" w:rsidRPr="00170D7D" w:rsidRDefault="002D3A4A" w:rsidP="002D3A4A">
            <w:pPr>
              <w:spacing w:before="40" w:after="80" w:line="240" w:lineRule="exact"/>
              <w:rPr>
                <w:rFonts w:hint="cs"/>
                <w:b/>
                <w:bCs/>
                <w:sz w:val="16"/>
                <w:szCs w:val="24"/>
                <w:rtl/>
              </w:rPr>
            </w:pPr>
          </w:p>
        </w:tc>
        <w:tc>
          <w:tcPr>
            <w:tcW w:w="721" w:type="dxa"/>
            <w:shd w:val="clear" w:color="auto" w:fill="D9D9D9"/>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862 9</w:t>
            </w:r>
          </w:p>
        </w:tc>
        <w:tc>
          <w:tcPr>
            <w:tcW w:w="515" w:type="dxa"/>
            <w:shd w:val="clear" w:color="auto" w:fill="auto"/>
            <w:vAlign w:val="bottom"/>
          </w:tcPr>
          <w:p w:rsidR="002D3A4A" w:rsidRPr="00170D7D" w:rsidRDefault="002D3A4A" w:rsidP="002D3A4A">
            <w:pPr>
              <w:spacing w:before="40" w:after="80" w:line="240" w:lineRule="exact"/>
              <w:rPr>
                <w:rFonts w:hint="cs"/>
                <w:b/>
                <w:bCs/>
                <w:sz w:val="16"/>
                <w:szCs w:val="24"/>
                <w:rtl/>
              </w:rPr>
            </w:pPr>
          </w:p>
        </w:tc>
        <w:tc>
          <w:tcPr>
            <w:tcW w:w="721" w:type="dxa"/>
            <w:shd w:val="clear" w:color="auto" w:fill="D9D9D9"/>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489 10</w:t>
            </w:r>
          </w:p>
        </w:tc>
        <w:tc>
          <w:tcPr>
            <w:tcW w:w="680" w:type="dxa"/>
            <w:shd w:val="clear" w:color="auto" w:fill="auto"/>
            <w:vAlign w:val="bottom"/>
          </w:tcPr>
          <w:p w:rsidR="002D3A4A" w:rsidRPr="00170D7D" w:rsidRDefault="002D3A4A" w:rsidP="002D3A4A">
            <w:pPr>
              <w:spacing w:before="40" w:after="80" w:line="240" w:lineRule="exact"/>
              <w:rPr>
                <w:rFonts w:hint="cs"/>
                <w:b/>
                <w:bCs/>
                <w:sz w:val="16"/>
                <w:szCs w:val="24"/>
                <w:rtl/>
              </w:rPr>
            </w:pPr>
          </w:p>
        </w:tc>
      </w:tr>
      <w:tr w:rsidR="002D3A4A" w:rsidRPr="00576B60">
        <w:tblPrEx>
          <w:tblCellMar>
            <w:top w:w="0" w:type="dxa"/>
            <w:bottom w:w="0" w:type="dxa"/>
          </w:tblCellMar>
        </w:tblPrEx>
        <w:trPr>
          <w:cantSplit/>
          <w:trHeight w:val="74"/>
          <w:jc w:val="center"/>
        </w:trPr>
        <w:tc>
          <w:tcPr>
            <w:tcW w:w="2309" w:type="dxa"/>
            <w:vMerge/>
            <w:tcBorders>
              <w:bottom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tcBorders>
              <w:bottom w:val="single" w:sz="4" w:space="0" w:color="auto"/>
            </w:tcBorders>
            <w:shd w:val="clear" w:color="auto" w:fill="auto"/>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المجموع</w:t>
            </w:r>
          </w:p>
        </w:tc>
        <w:tc>
          <w:tcPr>
            <w:tcW w:w="721" w:type="dxa"/>
            <w:tcBorders>
              <w:bottom w:val="single" w:sz="4" w:space="0" w:color="auto"/>
            </w:tcBorders>
            <w:shd w:val="clear" w:color="auto" w:fill="D9D9D9"/>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411 15</w:t>
            </w:r>
          </w:p>
        </w:tc>
        <w:tc>
          <w:tcPr>
            <w:tcW w:w="515" w:type="dxa"/>
            <w:tcBorders>
              <w:bottom w:val="single" w:sz="4" w:space="0" w:color="auto"/>
            </w:tcBorders>
            <w:shd w:val="clear" w:color="auto" w:fill="auto"/>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48.7</w:t>
            </w:r>
          </w:p>
        </w:tc>
        <w:tc>
          <w:tcPr>
            <w:tcW w:w="783" w:type="dxa"/>
            <w:tcBorders>
              <w:bottom w:val="single" w:sz="4" w:space="0" w:color="auto"/>
            </w:tcBorders>
            <w:shd w:val="clear" w:color="auto" w:fill="D9D9D9"/>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390 16</w:t>
            </w:r>
          </w:p>
        </w:tc>
        <w:tc>
          <w:tcPr>
            <w:tcW w:w="515" w:type="dxa"/>
            <w:tcBorders>
              <w:bottom w:val="single" w:sz="4" w:space="0" w:color="auto"/>
            </w:tcBorders>
            <w:shd w:val="clear" w:color="auto" w:fill="auto"/>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49.4</w:t>
            </w:r>
          </w:p>
        </w:tc>
        <w:tc>
          <w:tcPr>
            <w:tcW w:w="721" w:type="dxa"/>
            <w:tcBorders>
              <w:bottom w:val="single" w:sz="4" w:space="0" w:color="auto"/>
            </w:tcBorders>
            <w:shd w:val="clear" w:color="auto" w:fill="D9D9D9"/>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088 18</w:t>
            </w:r>
          </w:p>
        </w:tc>
        <w:tc>
          <w:tcPr>
            <w:tcW w:w="618" w:type="dxa"/>
            <w:tcBorders>
              <w:bottom w:val="single" w:sz="4" w:space="0" w:color="auto"/>
            </w:tcBorders>
            <w:shd w:val="clear" w:color="auto" w:fill="auto"/>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51.0</w:t>
            </w:r>
          </w:p>
        </w:tc>
        <w:tc>
          <w:tcPr>
            <w:tcW w:w="721" w:type="dxa"/>
            <w:tcBorders>
              <w:bottom w:val="single" w:sz="4" w:space="0" w:color="auto"/>
            </w:tcBorders>
            <w:shd w:val="clear" w:color="auto" w:fill="D9D9D9"/>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979 18</w:t>
            </w:r>
          </w:p>
        </w:tc>
        <w:tc>
          <w:tcPr>
            <w:tcW w:w="618" w:type="dxa"/>
            <w:tcBorders>
              <w:bottom w:val="single" w:sz="4" w:space="0" w:color="auto"/>
            </w:tcBorders>
            <w:shd w:val="clear" w:color="auto" w:fill="auto"/>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50.5</w:t>
            </w:r>
          </w:p>
        </w:tc>
        <w:tc>
          <w:tcPr>
            <w:tcW w:w="721" w:type="dxa"/>
            <w:tcBorders>
              <w:bottom w:val="single" w:sz="4" w:space="0" w:color="auto"/>
            </w:tcBorders>
            <w:shd w:val="clear" w:color="auto" w:fill="D9D9D9"/>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103 19</w:t>
            </w:r>
          </w:p>
        </w:tc>
        <w:tc>
          <w:tcPr>
            <w:tcW w:w="515" w:type="dxa"/>
            <w:tcBorders>
              <w:bottom w:val="single" w:sz="4" w:space="0" w:color="auto"/>
            </w:tcBorders>
            <w:shd w:val="clear" w:color="auto" w:fill="auto"/>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51.6</w:t>
            </w:r>
          </w:p>
        </w:tc>
        <w:tc>
          <w:tcPr>
            <w:tcW w:w="721" w:type="dxa"/>
            <w:tcBorders>
              <w:bottom w:val="single" w:sz="4" w:space="0" w:color="auto"/>
            </w:tcBorders>
            <w:shd w:val="clear" w:color="auto" w:fill="D9D9D9"/>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897 19</w:t>
            </w:r>
          </w:p>
        </w:tc>
        <w:tc>
          <w:tcPr>
            <w:tcW w:w="680" w:type="dxa"/>
            <w:tcBorders>
              <w:bottom w:val="single" w:sz="4" w:space="0" w:color="auto"/>
            </w:tcBorders>
            <w:shd w:val="clear" w:color="auto" w:fill="auto"/>
            <w:vAlign w:val="bottom"/>
          </w:tcPr>
          <w:p w:rsidR="002D3A4A" w:rsidRPr="00170D7D" w:rsidRDefault="002D3A4A" w:rsidP="002D3A4A">
            <w:pPr>
              <w:spacing w:before="40" w:after="80" w:line="240" w:lineRule="exact"/>
              <w:rPr>
                <w:rFonts w:hint="cs"/>
                <w:b/>
                <w:bCs/>
                <w:sz w:val="16"/>
                <w:szCs w:val="24"/>
                <w:rtl/>
              </w:rPr>
            </w:pPr>
            <w:r w:rsidRPr="00170D7D">
              <w:rPr>
                <w:rFonts w:hint="cs"/>
                <w:b/>
                <w:bCs/>
                <w:sz w:val="16"/>
                <w:szCs w:val="24"/>
                <w:rtl/>
              </w:rPr>
              <w:t>52.7</w:t>
            </w:r>
          </w:p>
        </w:tc>
      </w:tr>
      <w:tr w:rsidR="002D3A4A" w:rsidRPr="00576B60">
        <w:tblPrEx>
          <w:tblCellMar>
            <w:top w:w="0" w:type="dxa"/>
            <w:bottom w:w="0" w:type="dxa"/>
          </w:tblCellMar>
        </w:tblPrEx>
        <w:trPr>
          <w:cantSplit/>
          <w:jc w:val="center"/>
        </w:trPr>
        <w:tc>
          <w:tcPr>
            <w:tcW w:w="2309" w:type="dxa"/>
            <w:vMerge w:val="restart"/>
            <w:tcBorders>
              <w:top w:val="single" w:sz="4" w:space="0" w:color="auto"/>
            </w:tcBorders>
            <w:shd w:val="clear" w:color="auto" w:fill="auto"/>
          </w:tcPr>
          <w:p w:rsidR="002D3A4A" w:rsidRPr="00915D80" w:rsidRDefault="002D3A4A" w:rsidP="002D3A4A">
            <w:pPr>
              <w:spacing w:before="40" w:after="80" w:line="240" w:lineRule="exact"/>
              <w:jc w:val="lowKashida"/>
              <w:rPr>
                <w:rFonts w:hint="cs"/>
                <w:sz w:val="16"/>
                <w:szCs w:val="24"/>
                <w:rtl/>
              </w:rPr>
            </w:pPr>
            <w:r w:rsidRPr="00444F53">
              <w:rPr>
                <w:rFonts w:hint="cs"/>
                <w:b/>
                <w:bCs/>
                <w:sz w:val="16"/>
                <w:szCs w:val="24"/>
                <w:rtl/>
              </w:rPr>
              <w:t>كليات التربية للتدريب المهني</w:t>
            </w:r>
            <w:r w:rsidRPr="001B42DA">
              <w:rPr>
                <w:rFonts w:hint="cs"/>
                <w:b/>
                <w:bCs/>
                <w:sz w:val="16"/>
                <w:szCs w:val="24"/>
                <w:vertAlign w:val="superscript"/>
                <w:rtl/>
              </w:rPr>
              <w:t>(7)</w:t>
            </w:r>
          </w:p>
        </w:tc>
        <w:tc>
          <w:tcPr>
            <w:tcW w:w="721" w:type="dxa"/>
            <w:tcBorders>
              <w:top w:val="single" w:sz="4" w:space="0" w:color="auto"/>
            </w:tcBorders>
            <w:shd w:val="clear" w:color="auto" w:fill="auto"/>
          </w:tcPr>
          <w:p w:rsidR="002D3A4A" w:rsidRPr="00224EFF" w:rsidRDefault="002D3A4A" w:rsidP="002D3A4A">
            <w:pPr>
              <w:spacing w:before="40" w:after="80" w:line="240" w:lineRule="exact"/>
              <w:jc w:val="lowKashida"/>
              <w:rPr>
                <w:rFonts w:hint="cs"/>
                <w:b/>
                <w:bCs/>
                <w:sz w:val="16"/>
                <w:szCs w:val="24"/>
                <w:rtl/>
              </w:rPr>
            </w:pPr>
            <w:r w:rsidRPr="00224EFF">
              <w:rPr>
                <w:rFonts w:hint="cs"/>
                <w:b/>
                <w:bCs/>
                <w:sz w:val="16"/>
                <w:szCs w:val="24"/>
                <w:rtl/>
              </w:rPr>
              <w:t>الرجال</w:t>
            </w:r>
          </w:p>
        </w:tc>
        <w:tc>
          <w:tcPr>
            <w:tcW w:w="721" w:type="dxa"/>
            <w:tcBorders>
              <w:top w:val="single" w:sz="4" w:space="0" w:color="auto"/>
            </w:tcBorders>
            <w:shd w:val="clear" w:color="auto" w:fill="D9D9D9"/>
          </w:tcPr>
          <w:p w:rsidR="002D3A4A" w:rsidRPr="00224EFF" w:rsidRDefault="002D3A4A" w:rsidP="002D3A4A">
            <w:pPr>
              <w:spacing w:before="40" w:after="80" w:line="240" w:lineRule="exact"/>
              <w:jc w:val="lowKashida"/>
              <w:rPr>
                <w:rFonts w:hint="cs"/>
                <w:b/>
                <w:bCs/>
                <w:sz w:val="16"/>
                <w:szCs w:val="24"/>
                <w:rtl/>
              </w:rPr>
            </w:pPr>
            <w:r w:rsidRPr="00224EFF">
              <w:rPr>
                <w:rFonts w:hint="cs"/>
                <w:b/>
                <w:bCs/>
                <w:sz w:val="16"/>
                <w:szCs w:val="24"/>
                <w:rtl/>
              </w:rPr>
              <w:t>19</w:t>
            </w:r>
          </w:p>
        </w:tc>
        <w:tc>
          <w:tcPr>
            <w:tcW w:w="515" w:type="dxa"/>
            <w:tcBorders>
              <w:top w:val="single" w:sz="4" w:space="0" w:color="auto"/>
            </w:tcBorders>
            <w:shd w:val="clear" w:color="auto" w:fill="auto"/>
          </w:tcPr>
          <w:p w:rsidR="002D3A4A" w:rsidRPr="00224EFF" w:rsidRDefault="002D3A4A" w:rsidP="002D3A4A">
            <w:pPr>
              <w:spacing w:before="40" w:after="80" w:line="240" w:lineRule="exact"/>
              <w:jc w:val="lowKashida"/>
              <w:rPr>
                <w:rFonts w:hint="cs"/>
                <w:b/>
                <w:bCs/>
                <w:sz w:val="16"/>
                <w:szCs w:val="24"/>
                <w:rtl/>
              </w:rPr>
            </w:pPr>
          </w:p>
        </w:tc>
        <w:tc>
          <w:tcPr>
            <w:tcW w:w="783" w:type="dxa"/>
            <w:tcBorders>
              <w:top w:val="single" w:sz="4" w:space="0" w:color="auto"/>
            </w:tcBorders>
            <w:shd w:val="clear" w:color="auto" w:fill="D9D9D9"/>
          </w:tcPr>
          <w:p w:rsidR="002D3A4A" w:rsidRPr="00224EFF" w:rsidRDefault="002D3A4A" w:rsidP="002D3A4A">
            <w:pPr>
              <w:spacing w:before="40" w:after="80" w:line="240" w:lineRule="exact"/>
              <w:jc w:val="lowKashida"/>
              <w:rPr>
                <w:rFonts w:hint="cs"/>
                <w:b/>
                <w:bCs/>
                <w:sz w:val="16"/>
                <w:szCs w:val="24"/>
                <w:rtl/>
              </w:rPr>
            </w:pPr>
            <w:r w:rsidRPr="00224EFF">
              <w:rPr>
                <w:rFonts w:hint="cs"/>
                <w:b/>
                <w:bCs/>
                <w:sz w:val="16"/>
                <w:szCs w:val="24"/>
                <w:rtl/>
              </w:rPr>
              <w:t>38</w:t>
            </w:r>
          </w:p>
        </w:tc>
        <w:tc>
          <w:tcPr>
            <w:tcW w:w="515" w:type="dxa"/>
            <w:tcBorders>
              <w:top w:val="single" w:sz="4" w:space="0" w:color="auto"/>
            </w:tcBorders>
            <w:shd w:val="clear" w:color="auto" w:fill="auto"/>
          </w:tcPr>
          <w:p w:rsidR="002D3A4A" w:rsidRPr="00224EFF" w:rsidRDefault="002D3A4A" w:rsidP="002D3A4A">
            <w:pPr>
              <w:spacing w:before="40" w:after="80" w:line="240" w:lineRule="exact"/>
              <w:jc w:val="lowKashida"/>
              <w:rPr>
                <w:rFonts w:hint="cs"/>
                <w:b/>
                <w:bCs/>
                <w:sz w:val="16"/>
                <w:szCs w:val="24"/>
                <w:rtl/>
              </w:rPr>
            </w:pPr>
          </w:p>
        </w:tc>
        <w:tc>
          <w:tcPr>
            <w:tcW w:w="721" w:type="dxa"/>
            <w:tcBorders>
              <w:top w:val="single" w:sz="4" w:space="0" w:color="auto"/>
            </w:tcBorders>
            <w:shd w:val="clear" w:color="auto" w:fill="D9D9D9"/>
          </w:tcPr>
          <w:p w:rsidR="002D3A4A" w:rsidRPr="00224EFF" w:rsidRDefault="002D3A4A" w:rsidP="002D3A4A">
            <w:pPr>
              <w:spacing w:before="40" w:after="80" w:line="240" w:lineRule="exact"/>
              <w:jc w:val="lowKashida"/>
              <w:rPr>
                <w:rFonts w:hint="cs"/>
                <w:b/>
                <w:bCs/>
                <w:sz w:val="16"/>
                <w:szCs w:val="24"/>
                <w:rtl/>
              </w:rPr>
            </w:pPr>
            <w:r w:rsidRPr="00224EFF">
              <w:rPr>
                <w:rFonts w:hint="cs"/>
                <w:b/>
                <w:bCs/>
                <w:sz w:val="16"/>
                <w:szCs w:val="24"/>
                <w:rtl/>
              </w:rPr>
              <w:t>40</w:t>
            </w:r>
          </w:p>
        </w:tc>
        <w:tc>
          <w:tcPr>
            <w:tcW w:w="618" w:type="dxa"/>
            <w:tcBorders>
              <w:top w:val="single" w:sz="4" w:space="0" w:color="auto"/>
            </w:tcBorders>
            <w:shd w:val="clear" w:color="auto" w:fill="auto"/>
          </w:tcPr>
          <w:p w:rsidR="002D3A4A" w:rsidRPr="00224EFF" w:rsidRDefault="002D3A4A" w:rsidP="002D3A4A">
            <w:pPr>
              <w:spacing w:before="40" w:after="80" w:line="240" w:lineRule="exact"/>
              <w:jc w:val="lowKashida"/>
              <w:rPr>
                <w:rFonts w:hint="cs"/>
                <w:b/>
                <w:bCs/>
                <w:sz w:val="16"/>
                <w:szCs w:val="24"/>
                <w:rtl/>
              </w:rPr>
            </w:pPr>
          </w:p>
        </w:tc>
        <w:tc>
          <w:tcPr>
            <w:tcW w:w="721" w:type="dxa"/>
            <w:tcBorders>
              <w:top w:val="single" w:sz="4" w:space="0" w:color="auto"/>
            </w:tcBorders>
            <w:shd w:val="clear" w:color="auto" w:fill="D9D9D9"/>
          </w:tcPr>
          <w:p w:rsidR="002D3A4A" w:rsidRPr="00224EFF" w:rsidRDefault="002D3A4A" w:rsidP="002D3A4A">
            <w:pPr>
              <w:spacing w:before="40" w:after="80" w:line="240" w:lineRule="exact"/>
              <w:jc w:val="lowKashida"/>
              <w:rPr>
                <w:rFonts w:hint="cs"/>
                <w:b/>
                <w:bCs/>
                <w:sz w:val="16"/>
                <w:szCs w:val="24"/>
                <w:rtl/>
              </w:rPr>
            </w:pPr>
            <w:r w:rsidRPr="00224EFF">
              <w:rPr>
                <w:rFonts w:hint="cs"/>
                <w:b/>
                <w:bCs/>
                <w:sz w:val="16"/>
                <w:szCs w:val="24"/>
                <w:rtl/>
              </w:rPr>
              <w:t>47</w:t>
            </w:r>
          </w:p>
        </w:tc>
        <w:tc>
          <w:tcPr>
            <w:tcW w:w="618" w:type="dxa"/>
            <w:tcBorders>
              <w:top w:val="single" w:sz="4" w:space="0" w:color="auto"/>
            </w:tcBorders>
            <w:shd w:val="clear" w:color="auto" w:fill="auto"/>
          </w:tcPr>
          <w:p w:rsidR="002D3A4A" w:rsidRPr="00224EFF" w:rsidRDefault="002D3A4A" w:rsidP="002D3A4A">
            <w:pPr>
              <w:spacing w:before="40" w:after="80" w:line="240" w:lineRule="exact"/>
              <w:jc w:val="lowKashida"/>
              <w:rPr>
                <w:rFonts w:hint="cs"/>
                <w:b/>
                <w:bCs/>
                <w:sz w:val="16"/>
                <w:szCs w:val="24"/>
                <w:rtl/>
              </w:rPr>
            </w:pPr>
          </w:p>
        </w:tc>
        <w:tc>
          <w:tcPr>
            <w:tcW w:w="721" w:type="dxa"/>
            <w:tcBorders>
              <w:top w:val="single" w:sz="4" w:space="0" w:color="auto"/>
            </w:tcBorders>
            <w:shd w:val="clear" w:color="auto" w:fill="D9D9D9"/>
          </w:tcPr>
          <w:p w:rsidR="002D3A4A" w:rsidRPr="00224EFF" w:rsidRDefault="002D3A4A" w:rsidP="002D3A4A">
            <w:pPr>
              <w:spacing w:before="40" w:after="80" w:line="240" w:lineRule="exact"/>
              <w:jc w:val="lowKashida"/>
              <w:rPr>
                <w:rFonts w:hint="cs"/>
                <w:b/>
                <w:bCs/>
                <w:sz w:val="16"/>
                <w:szCs w:val="24"/>
                <w:rtl/>
              </w:rPr>
            </w:pPr>
            <w:r w:rsidRPr="00224EFF">
              <w:rPr>
                <w:rFonts w:hint="cs"/>
                <w:b/>
                <w:bCs/>
                <w:sz w:val="16"/>
                <w:szCs w:val="24"/>
                <w:rtl/>
              </w:rPr>
              <w:t>53</w:t>
            </w:r>
          </w:p>
        </w:tc>
        <w:tc>
          <w:tcPr>
            <w:tcW w:w="515" w:type="dxa"/>
            <w:tcBorders>
              <w:top w:val="single" w:sz="4" w:space="0" w:color="auto"/>
            </w:tcBorders>
            <w:shd w:val="clear" w:color="auto" w:fill="auto"/>
          </w:tcPr>
          <w:p w:rsidR="002D3A4A" w:rsidRPr="00224EFF" w:rsidRDefault="002D3A4A" w:rsidP="002D3A4A">
            <w:pPr>
              <w:spacing w:before="40" w:after="80" w:line="240" w:lineRule="exact"/>
              <w:jc w:val="lowKashida"/>
              <w:rPr>
                <w:rFonts w:hint="cs"/>
                <w:b/>
                <w:bCs/>
                <w:sz w:val="16"/>
                <w:szCs w:val="24"/>
                <w:rtl/>
              </w:rPr>
            </w:pPr>
          </w:p>
        </w:tc>
        <w:tc>
          <w:tcPr>
            <w:tcW w:w="721" w:type="dxa"/>
            <w:tcBorders>
              <w:top w:val="single" w:sz="4" w:space="0" w:color="auto"/>
            </w:tcBorders>
            <w:shd w:val="clear" w:color="auto" w:fill="D9D9D9"/>
          </w:tcPr>
          <w:p w:rsidR="002D3A4A" w:rsidRPr="00224EFF" w:rsidRDefault="002D3A4A" w:rsidP="002D3A4A">
            <w:pPr>
              <w:spacing w:before="40" w:after="80" w:line="240" w:lineRule="exact"/>
              <w:jc w:val="lowKashida"/>
              <w:rPr>
                <w:rFonts w:hint="cs"/>
                <w:b/>
                <w:bCs/>
                <w:sz w:val="16"/>
                <w:szCs w:val="24"/>
                <w:rtl/>
              </w:rPr>
            </w:pPr>
            <w:r w:rsidRPr="00224EFF">
              <w:rPr>
                <w:rFonts w:hint="cs"/>
                <w:b/>
                <w:bCs/>
                <w:sz w:val="16"/>
                <w:szCs w:val="24"/>
                <w:rtl/>
              </w:rPr>
              <w:t>44</w:t>
            </w:r>
          </w:p>
        </w:tc>
        <w:tc>
          <w:tcPr>
            <w:tcW w:w="680" w:type="dxa"/>
            <w:tcBorders>
              <w:top w:val="single" w:sz="4" w:space="0" w:color="auto"/>
            </w:tcBorders>
            <w:shd w:val="clear" w:color="auto" w:fill="auto"/>
          </w:tcPr>
          <w:p w:rsidR="002D3A4A" w:rsidRPr="00224EFF" w:rsidRDefault="002D3A4A" w:rsidP="002D3A4A">
            <w:pPr>
              <w:spacing w:before="40" w:after="80" w:line="240" w:lineRule="exact"/>
              <w:jc w:val="lowKashida"/>
              <w:rPr>
                <w:rFonts w:hint="cs"/>
                <w:b/>
                <w:bCs/>
                <w:sz w:val="16"/>
                <w:szCs w:val="24"/>
                <w:rtl/>
              </w:rPr>
            </w:pPr>
          </w:p>
        </w:tc>
      </w:tr>
      <w:tr w:rsidR="002D3A4A" w:rsidRPr="00576B60">
        <w:tblPrEx>
          <w:tblCellMar>
            <w:top w:w="0" w:type="dxa"/>
            <w:bottom w:w="0" w:type="dxa"/>
          </w:tblCellMar>
        </w:tblPrEx>
        <w:trPr>
          <w:cantSplit/>
          <w:jc w:val="center"/>
        </w:trPr>
        <w:tc>
          <w:tcPr>
            <w:tcW w:w="2309" w:type="dxa"/>
            <w:vMerge/>
            <w:shd w:val="clear" w:color="auto" w:fill="auto"/>
          </w:tcPr>
          <w:p w:rsidR="002D3A4A" w:rsidRPr="00576B60" w:rsidRDefault="002D3A4A" w:rsidP="002D3A4A">
            <w:pPr>
              <w:spacing w:before="40" w:after="80" w:line="240" w:lineRule="exact"/>
              <w:jc w:val="lowKashida"/>
              <w:rPr>
                <w:rFonts w:hint="cs"/>
                <w:sz w:val="16"/>
                <w:szCs w:val="24"/>
                <w:rtl/>
              </w:rPr>
            </w:pPr>
          </w:p>
        </w:tc>
        <w:tc>
          <w:tcPr>
            <w:tcW w:w="721" w:type="dxa"/>
            <w:shd w:val="clear" w:color="auto" w:fill="auto"/>
          </w:tcPr>
          <w:p w:rsidR="002D3A4A" w:rsidRPr="00224EFF" w:rsidRDefault="002D3A4A" w:rsidP="002D3A4A">
            <w:pPr>
              <w:spacing w:before="40" w:after="80" w:line="240" w:lineRule="exact"/>
              <w:jc w:val="lowKashida"/>
              <w:rPr>
                <w:rFonts w:hint="cs"/>
                <w:b/>
                <w:bCs/>
                <w:sz w:val="16"/>
                <w:szCs w:val="24"/>
                <w:rtl/>
              </w:rPr>
            </w:pPr>
            <w:r w:rsidRPr="00224EFF">
              <w:rPr>
                <w:rFonts w:hint="cs"/>
                <w:b/>
                <w:bCs/>
                <w:sz w:val="16"/>
                <w:szCs w:val="24"/>
                <w:rtl/>
              </w:rPr>
              <w:t>النساء</w:t>
            </w:r>
          </w:p>
        </w:tc>
        <w:tc>
          <w:tcPr>
            <w:tcW w:w="721" w:type="dxa"/>
            <w:shd w:val="clear" w:color="auto" w:fill="D9D9D9"/>
          </w:tcPr>
          <w:p w:rsidR="002D3A4A" w:rsidRPr="00224EFF" w:rsidRDefault="002D3A4A" w:rsidP="002D3A4A">
            <w:pPr>
              <w:spacing w:before="40" w:after="80" w:line="240" w:lineRule="exact"/>
              <w:jc w:val="lowKashida"/>
              <w:rPr>
                <w:rFonts w:hint="cs"/>
                <w:b/>
                <w:bCs/>
                <w:sz w:val="16"/>
                <w:szCs w:val="24"/>
                <w:rtl/>
              </w:rPr>
            </w:pPr>
            <w:r w:rsidRPr="00224EFF">
              <w:rPr>
                <w:rFonts w:hint="cs"/>
                <w:b/>
                <w:bCs/>
                <w:sz w:val="16"/>
                <w:szCs w:val="24"/>
                <w:rtl/>
              </w:rPr>
              <w:t>841</w:t>
            </w:r>
          </w:p>
        </w:tc>
        <w:tc>
          <w:tcPr>
            <w:tcW w:w="515" w:type="dxa"/>
            <w:shd w:val="clear" w:color="auto" w:fill="auto"/>
          </w:tcPr>
          <w:p w:rsidR="002D3A4A" w:rsidRPr="00224EFF" w:rsidRDefault="002D3A4A" w:rsidP="002D3A4A">
            <w:pPr>
              <w:spacing w:before="40" w:after="80" w:line="240" w:lineRule="exact"/>
              <w:jc w:val="lowKashida"/>
              <w:rPr>
                <w:rFonts w:hint="cs"/>
                <w:b/>
                <w:bCs/>
                <w:sz w:val="16"/>
                <w:szCs w:val="24"/>
                <w:rtl/>
              </w:rPr>
            </w:pPr>
          </w:p>
        </w:tc>
        <w:tc>
          <w:tcPr>
            <w:tcW w:w="783" w:type="dxa"/>
            <w:shd w:val="clear" w:color="auto" w:fill="D9D9D9"/>
          </w:tcPr>
          <w:p w:rsidR="002D3A4A" w:rsidRPr="00224EFF" w:rsidRDefault="002D3A4A" w:rsidP="002D3A4A">
            <w:pPr>
              <w:spacing w:before="40" w:after="80" w:line="240" w:lineRule="exact"/>
              <w:jc w:val="lowKashida"/>
              <w:rPr>
                <w:rFonts w:hint="cs"/>
                <w:b/>
                <w:bCs/>
                <w:sz w:val="16"/>
                <w:szCs w:val="24"/>
                <w:rtl/>
              </w:rPr>
            </w:pPr>
            <w:r w:rsidRPr="00224EFF">
              <w:rPr>
                <w:rFonts w:hint="cs"/>
                <w:b/>
                <w:bCs/>
                <w:sz w:val="16"/>
                <w:szCs w:val="24"/>
                <w:rtl/>
              </w:rPr>
              <w:t>625 1</w:t>
            </w:r>
          </w:p>
        </w:tc>
        <w:tc>
          <w:tcPr>
            <w:tcW w:w="515" w:type="dxa"/>
            <w:shd w:val="clear" w:color="auto" w:fill="auto"/>
          </w:tcPr>
          <w:p w:rsidR="002D3A4A" w:rsidRPr="00224EFF" w:rsidRDefault="002D3A4A" w:rsidP="002D3A4A">
            <w:pPr>
              <w:spacing w:before="40" w:after="80" w:line="240" w:lineRule="exact"/>
              <w:jc w:val="lowKashida"/>
              <w:rPr>
                <w:rFonts w:hint="cs"/>
                <w:b/>
                <w:bCs/>
                <w:sz w:val="16"/>
                <w:szCs w:val="24"/>
                <w:rtl/>
              </w:rPr>
            </w:pPr>
          </w:p>
        </w:tc>
        <w:tc>
          <w:tcPr>
            <w:tcW w:w="721" w:type="dxa"/>
            <w:shd w:val="clear" w:color="auto" w:fill="D9D9D9"/>
          </w:tcPr>
          <w:p w:rsidR="002D3A4A" w:rsidRPr="00224EFF" w:rsidRDefault="002D3A4A" w:rsidP="002D3A4A">
            <w:pPr>
              <w:spacing w:before="40" w:after="80" w:line="240" w:lineRule="exact"/>
              <w:jc w:val="lowKashida"/>
              <w:rPr>
                <w:rFonts w:hint="cs"/>
                <w:b/>
                <w:bCs/>
                <w:sz w:val="16"/>
                <w:szCs w:val="24"/>
                <w:rtl/>
              </w:rPr>
            </w:pPr>
            <w:r w:rsidRPr="00224EFF">
              <w:rPr>
                <w:rFonts w:hint="cs"/>
                <w:b/>
                <w:bCs/>
                <w:sz w:val="16"/>
                <w:szCs w:val="24"/>
                <w:rtl/>
              </w:rPr>
              <w:t>541 1</w:t>
            </w:r>
          </w:p>
        </w:tc>
        <w:tc>
          <w:tcPr>
            <w:tcW w:w="618" w:type="dxa"/>
            <w:shd w:val="clear" w:color="auto" w:fill="auto"/>
          </w:tcPr>
          <w:p w:rsidR="002D3A4A" w:rsidRPr="00224EFF" w:rsidRDefault="002D3A4A" w:rsidP="002D3A4A">
            <w:pPr>
              <w:spacing w:before="40" w:after="80" w:line="240" w:lineRule="exact"/>
              <w:jc w:val="lowKashida"/>
              <w:rPr>
                <w:rFonts w:hint="cs"/>
                <w:b/>
                <w:bCs/>
                <w:sz w:val="16"/>
                <w:szCs w:val="24"/>
                <w:rtl/>
              </w:rPr>
            </w:pPr>
          </w:p>
        </w:tc>
        <w:tc>
          <w:tcPr>
            <w:tcW w:w="721" w:type="dxa"/>
            <w:shd w:val="clear" w:color="auto" w:fill="D9D9D9"/>
          </w:tcPr>
          <w:p w:rsidR="002D3A4A" w:rsidRPr="00224EFF" w:rsidRDefault="002D3A4A" w:rsidP="002D3A4A">
            <w:pPr>
              <w:spacing w:before="40" w:after="80" w:line="240" w:lineRule="exact"/>
              <w:jc w:val="lowKashida"/>
              <w:rPr>
                <w:rFonts w:hint="cs"/>
                <w:b/>
                <w:bCs/>
                <w:sz w:val="16"/>
                <w:szCs w:val="24"/>
                <w:rtl/>
              </w:rPr>
            </w:pPr>
            <w:r w:rsidRPr="00224EFF">
              <w:rPr>
                <w:rFonts w:hint="cs"/>
                <w:b/>
                <w:bCs/>
                <w:sz w:val="16"/>
                <w:szCs w:val="24"/>
                <w:rtl/>
              </w:rPr>
              <w:t>539 1</w:t>
            </w:r>
          </w:p>
        </w:tc>
        <w:tc>
          <w:tcPr>
            <w:tcW w:w="618" w:type="dxa"/>
            <w:shd w:val="clear" w:color="auto" w:fill="auto"/>
          </w:tcPr>
          <w:p w:rsidR="002D3A4A" w:rsidRPr="00224EFF" w:rsidRDefault="002D3A4A" w:rsidP="002D3A4A">
            <w:pPr>
              <w:spacing w:before="40" w:after="80" w:line="240" w:lineRule="exact"/>
              <w:jc w:val="lowKashida"/>
              <w:rPr>
                <w:rFonts w:hint="cs"/>
                <w:b/>
                <w:bCs/>
                <w:sz w:val="16"/>
                <w:szCs w:val="24"/>
                <w:rtl/>
              </w:rPr>
            </w:pPr>
          </w:p>
        </w:tc>
        <w:tc>
          <w:tcPr>
            <w:tcW w:w="721" w:type="dxa"/>
            <w:shd w:val="clear" w:color="auto" w:fill="D9D9D9"/>
          </w:tcPr>
          <w:p w:rsidR="002D3A4A" w:rsidRPr="00224EFF" w:rsidRDefault="002D3A4A" w:rsidP="002D3A4A">
            <w:pPr>
              <w:spacing w:before="40" w:after="80" w:line="240" w:lineRule="exact"/>
              <w:jc w:val="lowKashida"/>
              <w:rPr>
                <w:rFonts w:hint="cs"/>
                <w:b/>
                <w:bCs/>
                <w:sz w:val="16"/>
                <w:szCs w:val="24"/>
                <w:rtl/>
              </w:rPr>
            </w:pPr>
            <w:r w:rsidRPr="00224EFF">
              <w:rPr>
                <w:rFonts w:hint="cs"/>
                <w:b/>
                <w:bCs/>
                <w:sz w:val="16"/>
                <w:szCs w:val="24"/>
                <w:rtl/>
              </w:rPr>
              <w:t>575 1</w:t>
            </w:r>
          </w:p>
        </w:tc>
        <w:tc>
          <w:tcPr>
            <w:tcW w:w="515" w:type="dxa"/>
            <w:shd w:val="clear" w:color="auto" w:fill="auto"/>
          </w:tcPr>
          <w:p w:rsidR="002D3A4A" w:rsidRPr="00224EFF" w:rsidRDefault="002D3A4A" w:rsidP="002D3A4A">
            <w:pPr>
              <w:spacing w:before="40" w:after="80" w:line="240" w:lineRule="exact"/>
              <w:jc w:val="lowKashida"/>
              <w:rPr>
                <w:rFonts w:hint="cs"/>
                <w:b/>
                <w:bCs/>
                <w:sz w:val="16"/>
                <w:szCs w:val="24"/>
                <w:rtl/>
              </w:rPr>
            </w:pPr>
          </w:p>
        </w:tc>
        <w:tc>
          <w:tcPr>
            <w:tcW w:w="721" w:type="dxa"/>
            <w:shd w:val="clear" w:color="auto" w:fill="D9D9D9"/>
          </w:tcPr>
          <w:p w:rsidR="002D3A4A" w:rsidRPr="00224EFF" w:rsidRDefault="002D3A4A" w:rsidP="002D3A4A">
            <w:pPr>
              <w:spacing w:before="40" w:after="80" w:line="240" w:lineRule="exact"/>
              <w:jc w:val="lowKashida"/>
              <w:rPr>
                <w:rFonts w:hint="cs"/>
                <w:b/>
                <w:bCs/>
                <w:sz w:val="16"/>
                <w:szCs w:val="24"/>
                <w:rtl/>
              </w:rPr>
            </w:pPr>
            <w:r w:rsidRPr="00224EFF">
              <w:rPr>
                <w:rFonts w:hint="cs"/>
                <w:b/>
                <w:bCs/>
                <w:sz w:val="16"/>
                <w:szCs w:val="24"/>
                <w:rtl/>
              </w:rPr>
              <w:t>551 1</w:t>
            </w:r>
          </w:p>
        </w:tc>
        <w:tc>
          <w:tcPr>
            <w:tcW w:w="680" w:type="dxa"/>
            <w:shd w:val="clear" w:color="auto" w:fill="auto"/>
          </w:tcPr>
          <w:p w:rsidR="002D3A4A" w:rsidRPr="00224EFF" w:rsidRDefault="002D3A4A" w:rsidP="002D3A4A">
            <w:pPr>
              <w:spacing w:before="40" w:after="80" w:line="240" w:lineRule="exact"/>
              <w:jc w:val="lowKashida"/>
              <w:rPr>
                <w:rFonts w:hint="cs"/>
                <w:b/>
                <w:bCs/>
                <w:sz w:val="16"/>
                <w:szCs w:val="24"/>
                <w:rtl/>
              </w:rPr>
            </w:pPr>
          </w:p>
        </w:tc>
      </w:tr>
      <w:tr w:rsidR="002D3A4A" w:rsidRPr="00576B60">
        <w:tblPrEx>
          <w:tblCellMar>
            <w:top w:w="0" w:type="dxa"/>
            <w:bottom w:w="0" w:type="dxa"/>
          </w:tblCellMar>
        </w:tblPrEx>
        <w:trPr>
          <w:cantSplit/>
          <w:jc w:val="center"/>
        </w:trPr>
        <w:tc>
          <w:tcPr>
            <w:tcW w:w="2309" w:type="dxa"/>
            <w:vMerge/>
            <w:tcBorders>
              <w:bottom w:val="single" w:sz="4" w:space="0" w:color="auto"/>
            </w:tcBorders>
            <w:shd w:val="clear" w:color="auto" w:fill="auto"/>
            <w:vAlign w:val="bottom"/>
          </w:tcPr>
          <w:p w:rsidR="002D3A4A" w:rsidRPr="00576B60" w:rsidRDefault="002D3A4A" w:rsidP="002D3A4A">
            <w:pPr>
              <w:spacing w:before="40" w:after="80" w:line="240" w:lineRule="exact"/>
              <w:jc w:val="lowKashida"/>
              <w:rPr>
                <w:rFonts w:hint="cs"/>
                <w:sz w:val="16"/>
                <w:szCs w:val="24"/>
                <w:rtl/>
              </w:rPr>
            </w:pPr>
          </w:p>
        </w:tc>
        <w:tc>
          <w:tcPr>
            <w:tcW w:w="721" w:type="dxa"/>
            <w:tcBorders>
              <w:bottom w:val="single" w:sz="4" w:space="0" w:color="auto"/>
            </w:tcBorders>
            <w:shd w:val="clear" w:color="auto" w:fill="auto"/>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المجموع</w:t>
            </w:r>
          </w:p>
        </w:tc>
        <w:tc>
          <w:tcPr>
            <w:tcW w:w="721" w:type="dxa"/>
            <w:tcBorders>
              <w:bottom w:val="single" w:sz="4" w:space="0" w:color="auto"/>
            </w:tcBorders>
            <w:shd w:val="clear" w:color="auto" w:fill="D9D9D9"/>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860</w:t>
            </w:r>
          </w:p>
        </w:tc>
        <w:tc>
          <w:tcPr>
            <w:tcW w:w="515" w:type="dxa"/>
            <w:tcBorders>
              <w:bottom w:val="single" w:sz="4" w:space="0" w:color="auto"/>
            </w:tcBorders>
            <w:shd w:val="clear" w:color="auto" w:fill="auto"/>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97.8</w:t>
            </w:r>
          </w:p>
        </w:tc>
        <w:tc>
          <w:tcPr>
            <w:tcW w:w="783" w:type="dxa"/>
            <w:tcBorders>
              <w:bottom w:val="single" w:sz="4" w:space="0" w:color="auto"/>
            </w:tcBorders>
            <w:shd w:val="clear" w:color="auto" w:fill="D9D9D9"/>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663 1</w:t>
            </w:r>
          </w:p>
        </w:tc>
        <w:tc>
          <w:tcPr>
            <w:tcW w:w="515" w:type="dxa"/>
            <w:tcBorders>
              <w:bottom w:val="single" w:sz="4" w:space="0" w:color="auto"/>
            </w:tcBorders>
            <w:shd w:val="clear" w:color="auto" w:fill="auto"/>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97.7</w:t>
            </w:r>
          </w:p>
        </w:tc>
        <w:tc>
          <w:tcPr>
            <w:tcW w:w="721" w:type="dxa"/>
            <w:tcBorders>
              <w:bottom w:val="single" w:sz="4" w:space="0" w:color="auto"/>
            </w:tcBorders>
            <w:shd w:val="clear" w:color="auto" w:fill="D9D9D9"/>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581 1</w:t>
            </w:r>
          </w:p>
        </w:tc>
        <w:tc>
          <w:tcPr>
            <w:tcW w:w="618" w:type="dxa"/>
            <w:tcBorders>
              <w:bottom w:val="single" w:sz="4" w:space="0" w:color="auto"/>
            </w:tcBorders>
            <w:shd w:val="clear" w:color="auto" w:fill="auto"/>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97.5</w:t>
            </w:r>
          </w:p>
        </w:tc>
        <w:tc>
          <w:tcPr>
            <w:tcW w:w="721" w:type="dxa"/>
            <w:tcBorders>
              <w:bottom w:val="single" w:sz="4" w:space="0" w:color="auto"/>
            </w:tcBorders>
            <w:shd w:val="clear" w:color="auto" w:fill="D9D9D9"/>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586 1</w:t>
            </w:r>
          </w:p>
        </w:tc>
        <w:tc>
          <w:tcPr>
            <w:tcW w:w="618" w:type="dxa"/>
            <w:tcBorders>
              <w:bottom w:val="single" w:sz="4" w:space="0" w:color="auto"/>
            </w:tcBorders>
            <w:shd w:val="clear" w:color="auto" w:fill="auto"/>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97.0</w:t>
            </w:r>
          </w:p>
        </w:tc>
        <w:tc>
          <w:tcPr>
            <w:tcW w:w="721" w:type="dxa"/>
            <w:tcBorders>
              <w:bottom w:val="single" w:sz="4" w:space="0" w:color="auto"/>
            </w:tcBorders>
            <w:shd w:val="clear" w:color="auto" w:fill="D9D9D9"/>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628 1</w:t>
            </w:r>
          </w:p>
        </w:tc>
        <w:tc>
          <w:tcPr>
            <w:tcW w:w="515" w:type="dxa"/>
            <w:tcBorders>
              <w:bottom w:val="single" w:sz="4" w:space="0" w:color="auto"/>
            </w:tcBorders>
            <w:shd w:val="clear" w:color="auto" w:fill="auto"/>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96.7</w:t>
            </w:r>
          </w:p>
        </w:tc>
        <w:tc>
          <w:tcPr>
            <w:tcW w:w="721" w:type="dxa"/>
            <w:tcBorders>
              <w:bottom w:val="single" w:sz="4" w:space="0" w:color="auto"/>
            </w:tcBorders>
            <w:shd w:val="clear" w:color="auto" w:fill="D9D9D9"/>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595 1</w:t>
            </w:r>
          </w:p>
        </w:tc>
        <w:tc>
          <w:tcPr>
            <w:tcW w:w="680" w:type="dxa"/>
            <w:tcBorders>
              <w:bottom w:val="single" w:sz="4" w:space="0" w:color="auto"/>
            </w:tcBorders>
            <w:shd w:val="clear" w:color="auto" w:fill="auto"/>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97.2</w:t>
            </w:r>
          </w:p>
        </w:tc>
      </w:tr>
      <w:tr w:rsidR="002D3A4A" w:rsidRPr="00576B60">
        <w:tblPrEx>
          <w:tblCellMar>
            <w:top w:w="0" w:type="dxa"/>
            <w:bottom w:w="0" w:type="dxa"/>
          </w:tblCellMar>
        </w:tblPrEx>
        <w:trPr>
          <w:cantSplit/>
          <w:jc w:val="center"/>
        </w:trPr>
        <w:tc>
          <w:tcPr>
            <w:tcW w:w="2309" w:type="dxa"/>
            <w:vMerge w:val="restart"/>
            <w:tcBorders>
              <w:top w:val="single" w:sz="4" w:space="0" w:color="auto"/>
            </w:tcBorders>
            <w:shd w:val="clear" w:color="auto" w:fill="auto"/>
          </w:tcPr>
          <w:p w:rsidR="002D3A4A" w:rsidRPr="00224EFF" w:rsidRDefault="002D3A4A" w:rsidP="002D3A4A">
            <w:pPr>
              <w:spacing w:before="40" w:after="80" w:line="240" w:lineRule="exact"/>
              <w:jc w:val="lowKashida"/>
              <w:rPr>
                <w:rFonts w:hint="cs"/>
                <w:b/>
                <w:bCs/>
                <w:sz w:val="16"/>
                <w:szCs w:val="24"/>
                <w:rtl/>
              </w:rPr>
            </w:pPr>
            <w:r>
              <w:rPr>
                <w:rFonts w:hint="cs"/>
                <w:b/>
                <w:bCs/>
                <w:sz w:val="16"/>
                <w:szCs w:val="24"/>
                <w:rtl/>
              </w:rPr>
              <w:t xml:space="preserve">المجموع </w:t>
            </w:r>
          </w:p>
        </w:tc>
        <w:tc>
          <w:tcPr>
            <w:tcW w:w="721" w:type="dxa"/>
            <w:tcBorders>
              <w:top w:val="single" w:sz="4" w:space="0" w:color="auto"/>
            </w:tcBorders>
            <w:shd w:val="clear" w:color="auto" w:fill="auto"/>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الرجال</w:t>
            </w:r>
          </w:p>
        </w:tc>
        <w:tc>
          <w:tcPr>
            <w:tcW w:w="721" w:type="dxa"/>
            <w:tcBorders>
              <w:top w:val="single" w:sz="4" w:space="0" w:color="auto"/>
            </w:tcBorders>
            <w:shd w:val="clear" w:color="auto" w:fill="D9D9D9"/>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093 15</w:t>
            </w:r>
          </w:p>
        </w:tc>
        <w:tc>
          <w:tcPr>
            <w:tcW w:w="515" w:type="dxa"/>
            <w:tcBorders>
              <w:top w:val="single" w:sz="4" w:space="0" w:color="auto"/>
            </w:tcBorders>
            <w:shd w:val="clear" w:color="auto" w:fill="auto"/>
            <w:vAlign w:val="bottom"/>
          </w:tcPr>
          <w:p w:rsidR="002D3A4A" w:rsidRPr="00224EFF" w:rsidRDefault="002D3A4A" w:rsidP="002D3A4A">
            <w:pPr>
              <w:spacing w:before="40" w:after="80" w:line="240" w:lineRule="exact"/>
              <w:rPr>
                <w:rFonts w:hint="cs"/>
                <w:b/>
                <w:bCs/>
                <w:sz w:val="16"/>
                <w:szCs w:val="24"/>
                <w:rtl/>
              </w:rPr>
            </w:pPr>
          </w:p>
        </w:tc>
        <w:tc>
          <w:tcPr>
            <w:tcW w:w="783" w:type="dxa"/>
            <w:tcBorders>
              <w:top w:val="single" w:sz="4" w:space="0" w:color="auto"/>
            </w:tcBorders>
            <w:shd w:val="clear" w:color="auto" w:fill="D9D9D9"/>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096 16</w:t>
            </w:r>
          </w:p>
        </w:tc>
        <w:tc>
          <w:tcPr>
            <w:tcW w:w="515" w:type="dxa"/>
            <w:tcBorders>
              <w:top w:val="single" w:sz="4" w:space="0" w:color="auto"/>
            </w:tcBorders>
            <w:shd w:val="clear" w:color="auto" w:fill="auto"/>
            <w:vAlign w:val="bottom"/>
          </w:tcPr>
          <w:p w:rsidR="002D3A4A" w:rsidRPr="00224EFF" w:rsidRDefault="002D3A4A" w:rsidP="002D3A4A">
            <w:pPr>
              <w:spacing w:before="40" w:after="80" w:line="240" w:lineRule="exact"/>
              <w:rPr>
                <w:rFonts w:hint="cs"/>
                <w:b/>
                <w:bCs/>
                <w:sz w:val="16"/>
                <w:szCs w:val="24"/>
                <w:rtl/>
              </w:rPr>
            </w:pPr>
          </w:p>
        </w:tc>
        <w:tc>
          <w:tcPr>
            <w:tcW w:w="721" w:type="dxa"/>
            <w:tcBorders>
              <w:top w:val="single" w:sz="4" w:space="0" w:color="auto"/>
            </w:tcBorders>
            <w:shd w:val="clear" w:color="auto" w:fill="D9D9D9"/>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246 16</w:t>
            </w:r>
          </w:p>
        </w:tc>
        <w:tc>
          <w:tcPr>
            <w:tcW w:w="618" w:type="dxa"/>
            <w:tcBorders>
              <w:top w:val="single" w:sz="4" w:space="0" w:color="auto"/>
            </w:tcBorders>
            <w:shd w:val="clear" w:color="auto" w:fill="auto"/>
            <w:vAlign w:val="bottom"/>
          </w:tcPr>
          <w:p w:rsidR="002D3A4A" w:rsidRPr="00224EFF" w:rsidRDefault="002D3A4A" w:rsidP="002D3A4A">
            <w:pPr>
              <w:spacing w:before="40" w:after="80" w:line="240" w:lineRule="exact"/>
              <w:rPr>
                <w:rFonts w:hint="cs"/>
                <w:b/>
                <w:bCs/>
                <w:sz w:val="16"/>
                <w:szCs w:val="24"/>
                <w:rtl/>
              </w:rPr>
            </w:pPr>
          </w:p>
        </w:tc>
        <w:tc>
          <w:tcPr>
            <w:tcW w:w="721" w:type="dxa"/>
            <w:tcBorders>
              <w:top w:val="single" w:sz="4" w:space="0" w:color="auto"/>
            </w:tcBorders>
            <w:shd w:val="clear" w:color="auto" w:fill="D9D9D9"/>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569 16</w:t>
            </w:r>
          </w:p>
        </w:tc>
        <w:tc>
          <w:tcPr>
            <w:tcW w:w="618" w:type="dxa"/>
            <w:tcBorders>
              <w:top w:val="single" w:sz="4" w:space="0" w:color="auto"/>
            </w:tcBorders>
            <w:shd w:val="clear" w:color="auto" w:fill="auto"/>
            <w:vAlign w:val="bottom"/>
          </w:tcPr>
          <w:p w:rsidR="002D3A4A" w:rsidRPr="00224EFF" w:rsidRDefault="002D3A4A" w:rsidP="002D3A4A">
            <w:pPr>
              <w:spacing w:before="40" w:after="80" w:line="240" w:lineRule="exact"/>
              <w:rPr>
                <w:rFonts w:hint="cs"/>
                <w:b/>
                <w:bCs/>
                <w:sz w:val="16"/>
                <w:szCs w:val="24"/>
                <w:rtl/>
              </w:rPr>
            </w:pPr>
          </w:p>
        </w:tc>
        <w:tc>
          <w:tcPr>
            <w:tcW w:w="721" w:type="dxa"/>
            <w:tcBorders>
              <w:top w:val="single" w:sz="4" w:space="0" w:color="auto"/>
            </w:tcBorders>
            <w:shd w:val="clear" w:color="auto" w:fill="D9D9D9"/>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936 15</w:t>
            </w:r>
          </w:p>
        </w:tc>
        <w:tc>
          <w:tcPr>
            <w:tcW w:w="515" w:type="dxa"/>
            <w:tcBorders>
              <w:top w:val="single" w:sz="4" w:space="0" w:color="auto"/>
            </w:tcBorders>
            <w:shd w:val="clear" w:color="auto" w:fill="auto"/>
            <w:vAlign w:val="bottom"/>
          </w:tcPr>
          <w:p w:rsidR="002D3A4A" w:rsidRPr="00224EFF" w:rsidRDefault="002D3A4A" w:rsidP="002D3A4A">
            <w:pPr>
              <w:spacing w:before="40" w:after="80" w:line="240" w:lineRule="exact"/>
              <w:rPr>
                <w:rFonts w:hint="cs"/>
                <w:b/>
                <w:bCs/>
                <w:sz w:val="16"/>
                <w:szCs w:val="24"/>
                <w:rtl/>
              </w:rPr>
            </w:pPr>
          </w:p>
        </w:tc>
        <w:tc>
          <w:tcPr>
            <w:tcW w:w="721" w:type="dxa"/>
            <w:tcBorders>
              <w:top w:val="single" w:sz="4" w:space="0" w:color="auto"/>
            </w:tcBorders>
            <w:shd w:val="clear" w:color="auto" w:fill="D9D9D9"/>
            <w:vAlign w:val="bottom"/>
          </w:tcPr>
          <w:p w:rsidR="002D3A4A" w:rsidRPr="00224EFF" w:rsidRDefault="002D3A4A" w:rsidP="002D3A4A">
            <w:pPr>
              <w:spacing w:before="40" w:after="80" w:line="240" w:lineRule="exact"/>
              <w:rPr>
                <w:rFonts w:hint="cs"/>
                <w:b/>
                <w:bCs/>
                <w:sz w:val="16"/>
                <w:szCs w:val="24"/>
                <w:rtl/>
              </w:rPr>
            </w:pPr>
            <w:r w:rsidRPr="00224EFF">
              <w:rPr>
                <w:rFonts w:hint="cs"/>
                <w:b/>
                <w:bCs/>
                <w:sz w:val="16"/>
                <w:szCs w:val="24"/>
                <w:rtl/>
              </w:rPr>
              <w:t>232 16</w:t>
            </w:r>
          </w:p>
        </w:tc>
        <w:tc>
          <w:tcPr>
            <w:tcW w:w="680" w:type="dxa"/>
            <w:tcBorders>
              <w:top w:val="single" w:sz="4"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r>
      <w:tr w:rsidR="002D3A4A" w:rsidRPr="00576B60">
        <w:tblPrEx>
          <w:tblCellMar>
            <w:top w:w="0" w:type="dxa"/>
            <w:bottom w:w="0" w:type="dxa"/>
          </w:tblCellMar>
        </w:tblPrEx>
        <w:trPr>
          <w:cantSplit/>
          <w:jc w:val="center"/>
        </w:trPr>
        <w:tc>
          <w:tcPr>
            <w:tcW w:w="2309" w:type="dxa"/>
            <w:vMerge/>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shd w:val="clear" w:color="auto" w:fill="auto"/>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النساء</w:t>
            </w:r>
          </w:p>
        </w:tc>
        <w:tc>
          <w:tcPr>
            <w:tcW w:w="721" w:type="dxa"/>
            <w:shd w:val="clear" w:color="auto" w:fill="D9D9D9"/>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779 16</w:t>
            </w:r>
          </w:p>
        </w:tc>
        <w:tc>
          <w:tcPr>
            <w:tcW w:w="515" w:type="dxa"/>
            <w:shd w:val="clear" w:color="auto" w:fill="auto"/>
            <w:vAlign w:val="bottom"/>
          </w:tcPr>
          <w:p w:rsidR="002D3A4A" w:rsidRPr="0032035A" w:rsidRDefault="002D3A4A" w:rsidP="002D3A4A">
            <w:pPr>
              <w:spacing w:before="40" w:after="80" w:line="240" w:lineRule="exact"/>
              <w:rPr>
                <w:rFonts w:hint="cs"/>
                <w:b/>
                <w:bCs/>
                <w:sz w:val="16"/>
                <w:szCs w:val="24"/>
                <w:rtl/>
              </w:rPr>
            </w:pPr>
          </w:p>
        </w:tc>
        <w:tc>
          <w:tcPr>
            <w:tcW w:w="783" w:type="dxa"/>
            <w:shd w:val="clear" w:color="auto" w:fill="D9D9D9"/>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445 20</w:t>
            </w:r>
          </w:p>
        </w:tc>
        <w:tc>
          <w:tcPr>
            <w:tcW w:w="515" w:type="dxa"/>
            <w:shd w:val="clear" w:color="auto" w:fill="auto"/>
            <w:vAlign w:val="bottom"/>
          </w:tcPr>
          <w:p w:rsidR="002D3A4A" w:rsidRPr="0032035A" w:rsidRDefault="002D3A4A" w:rsidP="002D3A4A">
            <w:pPr>
              <w:spacing w:before="40" w:after="80" w:line="240" w:lineRule="exact"/>
              <w:rPr>
                <w:rFonts w:hint="cs"/>
                <w:b/>
                <w:bCs/>
                <w:sz w:val="16"/>
                <w:szCs w:val="24"/>
                <w:rtl/>
              </w:rPr>
            </w:pPr>
          </w:p>
        </w:tc>
        <w:tc>
          <w:tcPr>
            <w:tcW w:w="721" w:type="dxa"/>
            <w:shd w:val="clear" w:color="auto" w:fill="D9D9D9"/>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471 21</w:t>
            </w:r>
          </w:p>
        </w:tc>
        <w:tc>
          <w:tcPr>
            <w:tcW w:w="618" w:type="dxa"/>
            <w:shd w:val="clear" w:color="auto" w:fill="auto"/>
            <w:vAlign w:val="bottom"/>
          </w:tcPr>
          <w:p w:rsidR="002D3A4A" w:rsidRPr="0032035A" w:rsidRDefault="002D3A4A" w:rsidP="002D3A4A">
            <w:pPr>
              <w:spacing w:before="40" w:after="80" w:line="240" w:lineRule="exact"/>
              <w:rPr>
                <w:rFonts w:hint="cs"/>
                <w:b/>
                <w:bCs/>
                <w:sz w:val="16"/>
                <w:szCs w:val="24"/>
                <w:rtl/>
              </w:rPr>
            </w:pPr>
          </w:p>
        </w:tc>
        <w:tc>
          <w:tcPr>
            <w:tcW w:w="721" w:type="dxa"/>
            <w:shd w:val="clear" w:color="auto" w:fill="D9D9D9"/>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251 21</w:t>
            </w:r>
          </w:p>
        </w:tc>
        <w:tc>
          <w:tcPr>
            <w:tcW w:w="618" w:type="dxa"/>
            <w:shd w:val="clear" w:color="auto" w:fill="auto"/>
            <w:vAlign w:val="bottom"/>
          </w:tcPr>
          <w:p w:rsidR="002D3A4A" w:rsidRPr="0032035A" w:rsidRDefault="002D3A4A" w:rsidP="002D3A4A">
            <w:pPr>
              <w:spacing w:before="40" w:after="80" w:line="240" w:lineRule="exact"/>
              <w:rPr>
                <w:rFonts w:hint="cs"/>
                <w:b/>
                <w:bCs/>
                <w:sz w:val="16"/>
                <w:szCs w:val="24"/>
                <w:rtl/>
              </w:rPr>
            </w:pPr>
          </w:p>
        </w:tc>
        <w:tc>
          <w:tcPr>
            <w:tcW w:w="721" w:type="dxa"/>
            <w:shd w:val="clear" w:color="auto" w:fill="D9D9D9"/>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976 20</w:t>
            </w:r>
          </w:p>
        </w:tc>
        <w:tc>
          <w:tcPr>
            <w:tcW w:w="515" w:type="dxa"/>
            <w:shd w:val="clear" w:color="auto" w:fill="auto"/>
            <w:vAlign w:val="bottom"/>
          </w:tcPr>
          <w:p w:rsidR="002D3A4A" w:rsidRPr="0032035A" w:rsidRDefault="002D3A4A" w:rsidP="002D3A4A">
            <w:pPr>
              <w:spacing w:before="40" w:after="80" w:line="240" w:lineRule="exact"/>
              <w:rPr>
                <w:rFonts w:hint="cs"/>
                <w:b/>
                <w:bCs/>
                <w:sz w:val="16"/>
                <w:szCs w:val="24"/>
                <w:rtl/>
              </w:rPr>
            </w:pPr>
          </w:p>
        </w:tc>
        <w:tc>
          <w:tcPr>
            <w:tcW w:w="721" w:type="dxa"/>
            <w:shd w:val="clear" w:color="auto" w:fill="D9D9D9"/>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578 21</w:t>
            </w:r>
          </w:p>
        </w:tc>
        <w:tc>
          <w:tcPr>
            <w:tcW w:w="680" w:type="dxa"/>
            <w:shd w:val="clear" w:color="auto" w:fill="auto"/>
            <w:vAlign w:val="bottom"/>
          </w:tcPr>
          <w:p w:rsidR="002D3A4A" w:rsidRPr="0032035A" w:rsidRDefault="002D3A4A" w:rsidP="002D3A4A">
            <w:pPr>
              <w:spacing w:before="40" w:after="80" w:line="240" w:lineRule="exact"/>
              <w:rPr>
                <w:rFonts w:hint="cs"/>
                <w:b/>
                <w:bCs/>
                <w:sz w:val="16"/>
                <w:szCs w:val="24"/>
                <w:rtl/>
              </w:rPr>
            </w:pPr>
          </w:p>
        </w:tc>
      </w:tr>
      <w:tr w:rsidR="002D3A4A" w:rsidRPr="00576B60">
        <w:tblPrEx>
          <w:tblCellMar>
            <w:top w:w="0" w:type="dxa"/>
            <w:bottom w:w="0" w:type="dxa"/>
          </w:tblCellMar>
        </w:tblPrEx>
        <w:trPr>
          <w:cantSplit/>
          <w:jc w:val="center"/>
        </w:trPr>
        <w:tc>
          <w:tcPr>
            <w:tcW w:w="2309" w:type="dxa"/>
            <w:vMerge/>
            <w:tcBorders>
              <w:bottom w:val="single" w:sz="12" w:space="0" w:color="auto"/>
            </w:tcBorders>
            <w:shd w:val="clear" w:color="auto" w:fill="auto"/>
            <w:vAlign w:val="bottom"/>
          </w:tcPr>
          <w:p w:rsidR="002D3A4A" w:rsidRPr="00576B60" w:rsidRDefault="002D3A4A" w:rsidP="002D3A4A">
            <w:pPr>
              <w:spacing w:before="40" w:after="80" w:line="240" w:lineRule="exact"/>
              <w:rPr>
                <w:rFonts w:hint="cs"/>
                <w:sz w:val="16"/>
                <w:szCs w:val="24"/>
                <w:rtl/>
              </w:rPr>
            </w:pPr>
          </w:p>
        </w:tc>
        <w:tc>
          <w:tcPr>
            <w:tcW w:w="721" w:type="dxa"/>
            <w:tcBorders>
              <w:bottom w:val="single" w:sz="12" w:space="0" w:color="auto"/>
            </w:tcBorders>
            <w:shd w:val="clear" w:color="auto" w:fill="auto"/>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المجموع</w:t>
            </w:r>
          </w:p>
        </w:tc>
        <w:tc>
          <w:tcPr>
            <w:tcW w:w="721" w:type="dxa"/>
            <w:tcBorders>
              <w:bottom w:val="single" w:sz="12" w:space="0" w:color="auto"/>
            </w:tcBorders>
            <w:shd w:val="clear" w:color="auto" w:fill="D9D9D9"/>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872 31</w:t>
            </w:r>
          </w:p>
        </w:tc>
        <w:tc>
          <w:tcPr>
            <w:tcW w:w="515" w:type="dxa"/>
            <w:tcBorders>
              <w:bottom w:val="single" w:sz="12" w:space="0" w:color="auto"/>
            </w:tcBorders>
            <w:shd w:val="clear" w:color="auto" w:fill="auto"/>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52.6</w:t>
            </w:r>
          </w:p>
        </w:tc>
        <w:tc>
          <w:tcPr>
            <w:tcW w:w="783" w:type="dxa"/>
            <w:tcBorders>
              <w:bottom w:val="single" w:sz="12" w:space="0" w:color="auto"/>
            </w:tcBorders>
            <w:shd w:val="clear" w:color="auto" w:fill="D9D9D9"/>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541 36</w:t>
            </w:r>
          </w:p>
        </w:tc>
        <w:tc>
          <w:tcPr>
            <w:tcW w:w="515" w:type="dxa"/>
            <w:tcBorders>
              <w:bottom w:val="single" w:sz="12" w:space="0" w:color="auto"/>
            </w:tcBorders>
            <w:shd w:val="clear" w:color="auto" w:fill="auto"/>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56.0</w:t>
            </w:r>
          </w:p>
        </w:tc>
        <w:tc>
          <w:tcPr>
            <w:tcW w:w="721" w:type="dxa"/>
            <w:tcBorders>
              <w:bottom w:val="single" w:sz="12" w:space="0" w:color="auto"/>
            </w:tcBorders>
            <w:shd w:val="clear" w:color="auto" w:fill="D9D9D9"/>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717 37</w:t>
            </w:r>
          </w:p>
        </w:tc>
        <w:tc>
          <w:tcPr>
            <w:tcW w:w="618" w:type="dxa"/>
            <w:tcBorders>
              <w:bottom w:val="single" w:sz="12" w:space="0" w:color="auto"/>
            </w:tcBorders>
            <w:shd w:val="clear" w:color="auto" w:fill="auto"/>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56.9</w:t>
            </w:r>
          </w:p>
        </w:tc>
        <w:tc>
          <w:tcPr>
            <w:tcW w:w="721" w:type="dxa"/>
            <w:tcBorders>
              <w:bottom w:val="single" w:sz="12" w:space="0" w:color="auto"/>
            </w:tcBorders>
            <w:shd w:val="clear" w:color="auto" w:fill="D9D9D9"/>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820 37</w:t>
            </w:r>
          </w:p>
        </w:tc>
        <w:tc>
          <w:tcPr>
            <w:tcW w:w="618" w:type="dxa"/>
            <w:tcBorders>
              <w:bottom w:val="single" w:sz="12" w:space="0" w:color="auto"/>
            </w:tcBorders>
            <w:shd w:val="clear" w:color="auto" w:fill="auto"/>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56.2</w:t>
            </w:r>
          </w:p>
        </w:tc>
        <w:tc>
          <w:tcPr>
            <w:tcW w:w="721" w:type="dxa"/>
            <w:tcBorders>
              <w:bottom w:val="single" w:sz="12" w:space="0" w:color="auto"/>
            </w:tcBorders>
            <w:shd w:val="clear" w:color="auto" w:fill="D9D9D9"/>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912 36</w:t>
            </w:r>
          </w:p>
        </w:tc>
        <w:tc>
          <w:tcPr>
            <w:tcW w:w="515" w:type="dxa"/>
            <w:tcBorders>
              <w:bottom w:val="single" w:sz="12" w:space="0" w:color="auto"/>
            </w:tcBorders>
            <w:shd w:val="clear" w:color="auto" w:fill="auto"/>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56.8</w:t>
            </w:r>
          </w:p>
        </w:tc>
        <w:tc>
          <w:tcPr>
            <w:tcW w:w="721" w:type="dxa"/>
            <w:tcBorders>
              <w:bottom w:val="single" w:sz="12" w:space="0" w:color="auto"/>
            </w:tcBorders>
            <w:shd w:val="clear" w:color="auto" w:fill="D9D9D9"/>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810 37</w:t>
            </w:r>
          </w:p>
        </w:tc>
        <w:tc>
          <w:tcPr>
            <w:tcW w:w="680" w:type="dxa"/>
            <w:tcBorders>
              <w:bottom w:val="single" w:sz="12" w:space="0" w:color="auto"/>
            </w:tcBorders>
            <w:shd w:val="clear" w:color="auto" w:fill="auto"/>
            <w:vAlign w:val="bottom"/>
          </w:tcPr>
          <w:p w:rsidR="002D3A4A" w:rsidRPr="0032035A" w:rsidRDefault="002D3A4A" w:rsidP="002D3A4A">
            <w:pPr>
              <w:spacing w:before="40" w:after="80" w:line="240" w:lineRule="exact"/>
              <w:rPr>
                <w:rFonts w:hint="cs"/>
                <w:b/>
                <w:bCs/>
                <w:sz w:val="16"/>
                <w:szCs w:val="24"/>
                <w:rtl/>
              </w:rPr>
            </w:pPr>
            <w:r w:rsidRPr="0032035A">
              <w:rPr>
                <w:rFonts w:hint="cs"/>
                <w:b/>
                <w:bCs/>
                <w:sz w:val="16"/>
                <w:szCs w:val="24"/>
                <w:rtl/>
              </w:rPr>
              <w:t>57.1</w:t>
            </w:r>
          </w:p>
        </w:tc>
      </w:tr>
    </w:tbl>
    <w:p w:rsidR="002D3A4A" w:rsidRPr="003F5A76" w:rsidRDefault="002D3A4A" w:rsidP="002D3A4A">
      <w:pPr>
        <w:pStyle w:val="SingleTxt"/>
        <w:spacing w:after="0" w:line="120" w:lineRule="exact"/>
        <w:rPr>
          <w:rFonts w:hint="cs"/>
          <w:sz w:val="10"/>
          <w:rtl/>
        </w:rPr>
      </w:pPr>
    </w:p>
    <w:p w:rsidR="002D3A4A" w:rsidRDefault="002D3A4A" w:rsidP="002D3A4A">
      <w:pPr>
        <w:pStyle w:val="FootnoteText"/>
        <w:tabs>
          <w:tab w:val="clear" w:pos="418"/>
          <w:tab w:val="right" w:pos="1195"/>
          <w:tab w:val="left" w:pos="1267"/>
          <w:tab w:val="left" w:pos="1656"/>
          <w:tab w:val="left" w:pos="2088"/>
        </w:tabs>
        <w:spacing w:after="80" w:line="320" w:lineRule="exact"/>
        <w:ind w:left="1264" w:right="1264" w:hanging="544"/>
        <w:rPr>
          <w:rFonts w:hint="cs"/>
          <w:spacing w:val="-5"/>
          <w:w w:val="103"/>
          <w:rtl/>
        </w:rPr>
      </w:pPr>
      <w:r w:rsidRPr="00915D80">
        <w:rPr>
          <w:b/>
          <w:bCs/>
          <w:w w:val="103"/>
          <w:sz w:val="16"/>
          <w:rtl/>
        </w:rPr>
        <w:t>()</w:t>
      </w:r>
      <w:r>
        <w:rPr>
          <w:rFonts w:hint="cs"/>
          <w:b/>
          <w:bCs/>
          <w:w w:val="103"/>
          <w:sz w:val="16"/>
          <w:rtl/>
          <w:lang w:bidi="ar-LB"/>
        </w:rPr>
        <w:t xml:space="preserve"> </w:t>
      </w:r>
      <w:r w:rsidRPr="00915D80">
        <w:rPr>
          <w:w w:val="103"/>
          <w:rtl/>
        </w:rPr>
        <w:tab/>
      </w:r>
      <w:r>
        <w:rPr>
          <w:rFonts w:hint="cs"/>
          <w:spacing w:val="-5"/>
          <w:w w:val="103"/>
          <w:rtl/>
        </w:rPr>
        <w:t>التلاميذ النمساويون والأجانب في صفوف السنة الأخيرة في المدارس الثانوية العليا الذين حصلوا على شهادة التخرج (</w:t>
      </w:r>
      <w:r>
        <w:rPr>
          <w:rFonts w:hint="eastAsia"/>
          <w:spacing w:val="-5"/>
          <w:w w:val="103"/>
          <w:rtl/>
        </w:rPr>
        <w:t>”ماتورا</w:t>
      </w:r>
      <w:r>
        <w:rPr>
          <w:rFonts w:hint="cs"/>
          <w:spacing w:val="-5"/>
          <w:w w:val="103"/>
          <w:rtl/>
        </w:rPr>
        <w:t>“)؛ ولا يشمل ذلك المواد لتي تدرس في الجامعة؛ تم جمع هذه البيانات في شهر تشرين الأول/ أكتوبر من السنة الماضية.</w:t>
      </w:r>
    </w:p>
    <w:p w:rsidR="002D3A4A" w:rsidRDefault="002D3A4A" w:rsidP="002D3A4A">
      <w:pPr>
        <w:tabs>
          <w:tab w:val="right" w:pos="715"/>
        </w:tabs>
        <w:spacing w:line="280" w:lineRule="exact"/>
        <w:ind w:left="1139" w:hanging="425"/>
        <w:jc w:val="left"/>
        <w:rPr>
          <w:rFonts w:hint="cs"/>
          <w:rtl/>
        </w:rPr>
      </w:pPr>
      <w:r w:rsidRPr="006675DF">
        <w:rPr>
          <w:rFonts w:hint="cs"/>
          <w:sz w:val="26"/>
          <w:szCs w:val="26"/>
          <w:rtl/>
          <w:lang w:bidi="ar-LB"/>
        </w:rPr>
        <w:t>(2)</w:t>
      </w:r>
      <w:r>
        <w:rPr>
          <w:rFonts w:hint="cs"/>
          <w:rtl/>
          <w:lang w:bidi="ar-LB"/>
        </w:rPr>
        <w:tab/>
      </w:r>
      <w:r w:rsidRPr="006675DF">
        <w:rPr>
          <w:rFonts w:hint="cs"/>
          <w:sz w:val="26"/>
          <w:szCs w:val="26"/>
          <w:rtl/>
        </w:rPr>
        <w:t>هناك ثلاثة أنواع من المدارس الثانوية يؤكد كل نوع منها على مواضيع مختلفة ويعتمد ذلك على نوعها</w:t>
      </w:r>
      <w:r w:rsidRPr="00B0097A">
        <w:rPr>
          <w:rFonts w:hint="cs"/>
          <w:rtl/>
        </w:rPr>
        <w:t xml:space="preserve"> (</w:t>
      </w:r>
      <w:r w:rsidRPr="00B466D5">
        <w:t>Gymnasien, Realgymnasien and Wirtschftskundliche Realgymnaisien</w:t>
      </w:r>
      <w:r>
        <w:rPr>
          <w:rFonts w:hint="cs"/>
          <w:rtl/>
        </w:rPr>
        <w:t>.</w:t>
      </w:r>
    </w:p>
    <w:p w:rsidR="002D3A4A" w:rsidRDefault="002D3A4A" w:rsidP="002D3A4A">
      <w:pPr>
        <w:tabs>
          <w:tab w:val="right" w:pos="715"/>
          <w:tab w:val="right" w:pos="857"/>
          <w:tab w:val="right" w:pos="1140"/>
        </w:tabs>
        <w:spacing w:line="340" w:lineRule="exact"/>
        <w:rPr>
          <w:rFonts w:hint="cs"/>
          <w:sz w:val="26"/>
          <w:szCs w:val="26"/>
          <w:rtl/>
        </w:rPr>
      </w:pPr>
      <w:r>
        <w:rPr>
          <w:rFonts w:hint="cs"/>
          <w:sz w:val="26"/>
          <w:szCs w:val="26"/>
          <w:rtl/>
        </w:rPr>
        <w:tab/>
      </w:r>
      <w:r>
        <w:rPr>
          <w:rFonts w:hint="cs"/>
          <w:sz w:val="26"/>
          <w:szCs w:val="26"/>
          <w:rtl/>
        </w:rPr>
        <w:tab/>
        <w:t>(3</w:t>
      </w:r>
      <w:r w:rsidRPr="006675DF">
        <w:rPr>
          <w:rFonts w:hint="cs"/>
          <w:sz w:val="26"/>
          <w:szCs w:val="26"/>
          <w:rtl/>
        </w:rPr>
        <w:t>)</w:t>
      </w:r>
      <w:r>
        <w:rPr>
          <w:rFonts w:hint="cs"/>
          <w:sz w:val="26"/>
          <w:szCs w:val="26"/>
          <w:rtl/>
        </w:rPr>
        <w:tab/>
        <w:t xml:space="preserve">  ا</w:t>
      </w:r>
      <w:r w:rsidRPr="006675DF">
        <w:rPr>
          <w:rFonts w:hint="cs"/>
          <w:sz w:val="26"/>
          <w:szCs w:val="26"/>
          <w:rtl/>
        </w:rPr>
        <w:t>لمدارس الثانوية والمدارس الثانوية العليا للتعليم العام المخصصة للطبقة العاملة.</w:t>
      </w:r>
    </w:p>
    <w:p w:rsidR="002D3A4A" w:rsidRPr="006675DF" w:rsidRDefault="002D3A4A" w:rsidP="002D3A4A">
      <w:pPr>
        <w:spacing w:line="340" w:lineRule="exact"/>
        <w:rPr>
          <w:rFonts w:hint="cs"/>
          <w:sz w:val="26"/>
          <w:szCs w:val="26"/>
          <w:rtl/>
        </w:rPr>
      </w:pPr>
      <w:r w:rsidRPr="006675DF">
        <w:rPr>
          <w:rFonts w:hint="cs"/>
          <w:sz w:val="26"/>
          <w:szCs w:val="26"/>
          <w:rtl/>
        </w:rPr>
        <w:tab/>
      </w:r>
      <w:r w:rsidRPr="006675DF">
        <w:rPr>
          <w:sz w:val="26"/>
          <w:szCs w:val="26"/>
          <w:rtl/>
        </w:rPr>
        <w:t>(</w:t>
      </w:r>
      <w:r w:rsidRPr="006675DF">
        <w:rPr>
          <w:rFonts w:hint="cs"/>
          <w:sz w:val="26"/>
          <w:szCs w:val="26"/>
          <w:rtl/>
        </w:rPr>
        <w:t>4</w:t>
      </w:r>
      <w:r w:rsidRPr="006675DF">
        <w:rPr>
          <w:sz w:val="26"/>
          <w:szCs w:val="26"/>
          <w:rtl/>
        </w:rPr>
        <w:t>)</w:t>
      </w:r>
      <w:r>
        <w:rPr>
          <w:rFonts w:hint="cs"/>
          <w:sz w:val="26"/>
          <w:szCs w:val="26"/>
          <w:rtl/>
        </w:rPr>
        <w:t xml:space="preserve">   </w:t>
      </w:r>
      <w:r w:rsidRPr="006675DF">
        <w:rPr>
          <w:rFonts w:hint="cs"/>
          <w:sz w:val="26"/>
          <w:szCs w:val="26"/>
          <w:rtl/>
        </w:rPr>
        <w:t>يشمل ذلك كليات السياحة وكليات صناعة الألبسة.</w:t>
      </w:r>
    </w:p>
    <w:p w:rsidR="002D3A4A" w:rsidRPr="006675DF" w:rsidRDefault="002D3A4A" w:rsidP="002D3A4A">
      <w:pPr>
        <w:spacing w:line="340" w:lineRule="exact"/>
        <w:rPr>
          <w:rFonts w:hint="cs"/>
          <w:sz w:val="26"/>
          <w:szCs w:val="26"/>
          <w:rtl/>
        </w:rPr>
      </w:pPr>
      <w:r>
        <w:rPr>
          <w:rFonts w:hint="cs"/>
          <w:sz w:val="26"/>
          <w:szCs w:val="26"/>
          <w:rtl/>
        </w:rPr>
        <w:tab/>
      </w:r>
      <w:r w:rsidRPr="006675DF">
        <w:rPr>
          <w:sz w:val="26"/>
          <w:szCs w:val="26"/>
          <w:rtl/>
        </w:rPr>
        <w:t>(</w:t>
      </w:r>
      <w:r w:rsidRPr="006675DF">
        <w:rPr>
          <w:rFonts w:hint="cs"/>
          <w:sz w:val="26"/>
          <w:szCs w:val="26"/>
          <w:rtl/>
        </w:rPr>
        <w:t>5</w:t>
      </w:r>
      <w:r w:rsidRPr="006675DF">
        <w:rPr>
          <w:sz w:val="26"/>
          <w:szCs w:val="26"/>
          <w:rtl/>
        </w:rPr>
        <w:t>)</w:t>
      </w:r>
      <w:r>
        <w:rPr>
          <w:rFonts w:hint="cs"/>
          <w:sz w:val="26"/>
          <w:szCs w:val="26"/>
          <w:rtl/>
        </w:rPr>
        <w:t xml:space="preserve">   </w:t>
      </w:r>
      <w:r w:rsidRPr="006675DF">
        <w:rPr>
          <w:rFonts w:hint="cs"/>
          <w:sz w:val="26"/>
          <w:szCs w:val="26"/>
          <w:rtl/>
        </w:rPr>
        <w:t>لا تتوفر حتى الآن أرقام محيّنة بالنسبة لسنة التخرج 2003 بسبب اختلاف تواريخ السنة الدراسية في بعض المدارس.</w:t>
      </w:r>
    </w:p>
    <w:p w:rsidR="002D3A4A" w:rsidRPr="00B0097A" w:rsidRDefault="002D3A4A" w:rsidP="002D3A4A">
      <w:pPr>
        <w:spacing w:line="340" w:lineRule="exact"/>
        <w:rPr>
          <w:rFonts w:hint="cs"/>
        </w:rPr>
      </w:pPr>
      <w:r>
        <w:rPr>
          <w:rFonts w:hint="cs"/>
          <w:rtl/>
          <w:lang w:bidi="ar-LB"/>
        </w:rPr>
        <w:tab/>
        <w:t>(</w:t>
      </w:r>
      <w:r w:rsidRPr="00B0097A">
        <w:rPr>
          <w:rFonts w:hint="cs"/>
          <w:rtl/>
        </w:rPr>
        <w:t xml:space="preserve">6) </w:t>
      </w:r>
      <w:r>
        <w:rPr>
          <w:rFonts w:hint="cs"/>
          <w:rtl/>
        </w:rPr>
        <w:t xml:space="preserve"> </w:t>
      </w:r>
      <w:r w:rsidRPr="00B0097A">
        <w:rPr>
          <w:rFonts w:hint="cs"/>
          <w:rtl/>
        </w:rPr>
        <w:t>تضم كل واحدة منها أشكال خاصة (للطبقة العاملة ولدوارات استكمال الدراسة).</w:t>
      </w:r>
    </w:p>
    <w:p w:rsidR="002D3A4A" w:rsidRPr="006675DF" w:rsidRDefault="00BC46DC" w:rsidP="00BC46DC">
      <w:pPr>
        <w:tabs>
          <w:tab w:val="left" w:pos="662"/>
          <w:tab w:val="left" w:pos="1267"/>
          <w:tab w:val="left" w:pos="1987"/>
          <w:tab w:val="left" w:pos="2650"/>
        </w:tabs>
        <w:spacing w:line="340" w:lineRule="exact"/>
        <w:jc w:val="lowKashida"/>
        <w:rPr>
          <w:rFonts w:hint="cs"/>
          <w:sz w:val="26"/>
          <w:szCs w:val="26"/>
          <w:rtl/>
        </w:rPr>
      </w:pPr>
      <w:r>
        <w:rPr>
          <w:rFonts w:hint="cs"/>
          <w:sz w:val="16"/>
          <w:rtl/>
        </w:rPr>
        <w:tab/>
      </w:r>
      <w:r w:rsidR="002D3A4A" w:rsidRPr="006675DF">
        <w:rPr>
          <w:sz w:val="26"/>
          <w:szCs w:val="26"/>
          <w:rtl/>
        </w:rPr>
        <w:t>(</w:t>
      </w:r>
      <w:r w:rsidR="002D3A4A" w:rsidRPr="006675DF">
        <w:rPr>
          <w:rStyle w:val="FootnoteReference"/>
          <w:rFonts w:hint="cs"/>
          <w:spacing w:val="0"/>
          <w:w w:val="103"/>
          <w:sz w:val="26"/>
          <w:vertAlign w:val="baseline"/>
          <w:rtl/>
        </w:rPr>
        <w:t>7</w:t>
      </w:r>
      <w:r w:rsidR="002D3A4A" w:rsidRPr="006675DF">
        <w:rPr>
          <w:sz w:val="26"/>
          <w:szCs w:val="26"/>
          <w:rtl/>
        </w:rPr>
        <w:t>)</w:t>
      </w:r>
      <w:r>
        <w:rPr>
          <w:rFonts w:hint="cs"/>
          <w:sz w:val="26"/>
          <w:szCs w:val="26"/>
          <w:rtl/>
          <w:lang w:bidi="ar-LB"/>
        </w:rPr>
        <w:t xml:space="preserve">   </w:t>
      </w:r>
      <w:r w:rsidR="002D3A4A" w:rsidRPr="006675DF">
        <w:rPr>
          <w:rFonts w:hint="cs"/>
          <w:sz w:val="26"/>
          <w:szCs w:val="26"/>
          <w:rtl/>
          <w:lang w:bidi="ar-LB"/>
        </w:rPr>
        <w:t xml:space="preserve"> </w:t>
      </w:r>
      <w:r w:rsidR="002D3A4A" w:rsidRPr="006675DF">
        <w:rPr>
          <w:rFonts w:hint="cs"/>
          <w:sz w:val="26"/>
          <w:szCs w:val="26"/>
          <w:rtl/>
        </w:rPr>
        <w:t xml:space="preserve">كليات تدريب معلمي مدارس التمريض وكليات التربية الاجتماعية. </w:t>
      </w:r>
    </w:p>
    <w:p w:rsidR="002D3A4A" w:rsidRDefault="002D3A4A" w:rsidP="002D3A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340" w:lineRule="exact"/>
        <w:ind w:left="1267" w:right="1267" w:hanging="1267"/>
        <w:jc w:val="lowKashida"/>
        <w:rPr>
          <w:rFonts w:hint="cs"/>
          <w:rtl/>
        </w:rPr>
      </w:pPr>
      <w:r>
        <w:rPr>
          <w:rtl/>
        </w:rPr>
        <w:br w:type="page"/>
      </w:r>
      <w:r>
        <w:rPr>
          <w:rFonts w:hint="cs"/>
          <w:rtl/>
        </w:rPr>
        <w:tab/>
      </w:r>
      <w:r>
        <w:rPr>
          <w:rFonts w:hint="cs"/>
          <w:rtl/>
        </w:rPr>
        <w:tab/>
        <w:t>أنواع المدارس ونسبتها المئوية، ونسبة التلاميذ/الطلاب في كل مدرسة</w:t>
      </w:r>
    </w:p>
    <w:p w:rsidR="002D3A4A" w:rsidRDefault="002D3A4A" w:rsidP="002D3A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340" w:lineRule="exact"/>
        <w:ind w:left="1267" w:right="1267" w:hanging="1267"/>
        <w:jc w:val="lowKashida"/>
        <w:rPr>
          <w:rFonts w:hint="cs"/>
          <w:rtl/>
        </w:rPr>
      </w:pPr>
      <w:r>
        <w:rPr>
          <w:rFonts w:hint="cs"/>
          <w:rtl/>
        </w:rPr>
        <w:tab/>
      </w:r>
      <w:r>
        <w:rPr>
          <w:rFonts w:hint="cs"/>
          <w:rtl/>
        </w:rPr>
        <w:tab/>
        <w:t>السنة الأكاديمية 2002/2003</w:t>
      </w:r>
    </w:p>
    <w:tbl>
      <w:tblPr>
        <w:bidiVisual/>
        <w:tblW w:w="12256" w:type="dxa"/>
        <w:jc w:val="center"/>
        <w:tblInd w:w="-614" w:type="dxa"/>
        <w:tblLayout w:type="fixed"/>
        <w:tblCellMar>
          <w:left w:w="0" w:type="dxa"/>
          <w:right w:w="0" w:type="dxa"/>
        </w:tblCellMar>
        <w:tblLook w:val="0000" w:firstRow="0" w:lastRow="0" w:firstColumn="0" w:lastColumn="0" w:noHBand="0" w:noVBand="0"/>
      </w:tblPr>
      <w:tblGrid>
        <w:gridCol w:w="1911"/>
        <w:gridCol w:w="908"/>
        <w:gridCol w:w="836"/>
        <w:gridCol w:w="831"/>
        <w:gridCol w:w="721"/>
        <w:gridCol w:w="721"/>
        <w:gridCol w:w="824"/>
        <w:gridCol w:w="824"/>
        <w:gridCol w:w="927"/>
        <w:gridCol w:w="824"/>
        <w:gridCol w:w="721"/>
        <w:gridCol w:w="618"/>
        <w:gridCol w:w="721"/>
        <w:gridCol w:w="869"/>
      </w:tblGrid>
      <w:tr w:rsidR="002D3A4A" w:rsidRPr="003F5A76">
        <w:tblPrEx>
          <w:tblCellMar>
            <w:top w:w="0" w:type="dxa"/>
            <w:bottom w:w="0" w:type="dxa"/>
          </w:tblCellMar>
        </w:tblPrEx>
        <w:trPr>
          <w:cantSplit/>
          <w:tblHeader/>
          <w:jc w:val="center"/>
        </w:trPr>
        <w:tc>
          <w:tcPr>
            <w:tcW w:w="1911" w:type="dxa"/>
            <w:tcBorders>
              <w:top w:val="single" w:sz="4" w:space="0" w:color="auto"/>
              <w:bottom w:val="single" w:sz="12" w:space="0" w:color="auto"/>
            </w:tcBorders>
            <w:shd w:val="clear" w:color="auto" w:fill="auto"/>
            <w:vAlign w:val="bottom"/>
          </w:tcPr>
          <w:p w:rsidR="002D3A4A" w:rsidRPr="003F5A76" w:rsidRDefault="002D3A4A" w:rsidP="002D3A4A">
            <w:pPr>
              <w:spacing w:before="40" w:after="40" w:line="200" w:lineRule="exact"/>
              <w:jc w:val="center"/>
              <w:rPr>
                <w:rFonts w:hint="cs"/>
                <w:i/>
                <w:iCs/>
                <w:sz w:val="18"/>
                <w:szCs w:val="18"/>
                <w:rtl/>
              </w:rPr>
            </w:pPr>
            <w:r w:rsidRPr="003F5A76">
              <w:rPr>
                <w:rFonts w:hint="cs"/>
                <w:i/>
                <w:iCs/>
                <w:sz w:val="18"/>
                <w:szCs w:val="18"/>
                <w:rtl/>
              </w:rPr>
              <w:t>نوع المدرسة</w:t>
            </w:r>
          </w:p>
        </w:tc>
        <w:tc>
          <w:tcPr>
            <w:tcW w:w="908" w:type="dxa"/>
            <w:tcBorders>
              <w:top w:val="single" w:sz="4" w:space="0" w:color="auto"/>
              <w:bottom w:val="single" w:sz="12" w:space="0" w:color="auto"/>
            </w:tcBorders>
            <w:shd w:val="clear" w:color="auto" w:fill="auto"/>
            <w:vAlign w:val="bottom"/>
          </w:tcPr>
          <w:p w:rsidR="002D3A4A" w:rsidRPr="003F5A76" w:rsidRDefault="002D3A4A" w:rsidP="002D3A4A">
            <w:pPr>
              <w:spacing w:before="40" w:after="40" w:line="200" w:lineRule="exact"/>
              <w:ind w:right="144"/>
              <w:jc w:val="center"/>
              <w:rPr>
                <w:rFonts w:hint="cs"/>
                <w:i/>
                <w:iCs/>
                <w:sz w:val="18"/>
                <w:szCs w:val="18"/>
                <w:rtl/>
              </w:rPr>
            </w:pPr>
            <w:r w:rsidRPr="003F5A76">
              <w:rPr>
                <w:rFonts w:hint="cs"/>
                <w:i/>
                <w:iCs/>
                <w:sz w:val="18"/>
                <w:szCs w:val="18"/>
                <w:rtl/>
              </w:rPr>
              <w:t>مجموع التلاميذ/ الطلاب الذكور</w:t>
            </w:r>
          </w:p>
        </w:tc>
        <w:tc>
          <w:tcPr>
            <w:tcW w:w="836" w:type="dxa"/>
            <w:tcBorders>
              <w:top w:val="single" w:sz="4" w:space="0" w:color="auto"/>
              <w:bottom w:val="single" w:sz="12" w:space="0" w:color="auto"/>
            </w:tcBorders>
            <w:shd w:val="clear" w:color="auto" w:fill="auto"/>
            <w:vAlign w:val="bottom"/>
          </w:tcPr>
          <w:p w:rsidR="002D3A4A" w:rsidRPr="003F5A76" w:rsidRDefault="002D3A4A" w:rsidP="002D3A4A">
            <w:pPr>
              <w:spacing w:before="40" w:after="40" w:line="200" w:lineRule="exact"/>
              <w:ind w:right="144"/>
              <w:jc w:val="center"/>
              <w:rPr>
                <w:rFonts w:hint="cs"/>
                <w:i/>
                <w:iCs/>
                <w:sz w:val="18"/>
                <w:szCs w:val="18"/>
                <w:rtl/>
              </w:rPr>
            </w:pPr>
            <w:r w:rsidRPr="003F5A76">
              <w:rPr>
                <w:rFonts w:hint="cs"/>
                <w:i/>
                <w:iCs/>
                <w:sz w:val="18"/>
                <w:szCs w:val="18"/>
                <w:rtl/>
              </w:rPr>
              <w:t>المدارس الابتدائية</w:t>
            </w:r>
          </w:p>
        </w:tc>
        <w:tc>
          <w:tcPr>
            <w:tcW w:w="831" w:type="dxa"/>
            <w:tcBorders>
              <w:top w:val="single" w:sz="4" w:space="0" w:color="auto"/>
              <w:bottom w:val="single" w:sz="12" w:space="0" w:color="auto"/>
            </w:tcBorders>
            <w:shd w:val="clear" w:color="auto" w:fill="auto"/>
            <w:vAlign w:val="bottom"/>
          </w:tcPr>
          <w:p w:rsidR="002D3A4A" w:rsidRPr="003F5A76" w:rsidRDefault="002D3A4A" w:rsidP="002D3A4A">
            <w:pPr>
              <w:spacing w:before="40" w:after="40" w:line="200" w:lineRule="exact"/>
              <w:ind w:right="144"/>
              <w:jc w:val="center"/>
              <w:rPr>
                <w:rFonts w:hint="cs"/>
                <w:i/>
                <w:iCs/>
                <w:sz w:val="18"/>
                <w:szCs w:val="18"/>
                <w:rtl/>
              </w:rPr>
            </w:pPr>
            <w:r w:rsidRPr="003F5A76">
              <w:rPr>
                <w:rFonts w:hint="cs"/>
                <w:i/>
                <w:iCs/>
                <w:sz w:val="18"/>
                <w:szCs w:val="18"/>
                <w:rtl/>
              </w:rPr>
              <w:t>المدارس الثانوية العامة</w:t>
            </w:r>
          </w:p>
        </w:tc>
        <w:tc>
          <w:tcPr>
            <w:tcW w:w="721" w:type="dxa"/>
            <w:tcBorders>
              <w:top w:val="single" w:sz="4" w:space="0" w:color="auto"/>
              <w:bottom w:val="single" w:sz="12" w:space="0" w:color="auto"/>
            </w:tcBorders>
            <w:shd w:val="clear" w:color="auto" w:fill="auto"/>
            <w:vAlign w:val="bottom"/>
          </w:tcPr>
          <w:p w:rsidR="002D3A4A" w:rsidRPr="003F5A76" w:rsidRDefault="002D3A4A" w:rsidP="002D3A4A">
            <w:pPr>
              <w:spacing w:before="40" w:after="40" w:line="200" w:lineRule="exact"/>
              <w:ind w:right="144"/>
              <w:jc w:val="center"/>
              <w:rPr>
                <w:rFonts w:hint="cs"/>
                <w:i/>
                <w:iCs/>
                <w:sz w:val="18"/>
                <w:szCs w:val="18"/>
                <w:rtl/>
              </w:rPr>
            </w:pPr>
            <w:r w:rsidRPr="003F5A76">
              <w:rPr>
                <w:rFonts w:hint="cs"/>
                <w:i/>
                <w:iCs/>
                <w:sz w:val="18"/>
                <w:szCs w:val="18"/>
                <w:rtl/>
              </w:rPr>
              <w:t>المدارس الخاصة</w:t>
            </w:r>
          </w:p>
        </w:tc>
        <w:tc>
          <w:tcPr>
            <w:tcW w:w="721" w:type="dxa"/>
            <w:tcBorders>
              <w:top w:val="single" w:sz="4" w:space="0" w:color="auto"/>
              <w:bottom w:val="single" w:sz="12" w:space="0" w:color="auto"/>
            </w:tcBorders>
            <w:shd w:val="clear" w:color="auto" w:fill="auto"/>
            <w:vAlign w:val="bottom"/>
          </w:tcPr>
          <w:p w:rsidR="002D3A4A" w:rsidRPr="003F5A76" w:rsidRDefault="002D3A4A" w:rsidP="002D3A4A">
            <w:pPr>
              <w:spacing w:before="40" w:after="40" w:line="200" w:lineRule="exact"/>
              <w:ind w:right="144"/>
              <w:jc w:val="center"/>
              <w:rPr>
                <w:rFonts w:hint="cs"/>
                <w:i/>
                <w:iCs/>
                <w:sz w:val="18"/>
                <w:szCs w:val="18"/>
                <w:rtl/>
              </w:rPr>
            </w:pPr>
            <w:r w:rsidRPr="003F5A76">
              <w:rPr>
                <w:rFonts w:hint="cs"/>
                <w:i/>
                <w:iCs/>
                <w:sz w:val="18"/>
                <w:szCs w:val="18"/>
                <w:rtl/>
              </w:rPr>
              <w:t>السنة السابقة للدراسة المهنية</w:t>
            </w:r>
          </w:p>
        </w:tc>
        <w:tc>
          <w:tcPr>
            <w:tcW w:w="824" w:type="dxa"/>
            <w:tcBorders>
              <w:top w:val="single" w:sz="4" w:space="0" w:color="auto"/>
              <w:bottom w:val="single" w:sz="12" w:space="0" w:color="auto"/>
            </w:tcBorders>
            <w:shd w:val="clear" w:color="auto" w:fill="auto"/>
            <w:vAlign w:val="bottom"/>
          </w:tcPr>
          <w:p w:rsidR="002D3A4A" w:rsidRPr="003F5A76" w:rsidRDefault="002D3A4A" w:rsidP="002D3A4A">
            <w:pPr>
              <w:spacing w:before="40" w:after="40" w:line="200" w:lineRule="exact"/>
              <w:ind w:right="144"/>
              <w:jc w:val="center"/>
              <w:rPr>
                <w:rFonts w:hint="cs"/>
                <w:i/>
                <w:iCs/>
                <w:sz w:val="18"/>
                <w:szCs w:val="18"/>
                <w:rtl/>
              </w:rPr>
            </w:pPr>
            <w:r w:rsidRPr="003F5A76">
              <w:rPr>
                <w:rFonts w:hint="cs"/>
                <w:i/>
                <w:iCs/>
                <w:sz w:val="18"/>
                <w:szCs w:val="18"/>
                <w:rtl/>
              </w:rPr>
              <w:t>المدارس الثانوية الأكاديمية</w:t>
            </w:r>
          </w:p>
        </w:tc>
        <w:tc>
          <w:tcPr>
            <w:tcW w:w="824" w:type="dxa"/>
            <w:tcBorders>
              <w:top w:val="single" w:sz="4" w:space="0" w:color="auto"/>
              <w:bottom w:val="single" w:sz="12" w:space="0" w:color="auto"/>
            </w:tcBorders>
            <w:shd w:val="clear" w:color="auto" w:fill="auto"/>
            <w:vAlign w:val="bottom"/>
          </w:tcPr>
          <w:p w:rsidR="002D3A4A" w:rsidRPr="003F5A76" w:rsidRDefault="002D3A4A" w:rsidP="002D3A4A">
            <w:pPr>
              <w:spacing w:before="40" w:after="40" w:line="200" w:lineRule="exact"/>
              <w:ind w:right="144"/>
              <w:jc w:val="center"/>
              <w:rPr>
                <w:rFonts w:hint="cs"/>
                <w:i/>
                <w:iCs/>
                <w:sz w:val="18"/>
                <w:szCs w:val="18"/>
                <w:rtl/>
              </w:rPr>
            </w:pPr>
            <w:r w:rsidRPr="003F5A76">
              <w:rPr>
                <w:rFonts w:hint="cs"/>
                <w:i/>
                <w:iCs/>
                <w:sz w:val="18"/>
                <w:szCs w:val="18"/>
                <w:rtl/>
              </w:rPr>
              <w:t>كليات التدريب المهني</w:t>
            </w:r>
          </w:p>
        </w:tc>
        <w:tc>
          <w:tcPr>
            <w:tcW w:w="927" w:type="dxa"/>
            <w:tcBorders>
              <w:top w:val="single" w:sz="4" w:space="0" w:color="auto"/>
              <w:bottom w:val="single" w:sz="12" w:space="0" w:color="auto"/>
            </w:tcBorders>
            <w:shd w:val="clear" w:color="auto" w:fill="auto"/>
            <w:vAlign w:val="bottom"/>
          </w:tcPr>
          <w:p w:rsidR="002D3A4A" w:rsidRPr="003F5A76" w:rsidRDefault="002D3A4A" w:rsidP="002D3A4A">
            <w:pPr>
              <w:spacing w:before="40" w:after="40" w:line="200" w:lineRule="exact"/>
              <w:ind w:right="144"/>
              <w:jc w:val="center"/>
              <w:rPr>
                <w:rFonts w:hint="cs"/>
                <w:i/>
                <w:iCs/>
                <w:sz w:val="18"/>
                <w:szCs w:val="18"/>
                <w:rtl/>
              </w:rPr>
            </w:pPr>
            <w:r w:rsidRPr="003F5A76">
              <w:rPr>
                <w:rFonts w:hint="cs"/>
                <w:i/>
                <w:iCs/>
                <w:sz w:val="18"/>
                <w:szCs w:val="18"/>
                <w:rtl/>
              </w:rPr>
              <w:t>المدارس الإعدادية و/أو المدارس المهنية</w:t>
            </w:r>
          </w:p>
        </w:tc>
        <w:tc>
          <w:tcPr>
            <w:tcW w:w="824" w:type="dxa"/>
            <w:tcBorders>
              <w:top w:val="single" w:sz="4" w:space="0" w:color="auto"/>
              <w:bottom w:val="single" w:sz="12" w:space="0" w:color="auto"/>
            </w:tcBorders>
            <w:shd w:val="clear" w:color="auto" w:fill="auto"/>
            <w:vAlign w:val="bottom"/>
          </w:tcPr>
          <w:p w:rsidR="002D3A4A" w:rsidRPr="003F5A76" w:rsidRDefault="002D3A4A" w:rsidP="002D3A4A">
            <w:pPr>
              <w:spacing w:before="40" w:after="40" w:line="200" w:lineRule="exact"/>
              <w:ind w:right="144"/>
              <w:jc w:val="center"/>
              <w:rPr>
                <w:rFonts w:hint="cs"/>
                <w:i/>
                <w:iCs/>
                <w:sz w:val="18"/>
                <w:szCs w:val="18"/>
                <w:rtl/>
              </w:rPr>
            </w:pPr>
            <w:r w:rsidRPr="003F5A76">
              <w:rPr>
                <w:rFonts w:hint="cs"/>
                <w:i/>
                <w:iCs/>
                <w:sz w:val="18"/>
                <w:szCs w:val="18"/>
                <w:rtl/>
              </w:rPr>
              <w:t>المدارس الثانوية و/أو المدارس المهنية</w:t>
            </w:r>
          </w:p>
        </w:tc>
        <w:tc>
          <w:tcPr>
            <w:tcW w:w="721" w:type="dxa"/>
            <w:tcBorders>
              <w:top w:val="single" w:sz="4" w:space="0" w:color="auto"/>
              <w:bottom w:val="single" w:sz="12" w:space="0" w:color="auto"/>
            </w:tcBorders>
            <w:shd w:val="clear" w:color="auto" w:fill="auto"/>
            <w:vAlign w:val="bottom"/>
          </w:tcPr>
          <w:p w:rsidR="002D3A4A" w:rsidRPr="003F5A76" w:rsidRDefault="002D3A4A" w:rsidP="002D3A4A">
            <w:pPr>
              <w:spacing w:before="40" w:after="40" w:line="200" w:lineRule="exact"/>
              <w:ind w:right="144"/>
              <w:jc w:val="center"/>
              <w:rPr>
                <w:rFonts w:hint="cs"/>
                <w:i/>
                <w:iCs/>
                <w:sz w:val="18"/>
                <w:szCs w:val="18"/>
                <w:rtl/>
              </w:rPr>
            </w:pPr>
            <w:r w:rsidRPr="003F5A76">
              <w:rPr>
                <w:rFonts w:hint="cs"/>
                <w:i/>
                <w:iCs/>
                <w:sz w:val="18"/>
                <w:szCs w:val="18"/>
                <w:rtl/>
              </w:rPr>
              <w:t>الأكاديميات الفنية و/أو المهنية</w:t>
            </w:r>
          </w:p>
        </w:tc>
        <w:tc>
          <w:tcPr>
            <w:tcW w:w="618" w:type="dxa"/>
            <w:tcBorders>
              <w:top w:val="single" w:sz="4" w:space="0" w:color="auto"/>
              <w:bottom w:val="single" w:sz="12" w:space="0" w:color="auto"/>
            </w:tcBorders>
            <w:shd w:val="clear" w:color="auto" w:fill="auto"/>
            <w:vAlign w:val="bottom"/>
          </w:tcPr>
          <w:p w:rsidR="002D3A4A" w:rsidRPr="003F5A76" w:rsidRDefault="002D3A4A" w:rsidP="002D3A4A">
            <w:pPr>
              <w:spacing w:before="40" w:after="40" w:line="200" w:lineRule="exact"/>
              <w:ind w:right="144"/>
              <w:jc w:val="center"/>
              <w:rPr>
                <w:rFonts w:hint="cs"/>
                <w:i/>
                <w:iCs/>
                <w:sz w:val="18"/>
                <w:szCs w:val="18"/>
                <w:rtl/>
              </w:rPr>
            </w:pPr>
            <w:r w:rsidRPr="003F5A76">
              <w:rPr>
                <w:rFonts w:hint="cs"/>
                <w:i/>
                <w:iCs/>
                <w:sz w:val="18"/>
                <w:szCs w:val="18"/>
                <w:rtl/>
              </w:rPr>
              <w:t>كليات التربية المتوسطة</w:t>
            </w:r>
          </w:p>
        </w:tc>
        <w:tc>
          <w:tcPr>
            <w:tcW w:w="721" w:type="dxa"/>
            <w:tcBorders>
              <w:top w:val="single" w:sz="4" w:space="0" w:color="auto"/>
              <w:bottom w:val="single" w:sz="12" w:space="0" w:color="auto"/>
            </w:tcBorders>
            <w:shd w:val="clear" w:color="auto" w:fill="auto"/>
            <w:vAlign w:val="bottom"/>
          </w:tcPr>
          <w:p w:rsidR="002D3A4A" w:rsidRPr="003F5A76" w:rsidRDefault="002D3A4A" w:rsidP="002D3A4A">
            <w:pPr>
              <w:spacing w:before="40" w:after="40" w:line="200" w:lineRule="exact"/>
              <w:ind w:right="144"/>
              <w:jc w:val="center"/>
              <w:rPr>
                <w:rFonts w:hint="cs"/>
                <w:i/>
                <w:iCs/>
                <w:sz w:val="18"/>
                <w:szCs w:val="18"/>
                <w:rtl/>
              </w:rPr>
            </w:pPr>
            <w:r w:rsidRPr="003F5A76">
              <w:rPr>
                <w:rFonts w:hint="cs"/>
                <w:i/>
                <w:iCs/>
                <w:sz w:val="18"/>
                <w:szCs w:val="18"/>
                <w:rtl/>
              </w:rPr>
              <w:t>كليات التربية العليا للتدريب المهني</w:t>
            </w:r>
          </w:p>
        </w:tc>
        <w:tc>
          <w:tcPr>
            <w:tcW w:w="869" w:type="dxa"/>
            <w:tcBorders>
              <w:top w:val="single" w:sz="4" w:space="0" w:color="auto"/>
              <w:bottom w:val="single" w:sz="12" w:space="0" w:color="auto"/>
            </w:tcBorders>
            <w:shd w:val="clear" w:color="auto" w:fill="auto"/>
            <w:vAlign w:val="bottom"/>
          </w:tcPr>
          <w:p w:rsidR="002D3A4A" w:rsidRPr="003F5A76" w:rsidRDefault="002D3A4A" w:rsidP="002D3A4A">
            <w:pPr>
              <w:spacing w:before="40" w:after="40" w:line="200" w:lineRule="exact"/>
              <w:ind w:right="144"/>
              <w:jc w:val="center"/>
              <w:rPr>
                <w:rFonts w:hint="cs"/>
                <w:i/>
                <w:iCs/>
                <w:sz w:val="18"/>
                <w:szCs w:val="18"/>
                <w:rtl/>
              </w:rPr>
            </w:pPr>
            <w:r w:rsidRPr="003F5A76">
              <w:rPr>
                <w:rFonts w:hint="cs"/>
                <w:i/>
                <w:iCs/>
                <w:sz w:val="18"/>
                <w:szCs w:val="18"/>
                <w:rtl/>
              </w:rPr>
              <w:t>أكاديميات تدريب المعلمين وكليات التربية</w:t>
            </w:r>
          </w:p>
        </w:tc>
      </w:tr>
      <w:tr w:rsidR="002D3A4A" w:rsidRPr="00B35A26">
        <w:tblPrEx>
          <w:tblCellMar>
            <w:top w:w="0" w:type="dxa"/>
            <w:bottom w:w="0" w:type="dxa"/>
          </w:tblCellMar>
        </w:tblPrEx>
        <w:trPr>
          <w:cantSplit/>
          <w:trHeight w:hRule="exact" w:val="115"/>
          <w:tblHeader/>
          <w:jc w:val="center"/>
        </w:trPr>
        <w:tc>
          <w:tcPr>
            <w:tcW w:w="1911" w:type="dxa"/>
            <w:tcBorders>
              <w:top w:val="single" w:sz="12" w:space="0" w:color="auto"/>
            </w:tcBorders>
            <w:shd w:val="clear" w:color="auto" w:fill="auto"/>
            <w:vAlign w:val="bottom"/>
          </w:tcPr>
          <w:p w:rsidR="002D3A4A" w:rsidRPr="003F5A76" w:rsidRDefault="002D3A4A" w:rsidP="002D3A4A">
            <w:pPr>
              <w:spacing w:before="40" w:after="80" w:line="240" w:lineRule="exact"/>
              <w:rPr>
                <w:rFonts w:hint="cs"/>
                <w:sz w:val="16"/>
                <w:szCs w:val="24"/>
                <w:rtl/>
              </w:rPr>
            </w:pPr>
          </w:p>
        </w:tc>
        <w:tc>
          <w:tcPr>
            <w:tcW w:w="908"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836"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831"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618"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869"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r>
      <w:tr w:rsidR="002D3A4A" w:rsidRPr="00B35A26">
        <w:tblPrEx>
          <w:tblCellMar>
            <w:top w:w="0" w:type="dxa"/>
            <w:bottom w:w="0" w:type="dxa"/>
          </w:tblCellMar>
        </w:tblPrEx>
        <w:trPr>
          <w:cantSplit/>
          <w:jc w:val="center"/>
        </w:trPr>
        <w:tc>
          <w:tcPr>
            <w:tcW w:w="1911" w:type="dxa"/>
            <w:shd w:val="clear" w:color="auto" w:fill="auto"/>
            <w:vAlign w:val="bottom"/>
          </w:tcPr>
          <w:p w:rsidR="002D3A4A" w:rsidRPr="003F5A76" w:rsidRDefault="002D3A4A" w:rsidP="002D3A4A">
            <w:pPr>
              <w:spacing w:before="40" w:after="40" w:line="240" w:lineRule="exact"/>
              <w:jc w:val="lowKashida"/>
              <w:rPr>
                <w:rFonts w:hint="cs"/>
                <w:sz w:val="16"/>
                <w:szCs w:val="24"/>
                <w:rtl/>
              </w:rPr>
            </w:pPr>
            <w:r w:rsidRPr="003F5A76">
              <w:rPr>
                <w:rFonts w:hint="cs"/>
                <w:sz w:val="16"/>
                <w:szCs w:val="24"/>
                <w:rtl/>
              </w:rPr>
              <w:t>من هم دون سن الدراسة</w:t>
            </w:r>
          </w:p>
        </w:tc>
        <w:tc>
          <w:tcPr>
            <w:tcW w:w="908" w:type="dxa"/>
            <w:shd w:val="clear" w:color="auto" w:fill="D9D9D9"/>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222 7</w:t>
            </w:r>
          </w:p>
        </w:tc>
        <w:tc>
          <w:tcPr>
            <w:tcW w:w="836"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148 7</w:t>
            </w:r>
          </w:p>
        </w:tc>
        <w:tc>
          <w:tcPr>
            <w:tcW w:w="83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74</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927"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618"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69"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r>
      <w:tr w:rsidR="002D3A4A" w:rsidRPr="00B35A26">
        <w:tblPrEx>
          <w:tblCellMar>
            <w:top w:w="0" w:type="dxa"/>
            <w:bottom w:w="0" w:type="dxa"/>
          </w:tblCellMar>
        </w:tblPrEx>
        <w:trPr>
          <w:cantSplit/>
          <w:jc w:val="center"/>
        </w:trPr>
        <w:tc>
          <w:tcPr>
            <w:tcW w:w="1911" w:type="dxa"/>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النسبة المئوية</w:t>
            </w:r>
          </w:p>
        </w:tc>
        <w:tc>
          <w:tcPr>
            <w:tcW w:w="908" w:type="dxa"/>
            <w:shd w:val="clear" w:color="auto" w:fill="D9D9D9"/>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100.0</w:t>
            </w:r>
          </w:p>
        </w:tc>
        <w:tc>
          <w:tcPr>
            <w:tcW w:w="836"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99.0</w:t>
            </w:r>
          </w:p>
        </w:tc>
        <w:tc>
          <w:tcPr>
            <w:tcW w:w="83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1.0</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927"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618"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69"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r>
      <w:tr w:rsidR="002D3A4A" w:rsidRPr="00B35A26">
        <w:tblPrEx>
          <w:tblCellMar>
            <w:top w:w="0" w:type="dxa"/>
            <w:bottom w:w="0" w:type="dxa"/>
          </w:tblCellMar>
        </w:tblPrEx>
        <w:trPr>
          <w:cantSplit/>
          <w:jc w:val="center"/>
        </w:trPr>
        <w:tc>
          <w:tcPr>
            <w:tcW w:w="1911" w:type="dxa"/>
            <w:shd w:val="clear" w:color="auto" w:fill="auto"/>
            <w:vAlign w:val="bottom"/>
          </w:tcPr>
          <w:p w:rsidR="002D3A4A" w:rsidRPr="003F5A76" w:rsidRDefault="002D3A4A" w:rsidP="002D3A4A">
            <w:pPr>
              <w:spacing w:before="40" w:after="40" w:line="240" w:lineRule="exact"/>
              <w:jc w:val="lowKashida"/>
              <w:rPr>
                <w:rFonts w:hint="cs"/>
                <w:sz w:val="16"/>
                <w:szCs w:val="24"/>
                <w:rtl/>
              </w:rPr>
            </w:pPr>
            <w:r w:rsidRPr="003F5A76">
              <w:rPr>
                <w:rFonts w:hint="cs"/>
                <w:sz w:val="16"/>
                <w:szCs w:val="24"/>
                <w:rtl/>
              </w:rPr>
              <w:t xml:space="preserve">الصف الأول </w:t>
            </w:r>
            <w:r w:rsidRPr="003F5A76">
              <w:rPr>
                <w:sz w:val="16"/>
                <w:szCs w:val="24"/>
                <w:rtl/>
              </w:rPr>
              <w:t>–</w:t>
            </w:r>
            <w:r w:rsidRPr="003F5A76">
              <w:rPr>
                <w:rFonts w:hint="cs"/>
                <w:sz w:val="16"/>
                <w:szCs w:val="24"/>
                <w:rtl/>
              </w:rPr>
              <w:t xml:space="preserve"> الرابع</w:t>
            </w:r>
          </w:p>
        </w:tc>
        <w:tc>
          <w:tcPr>
            <w:tcW w:w="908" w:type="dxa"/>
            <w:shd w:val="clear" w:color="auto" w:fill="D9D9D9"/>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401 378</w:t>
            </w:r>
          </w:p>
        </w:tc>
        <w:tc>
          <w:tcPr>
            <w:tcW w:w="836"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919 373</w:t>
            </w:r>
          </w:p>
        </w:tc>
        <w:tc>
          <w:tcPr>
            <w:tcW w:w="83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482 4</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927"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618"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69"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r>
      <w:tr w:rsidR="002D3A4A" w:rsidRPr="00B35A26">
        <w:tblPrEx>
          <w:tblCellMar>
            <w:top w:w="0" w:type="dxa"/>
            <w:bottom w:w="0" w:type="dxa"/>
          </w:tblCellMar>
        </w:tblPrEx>
        <w:trPr>
          <w:cantSplit/>
          <w:jc w:val="center"/>
        </w:trPr>
        <w:tc>
          <w:tcPr>
            <w:tcW w:w="1911" w:type="dxa"/>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النسبة المئوية</w:t>
            </w:r>
          </w:p>
        </w:tc>
        <w:tc>
          <w:tcPr>
            <w:tcW w:w="908" w:type="dxa"/>
            <w:shd w:val="clear" w:color="auto" w:fill="D9D9D9"/>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100.0</w:t>
            </w:r>
          </w:p>
        </w:tc>
        <w:tc>
          <w:tcPr>
            <w:tcW w:w="836"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98.9</w:t>
            </w:r>
          </w:p>
        </w:tc>
        <w:tc>
          <w:tcPr>
            <w:tcW w:w="83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1.2</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927"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618"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69"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r>
      <w:tr w:rsidR="002D3A4A" w:rsidRPr="00B35A26">
        <w:tblPrEx>
          <w:tblCellMar>
            <w:top w:w="0" w:type="dxa"/>
            <w:bottom w:w="0" w:type="dxa"/>
          </w:tblCellMar>
        </w:tblPrEx>
        <w:trPr>
          <w:cantSplit/>
          <w:jc w:val="center"/>
        </w:trPr>
        <w:tc>
          <w:tcPr>
            <w:tcW w:w="1911" w:type="dxa"/>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 xml:space="preserve">  الصف الأول</w:t>
            </w:r>
          </w:p>
        </w:tc>
        <w:tc>
          <w:tcPr>
            <w:tcW w:w="908" w:type="dxa"/>
            <w:shd w:val="clear" w:color="auto" w:fill="D9D9D9"/>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298 93</w:t>
            </w:r>
          </w:p>
        </w:tc>
        <w:tc>
          <w:tcPr>
            <w:tcW w:w="836"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489 92</w:t>
            </w:r>
          </w:p>
        </w:tc>
        <w:tc>
          <w:tcPr>
            <w:tcW w:w="83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809</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927"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618"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69"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r>
      <w:tr w:rsidR="002D3A4A" w:rsidRPr="00B35A26">
        <w:tblPrEx>
          <w:tblCellMar>
            <w:top w:w="0" w:type="dxa"/>
            <w:bottom w:w="0" w:type="dxa"/>
          </w:tblCellMar>
        </w:tblPrEx>
        <w:trPr>
          <w:cantSplit/>
          <w:jc w:val="center"/>
        </w:trPr>
        <w:tc>
          <w:tcPr>
            <w:tcW w:w="1911" w:type="dxa"/>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 xml:space="preserve">    النسبة المئوية</w:t>
            </w:r>
          </w:p>
        </w:tc>
        <w:tc>
          <w:tcPr>
            <w:tcW w:w="908" w:type="dxa"/>
            <w:shd w:val="clear" w:color="auto" w:fill="D9D9D9"/>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100.0</w:t>
            </w:r>
          </w:p>
        </w:tc>
        <w:tc>
          <w:tcPr>
            <w:tcW w:w="836"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99.1</w:t>
            </w:r>
          </w:p>
        </w:tc>
        <w:tc>
          <w:tcPr>
            <w:tcW w:w="83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0.9</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927"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618"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69"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r>
      <w:tr w:rsidR="002D3A4A" w:rsidRPr="00B35A26">
        <w:tblPrEx>
          <w:tblCellMar>
            <w:top w:w="0" w:type="dxa"/>
            <w:bottom w:w="0" w:type="dxa"/>
          </w:tblCellMar>
        </w:tblPrEx>
        <w:trPr>
          <w:cantSplit/>
          <w:jc w:val="center"/>
        </w:trPr>
        <w:tc>
          <w:tcPr>
            <w:tcW w:w="1911" w:type="dxa"/>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 xml:space="preserve">  الصف الرابع</w:t>
            </w:r>
          </w:p>
        </w:tc>
        <w:tc>
          <w:tcPr>
            <w:tcW w:w="908" w:type="dxa"/>
            <w:shd w:val="clear" w:color="auto" w:fill="D9D9D9"/>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536 97</w:t>
            </w:r>
          </w:p>
        </w:tc>
        <w:tc>
          <w:tcPr>
            <w:tcW w:w="836"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059 96</w:t>
            </w:r>
          </w:p>
        </w:tc>
        <w:tc>
          <w:tcPr>
            <w:tcW w:w="83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477 1</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927"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618"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69"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r>
      <w:tr w:rsidR="002D3A4A" w:rsidRPr="00B35A26">
        <w:tblPrEx>
          <w:tblCellMar>
            <w:top w:w="0" w:type="dxa"/>
            <w:bottom w:w="0" w:type="dxa"/>
          </w:tblCellMar>
        </w:tblPrEx>
        <w:trPr>
          <w:cantSplit/>
          <w:jc w:val="center"/>
        </w:trPr>
        <w:tc>
          <w:tcPr>
            <w:tcW w:w="1911" w:type="dxa"/>
            <w:tcBorders>
              <w:bottom w:val="single" w:sz="4" w:space="0" w:color="auto"/>
            </w:tcBorders>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 xml:space="preserve">    النسبة المئوية</w:t>
            </w:r>
          </w:p>
        </w:tc>
        <w:tc>
          <w:tcPr>
            <w:tcW w:w="908" w:type="dxa"/>
            <w:tcBorders>
              <w:bottom w:val="single" w:sz="4" w:space="0" w:color="auto"/>
            </w:tcBorders>
            <w:shd w:val="clear" w:color="auto" w:fill="D9D9D9"/>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100.0</w:t>
            </w:r>
          </w:p>
        </w:tc>
        <w:tc>
          <w:tcPr>
            <w:tcW w:w="836"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98.5</w:t>
            </w:r>
          </w:p>
        </w:tc>
        <w:tc>
          <w:tcPr>
            <w:tcW w:w="831"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1.5</w:t>
            </w:r>
          </w:p>
        </w:tc>
        <w:tc>
          <w:tcPr>
            <w:tcW w:w="721"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927"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618"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69"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r>
      <w:tr w:rsidR="002D3A4A" w:rsidRPr="00B35A26">
        <w:tblPrEx>
          <w:tblCellMar>
            <w:top w:w="0" w:type="dxa"/>
            <w:bottom w:w="0" w:type="dxa"/>
          </w:tblCellMar>
        </w:tblPrEx>
        <w:trPr>
          <w:cantSplit/>
          <w:jc w:val="center"/>
        </w:trPr>
        <w:tc>
          <w:tcPr>
            <w:tcW w:w="1911" w:type="dxa"/>
            <w:tcBorders>
              <w:top w:val="single" w:sz="4" w:space="0" w:color="auto"/>
            </w:tcBorders>
            <w:shd w:val="clear" w:color="auto" w:fill="auto"/>
            <w:vAlign w:val="bottom"/>
          </w:tcPr>
          <w:p w:rsidR="002D3A4A" w:rsidRPr="003F5A76" w:rsidRDefault="002D3A4A" w:rsidP="002D3A4A">
            <w:pPr>
              <w:spacing w:before="40" w:after="40" w:line="240" w:lineRule="exact"/>
              <w:jc w:val="lowKashida"/>
              <w:rPr>
                <w:rFonts w:hint="cs"/>
                <w:sz w:val="16"/>
                <w:szCs w:val="24"/>
                <w:rtl/>
              </w:rPr>
            </w:pPr>
            <w:r w:rsidRPr="003F5A76">
              <w:rPr>
                <w:rFonts w:hint="cs"/>
                <w:sz w:val="16"/>
                <w:szCs w:val="24"/>
                <w:rtl/>
              </w:rPr>
              <w:t xml:space="preserve">الصف الخامس </w:t>
            </w:r>
            <w:r w:rsidRPr="003F5A76">
              <w:rPr>
                <w:sz w:val="16"/>
                <w:szCs w:val="24"/>
                <w:rtl/>
              </w:rPr>
              <w:t>–</w:t>
            </w:r>
            <w:r w:rsidRPr="003F5A76">
              <w:rPr>
                <w:rFonts w:hint="cs"/>
                <w:sz w:val="16"/>
                <w:szCs w:val="24"/>
                <w:rtl/>
              </w:rPr>
              <w:t xml:space="preserve"> الثامن</w:t>
            </w:r>
          </w:p>
        </w:tc>
        <w:tc>
          <w:tcPr>
            <w:tcW w:w="908" w:type="dxa"/>
            <w:tcBorders>
              <w:top w:val="single" w:sz="4" w:space="0" w:color="auto"/>
            </w:tcBorders>
            <w:shd w:val="clear" w:color="auto" w:fill="D9D9D9"/>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106 389</w:t>
            </w:r>
          </w:p>
        </w:tc>
        <w:tc>
          <w:tcPr>
            <w:tcW w:w="836"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73</w:t>
            </w:r>
          </w:p>
        </w:tc>
        <w:tc>
          <w:tcPr>
            <w:tcW w:w="831"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058 268</w:t>
            </w:r>
          </w:p>
        </w:tc>
        <w:tc>
          <w:tcPr>
            <w:tcW w:w="721"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524 7</w:t>
            </w:r>
          </w:p>
        </w:tc>
        <w:tc>
          <w:tcPr>
            <w:tcW w:w="721"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w:t>
            </w:r>
          </w:p>
        </w:tc>
        <w:tc>
          <w:tcPr>
            <w:tcW w:w="824"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984 112</w:t>
            </w:r>
          </w:p>
        </w:tc>
        <w:tc>
          <w:tcPr>
            <w:tcW w:w="824"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w:t>
            </w:r>
          </w:p>
        </w:tc>
        <w:tc>
          <w:tcPr>
            <w:tcW w:w="927"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467</w:t>
            </w:r>
          </w:p>
        </w:tc>
        <w:tc>
          <w:tcPr>
            <w:tcW w:w="824" w:type="dxa"/>
            <w:tcBorders>
              <w:top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tcBorders>
              <w:top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618" w:type="dxa"/>
            <w:tcBorders>
              <w:top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tcBorders>
              <w:top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69" w:type="dxa"/>
            <w:tcBorders>
              <w:top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r>
      <w:tr w:rsidR="002D3A4A" w:rsidRPr="00B35A26">
        <w:tblPrEx>
          <w:tblCellMar>
            <w:top w:w="0" w:type="dxa"/>
            <w:bottom w:w="0" w:type="dxa"/>
          </w:tblCellMar>
        </w:tblPrEx>
        <w:trPr>
          <w:cantSplit/>
          <w:jc w:val="center"/>
        </w:trPr>
        <w:tc>
          <w:tcPr>
            <w:tcW w:w="1911" w:type="dxa"/>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النسبة المئوية</w:t>
            </w:r>
          </w:p>
        </w:tc>
        <w:tc>
          <w:tcPr>
            <w:tcW w:w="908" w:type="dxa"/>
            <w:shd w:val="clear" w:color="auto" w:fill="D9D9D9"/>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100.0</w:t>
            </w:r>
          </w:p>
        </w:tc>
        <w:tc>
          <w:tcPr>
            <w:tcW w:w="836"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0.0</w:t>
            </w:r>
          </w:p>
        </w:tc>
        <w:tc>
          <w:tcPr>
            <w:tcW w:w="831"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68.9</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1.9</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29.0</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w:t>
            </w:r>
          </w:p>
        </w:tc>
        <w:tc>
          <w:tcPr>
            <w:tcW w:w="927"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0.1</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618"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69"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r>
      <w:tr w:rsidR="002D3A4A" w:rsidRPr="00B35A26">
        <w:tblPrEx>
          <w:tblCellMar>
            <w:top w:w="0" w:type="dxa"/>
            <w:bottom w:w="0" w:type="dxa"/>
          </w:tblCellMar>
        </w:tblPrEx>
        <w:trPr>
          <w:cantSplit/>
          <w:jc w:val="center"/>
        </w:trPr>
        <w:tc>
          <w:tcPr>
            <w:tcW w:w="1911" w:type="dxa"/>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 xml:space="preserve">  الصف الخامس</w:t>
            </w:r>
          </w:p>
        </w:tc>
        <w:tc>
          <w:tcPr>
            <w:tcW w:w="908" w:type="dxa"/>
            <w:shd w:val="clear" w:color="auto" w:fill="D9D9D9"/>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981 97</w:t>
            </w:r>
          </w:p>
        </w:tc>
        <w:tc>
          <w:tcPr>
            <w:tcW w:w="836"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16</w:t>
            </w:r>
          </w:p>
        </w:tc>
        <w:tc>
          <w:tcPr>
            <w:tcW w:w="83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435 66</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1557</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973 29</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927"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618"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69"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r>
      <w:tr w:rsidR="002D3A4A" w:rsidRPr="00B35A26">
        <w:tblPrEx>
          <w:tblCellMar>
            <w:top w:w="0" w:type="dxa"/>
            <w:bottom w:w="0" w:type="dxa"/>
          </w:tblCellMar>
        </w:tblPrEx>
        <w:trPr>
          <w:cantSplit/>
          <w:jc w:val="center"/>
        </w:trPr>
        <w:tc>
          <w:tcPr>
            <w:tcW w:w="1911" w:type="dxa"/>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 xml:space="preserve">    النسبة المئوية</w:t>
            </w:r>
          </w:p>
        </w:tc>
        <w:tc>
          <w:tcPr>
            <w:tcW w:w="908" w:type="dxa"/>
            <w:shd w:val="clear" w:color="auto" w:fill="D9D9D9"/>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100.0</w:t>
            </w:r>
          </w:p>
        </w:tc>
        <w:tc>
          <w:tcPr>
            <w:tcW w:w="836"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0.0</w:t>
            </w:r>
          </w:p>
        </w:tc>
        <w:tc>
          <w:tcPr>
            <w:tcW w:w="83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67.8</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1.6</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30.6</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927"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618"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69"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r>
      <w:tr w:rsidR="002D3A4A" w:rsidRPr="00B35A26">
        <w:tblPrEx>
          <w:tblCellMar>
            <w:top w:w="0" w:type="dxa"/>
            <w:bottom w:w="0" w:type="dxa"/>
          </w:tblCellMar>
        </w:tblPrEx>
        <w:trPr>
          <w:cantSplit/>
          <w:jc w:val="center"/>
        </w:trPr>
        <w:tc>
          <w:tcPr>
            <w:tcW w:w="1911" w:type="dxa"/>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 xml:space="preserve">  الصف الثامن</w:t>
            </w:r>
          </w:p>
        </w:tc>
        <w:tc>
          <w:tcPr>
            <w:tcW w:w="908" w:type="dxa"/>
            <w:shd w:val="clear" w:color="auto" w:fill="D9D9D9"/>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933 96</w:t>
            </w:r>
          </w:p>
        </w:tc>
        <w:tc>
          <w:tcPr>
            <w:tcW w:w="836"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23</w:t>
            </w:r>
          </w:p>
        </w:tc>
        <w:tc>
          <w:tcPr>
            <w:tcW w:w="83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562 67</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191 2</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 xml:space="preserve">690 26 </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927"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467</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618"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69"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r>
      <w:tr w:rsidR="002D3A4A" w:rsidRPr="00B35A26">
        <w:tblPrEx>
          <w:tblCellMar>
            <w:top w:w="0" w:type="dxa"/>
            <w:bottom w:w="0" w:type="dxa"/>
          </w:tblCellMar>
        </w:tblPrEx>
        <w:trPr>
          <w:cantSplit/>
          <w:jc w:val="center"/>
        </w:trPr>
        <w:tc>
          <w:tcPr>
            <w:tcW w:w="1911" w:type="dxa"/>
            <w:tcBorders>
              <w:bottom w:val="single" w:sz="4" w:space="0" w:color="auto"/>
            </w:tcBorders>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 xml:space="preserve">    النسبة المئوية</w:t>
            </w:r>
          </w:p>
        </w:tc>
        <w:tc>
          <w:tcPr>
            <w:tcW w:w="908" w:type="dxa"/>
            <w:tcBorders>
              <w:bottom w:val="single" w:sz="4" w:space="0" w:color="auto"/>
            </w:tcBorders>
            <w:shd w:val="clear" w:color="auto" w:fill="D9D9D9"/>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100.0</w:t>
            </w:r>
          </w:p>
        </w:tc>
        <w:tc>
          <w:tcPr>
            <w:tcW w:w="836"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0.0</w:t>
            </w:r>
          </w:p>
        </w:tc>
        <w:tc>
          <w:tcPr>
            <w:tcW w:w="831"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69.7</w:t>
            </w:r>
          </w:p>
        </w:tc>
        <w:tc>
          <w:tcPr>
            <w:tcW w:w="721"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2.3</w:t>
            </w:r>
          </w:p>
        </w:tc>
        <w:tc>
          <w:tcPr>
            <w:tcW w:w="721"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27.5</w:t>
            </w:r>
          </w:p>
        </w:tc>
        <w:tc>
          <w:tcPr>
            <w:tcW w:w="824"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927"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0.5</w:t>
            </w:r>
          </w:p>
        </w:tc>
        <w:tc>
          <w:tcPr>
            <w:tcW w:w="824"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618"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69"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r>
      <w:tr w:rsidR="002D3A4A" w:rsidRPr="00B35A26">
        <w:tblPrEx>
          <w:tblCellMar>
            <w:top w:w="0" w:type="dxa"/>
            <w:bottom w:w="0" w:type="dxa"/>
          </w:tblCellMar>
        </w:tblPrEx>
        <w:trPr>
          <w:cantSplit/>
          <w:jc w:val="center"/>
        </w:trPr>
        <w:tc>
          <w:tcPr>
            <w:tcW w:w="1911" w:type="dxa"/>
            <w:tcBorders>
              <w:top w:val="single" w:sz="4" w:space="0" w:color="auto"/>
            </w:tcBorders>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من الصف التاسع</w:t>
            </w:r>
          </w:p>
        </w:tc>
        <w:tc>
          <w:tcPr>
            <w:tcW w:w="908" w:type="dxa"/>
            <w:tcBorders>
              <w:top w:val="single" w:sz="4" w:space="0" w:color="auto"/>
            </w:tcBorders>
            <w:shd w:val="clear" w:color="auto" w:fill="D9D9D9"/>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879 434</w:t>
            </w:r>
          </w:p>
        </w:tc>
        <w:tc>
          <w:tcPr>
            <w:tcW w:w="836"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w:t>
            </w:r>
          </w:p>
        </w:tc>
        <w:tc>
          <w:tcPr>
            <w:tcW w:w="831"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w:t>
            </w:r>
          </w:p>
        </w:tc>
        <w:tc>
          <w:tcPr>
            <w:tcW w:w="721"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389 1</w:t>
            </w:r>
          </w:p>
        </w:tc>
        <w:tc>
          <w:tcPr>
            <w:tcW w:w="721"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626 20</w:t>
            </w:r>
          </w:p>
        </w:tc>
        <w:tc>
          <w:tcPr>
            <w:tcW w:w="824"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769 76</w:t>
            </w:r>
          </w:p>
        </w:tc>
        <w:tc>
          <w:tcPr>
            <w:tcW w:w="824"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597 130</w:t>
            </w:r>
          </w:p>
        </w:tc>
        <w:tc>
          <w:tcPr>
            <w:tcW w:w="927"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100 50</w:t>
            </w:r>
          </w:p>
        </w:tc>
        <w:tc>
          <w:tcPr>
            <w:tcW w:w="824"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173 128</w:t>
            </w:r>
          </w:p>
        </w:tc>
        <w:tc>
          <w:tcPr>
            <w:tcW w:w="721"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826</w:t>
            </w:r>
          </w:p>
        </w:tc>
        <w:tc>
          <w:tcPr>
            <w:tcW w:w="618"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820 3</w:t>
            </w:r>
          </w:p>
        </w:tc>
        <w:tc>
          <w:tcPr>
            <w:tcW w:w="721"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942 8</w:t>
            </w:r>
          </w:p>
        </w:tc>
        <w:tc>
          <w:tcPr>
            <w:tcW w:w="869" w:type="dxa"/>
            <w:tcBorders>
              <w:top w:val="single" w:sz="4" w:space="0" w:color="auto"/>
            </w:tcBorders>
            <w:shd w:val="clear" w:color="auto" w:fill="auto"/>
            <w:vAlign w:val="bottom"/>
          </w:tcPr>
          <w:p w:rsidR="002D3A4A" w:rsidRPr="003F5A76" w:rsidRDefault="002D3A4A" w:rsidP="002D3A4A">
            <w:pPr>
              <w:spacing w:before="40" w:after="40" w:line="240" w:lineRule="exact"/>
              <w:ind w:right="144"/>
              <w:jc w:val="lowKashida"/>
              <w:rPr>
                <w:rFonts w:hint="cs"/>
                <w:b/>
                <w:bCs/>
                <w:sz w:val="18"/>
                <w:szCs w:val="18"/>
                <w:rtl/>
              </w:rPr>
            </w:pPr>
            <w:r w:rsidRPr="003F5A76">
              <w:rPr>
                <w:rFonts w:hint="cs"/>
                <w:b/>
                <w:bCs/>
                <w:sz w:val="18"/>
                <w:szCs w:val="18"/>
                <w:rtl/>
              </w:rPr>
              <w:t>640 13</w:t>
            </w:r>
          </w:p>
        </w:tc>
      </w:tr>
      <w:tr w:rsidR="002D3A4A" w:rsidRPr="00B35A26">
        <w:tblPrEx>
          <w:tblCellMar>
            <w:top w:w="0" w:type="dxa"/>
            <w:bottom w:w="0" w:type="dxa"/>
          </w:tblCellMar>
        </w:tblPrEx>
        <w:trPr>
          <w:cantSplit/>
          <w:jc w:val="center"/>
        </w:trPr>
        <w:tc>
          <w:tcPr>
            <w:tcW w:w="1911" w:type="dxa"/>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النسبة المئوية</w:t>
            </w:r>
          </w:p>
        </w:tc>
        <w:tc>
          <w:tcPr>
            <w:tcW w:w="908" w:type="dxa"/>
            <w:shd w:val="clear" w:color="auto" w:fill="D9D9D9"/>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100.0</w:t>
            </w:r>
          </w:p>
        </w:tc>
        <w:tc>
          <w:tcPr>
            <w:tcW w:w="836"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w:t>
            </w:r>
          </w:p>
        </w:tc>
        <w:tc>
          <w:tcPr>
            <w:tcW w:w="831"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0.3</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4.7</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17.7</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30.0</w:t>
            </w:r>
          </w:p>
        </w:tc>
        <w:tc>
          <w:tcPr>
            <w:tcW w:w="927"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11.5</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29.5</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0.2</w:t>
            </w:r>
          </w:p>
        </w:tc>
        <w:tc>
          <w:tcPr>
            <w:tcW w:w="618"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0.9</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2.1</w:t>
            </w:r>
          </w:p>
        </w:tc>
        <w:tc>
          <w:tcPr>
            <w:tcW w:w="869" w:type="dxa"/>
            <w:shd w:val="clear" w:color="auto" w:fill="auto"/>
            <w:vAlign w:val="bottom"/>
          </w:tcPr>
          <w:p w:rsidR="002D3A4A" w:rsidRPr="0080648B" w:rsidRDefault="002D3A4A" w:rsidP="002D3A4A">
            <w:pPr>
              <w:spacing w:before="40" w:after="40" w:line="240" w:lineRule="exact"/>
              <w:ind w:right="144"/>
              <w:jc w:val="lowKashida"/>
              <w:rPr>
                <w:rFonts w:hint="cs"/>
                <w:b/>
                <w:bCs/>
                <w:szCs w:val="20"/>
                <w:rtl/>
              </w:rPr>
            </w:pPr>
            <w:r w:rsidRPr="0080648B">
              <w:rPr>
                <w:rFonts w:hint="cs"/>
                <w:b/>
                <w:bCs/>
                <w:szCs w:val="20"/>
                <w:rtl/>
              </w:rPr>
              <w:t>3.1</w:t>
            </w:r>
          </w:p>
        </w:tc>
      </w:tr>
      <w:tr w:rsidR="002D3A4A" w:rsidRPr="00B35A26">
        <w:tblPrEx>
          <w:tblCellMar>
            <w:top w:w="0" w:type="dxa"/>
            <w:bottom w:w="0" w:type="dxa"/>
          </w:tblCellMar>
        </w:tblPrEx>
        <w:trPr>
          <w:cantSplit/>
          <w:jc w:val="center"/>
        </w:trPr>
        <w:tc>
          <w:tcPr>
            <w:tcW w:w="1911" w:type="dxa"/>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 xml:space="preserve">  الصف التاسع</w:t>
            </w:r>
          </w:p>
        </w:tc>
        <w:tc>
          <w:tcPr>
            <w:tcW w:w="908" w:type="dxa"/>
            <w:shd w:val="clear" w:color="auto" w:fill="D9D9D9"/>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002 97</w:t>
            </w:r>
          </w:p>
        </w:tc>
        <w:tc>
          <w:tcPr>
            <w:tcW w:w="836"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3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386 1</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626 20</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143 22</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927"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555 20</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532 30</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618"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760 1</w:t>
            </w:r>
          </w:p>
        </w:tc>
        <w:tc>
          <w:tcPr>
            <w:tcW w:w="869"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r>
      <w:tr w:rsidR="002D3A4A" w:rsidRPr="00B35A26">
        <w:tblPrEx>
          <w:tblCellMar>
            <w:top w:w="0" w:type="dxa"/>
            <w:bottom w:w="0" w:type="dxa"/>
          </w:tblCellMar>
        </w:tblPrEx>
        <w:trPr>
          <w:cantSplit/>
          <w:jc w:val="center"/>
        </w:trPr>
        <w:tc>
          <w:tcPr>
            <w:tcW w:w="1911" w:type="dxa"/>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 xml:space="preserve">    النسبة المئوية</w:t>
            </w:r>
          </w:p>
        </w:tc>
        <w:tc>
          <w:tcPr>
            <w:tcW w:w="908" w:type="dxa"/>
            <w:shd w:val="clear" w:color="auto" w:fill="D9D9D9"/>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100.0</w:t>
            </w:r>
          </w:p>
        </w:tc>
        <w:tc>
          <w:tcPr>
            <w:tcW w:w="836"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3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1.4</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21.3</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22.8</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927"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21.2</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31.5</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618"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1.8</w:t>
            </w:r>
          </w:p>
        </w:tc>
        <w:tc>
          <w:tcPr>
            <w:tcW w:w="869"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r>
      <w:tr w:rsidR="002D3A4A" w:rsidRPr="00B35A26">
        <w:tblPrEx>
          <w:tblCellMar>
            <w:top w:w="0" w:type="dxa"/>
            <w:bottom w:w="0" w:type="dxa"/>
          </w:tblCellMar>
        </w:tblPrEx>
        <w:trPr>
          <w:cantSplit/>
          <w:jc w:val="center"/>
        </w:trPr>
        <w:tc>
          <w:tcPr>
            <w:tcW w:w="1911" w:type="dxa"/>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 xml:space="preserve">  الصف العاشر</w:t>
            </w:r>
          </w:p>
        </w:tc>
        <w:tc>
          <w:tcPr>
            <w:tcW w:w="908" w:type="dxa"/>
            <w:shd w:val="clear" w:color="auto" w:fill="D9D9D9"/>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108 103</w:t>
            </w:r>
          </w:p>
        </w:tc>
        <w:tc>
          <w:tcPr>
            <w:tcW w:w="836"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3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885 18</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427 40</w:t>
            </w:r>
          </w:p>
        </w:tc>
        <w:tc>
          <w:tcPr>
            <w:tcW w:w="927"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927 12</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713 25</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618"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435 3</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620 1</w:t>
            </w:r>
          </w:p>
        </w:tc>
        <w:tc>
          <w:tcPr>
            <w:tcW w:w="869"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101</w:t>
            </w:r>
          </w:p>
        </w:tc>
      </w:tr>
      <w:tr w:rsidR="002D3A4A" w:rsidRPr="00B35A26">
        <w:tblPrEx>
          <w:tblCellMar>
            <w:top w:w="0" w:type="dxa"/>
            <w:bottom w:w="0" w:type="dxa"/>
          </w:tblCellMar>
        </w:tblPrEx>
        <w:trPr>
          <w:cantSplit/>
          <w:jc w:val="center"/>
        </w:trPr>
        <w:tc>
          <w:tcPr>
            <w:tcW w:w="1911" w:type="dxa"/>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 xml:space="preserve">    النسبة المئوية</w:t>
            </w:r>
          </w:p>
        </w:tc>
        <w:tc>
          <w:tcPr>
            <w:tcW w:w="908" w:type="dxa"/>
            <w:shd w:val="clear" w:color="auto" w:fill="D9D9D9"/>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100.0</w:t>
            </w:r>
          </w:p>
        </w:tc>
        <w:tc>
          <w:tcPr>
            <w:tcW w:w="836"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3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18.3</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39.2</w:t>
            </w:r>
          </w:p>
        </w:tc>
        <w:tc>
          <w:tcPr>
            <w:tcW w:w="927"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12.5</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24.9</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618"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3.3</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1.6</w:t>
            </w:r>
          </w:p>
        </w:tc>
        <w:tc>
          <w:tcPr>
            <w:tcW w:w="869"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0.1</w:t>
            </w:r>
          </w:p>
        </w:tc>
      </w:tr>
      <w:tr w:rsidR="002D3A4A" w:rsidRPr="00B35A26">
        <w:tblPrEx>
          <w:tblCellMar>
            <w:top w:w="0" w:type="dxa"/>
            <w:bottom w:w="0" w:type="dxa"/>
          </w:tblCellMar>
        </w:tblPrEx>
        <w:trPr>
          <w:cantSplit/>
          <w:jc w:val="center"/>
        </w:trPr>
        <w:tc>
          <w:tcPr>
            <w:tcW w:w="1911" w:type="dxa"/>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 xml:space="preserve">  الصف الثاني عشر</w:t>
            </w:r>
          </w:p>
        </w:tc>
        <w:tc>
          <w:tcPr>
            <w:tcW w:w="908" w:type="dxa"/>
            <w:shd w:val="clear" w:color="auto" w:fill="D9D9D9"/>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022 82</w:t>
            </w:r>
          </w:p>
        </w:tc>
        <w:tc>
          <w:tcPr>
            <w:tcW w:w="836"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3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945 16</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528 38</w:t>
            </w:r>
          </w:p>
        </w:tc>
        <w:tc>
          <w:tcPr>
            <w:tcW w:w="927"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128 2</w:t>
            </w:r>
          </w:p>
        </w:tc>
        <w:tc>
          <w:tcPr>
            <w:tcW w:w="824"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786 22</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48</w:t>
            </w:r>
          </w:p>
        </w:tc>
        <w:tc>
          <w:tcPr>
            <w:tcW w:w="618"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482 1</w:t>
            </w:r>
          </w:p>
        </w:tc>
        <w:tc>
          <w:tcPr>
            <w:tcW w:w="869" w:type="dxa"/>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105</w:t>
            </w:r>
          </w:p>
        </w:tc>
      </w:tr>
      <w:tr w:rsidR="002D3A4A" w:rsidRPr="00B35A26">
        <w:tblPrEx>
          <w:tblCellMar>
            <w:top w:w="0" w:type="dxa"/>
            <w:bottom w:w="0" w:type="dxa"/>
          </w:tblCellMar>
        </w:tblPrEx>
        <w:trPr>
          <w:cantSplit/>
          <w:jc w:val="center"/>
        </w:trPr>
        <w:tc>
          <w:tcPr>
            <w:tcW w:w="1911" w:type="dxa"/>
            <w:tcBorders>
              <w:bottom w:val="single" w:sz="4" w:space="0" w:color="auto"/>
            </w:tcBorders>
            <w:shd w:val="clear" w:color="auto" w:fill="auto"/>
            <w:vAlign w:val="bottom"/>
          </w:tcPr>
          <w:p w:rsidR="002D3A4A" w:rsidRPr="003F5A76" w:rsidRDefault="002D3A4A" w:rsidP="002D3A4A">
            <w:pPr>
              <w:spacing w:before="40" w:after="40" w:line="240" w:lineRule="exact"/>
              <w:rPr>
                <w:rFonts w:hint="cs"/>
                <w:sz w:val="16"/>
                <w:szCs w:val="24"/>
                <w:rtl/>
              </w:rPr>
            </w:pPr>
            <w:r w:rsidRPr="003F5A76">
              <w:rPr>
                <w:rFonts w:hint="cs"/>
                <w:sz w:val="16"/>
                <w:szCs w:val="24"/>
                <w:rtl/>
              </w:rPr>
              <w:t xml:space="preserve">    النسبة المئوية</w:t>
            </w:r>
          </w:p>
        </w:tc>
        <w:tc>
          <w:tcPr>
            <w:tcW w:w="908" w:type="dxa"/>
            <w:tcBorders>
              <w:bottom w:val="single" w:sz="4" w:space="0" w:color="auto"/>
            </w:tcBorders>
            <w:shd w:val="clear" w:color="auto" w:fill="D9D9D9"/>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100.0</w:t>
            </w:r>
          </w:p>
        </w:tc>
        <w:tc>
          <w:tcPr>
            <w:tcW w:w="836"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31"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824"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20.7</w:t>
            </w:r>
          </w:p>
        </w:tc>
        <w:tc>
          <w:tcPr>
            <w:tcW w:w="824"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47.0</w:t>
            </w:r>
          </w:p>
        </w:tc>
        <w:tc>
          <w:tcPr>
            <w:tcW w:w="927"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2.6</w:t>
            </w:r>
          </w:p>
        </w:tc>
        <w:tc>
          <w:tcPr>
            <w:tcW w:w="824"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27.8</w:t>
            </w:r>
          </w:p>
        </w:tc>
        <w:tc>
          <w:tcPr>
            <w:tcW w:w="721"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0.1</w:t>
            </w:r>
          </w:p>
        </w:tc>
        <w:tc>
          <w:tcPr>
            <w:tcW w:w="618"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w:t>
            </w:r>
          </w:p>
        </w:tc>
        <w:tc>
          <w:tcPr>
            <w:tcW w:w="721"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1.8</w:t>
            </w:r>
          </w:p>
        </w:tc>
        <w:tc>
          <w:tcPr>
            <w:tcW w:w="869" w:type="dxa"/>
            <w:tcBorders>
              <w:bottom w:val="single" w:sz="4" w:space="0" w:color="auto"/>
            </w:tcBorders>
            <w:shd w:val="clear" w:color="auto" w:fill="auto"/>
            <w:vAlign w:val="bottom"/>
          </w:tcPr>
          <w:p w:rsidR="002D3A4A" w:rsidRPr="0080648B" w:rsidRDefault="002D3A4A" w:rsidP="002D3A4A">
            <w:pPr>
              <w:spacing w:before="40" w:after="40" w:line="240" w:lineRule="exact"/>
              <w:ind w:right="144"/>
              <w:jc w:val="lowKashida"/>
              <w:rPr>
                <w:rFonts w:hint="cs"/>
                <w:szCs w:val="20"/>
                <w:rtl/>
              </w:rPr>
            </w:pPr>
            <w:r w:rsidRPr="0080648B">
              <w:rPr>
                <w:rFonts w:hint="cs"/>
                <w:szCs w:val="20"/>
                <w:rtl/>
              </w:rPr>
              <w:t>0.1</w:t>
            </w:r>
          </w:p>
        </w:tc>
      </w:tr>
      <w:tr w:rsidR="002D3A4A" w:rsidRPr="00B35A26">
        <w:tblPrEx>
          <w:tblCellMar>
            <w:top w:w="0" w:type="dxa"/>
            <w:bottom w:w="0" w:type="dxa"/>
          </w:tblCellMar>
        </w:tblPrEx>
        <w:trPr>
          <w:cantSplit/>
          <w:jc w:val="center"/>
        </w:trPr>
        <w:tc>
          <w:tcPr>
            <w:tcW w:w="1911" w:type="dxa"/>
            <w:tcBorders>
              <w:top w:val="single" w:sz="4" w:space="0" w:color="auto"/>
            </w:tcBorders>
            <w:shd w:val="clear" w:color="auto" w:fill="D9D9D9"/>
            <w:vAlign w:val="bottom"/>
          </w:tcPr>
          <w:p w:rsidR="002D3A4A" w:rsidRPr="003F5A76" w:rsidRDefault="002D3A4A" w:rsidP="002D3A4A">
            <w:pPr>
              <w:spacing w:before="40" w:after="80" w:line="240" w:lineRule="exact"/>
              <w:rPr>
                <w:rFonts w:hint="cs"/>
                <w:sz w:val="16"/>
                <w:szCs w:val="24"/>
                <w:rtl/>
              </w:rPr>
            </w:pPr>
            <w:r w:rsidRPr="003F5A76">
              <w:rPr>
                <w:rFonts w:hint="cs"/>
                <w:sz w:val="16"/>
                <w:szCs w:val="24"/>
                <w:rtl/>
              </w:rPr>
              <w:t>المجموع</w:t>
            </w:r>
          </w:p>
        </w:tc>
        <w:tc>
          <w:tcPr>
            <w:tcW w:w="908" w:type="dxa"/>
            <w:tcBorders>
              <w:top w:val="single" w:sz="4" w:space="0" w:color="auto"/>
            </w:tcBorders>
            <w:shd w:val="clear" w:color="auto" w:fill="D9D9D9"/>
            <w:vAlign w:val="bottom"/>
          </w:tcPr>
          <w:p w:rsidR="002D3A4A" w:rsidRPr="00BE1A71" w:rsidRDefault="002D3A4A" w:rsidP="002D3A4A">
            <w:pPr>
              <w:spacing w:before="40" w:after="80" w:line="240" w:lineRule="exact"/>
              <w:ind w:right="144"/>
              <w:jc w:val="lowKashida"/>
              <w:rPr>
                <w:rFonts w:hint="cs"/>
                <w:b/>
                <w:bCs/>
                <w:szCs w:val="20"/>
                <w:rtl/>
              </w:rPr>
            </w:pPr>
            <w:r w:rsidRPr="003F5A76">
              <w:rPr>
                <w:rFonts w:hint="cs"/>
                <w:b/>
                <w:bCs/>
                <w:sz w:val="18"/>
                <w:szCs w:val="18"/>
                <w:rtl/>
              </w:rPr>
              <w:t>608 209 1</w:t>
            </w:r>
          </w:p>
        </w:tc>
        <w:tc>
          <w:tcPr>
            <w:tcW w:w="836" w:type="dxa"/>
            <w:tcBorders>
              <w:top w:val="single" w:sz="4" w:space="0" w:color="auto"/>
            </w:tcBorders>
            <w:shd w:val="clear" w:color="auto" w:fill="D9D9D9"/>
            <w:vAlign w:val="bottom"/>
          </w:tcPr>
          <w:p w:rsidR="002D3A4A" w:rsidRPr="00BE1A71" w:rsidRDefault="002D3A4A" w:rsidP="002D3A4A">
            <w:pPr>
              <w:spacing w:before="40" w:after="80" w:line="240" w:lineRule="exact"/>
              <w:ind w:right="144"/>
              <w:jc w:val="lowKashida"/>
              <w:rPr>
                <w:rFonts w:hint="cs"/>
                <w:b/>
                <w:bCs/>
                <w:szCs w:val="20"/>
                <w:rtl/>
              </w:rPr>
            </w:pPr>
            <w:r w:rsidRPr="003F5A76">
              <w:rPr>
                <w:rFonts w:hint="cs"/>
                <w:b/>
                <w:bCs/>
                <w:sz w:val="18"/>
                <w:szCs w:val="18"/>
                <w:rtl/>
              </w:rPr>
              <w:t>140 381</w:t>
            </w:r>
          </w:p>
        </w:tc>
        <w:tc>
          <w:tcPr>
            <w:tcW w:w="831" w:type="dxa"/>
            <w:tcBorders>
              <w:top w:val="single" w:sz="4" w:space="0" w:color="auto"/>
            </w:tcBorders>
            <w:shd w:val="clear" w:color="auto" w:fill="D9D9D9"/>
            <w:vAlign w:val="bottom"/>
          </w:tcPr>
          <w:p w:rsidR="002D3A4A" w:rsidRPr="003F5A76" w:rsidRDefault="002D3A4A" w:rsidP="002D3A4A">
            <w:pPr>
              <w:spacing w:before="40" w:after="80" w:line="240" w:lineRule="exact"/>
              <w:ind w:right="144"/>
              <w:jc w:val="lowKashida"/>
              <w:rPr>
                <w:rFonts w:hint="cs"/>
                <w:b/>
                <w:bCs/>
                <w:sz w:val="18"/>
                <w:szCs w:val="18"/>
                <w:rtl/>
              </w:rPr>
            </w:pPr>
            <w:r w:rsidRPr="003F5A76">
              <w:rPr>
                <w:rFonts w:hint="cs"/>
                <w:b/>
                <w:bCs/>
                <w:sz w:val="18"/>
                <w:szCs w:val="18"/>
                <w:rtl/>
              </w:rPr>
              <w:t>058 268</w:t>
            </w:r>
          </w:p>
        </w:tc>
        <w:tc>
          <w:tcPr>
            <w:tcW w:w="721" w:type="dxa"/>
            <w:tcBorders>
              <w:top w:val="single" w:sz="4" w:space="0" w:color="auto"/>
            </w:tcBorders>
            <w:shd w:val="clear" w:color="auto" w:fill="D9D9D9"/>
            <w:vAlign w:val="bottom"/>
          </w:tcPr>
          <w:p w:rsidR="002D3A4A" w:rsidRPr="003F5A76" w:rsidRDefault="002D3A4A" w:rsidP="002D3A4A">
            <w:pPr>
              <w:spacing w:before="40" w:after="80" w:line="240" w:lineRule="exact"/>
              <w:ind w:right="144"/>
              <w:jc w:val="lowKashida"/>
              <w:rPr>
                <w:rFonts w:hint="cs"/>
                <w:b/>
                <w:bCs/>
                <w:sz w:val="18"/>
                <w:szCs w:val="18"/>
                <w:rtl/>
              </w:rPr>
            </w:pPr>
            <w:r w:rsidRPr="003F5A76">
              <w:rPr>
                <w:rFonts w:hint="cs"/>
                <w:b/>
                <w:bCs/>
                <w:sz w:val="18"/>
                <w:szCs w:val="18"/>
                <w:rtl/>
              </w:rPr>
              <w:t>466 13</w:t>
            </w:r>
          </w:p>
        </w:tc>
        <w:tc>
          <w:tcPr>
            <w:tcW w:w="721" w:type="dxa"/>
            <w:tcBorders>
              <w:top w:val="single" w:sz="4" w:space="0" w:color="auto"/>
            </w:tcBorders>
            <w:shd w:val="clear" w:color="auto" w:fill="D9D9D9"/>
            <w:vAlign w:val="bottom"/>
          </w:tcPr>
          <w:p w:rsidR="002D3A4A" w:rsidRPr="003F5A76" w:rsidRDefault="002D3A4A" w:rsidP="002D3A4A">
            <w:pPr>
              <w:spacing w:before="40" w:after="80" w:line="240" w:lineRule="exact"/>
              <w:ind w:right="144"/>
              <w:jc w:val="lowKashida"/>
              <w:rPr>
                <w:rFonts w:hint="cs"/>
                <w:b/>
                <w:bCs/>
                <w:sz w:val="18"/>
                <w:szCs w:val="18"/>
                <w:rtl/>
              </w:rPr>
            </w:pPr>
            <w:r w:rsidRPr="003F5A76">
              <w:rPr>
                <w:rFonts w:hint="cs"/>
                <w:b/>
                <w:bCs/>
                <w:sz w:val="18"/>
                <w:szCs w:val="18"/>
                <w:rtl/>
              </w:rPr>
              <w:t>626 20</w:t>
            </w:r>
          </w:p>
        </w:tc>
        <w:tc>
          <w:tcPr>
            <w:tcW w:w="824" w:type="dxa"/>
            <w:tcBorders>
              <w:top w:val="single" w:sz="4" w:space="0" w:color="auto"/>
            </w:tcBorders>
            <w:shd w:val="clear" w:color="auto" w:fill="D9D9D9"/>
            <w:vAlign w:val="bottom"/>
          </w:tcPr>
          <w:p w:rsidR="002D3A4A" w:rsidRPr="003F5A76" w:rsidRDefault="002D3A4A" w:rsidP="002D3A4A">
            <w:pPr>
              <w:spacing w:before="40" w:after="80" w:line="240" w:lineRule="exact"/>
              <w:ind w:right="144"/>
              <w:jc w:val="lowKashida"/>
              <w:rPr>
                <w:rFonts w:hint="cs"/>
                <w:b/>
                <w:bCs/>
                <w:sz w:val="18"/>
                <w:szCs w:val="18"/>
                <w:rtl/>
              </w:rPr>
            </w:pPr>
            <w:r w:rsidRPr="003F5A76">
              <w:rPr>
                <w:rFonts w:hint="cs"/>
                <w:b/>
                <w:bCs/>
                <w:sz w:val="18"/>
                <w:szCs w:val="18"/>
                <w:rtl/>
              </w:rPr>
              <w:t>753 189</w:t>
            </w:r>
          </w:p>
        </w:tc>
        <w:tc>
          <w:tcPr>
            <w:tcW w:w="824" w:type="dxa"/>
            <w:tcBorders>
              <w:top w:val="single" w:sz="4" w:space="0" w:color="auto"/>
            </w:tcBorders>
            <w:shd w:val="clear" w:color="auto" w:fill="D9D9D9"/>
            <w:vAlign w:val="bottom"/>
          </w:tcPr>
          <w:p w:rsidR="002D3A4A" w:rsidRPr="003F5A76" w:rsidRDefault="002D3A4A" w:rsidP="002D3A4A">
            <w:pPr>
              <w:spacing w:before="40" w:after="80" w:line="240" w:lineRule="exact"/>
              <w:ind w:right="144"/>
              <w:jc w:val="lowKashida"/>
              <w:rPr>
                <w:rFonts w:hint="cs"/>
                <w:b/>
                <w:bCs/>
                <w:sz w:val="18"/>
                <w:szCs w:val="18"/>
                <w:rtl/>
              </w:rPr>
            </w:pPr>
            <w:r w:rsidRPr="003F5A76">
              <w:rPr>
                <w:rFonts w:hint="cs"/>
                <w:b/>
                <w:bCs/>
                <w:sz w:val="18"/>
                <w:szCs w:val="18"/>
                <w:rtl/>
              </w:rPr>
              <w:t>597 130</w:t>
            </w:r>
          </w:p>
        </w:tc>
        <w:tc>
          <w:tcPr>
            <w:tcW w:w="927" w:type="dxa"/>
            <w:tcBorders>
              <w:top w:val="single" w:sz="4" w:space="0" w:color="auto"/>
            </w:tcBorders>
            <w:shd w:val="clear" w:color="auto" w:fill="D9D9D9"/>
            <w:vAlign w:val="bottom"/>
          </w:tcPr>
          <w:p w:rsidR="002D3A4A" w:rsidRPr="003F5A76" w:rsidRDefault="002D3A4A" w:rsidP="002D3A4A">
            <w:pPr>
              <w:spacing w:before="40" w:after="80" w:line="240" w:lineRule="exact"/>
              <w:ind w:right="144"/>
              <w:jc w:val="lowKashida"/>
              <w:rPr>
                <w:rFonts w:hint="cs"/>
                <w:b/>
                <w:bCs/>
                <w:sz w:val="18"/>
                <w:szCs w:val="18"/>
                <w:rtl/>
              </w:rPr>
            </w:pPr>
            <w:r w:rsidRPr="003F5A76">
              <w:rPr>
                <w:rFonts w:hint="cs"/>
                <w:b/>
                <w:bCs/>
                <w:sz w:val="18"/>
                <w:szCs w:val="18"/>
                <w:rtl/>
              </w:rPr>
              <w:t>567 50</w:t>
            </w:r>
          </w:p>
        </w:tc>
        <w:tc>
          <w:tcPr>
            <w:tcW w:w="824" w:type="dxa"/>
            <w:tcBorders>
              <w:top w:val="single" w:sz="4" w:space="0" w:color="auto"/>
            </w:tcBorders>
            <w:shd w:val="clear" w:color="auto" w:fill="D9D9D9"/>
            <w:vAlign w:val="bottom"/>
          </w:tcPr>
          <w:p w:rsidR="002D3A4A" w:rsidRPr="003F5A76" w:rsidRDefault="002D3A4A" w:rsidP="002D3A4A">
            <w:pPr>
              <w:spacing w:before="40" w:after="80" w:line="240" w:lineRule="exact"/>
              <w:ind w:right="144"/>
              <w:jc w:val="lowKashida"/>
              <w:rPr>
                <w:rFonts w:hint="cs"/>
                <w:b/>
                <w:bCs/>
                <w:sz w:val="18"/>
                <w:szCs w:val="18"/>
                <w:rtl/>
              </w:rPr>
            </w:pPr>
            <w:r w:rsidRPr="003F5A76">
              <w:rPr>
                <w:rFonts w:hint="cs"/>
                <w:b/>
                <w:bCs/>
                <w:sz w:val="18"/>
                <w:szCs w:val="18"/>
                <w:rtl/>
              </w:rPr>
              <w:t>173 128</w:t>
            </w:r>
          </w:p>
        </w:tc>
        <w:tc>
          <w:tcPr>
            <w:tcW w:w="721" w:type="dxa"/>
            <w:tcBorders>
              <w:top w:val="single" w:sz="4" w:space="0" w:color="auto"/>
            </w:tcBorders>
            <w:shd w:val="clear" w:color="auto" w:fill="D9D9D9"/>
            <w:vAlign w:val="bottom"/>
          </w:tcPr>
          <w:p w:rsidR="002D3A4A" w:rsidRPr="003F5A76" w:rsidRDefault="002D3A4A" w:rsidP="002D3A4A">
            <w:pPr>
              <w:spacing w:before="40" w:after="80" w:line="240" w:lineRule="exact"/>
              <w:ind w:right="144"/>
              <w:jc w:val="lowKashida"/>
              <w:rPr>
                <w:rFonts w:hint="cs"/>
                <w:b/>
                <w:bCs/>
                <w:sz w:val="18"/>
                <w:szCs w:val="18"/>
                <w:rtl/>
              </w:rPr>
            </w:pPr>
            <w:r w:rsidRPr="003F5A76">
              <w:rPr>
                <w:rFonts w:hint="cs"/>
                <w:b/>
                <w:bCs/>
                <w:sz w:val="18"/>
                <w:szCs w:val="18"/>
                <w:rtl/>
              </w:rPr>
              <w:t>826</w:t>
            </w:r>
          </w:p>
        </w:tc>
        <w:tc>
          <w:tcPr>
            <w:tcW w:w="618" w:type="dxa"/>
            <w:tcBorders>
              <w:top w:val="single" w:sz="4" w:space="0" w:color="auto"/>
            </w:tcBorders>
            <w:shd w:val="clear" w:color="auto" w:fill="D9D9D9"/>
            <w:vAlign w:val="bottom"/>
          </w:tcPr>
          <w:p w:rsidR="002D3A4A" w:rsidRPr="003F5A76" w:rsidRDefault="002D3A4A" w:rsidP="002D3A4A">
            <w:pPr>
              <w:spacing w:before="40" w:after="80" w:line="240" w:lineRule="exact"/>
              <w:ind w:right="144"/>
              <w:jc w:val="lowKashida"/>
              <w:rPr>
                <w:rFonts w:hint="cs"/>
                <w:b/>
                <w:bCs/>
                <w:sz w:val="18"/>
                <w:szCs w:val="18"/>
                <w:rtl/>
              </w:rPr>
            </w:pPr>
            <w:r w:rsidRPr="003F5A76">
              <w:rPr>
                <w:rFonts w:hint="cs"/>
                <w:b/>
                <w:bCs/>
                <w:sz w:val="18"/>
                <w:szCs w:val="18"/>
                <w:rtl/>
              </w:rPr>
              <w:t>820 3</w:t>
            </w:r>
          </w:p>
        </w:tc>
        <w:tc>
          <w:tcPr>
            <w:tcW w:w="721" w:type="dxa"/>
            <w:tcBorders>
              <w:top w:val="single" w:sz="4" w:space="0" w:color="auto"/>
            </w:tcBorders>
            <w:shd w:val="clear" w:color="auto" w:fill="D9D9D9"/>
            <w:vAlign w:val="bottom"/>
          </w:tcPr>
          <w:p w:rsidR="002D3A4A" w:rsidRPr="003F5A76" w:rsidRDefault="002D3A4A" w:rsidP="002D3A4A">
            <w:pPr>
              <w:spacing w:before="40" w:after="80" w:line="240" w:lineRule="exact"/>
              <w:ind w:right="144"/>
              <w:jc w:val="lowKashida"/>
              <w:rPr>
                <w:rFonts w:hint="cs"/>
                <w:b/>
                <w:bCs/>
                <w:sz w:val="18"/>
                <w:szCs w:val="18"/>
                <w:rtl/>
              </w:rPr>
            </w:pPr>
            <w:r w:rsidRPr="003F5A76">
              <w:rPr>
                <w:rFonts w:hint="cs"/>
                <w:b/>
                <w:bCs/>
                <w:sz w:val="18"/>
                <w:szCs w:val="18"/>
                <w:rtl/>
              </w:rPr>
              <w:t>942 8</w:t>
            </w:r>
          </w:p>
        </w:tc>
        <w:tc>
          <w:tcPr>
            <w:tcW w:w="869" w:type="dxa"/>
            <w:tcBorders>
              <w:top w:val="single" w:sz="4" w:space="0" w:color="auto"/>
            </w:tcBorders>
            <w:shd w:val="clear" w:color="auto" w:fill="D9D9D9"/>
            <w:vAlign w:val="bottom"/>
          </w:tcPr>
          <w:p w:rsidR="002D3A4A" w:rsidRPr="003F5A76" w:rsidRDefault="002D3A4A" w:rsidP="002D3A4A">
            <w:pPr>
              <w:spacing w:before="40" w:after="80" w:line="240" w:lineRule="exact"/>
              <w:ind w:right="144"/>
              <w:jc w:val="lowKashida"/>
              <w:rPr>
                <w:rFonts w:hint="cs"/>
                <w:b/>
                <w:bCs/>
                <w:sz w:val="18"/>
                <w:szCs w:val="18"/>
                <w:rtl/>
              </w:rPr>
            </w:pPr>
            <w:r w:rsidRPr="003F5A76">
              <w:rPr>
                <w:rFonts w:hint="cs"/>
                <w:b/>
                <w:bCs/>
                <w:sz w:val="18"/>
                <w:szCs w:val="18"/>
                <w:rtl/>
              </w:rPr>
              <w:t>640 13</w:t>
            </w:r>
          </w:p>
        </w:tc>
      </w:tr>
      <w:tr w:rsidR="002D3A4A" w:rsidRPr="00B35A26">
        <w:tblPrEx>
          <w:tblCellMar>
            <w:top w:w="0" w:type="dxa"/>
            <w:bottom w:w="0" w:type="dxa"/>
          </w:tblCellMar>
        </w:tblPrEx>
        <w:trPr>
          <w:cantSplit/>
          <w:jc w:val="center"/>
        </w:trPr>
        <w:tc>
          <w:tcPr>
            <w:tcW w:w="1911" w:type="dxa"/>
            <w:tcBorders>
              <w:bottom w:val="single" w:sz="12" w:space="0" w:color="auto"/>
            </w:tcBorders>
            <w:shd w:val="clear" w:color="auto" w:fill="D9D9D9"/>
            <w:vAlign w:val="bottom"/>
          </w:tcPr>
          <w:p w:rsidR="002D3A4A" w:rsidRPr="003F5A76" w:rsidRDefault="002D3A4A" w:rsidP="002D3A4A">
            <w:pPr>
              <w:spacing w:before="40" w:after="80" w:line="240" w:lineRule="exact"/>
              <w:rPr>
                <w:rFonts w:hint="cs"/>
                <w:sz w:val="16"/>
                <w:szCs w:val="24"/>
                <w:rtl/>
              </w:rPr>
            </w:pPr>
            <w:r w:rsidRPr="003F5A76">
              <w:rPr>
                <w:rFonts w:hint="cs"/>
                <w:sz w:val="16"/>
                <w:szCs w:val="24"/>
                <w:rtl/>
              </w:rPr>
              <w:t>النسبة المئوية</w:t>
            </w:r>
          </w:p>
        </w:tc>
        <w:tc>
          <w:tcPr>
            <w:tcW w:w="908" w:type="dxa"/>
            <w:tcBorders>
              <w:bottom w:val="single" w:sz="12" w:space="0" w:color="auto"/>
            </w:tcBorders>
            <w:shd w:val="clear" w:color="auto" w:fill="D9D9D9"/>
            <w:vAlign w:val="bottom"/>
          </w:tcPr>
          <w:p w:rsidR="002D3A4A" w:rsidRPr="00BE1A71" w:rsidRDefault="002D3A4A" w:rsidP="002D3A4A">
            <w:pPr>
              <w:spacing w:before="40" w:after="80" w:line="240" w:lineRule="exact"/>
              <w:ind w:right="144"/>
              <w:jc w:val="lowKashida"/>
              <w:rPr>
                <w:rFonts w:hint="cs"/>
                <w:b/>
                <w:bCs/>
                <w:szCs w:val="20"/>
                <w:rtl/>
              </w:rPr>
            </w:pPr>
            <w:r w:rsidRPr="00BE1A71">
              <w:rPr>
                <w:rFonts w:hint="cs"/>
                <w:b/>
                <w:bCs/>
                <w:szCs w:val="20"/>
                <w:rtl/>
              </w:rPr>
              <w:t>100.0</w:t>
            </w:r>
          </w:p>
        </w:tc>
        <w:tc>
          <w:tcPr>
            <w:tcW w:w="836" w:type="dxa"/>
            <w:tcBorders>
              <w:bottom w:val="single" w:sz="12" w:space="0" w:color="auto"/>
            </w:tcBorders>
            <w:shd w:val="clear" w:color="auto" w:fill="D9D9D9"/>
            <w:vAlign w:val="bottom"/>
          </w:tcPr>
          <w:p w:rsidR="002D3A4A" w:rsidRPr="00BE1A71" w:rsidRDefault="002D3A4A" w:rsidP="002D3A4A">
            <w:pPr>
              <w:spacing w:before="40" w:after="80" w:line="240" w:lineRule="exact"/>
              <w:ind w:right="144"/>
              <w:jc w:val="lowKashida"/>
              <w:rPr>
                <w:rFonts w:hint="cs"/>
                <w:b/>
                <w:bCs/>
                <w:szCs w:val="20"/>
                <w:rtl/>
              </w:rPr>
            </w:pPr>
            <w:r w:rsidRPr="00BE1A71">
              <w:rPr>
                <w:rFonts w:hint="cs"/>
                <w:b/>
                <w:bCs/>
                <w:szCs w:val="20"/>
                <w:rtl/>
              </w:rPr>
              <w:t>31.5</w:t>
            </w:r>
          </w:p>
        </w:tc>
        <w:tc>
          <w:tcPr>
            <w:tcW w:w="831" w:type="dxa"/>
            <w:tcBorders>
              <w:bottom w:val="single" w:sz="12" w:space="0" w:color="auto"/>
            </w:tcBorders>
            <w:shd w:val="clear" w:color="auto" w:fill="D9D9D9"/>
            <w:vAlign w:val="bottom"/>
          </w:tcPr>
          <w:p w:rsidR="002D3A4A" w:rsidRPr="00BE1A71" w:rsidRDefault="002D3A4A" w:rsidP="002D3A4A">
            <w:pPr>
              <w:spacing w:before="40" w:after="80" w:line="240" w:lineRule="exact"/>
              <w:ind w:right="144"/>
              <w:jc w:val="lowKashida"/>
              <w:rPr>
                <w:rFonts w:hint="cs"/>
                <w:b/>
                <w:bCs/>
                <w:szCs w:val="20"/>
                <w:rtl/>
              </w:rPr>
            </w:pPr>
            <w:r w:rsidRPr="00BE1A71">
              <w:rPr>
                <w:rFonts w:hint="cs"/>
                <w:b/>
                <w:bCs/>
                <w:szCs w:val="20"/>
                <w:rtl/>
              </w:rPr>
              <w:t>22.2</w:t>
            </w:r>
          </w:p>
        </w:tc>
        <w:tc>
          <w:tcPr>
            <w:tcW w:w="721" w:type="dxa"/>
            <w:tcBorders>
              <w:bottom w:val="single" w:sz="12" w:space="0" w:color="auto"/>
            </w:tcBorders>
            <w:shd w:val="clear" w:color="auto" w:fill="D9D9D9"/>
            <w:vAlign w:val="bottom"/>
          </w:tcPr>
          <w:p w:rsidR="002D3A4A" w:rsidRPr="00BE1A71" w:rsidRDefault="002D3A4A" w:rsidP="002D3A4A">
            <w:pPr>
              <w:spacing w:before="40" w:after="80" w:line="240" w:lineRule="exact"/>
              <w:ind w:right="144"/>
              <w:jc w:val="lowKashida"/>
              <w:rPr>
                <w:rFonts w:hint="cs"/>
                <w:b/>
                <w:bCs/>
                <w:szCs w:val="20"/>
                <w:rtl/>
              </w:rPr>
            </w:pPr>
            <w:r w:rsidRPr="00BE1A71">
              <w:rPr>
                <w:rFonts w:hint="cs"/>
                <w:b/>
                <w:bCs/>
                <w:szCs w:val="20"/>
                <w:rtl/>
              </w:rPr>
              <w:t>1.1</w:t>
            </w:r>
          </w:p>
        </w:tc>
        <w:tc>
          <w:tcPr>
            <w:tcW w:w="721" w:type="dxa"/>
            <w:tcBorders>
              <w:bottom w:val="single" w:sz="12" w:space="0" w:color="auto"/>
            </w:tcBorders>
            <w:shd w:val="clear" w:color="auto" w:fill="D9D9D9"/>
            <w:vAlign w:val="bottom"/>
          </w:tcPr>
          <w:p w:rsidR="002D3A4A" w:rsidRPr="00BE1A71" w:rsidRDefault="002D3A4A" w:rsidP="002D3A4A">
            <w:pPr>
              <w:spacing w:before="40" w:after="80" w:line="240" w:lineRule="exact"/>
              <w:ind w:right="144"/>
              <w:jc w:val="lowKashida"/>
              <w:rPr>
                <w:rFonts w:hint="cs"/>
                <w:b/>
                <w:bCs/>
                <w:szCs w:val="20"/>
                <w:rtl/>
              </w:rPr>
            </w:pPr>
            <w:r w:rsidRPr="00BE1A71">
              <w:rPr>
                <w:rFonts w:hint="cs"/>
                <w:b/>
                <w:bCs/>
                <w:szCs w:val="20"/>
                <w:rtl/>
              </w:rPr>
              <w:t>1.7</w:t>
            </w:r>
          </w:p>
        </w:tc>
        <w:tc>
          <w:tcPr>
            <w:tcW w:w="824" w:type="dxa"/>
            <w:tcBorders>
              <w:bottom w:val="single" w:sz="12" w:space="0" w:color="auto"/>
            </w:tcBorders>
            <w:shd w:val="clear" w:color="auto" w:fill="D9D9D9"/>
            <w:vAlign w:val="bottom"/>
          </w:tcPr>
          <w:p w:rsidR="002D3A4A" w:rsidRPr="00BE1A71" w:rsidRDefault="002D3A4A" w:rsidP="002D3A4A">
            <w:pPr>
              <w:spacing w:before="40" w:after="80" w:line="240" w:lineRule="exact"/>
              <w:ind w:right="144"/>
              <w:jc w:val="lowKashida"/>
              <w:rPr>
                <w:rFonts w:hint="cs"/>
                <w:b/>
                <w:bCs/>
                <w:szCs w:val="20"/>
                <w:rtl/>
              </w:rPr>
            </w:pPr>
            <w:r w:rsidRPr="00BE1A71">
              <w:rPr>
                <w:rFonts w:hint="cs"/>
                <w:b/>
                <w:bCs/>
                <w:szCs w:val="20"/>
                <w:rtl/>
              </w:rPr>
              <w:t>15.7</w:t>
            </w:r>
          </w:p>
        </w:tc>
        <w:tc>
          <w:tcPr>
            <w:tcW w:w="824" w:type="dxa"/>
            <w:tcBorders>
              <w:bottom w:val="single" w:sz="12" w:space="0" w:color="auto"/>
            </w:tcBorders>
            <w:shd w:val="clear" w:color="auto" w:fill="D9D9D9"/>
            <w:vAlign w:val="bottom"/>
          </w:tcPr>
          <w:p w:rsidR="002D3A4A" w:rsidRPr="00BE1A71" w:rsidRDefault="002D3A4A" w:rsidP="002D3A4A">
            <w:pPr>
              <w:spacing w:before="40" w:after="80" w:line="240" w:lineRule="exact"/>
              <w:ind w:right="144"/>
              <w:jc w:val="lowKashida"/>
              <w:rPr>
                <w:rFonts w:hint="cs"/>
                <w:b/>
                <w:bCs/>
                <w:szCs w:val="20"/>
                <w:rtl/>
              </w:rPr>
            </w:pPr>
            <w:r w:rsidRPr="00BE1A71">
              <w:rPr>
                <w:rFonts w:hint="cs"/>
                <w:b/>
                <w:bCs/>
                <w:szCs w:val="20"/>
                <w:rtl/>
              </w:rPr>
              <w:t>10.8</w:t>
            </w:r>
          </w:p>
        </w:tc>
        <w:tc>
          <w:tcPr>
            <w:tcW w:w="927" w:type="dxa"/>
            <w:tcBorders>
              <w:bottom w:val="single" w:sz="12" w:space="0" w:color="auto"/>
            </w:tcBorders>
            <w:shd w:val="clear" w:color="auto" w:fill="D9D9D9"/>
            <w:vAlign w:val="bottom"/>
          </w:tcPr>
          <w:p w:rsidR="002D3A4A" w:rsidRPr="00BE1A71" w:rsidRDefault="002D3A4A" w:rsidP="002D3A4A">
            <w:pPr>
              <w:spacing w:before="40" w:after="80" w:line="240" w:lineRule="exact"/>
              <w:ind w:right="144"/>
              <w:jc w:val="lowKashida"/>
              <w:rPr>
                <w:rFonts w:hint="cs"/>
                <w:b/>
                <w:bCs/>
                <w:szCs w:val="20"/>
                <w:rtl/>
              </w:rPr>
            </w:pPr>
            <w:r w:rsidRPr="00BE1A71">
              <w:rPr>
                <w:rFonts w:hint="cs"/>
                <w:b/>
                <w:bCs/>
                <w:szCs w:val="20"/>
                <w:rtl/>
              </w:rPr>
              <w:t>4.2</w:t>
            </w:r>
          </w:p>
        </w:tc>
        <w:tc>
          <w:tcPr>
            <w:tcW w:w="824" w:type="dxa"/>
            <w:tcBorders>
              <w:bottom w:val="single" w:sz="12" w:space="0" w:color="auto"/>
            </w:tcBorders>
            <w:shd w:val="clear" w:color="auto" w:fill="D9D9D9"/>
            <w:vAlign w:val="bottom"/>
          </w:tcPr>
          <w:p w:rsidR="002D3A4A" w:rsidRPr="00BE1A71" w:rsidRDefault="002D3A4A" w:rsidP="002D3A4A">
            <w:pPr>
              <w:spacing w:before="40" w:after="80" w:line="240" w:lineRule="exact"/>
              <w:ind w:right="144"/>
              <w:jc w:val="lowKashida"/>
              <w:rPr>
                <w:rFonts w:hint="cs"/>
                <w:b/>
                <w:bCs/>
                <w:szCs w:val="20"/>
                <w:rtl/>
              </w:rPr>
            </w:pPr>
            <w:r w:rsidRPr="00BE1A71">
              <w:rPr>
                <w:rFonts w:hint="cs"/>
                <w:b/>
                <w:bCs/>
                <w:szCs w:val="20"/>
                <w:rtl/>
              </w:rPr>
              <w:t>10.6</w:t>
            </w:r>
          </w:p>
        </w:tc>
        <w:tc>
          <w:tcPr>
            <w:tcW w:w="721" w:type="dxa"/>
            <w:tcBorders>
              <w:bottom w:val="single" w:sz="12" w:space="0" w:color="auto"/>
            </w:tcBorders>
            <w:shd w:val="clear" w:color="auto" w:fill="D9D9D9"/>
            <w:vAlign w:val="bottom"/>
          </w:tcPr>
          <w:p w:rsidR="002D3A4A" w:rsidRPr="00BE1A71" w:rsidRDefault="002D3A4A" w:rsidP="002D3A4A">
            <w:pPr>
              <w:spacing w:before="40" w:after="80" w:line="240" w:lineRule="exact"/>
              <w:ind w:right="144"/>
              <w:jc w:val="lowKashida"/>
              <w:rPr>
                <w:rFonts w:hint="cs"/>
                <w:b/>
                <w:bCs/>
                <w:szCs w:val="20"/>
                <w:rtl/>
              </w:rPr>
            </w:pPr>
            <w:r w:rsidRPr="00BE1A71">
              <w:rPr>
                <w:rFonts w:hint="cs"/>
                <w:b/>
                <w:bCs/>
                <w:szCs w:val="20"/>
                <w:rtl/>
              </w:rPr>
              <w:t>0.1</w:t>
            </w:r>
          </w:p>
        </w:tc>
        <w:tc>
          <w:tcPr>
            <w:tcW w:w="618" w:type="dxa"/>
            <w:tcBorders>
              <w:bottom w:val="single" w:sz="12" w:space="0" w:color="auto"/>
            </w:tcBorders>
            <w:shd w:val="clear" w:color="auto" w:fill="D9D9D9"/>
            <w:vAlign w:val="bottom"/>
          </w:tcPr>
          <w:p w:rsidR="002D3A4A" w:rsidRPr="00BE1A71" w:rsidRDefault="002D3A4A" w:rsidP="002D3A4A">
            <w:pPr>
              <w:spacing w:before="40" w:after="80" w:line="240" w:lineRule="exact"/>
              <w:ind w:right="144"/>
              <w:jc w:val="lowKashida"/>
              <w:rPr>
                <w:rFonts w:hint="cs"/>
                <w:b/>
                <w:bCs/>
                <w:szCs w:val="20"/>
                <w:rtl/>
              </w:rPr>
            </w:pPr>
            <w:r w:rsidRPr="00BE1A71">
              <w:rPr>
                <w:rFonts w:hint="cs"/>
                <w:b/>
                <w:bCs/>
                <w:szCs w:val="20"/>
                <w:rtl/>
              </w:rPr>
              <w:t>0.3</w:t>
            </w:r>
          </w:p>
        </w:tc>
        <w:tc>
          <w:tcPr>
            <w:tcW w:w="721" w:type="dxa"/>
            <w:tcBorders>
              <w:bottom w:val="single" w:sz="12" w:space="0" w:color="auto"/>
            </w:tcBorders>
            <w:shd w:val="clear" w:color="auto" w:fill="D9D9D9"/>
            <w:vAlign w:val="bottom"/>
          </w:tcPr>
          <w:p w:rsidR="002D3A4A" w:rsidRPr="00BE1A71" w:rsidRDefault="002D3A4A" w:rsidP="002D3A4A">
            <w:pPr>
              <w:spacing w:before="40" w:after="80" w:line="240" w:lineRule="exact"/>
              <w:ind w:right="144"/>
              <w:jc w:val="lowKashida"/>
              <w:rPr>
                <w:rFonts w:hint="cs"/>
                <w:b/>
                <w:bCs/>
                <w:szCs w:val="20"/>
                <w:rtl/>
              </w:rPr>
            </w:pPr>
            <w:r w:rsidRPr="00BE1A71">
              <w:rPr>
                <w:rFonts w:hint="cs"/>
                <w:b/>
                <w:bCs/>
                <w:szCs w:val="20"/>
                <w:rtl/>
              </w:rPr>
              <w:t>0.7</w:t>
            </w:r>
          </w:p>
        </w:tc>
        <w:tc>
          <w:tcPr>
            <w:tcW w:w="869" w:type="dxa"/>
            <w:tcBorders>
              <w:bottom w:val="single" w:sz="12" w:space="0" w:color="auto"/>
            </w:tcBorders>
            <w:shd w:val="clear" w:color="auto" w:fill="D9D9D9"/>
            <w:vAlign w:val="bottom"/>
          </w:tcPr>
          <w:p w:rsidR="002D3A4A" w:rsidRPr="00BE1A71" w:rsidRDefault="002D3A4A" w:rsidP="002D3A4A">
            <w:pPr>
              <w:spacing w:before="40" w:after="80" w:line="240" w:lineRule="exact"/>
              <w:ind w:right="144"/>
              <w:jc w:val="lowKashida"/>
              <w:rPr>
                <w:rFonts w:hint="cs"/>
                <w:b/>
                <w:bCs/>
                <w:szCs w:val="20"/>
                <w:rtl/>
              </w:rPr>
            </w:pPr>
            <w:r w:rsidRPr="00BE1A71">
              <w:rPr>
                <w:rFonts w:hint="cs"/>
                <w:b/>
                <w:bCs/>
                <w:szCs w:val="20"/>
                <w:rtl/>
              </w:rPr>
              <w:t>1.1</w:t>
            </w:r>
          </w:p>
        </w:tc>
      </w:tr>
    </w:tbl>
    <w:p w:rsidR="002D3A4A" w:rsidRDefault="002D3A4A" w:rsidP="002D3A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أنواع المدارس ونسبتها المئوية، ونسبة التلاميذ/الطلاب الذكور في كل مدرسة</w:t>
      </w:r>
    </w:p>
    <w:p w:rsidR="002D3A4A" w:rsidRDefault="002D3A4A" w:rsidP="002D3A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السنة الأكاديمية 2002/2003</w:t>
      </w:r>
    </w:p>
    <w:tbl>
      <w:tblPr>
        <w:bidiVisual/>
        <w:tblW w:w="12449" w:type="dxa"/>
        <w:jc w:val="center"/>
        <w:tblInd w:w="-123" w:type="dxa"/>
        <w:tblLayout w:type="fixed"/>
        <w:tblCellMar>
          <w:left w:w="0" w:type="dxa"/>
          <w:right w:w="0" w:type="dxa"/>
        </w:tblCellMar>
        <w:tblLook w:val="0000" w:firstRow="0" w:lastRow="0" w:firstColumn="0" w:lastColumn="0" w:noHBand="0" w:noVBand="0"/>
      </w:tblPr>
      <w:tblGrid>
        <w:gridCol w:w="1689"/>
        <w:gridCol w:w="783"/>
        <w:gridCol w:w="824"/>
        <w:gridCol w:w="824"/>
        <w:gridCol w:w="721"/>
        <w:gridCol w:w="721"/>
        <w:gridCol w:w="824"/>
        <w:gridCol w:w="824"/>
        <w:gridCol w:w="927"/>
        <w:gridCol w:w="927"/>
        <w:gridCol w:w="824"/>
        <w:gridCol w:w="721"/>
        <w:gridCol w:w="824"/>
        <w:gridCol w:w="1016"/>
      </w:tblGrid>
      <w:tr w:rsidR="002D3A4A" w:rsidRPr="00B35A26">
        <w:tblPrEx>
          <w:tblCellMar>
            <w:top w:w="0" w:type="dxa"/>
            <w:bottom w:w="0" w:type="dxa"/>
          </w:tblCellMar>
        </w:tblPrEx>
        <w:trPr>
          <w:cantSplit/>
          <w:tblHeader/>
          <w:jc w:val="center"/>
        </w:trPr>
        <w:tc>
          <w:tcPr>
            <w:tcW w:w="1689" w:type="dxa"/>
            <w:tcBorders>
              <w:top w:val="single" w:sz="4" w:space="0" w:color="auto"/>
              <w:bottom w:val="single" w:sz="12" w:space="0" w:color="auto"/>
            </w:tcBorders>
            <w:shd w:val="clear" w:color="auto" w:fill="auto"/>
            <w:vAlign w:val="bottom"/>
          </w:tcPr>
          <w:p w:rsidR="002D3A4A" w:rsidRPr="003A24A5" w:rsidRDefault="002D3A4A" w:rsidP="002D3A4A">
            <w:pPr>
              <w:spacing w:before="40" w:after="40" w:line="200" w:lineRule="exact"/>
              <w:rPr>
                <w:rFonts w:hint="cs"/>
                <w:i/>
                <w:iCs/>
                <w:sz w:val="22"/>
                <w:szCs w:val="22"/>
                <w:rtl/>
              </w:rPr>
            </w:pPr>
            <w:r w:rsidRPr="003A24A5">
              <w:rPr>
                <w:rFonts w:hint="cs"/>
                <w:i/>
                <w:iCs/>
                <w:sz w:val="22"/>
                <w:szCs w:val="22"/>
                <w:rtl/>
              </w:rPr>
              <w:t>نوع المدرسة</w:t>
            </w:r>
          </w:p>
        </w:tc>
        <w:tc>
          <w:tcPr>
            <w:tcW w:w="783"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lowKashida"/>
              <w:rPr>
                <w:rFonts w:hint="cs"/>
                <w:i/>
                <w:iCs/>
                <w:sz w:val="22"/>
                <w:szCs w:val="22"/>
                <w:rtl/>
              </w:rPr>
            </w:pPr>
            <w:r w:rsidRPr="00B35A26">
              <w:rPr>
                <w:rFonts w:hint="cs"/>
                <w:i/>
                <w:iCs/>
                <w:sz w:val="22"/>
                <w:szCs w:val="22"/>
                <w:rtl/>
              </w:rPr>
              <w:t>مجموع التلاميذ/ الطلاب الذكور</w:t>
            </w:r>
          </w:p>
        </w:tc>
        <w:tc>
          <w:tcPr>
            <w:tcW w:w="824"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lowKashida"/>
              <w:rPr>
                <w:rFonts w:hint="cs"/>
                <w:i/>
                <w:iCs/>
                <w:sz w:val="22"/>
                <w:szCs w:val="22"/>
                <w:rtl/>
              </w:rPr>
            </w:pPr>
            <w:r w:rsidRPr="00B35A26">
              <w:rPr>
                <w:rFonts w:hint="cs"/>
                <w:i/>
                <w:iCs/>
                <w:sz w:val="22"/>
                <w:szCs w:val="22"/>
                <w:rtl/>
              </w:rPr>
              <w:t>المدارس الابتدائية</w:t>
            </w:r>
          </w:p>
        </w:tc>
        <w:tc>
          <w:tcPr>
            <w:tcW w:w="824"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lowKashida"/>
              <w:rPr>
                <w:rFonts w:hint="cs"/>
                <w:i/>
                <w:iCs/>
                <w:sz w:val="22"/>
                <w:szCs w:val="22"/>
                <w:rtl/>
              </w:rPr>
            </w:pPr>
            <w:r w:rsidRPr="00B35A26">
              <w:rPr>
                <w:rFonts w:hint="cs"/>
                <w:i/>
                <w:iCs/>
                <w:sz w:val="22"/>
                <w:szCs w:val="22"/>
                <w:rtl/>
              </w:rPr>
              <w:t>المدارس الثانوية العامة</w:t>
            </w:r>
          </w:p>
        </w:tc>
        <w:tc>
          <w:tcPr>
            <w:tcW w:w="721"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lowKashida"/>
              <w:rPr>
                <w:rFonts w:hint="cs"/>
                <w:i/>
                <w:iCs/>
                <w:sz w:val="22"/>
                <w:szCs w:val="22"/>
                <w:rtl/>
              </w:rPr>
            </w:pPr>
            <w:r w:rsidRPr="00B35A26">
              <w:rPr>
                <w:rFonts w:hint="cs"/>
                <w:i/>
                <w:iCs/>
                <w:sz w:val="22"/>
                <w:szCs w:val="22"/>
                <w:rtl/>
              </w:rPr>
              <w:t>المدارس الخاصة</w:t>
            </w:r>
          </w:p>
        </w:tc>
        <w:tc>
          <w:tcPr>
            <w:tcW w:w="721" w:type="dxa"/>
            <w:tcBorders>
              <w:top w:val="single" w:sz="4" w:space="0" w:color="auto"/>
              <w:bottom w:val="single" w:sz="12" w:space="0" w:color="auto"/>
            </w:tcBorders>
            <w:shd w:val="clear" w:color="auto" w:fill="auto"/>
            <w:vAlign w:val="bottom"/>
          </w:tcPr>
          <w:p w:rsidR="002D3A4A" w:rsidRPr="00BE1A71" w:rsidRDefault="002D3A4A" w:rsidP="002D3A4A">
            <w:pPr>
              <w:spacing w:before="40" w:after="40" w:line="200" w:lineRule="exact"/>
              <w:ind w:right="144"/>
              <w:jc w:val="lowKashida"/>
              <w:rPr>
                <w:rFonts w:hint="cs"/>
                <w:i/>
                <w:iCs/>
                <w:szCs w:val="20"/>
                <w:rtl/>
              </w:rPr>
            </w:pPr>
            <w:r w:rsidRPr="00BE1A71">
              <w:rPr>
                <w:rFonts w:hint="cs"/>
                <w:i/>
                <w:iCs/>
                <w:szCs w:val="20"/>
                <w:rtl/>
              </w:rPr>
              <w:t>السنة السابقة للدراسة المهنية</w:t>
            </w:r>
          </w:p>
        </w:tc>
        <w:tc>
          <w:tcPr>
            <w:tcW w:w="824"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lowKashida"/>
              <w:rPr>
                <w:rFonts w:hint="cs"/>
                <w:i/>
                <w:iCs/>
                <w:sz w:val="22"/>
                <w:szCs w:val="22"/>
                <w:rtl/>
              </w:rPr>
            </w:pPr>
            <w:r w:rsidRPr="00B35A26">
              <w:rPr>
                <w:rFonts w:hint="cs"/>
                <w:i/>
                <w:iCs/>
                <w:sz w:val="22"/>
                <w:szCs w:val="22"/>
                <w:rtl/>
              </w:rPr>
              <w:t>المدارس الثانوية الأكاديمية</w:t>
            </w:r>
          </w:p>
        </w:tc>
        <w:tc>
          <w:tcPr>
            <w:tcW w:w="824"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lowKashida"/>
              <w:rPr>
                <w:rFonts w:hint="cs"/>
                <w:i/>
                <w:iCs/>
                <w:sz w:val="22"/>
                <w:szCs w:val="22"/>
                <w:rtl/>
              </w:rPr>
            </w:pPr>
            <w:r>
              <w:rPr>
                <w:rFonts w:hint="cs"/>
                <w:i/>
                <w:iCs/>
                <w:sz w:val="22"/>
                <w:szCs w:val="22"/>
                <w:rtl/>
              </w:rPr>
              <w:t>كليات التدريب المهني</w:t>
            </w:r>
          </w:p>
        </w:tc>
        <w:tc>
          <w:tcPr>
            <w:tcW w:w="927"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lowKashida"/>
              <w:rPr>
                <w:rFonts w:hint="cs"/>
                <w:i/>
                <w:iCs/>
                <w:sz w:val="22"/>
                <w:szCs w:val="22"/>
                <w:rtl/>
              </w:rPr>
            </w:pPr>
            <w:r w:rsidRPr="00B35A26">
              <w:rPr>
                <w:rFonts w:hint="cs"/>
                <w:i/>
                <w:iCs/>
                <w:sz w:val="22"/>
                <w:szCs w:val="22"/>
                <w:rtl/>
              </w:rPr>
              <w:t>المدارس الإعدادية و/أو المدارس المهنية</w:t>
            </w:r>
          </w:p>
        </w:tc>
        <w:tc>
          <w:tcPr>
            <w:tcW w:w="927"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lowKashida"/>
              <w:rPr>
                <w:rFonts w:hint="cs"/>
                <w:i/>
                <w:iCs/>
                <w:sz w:val="22"/>
                <w:szCs w:val="22"/>
                <w:rtl/>
              </w:rPr>
            </w:pPr>
            <w:r>
              <w:rPr>
                <w:rFonts w:hint="cs"/>
                <w:i/>
                <w:iCs/>
                <w:sz w:val="22"/>
                <w:szCs w:val="22"/>
                <w:rtl/>
              </w:rPr>
              <w:t>المدارس الثانوية و/أو المدارس المهنية</w:t>
            </w:r>
          </w:p>
        </w:tc>
        <w:tc>
          <w:tcPr>
            <w:tcW w:w="824"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lowKashida"/>
              <w:rPr>
                <w:rFonts w:hint="cs"/>
                <w:i/>
                <w:iCs/>
                <w:sz w:val="22"/>
                <w:szCs w:val="22"/>
                <w:rtl/>
              </w:rPr>
            </w:pPr>
            <w:r w:rsidRPr="00B35A26">
              <w:rPr>
                <w:rFonts w:hint="cs"/>
                <w:i/>
                <w:iCs/>
                <w:sz w:val="22"/>
                <w:szCs w:val="22"/>
                <w:rtl/>
              </w:rPr>
              <w:t>الأكاديميات الفنية و/أو المهنية</w:t>
            </w:r>
          </w:p>
        </w:tc>
        <w:tc>
          <w:tcPr>
            <w:tcW w:w="721"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lowKashida"/>
              <w:rPr>
                <w:rFonts w:hint="cs"/>
                <w:i/>
                <w:iCs/>
                <w:sz w:val="22"/>
                <w:szCs w:val="22"/>
                <w:rtl/>
              </w:rPr>
            </w:pPr>
            <w:r w:rsidRPr="00B35A26">
              <w:rPr>
                <w:rFonts w:hint="cs"/>
                <w:i/>
                <w:iCs/>
                <w:sz w:val="22"/>
                <w:szCs w:val="22"/>
                <w:rtl/>
              </w:rPr>
              <w:t>كليات التربية المتوسطة</w:t>
            </w:r>
          </w:p>
        </w:tc>
        <w:tc>
          <w:tcPr>
            <w:tcW w:w="824"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lowKashida"/>
              <w:rPr>
                <w:rFonts w:hint="cs"/>
                <w:i/>
                <w:iCs/>
                <w:sz w:val="22"/>
                <w:szCs w:val="22"/>
                <w:rtl/>
              </w:rPr>
            </w:pPr>
            <w:r w:rsidRPr="00B35A26">
              <w:rPr>
                <w:rFonts w:hint="cs"/>
                <w:i/>
                <w:iCs/>
                <w:sz w:val="22"/>
                <w:szCs w:val="22"/>
                <w:rtl/>
              </w:rPr>
              <w:t>كليات التربية العليا للتدريب المهني</w:t>
            </w:r>
          </w:p>
        </w:tc>
        <w:tc>
          <w:tcPr>
            <w:tcW w:w="1016"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lowKashida"/>
              <w:rPr>
                <w:rFonts w:hint="cs"/>
                <w:i/>
                <w:iCs/>
                <w:sz w:val="22"/>
                <w:szCs w:val="22"/>
                <w:rtl/>
              </w:rPr>
            </w:pPr>
            <w:r w:rsidRPr="00B35A26">
              <w:rPr>
                <w:rFonts w:hint="cs"/>
                <w:i/>
                <w:iCs/>
                <w:sz w:val="22"/>
                <w:szCs w:val="22"/>
                <w:rtl/>
              </w:rPr>
              <w:t>أكاديميات تدريب المعلمين وكليات التربية</w:t>
            </w:r>
          </w:p>
        </w:tc>
      </w:tr>
      <w:tr w:rsidR="002D3A4A" w:rsidRPr="00B35A26">
        <w:tblPrEx>
          <w:tblCellMar>
            <w:top w:w="0" w:type="dxa"/>
            <w:bottom w:w="0" w:type="dxa"/>
          </w:tblCellMar>
        </w:tblPrEx>
        <w:trPr>
          <w:cantSplit/>
          <w:trHeight w:hRule="exact" w:val="115"/>
          <w:tblHeader/>
          <w:jc w:val="center"/>
        </w:trPr>
        <w:tc>
          <w:tcPr>
            <w:tcW w:w="1689" w:type="dxa"/>
            <w:tcBorders>
              <w:top w:val="single" w:sz="12" w:space="0" w:color="auto"/>
            </w:tcBorders>
            <w:shd w:val="clear" w:color="auto" w:fill="auto"/>
            <w:vAlign w:val="bottom"/>
          </w:tcPr>
          <w:p w:rsidR="002D3A4A" w:rsidRPr="003A24A5" w:rsidRDefault="002D3A4A" w:rsidP="002D3A4A">
            <w:pPr>
              <w:spacing w:before="40" w:after="80" w:line="240" w:lineRule="exact"/>
              <w:rPr>
                <w:rFonts w:hint="cs"/>
                <w:sz w:val="16"/>
                <w:szCs w:val="24"/>
                <w:rtl/>
              </w:rPr>
            </w:pPr>
          </w:p>
        </w:tc>
        <w:tc>
          <w:tcPr>
            <w:tcW w:w="783"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c>
          <w:tcPr>
            <w:tcW w:w="1016" w:type="dxa"/>
            <w:tcBorders>
              <w:top w:val="single" w:sz="12" w:space="0" w:color="auto"/>
            </w:tcBorders>
            <w:shd w:val="clear" w:color="auto" w:fill="auto"/>
            <w:vAlign w:val="bottom"/>
          </w:tcPr>
          <w:p w:rsidR="002D3A4A" w:rsidRPr="00B35A26" w:rsidRDefault="002D3A4A" w:rsidP="002D3A4A">
            <w:pPr>
              <w:spacing w:before="40" w:after="80" w:line="240" w:lineRule="exact"/>
              <w:ind w:right="144"/>
              <w:jc w:val="lowKashida"/>
              <w:rPr>
                <w:rFonts w:hint="cs"/>
                <w:sz w:val="16"/>
                <w:szCs w:val="24"/>
                <w:rtl/>
              </w:rPr>
            </w:pPr>
          </w:p>
        </w:tc>
      </w:tr>
      <w:tr w:rsidR="002D3A4A" w:rsidRPr="00B35A26">
        <w:tblPrEx>
          <w:tblCellMar>
            <w:top w:w="0" w:type="dxa"/>
            <w:bottom w:w="0" w:type="dxa"/>
          </w:tblCellMar>
        </w:tblPrEx>
        <w:trPr>
          <w:cantSplit/>
          <w:jc w:val="center"/>
        </w:trPr>
        <w:tc>
          <w:tcPr>
            <w:tcW w:w="1689" w:type="dxa"/>
            <w:shd w:val="clear" w:color="auto" w:fill="auto"/>
            <w:vAlign w:val="bottom"/>
          </w:tcPr>
          <w:p w:rsidR="002D3A4A" w:rsidRPr="003A24A5" w:rsidRDefault="002D3A4A" w:rsidP="002D3A4A">
            <w:pPr>
              <w:spacing w:before="40" w:after="40" w:line="240" w:lineRule="exact"/>
              <w:jc w:val="lowKashida"/>
              <w:rPr>
                <w:rFonts w:hint="cs"/>
                <w:sz w:val="16"/>
                <w:szCs w:val="24"/>
                <w:rtl/>
              </w:rPr>
            </w:pPr>
            <w:r w:rsidRPr="003A24A5">
              <w:rPr>
                <w:rFonts w:hint="cs"/>
                <w:sz w:val="16"/>
                <w:szCs w:val="24"/>
                <w:rtl/>
              </w:rPr>
              <w:t>من هم دون سن الدراسة</w:t>
            </w:r>
          </w:p>
        </w:tc>
        <w:tc>
          <w:tcPr>
            <w:tcW w:w="783" w:type="dxa"/>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498 4</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445 4</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53</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1016"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r>
      <w:tr w:rsidR="002D3A4A" w:rsidRPr="00B35A26">
        <w:tblPrEx>
          <w:tblCellMar>
            <w:top w:w="0" w:type="dxa"/>
            <w:bottom w:w="0" w:type="dxa"/>
          </w:tblCellMar>
        </w:tblPrEx>
        <w:trPr>
          <w:cantSplit/>
          <w:jc w:val="center"/>
        </w:trPr>
        <w:tc>
          <w:tcPr>
            <w:tcW w:w="1689" w:type="dxa"/>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النسبة المئوية</w:t>
            </w:r>
          </w:p>
        </w:tc>
        <w:tc>
          <w:tcPr>
            <w:tcW w:w="783" w:type="dxa"/>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100.0</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98.8</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1.2</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1016"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r>
      <w:tr w:rsidR="002D3A4A" w:rsidRPr="00B35A26">
        <w:tblPrEx>
          <w:tblCellMar>
            <w:top w:w="0" w:type="dxa"/>
            <w:bottom w:w="0" w:type="dxa"/>
          </w:tblCellMar>
        </w:tblPrEx>
        <w:trPr>
          <w:cantSplit/>
          <w:jc w:val="center"/>
        </w:trPr>
        <w:tc>
          <w:tcPr>
            <w:tcW w:w="1689" w:type="dxa"/>
            <w:shd w:val="clear" w:color="auto" w:fill="auto"/>
            <w:vAlign w:val="bottom"/>
          </w:tcPr>
          <w:p w:rsidR="002D3A4A" w:rsidRPr="003A24A5" w:rsidRDefault="002D3A4A" w:rsidP="002D3A4A">
            <w:pPr>
              <w:spacing w:before="40" w:after="40" w:line="240" w:lineRule="exact"/>
              <w:jc w:val="lowKashida"/>
              <w:rPr>
                <w:rFonts w:hint="cs"/>
                <w:sz w:val="16"/>
                <w:szCs w:val="24"/>
                <w:rtl/>
              </w:rPr>
            </w:pPr>
            <w:r w:rsidRPr="003A24A5">
              <w:rPr>
                <w:rFonts w:hint="cs"/>
                <w:sz w:val="16"/>
                <w:szCs w:val="24"/>
                <w:rtl/>
              </w:rPr>
              <w:t xml:space="preserve">الصف الأول </w:t>
            </w:r>
            <w:r w:rsidRPr="003A24A5">
              <w:rPr>
                <w:sz w:val="16"/>
                <w:szCs w:val="24"/>
                <w:rtl/>
              </w:rPr>
              <w:t>–</w:t>
            </w:r>
            <w:r w:rsidRPr="003A24A5">
              <w:rPr>
                <w:rFonts w:hint="cs"/>
                <w:sz w:val="16"/>
                <w:szCs w:val="24"/>
                <w:rtl/>
              </w:rPr>
              <w:t xml:space="preserve"> الرابع</w:t>
            </w:r>
          </w:p>
        </w:tc>
        <w:tc>
          <w:tcPr>
            <w:tcW w:w="783" w:type="dxa"/>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699 194</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827 191</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872 2</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1016"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r>
      <w:tr w:rsidR="002D3A4A" w:rsidRPr="00B35A26">
        <w:tblPrEx>
          <w:tblCellMar>
            <w:top w:w="0" w:type="dxa"/>
            <w:bottom w:w="0" w:type="dxa"/>
          </w:tblCellMar>
        </w:tblPrEx>
        <w:trPr>
          <w:cantSplit/>
          <w:jc w:val="center"/>
        </w:trPr>
        <w:tc>
          <w:tcPr>
            <w:tcW w:w="1689" w:type="dxa"/>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النسبة المئوية</w:t>
            </w:r>
          </w:p>
        </w:tc>
        <w:tc>
          <w:tcPr>
            <w:tcW w:w="783" w:type="dxa"/>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100.0</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98.5</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1.5</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1016"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r>
      <w:tr w:rsidR="002D3A4A" w:rsidRPr="00B35A26">
        <w:tblPrEx>
          <w:tblCellMar>
            <w:top w:w="0" w:type="dxa"/>
            <w:bottom w:w="0" w:type="dxa"/>
          </w:tblCellMar>
        </w:tblPrEx>
        <w:trPr>
          <w:cantSplit/>
          <w:jc w:val="center"/>
        </w:trPr>
        <w:tc>
          <w:tcPr>
            <w:tcW w:w="1689" w:type="dxa"/>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 xml:space="preserve">  الصف الأول</w:t>
            </w:r>
          </w:p>
        </w:tc>
        <w:tc>
          <w:tcPr>
            <w:tcW w:w="783" w:type="dxa"/>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079 48</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589 47</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490</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1016"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r>
      <w:tr w:rsidR="002D3A4A" w:rsidRPr="00B35A26">
        <w:tblPrEx>
          <w:tblCellMar>
            <w:top w:w="0" w:type="dxa"/>
            <w:bottom w:w="0" w:type="dxa"/>
          </w:tblCellMar>
        </w:tblPrEx>
        <w:trPr>
          <w:cantSplit/>
          <w:jc w:val="center"/>
        </w:trPr>
        <w:tc>
          <w:tcPr>
            <w:tcW w:w="1689" w:type="dxa"/>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 xml:space="preserve">    النسبة المئوية</w:t>
            </w:r>
          </w:p>
        </w:tc>
        <w:tc>
          <w:tcPr>
            <w:tcW w:w="783" w:type="dxa"/>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100.0</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99.0</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1.0</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1016"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r>
      <w:tr w:rsidR="002D3A4A" w:rsidRPr="00B35A26">
        <w:tblPrEx>
          <w:tblCellMar>
            <w:top w:w="0" w:type="dxa"/>
            <w:bottom w:w="0" w:type="dxa"/>
          </w:tblCellMar>
        </w:tblPrEx>
        <w:trPr>
          <w:cantSplit/>
          <w:jc w:val="center"/>
        </w:trPr>
        <w:tc>
          <w:tcPr>
            <w:tcW w:w="1689" w:type="dxa"/>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 xml:space="preserve">  الصف الرابع</w:t>
            </w:r>
          </w:p>
        </w:tc>
        <w:tc>
          <w:tcPr>
            <w:tcW w:w="783" w:type="dxa"/>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213 50</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263 49</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950</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1016"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r>
      <w:tr w:rsidR="002D3A4A" w:rsidRPr="00B35A26">
        <w:tblPrEx>
          <w:tblCellMar>
            <w:top w:w="0" w:type="dxa"/>
            <w:bottom w:w="0" w:type="dxa"/>
          </w:tblCellMar>
        </w:tblPrEx>
        <w:trPr>
          <w:cantSplit/>
          <w:jc w:val="center"/>
        </w:trPr>
        <w:tc>
          <w:tcPr>
            <w:tcW w:w="1689" w:type="dxa"/>
            <w:tcBorders>
              <w:bottom w:val="single" w:sz="4" w:space="0" w:color="auto"/>
            </w:tcBorders>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 xml:space="preserve">    النسبة المئوية</w:t>
            </w:r>
          </w:p>
        </w:tc>
        <w:tc>
          <w:tcPr>
            <w:tcW w:w="783" w:type="dxa"/>
            <w:tcBorders>
              <w:bottom w:val="single" w:sz="4" w:space="0" w:color="auto"/>
            </w:tcBorders>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100.0</w:t>
            </w:r>
          </w:p>
        </w:tc>
        <w:tc>
          <w:tcPr>
            <w:tcW w:w="824"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98.1</w:t>
            </w:r>
          </w:p>
        </w:tc>
        <w:tc>
          <w:tcPr>
            <w:tcW w:w="824"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1.9</w:t>
            </w:r>
          </w:p>
        </w:tc>
        <w:tc>
          <w:tcPr>
            <w:tcW w:w="721"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721"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1016"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r>
      <w:tr w:rsidR="002D3A4A" w:rsidRPr="00B35A26">
        <w:tblPrEx>
          <w:tblCellMar>
            <w:top w:w="0" w:type="dxa"/>
            <w:bottom w:w="0" w:type="dxa"/>
          </w:tblCellMar>
        </w:tblPrEx>
        <w:trPr>
          <w:cantSplit/>
          <w:jc w:val="center"/>
        </w:trPr>
        <w:tc>
          <w:tcPr>
            <w:tcW w:w="1689" w:type="dxa"/>
            <w:tcBorders>
              <w:top w:val="single" w:sz="4" w:space="0" w:color="auto"/>
            </w:tcBorders>
            <w:shd w:val="clear" w:color="auto" w:fill="auto"/>
            <w:vAlign w:val="bottom"/>
          </w:tcPr>
          <w:p w:rsidR="002D3A4A" w:rsidRPr="003A24A5" w:rsidRDefault="002D3A4A" w:rsidP="002D3A4A">
            <w:pPr>
              <w:spacing w:before="40" w:after="40" w:line="240" w:lineRule="exact"/>
              <w:jc w:val="lowKashida"/>
              <w:rPr>
                <w:rFonts w:hint="cs"/>
                <w:sz w:val="16"/>
                <w:szCs w:val="24"/>
                <w:rtl/>
              </w:rPr>
            </w:pPr>
            <w:r w:rsidRPr="003A24A5">
              <w:rPr>
                <w:rFonts w:hint="cs"/>
                <w:sz w:val="16"/>
                <w:szCs w:val="24"/>
                <w:rtl/>
              </w:rPr>
              <w:t xml:space="preserve">الصف الخامس </w:t>
            </w:r>
            <w:r w:rsidRPr="003A24A5">
              <w:rPr>
                <w:sz w:val="16"/>
                <w:szCs w:val="24"/>
                <w:rtl/>
              </w:rPr>
              <w:t>–</w:t>
            </w:r>
            <w:r w:rsidRPr="003A24A5">
              <w:rPr>
                <w:rFonts w:hint="cs"/>
                <w:sz w:val="16"/>
                <w:szCs w:val="24"/>
                <w:rtl/>
              </w:rPr>
              <w:t xml:space="preserve"> الثامن</w:t>
            </w:r>
          </w:p>
        </w:tc>
        <w:tc>
          <w:tcPr>
            <w:tcW w:w="783" w:type="dxa"/>
            <w:tcBorders>
              <w:top w:val="single" w:sz="4" w:space="0" w:color="auto"/>
            </w:tcBorders>
            <w:shd w:val="clear" w:color="auto" w:fill="D9D9D9"/>
            <w:vAlign w:val="bottom"/>
          </w:tcPr>
          <w:p w:rsidR="002D3A4A" w:rsidRPr="00C35536" w:rsidRDefault="002D3A4A" w:rsidP="002D3A4A">
            <w:pPr>
              <w:spacing w:before="40" w:after="40" w:line="240" w:lineRule="exact"/>
              <w:ind w:right="144"/>
              <w:jc w:val="lowKashida"/>
              <w:rPr>
                <w:rFonts w:hint="cs"/>
                <w:b/>
                <w:bCs/>
                <w:sz w:val="18"/>
                <w:szCs w:val="18"/>
                <w:rtl/>
              </w:rPr>
            </w:pPr>
            <w:r w:rsidRPr="00C35536">
              <w:rPr>
                <w:rFonts w:hint="cs"/>
                <w:b/>
                <w:bCs/>
                <w:sz w:val="18"/>
                <w:szCs w:val="18"/>
                <w:rtl/>
              </w:rPr>
              <w:t>442 200</w:t>
            </w:r>
          </w:p>
        </w:tc>
        <w:tc>
          <w:tcPr>
            <w:tcW w:w="824" w:type="dxa"/>
            <w:tcBorders>
              <w:top w:val="single" w:sz="4" w:space="0" w:color="auto"/>
            </w:tcBorders>
            <w:shd w:val="clear" w:color="auto" w:fill="auto"/>
            <w:vAlign w:val="bottom"/>
          </w:tcPr>
          <w:p w:rsidR="002D3A4A" w:rsidRPr="00C35536" w:rsidRDefault="002D3A4A" w:rsidP="002D3A4A">
            <w:pPr>
              <w:spacing w:before="40" w:after="40" w:line="240" w:lineRule="exact"/>
              <w:ind w:right="144"/>
              <w:jc w:val="lowKashida"/>
              <w:rPr>
                <w:rFonts w:hint="cs"/>
                <w:b/>
                <w:bCs/>
                <w:sz w:val="18"/>
                <w:szCs w:val="18"/>
                <w:rtl/>
              </w:rPr>
            </w:pPr>
            <w:r w:rsidRPr="00C35536">
              <w:rPr>
                <w:rFonts w:hint="cs"/>
                <w:b/>
                <w:bCs/>
                <w:sz w:val="18"/>
                <w:szCs w:val="18"/>
                <w:rtl/>
              </w:rPr>
              <w:t>35</w:t>
            </w:r>
          </w:p>
        </w:tc>
        <w:tc>
          <w:tcPr>
            <w:tcW w:w="824" w:type="dxa"/>
            <w:tcBorders>
              <w:top w:val="single" w:sz="4" w:space="0" w:color="auto"/>
            </w:tcBorders>
            <w:shd w:val="clear" w:color="auto" w:fill="auto"/>
            <w:vAlign w:val="bottom"/>
          </w:tcPr>
          <w:p w:rsidR="002D3A4A" w:rsidRPr="00C35536" w:rsidRDefault="002D3A4A" w:rsidP="002D3A4A">
            <w:pPr>
              <w:spacing w:before="40" w:after="40" w:line="240" w:lineRule="exact"/>
              <w:ind w:right="144"/>
              <w:jc w:val="lowKashida"/>
              <w:rPr>
                <w:rFonts w:hint="cs"/>
                <w:b/>
                <w:bCs/>
                <w:sz w:val="18"/>
                <w:szCs w:val="18"/>
                <w:rtl/>
              </w:rPr>
            </w:pPr>
            <w:r w:rsidRPr="00C35536">
              <w:rPr>
                <w:rFonts w:hint="cs"/>
                <w:b/>
                <w:bCs/>
                <w:sz w:val="18"/>
                <w:szCs w:val="18"/>
                <w:rtl/>
              </w:rPr>
              <w:t>852 140</w:t>
            </w:r>
          </w:p>
        </w:tc>
        <w:tc>
          <w:tcPr>
            <w:tcW w:w="721" w:type="dxa"/>
            <w:tcBorders>
              <w:top w:val="single" w:sz="4" w:space="0" w:color="auto"/>
            </w:tcBorders>
            <w:shd w:val="clear" w:color="auto" w:fill="auto"/>
            <w:vAlign w:val="bottom"/>
          </w:tcPr>
          <w:p w:rsidR="002D3A4A" w:rsidRPr="00C35536" w:rsidRDefault="002D3A4A" w:rsidP="002D3A4A">
            <w:pPr>
              <w:spacing w:before="40" w:after="40" w:line="240" w:lineRule="exact"/>
              <w:ind w:right="144"/>
              <w:jc w:val="lowKashida"/>
              <w:rPr>
                <w:rFonts w:hint="cs"/>
                <w:b/>
                <w:bCs/>
                <w:sz w:val="18"/>
                <w:szCs w:val="18"/>
                <w:rtl/>
              </w:rPr>
            </w:pPr>
            <w:r w:rsidRPr="00C35536">
              <w:rPr>
                <w:rFonts w:hint="cs"/>
                <w:b/>
                <w:bCs/>
                <w:sz w:val="18"/>
                <w:szCs w:val="18"/>
                <w:rtl/>
              </w:rPr>
              <w:t>830 4</w:t>
            </w:r>
          </w:p>
        </w:tc>
        <w:tc>
          <w:tcPr>
            <w:tcW w:w="721" w:type="dxa"/>
            <w:tcBorders>
              <w:top w:val="single" w:sz="4" w:space="0" w:color="auto"/>
            </w:tcBorders>
            <w:shd w:val="clear" w:color="auto" w:fill="auto"/>
            <w:vAlign w:val="bottom"/>
          </w:tcPr>
          <w:p w:rsidR="002D3A4A" w:rsidRPr="00C35536" w:rsidRDefault="002D3A4A" w:rsidP="002D3A4A">
            <w:pPr>
              <w:spacing w:before="40" w:after="40" w:line="240" w:lineRule="exact"/>
              <w:ind w:right="144"/>
              <w:jc w:val="lowKashida"/>
              <w:rPr>
                <w:rFonts w:hint="cs"/>
                <w:b/>
                <w:bCs/>
                <w:sz w:val="18"/>
                <w:szCs w:val="18"/>
                <w:rtl/>
              </w:rPr>
            </w:pPr>
            <w:r w:rsidRPr="00C35536">
              <w:rPr>
                <w:rFonts w:hint="cs"/>
                <w:b/>
                <w:bCs/>
                <w:sz w:val="18"/>
                <w:szCs w:val="18"/>
                <w:rtl/>
              </w:rPr>
              <w:t>-</w:t>
            </w:r>
          </w:p>
        </w:tc>
        <w:tc>
          <w:tcPr>
            <w:tcW w:w="824" w:type="dxa"/>
            <w:tcBorders>
              <w:top w:val="single" w:sz="4" w:space="0" w:color="auto"/>
            </w:tcBorders>
            <w:shd w:val="clear" w:color="auto" w:fill="auto"/>
            <w:vAlign w:val="bottom"/>
          </w:tcPr>
          <w:p w:rsidR="002D3A4A" w:rsidRPr="00C35536" w:rsidRDefault="002D3A4A" w:rsidP="002D3A4A">
            <w:pPr>
              <w:spacing w:before="40" w:after="40" w:line="240" w:lineRule="exact"/>
              <w:ind w:right="144"/>
              <w:jc w:val="lowKashida"/>
              <w:rPr>
                <w:rFonts w:hint="cs"/>
                <w:b/>
                <w:bCs/>
                <w:sz w:val="18"/>
                <w:szCs w:val="18"/>
                <w:rtl/>
              </w:rPr>
            </w:pPr>
            <w:r w:rsidRPr="00C35536">
              <w:rPr>
                <w:rFonts w:hint="cs"/>
                <w:b/>
                <w:bCs/>
                <w:sz w:val="18"/>
                <w:szCs w:val="18"/>
                <w:rtl/>
              </w:rPr>
              <w:t>336 54</w:t>
            </w:r>
          </w:p>
        </w:tc>
        <w:tc>
          <w:tcPr>
            <w:tcW w:w="824" w:type="dxa"/>
            <w:tcBorders>
              <w:top w:val="single" w:sz="4" w:space="0" w:color="auto"/>
            </w:tcBorders>
            <w:shd w:val="clear" w:color="auto" w:fill="auto"/>
            <w:vAlign w:val="bottom"/>
          </w:tcPr>
          <w:p w:rsidR="002D3A4A" w:rsidRPr="00C35536" w:rsidRDefault="002D3A4A" w:rsidP="002D3A4A">
            <w:pPr>
              <w:spacing w:before="40" w:after="40" w:line="240" w:lineRule="exact"/>
              <w:ind w:right="144"/>
              <w:jc w:val="lowKashida"/>
              <w:rPr>
                <w:rFonts w:hint="cs"/>
                <w:b/>
                <w:bCs/>
                <w:sz w:val="18"/>
                <w:szCs w:val="18"/>
                <w:rtl/>
              </w:rPr>
            </w:pPr>
            <w:r w:rsidRPr="00C35536">
              <w:rPr>
                <w:rFonts w:hint="cs"/>
                <w:b/>
                <w:bCs/>
                <w:sz w:val="18"/>
                <w:szCs w:val="18"/>
                <w:rtl/>
              </w:rPr>
              <w:t>-</w:t>
            </w:r>
          </w:p>
        </w:tc>
        <w:tc>
          <w:tcPr>
            <w:tcW w:w="927" w:type="dxa"/>
            <w:tcBorders>
              <w:top w:val="single" w:sz="4" w:space="0" w:color="auto"/>
            </w:tcBorders>
            <w:shd w:val="clear" w:color="auto" w:fill="auto"/>
            <w:vAlign w:val="bottom"/>
          </w:tcPr>
          <w:p w:rsidR="002D3A4A" w:rsidRPr="00C35536" w:rsidRDefault="002D3A4A" w:rsidP="002D3A4A">
            <w:pPr>
              <w:spacing w:before="40" w:after="40" w:line="240" w:lineRule="exact"/>
              <w:ind w:right="144"/>
              <w:jc w:val="lowKashida"/>
              <w:rPr>
                <w:rFonts w:hint="cs"/>
                <w:b/>
                <w:bCs/>
                <w:sz w:val="18"/>
                <w:szCs w:val="18"/>
                <w:rtl/>
              </w:rPr>
            </w:pPr>
            <w:r w:rsidRPr="00C35536">
              <w:rPr>
                <w:rFonts w:hint="cs"/>
                <w:b/>
                <w:bCs/>
                <w:sz w:val="18"/>
                <w:szCs w:val="18"/>
                <w:rtl/>
              </w:rPr>
              <w:t>389</w:t>
            </w:r>
          </w:p>
        </w:tc>
        <w:tc>
          <w:tcPr>
            <w:tcW w:w="927" w:type="dxa"/>
            <w:tcBorders>
              <w:top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tcBorders>
              <w:top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721" w:type="dxa"/>
            <w:tcBorders>
              <w:top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tcBorders>
              <w:top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1016" w:type="dxa"/>
            <w:tcBorders>
              <w:top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r>
      <w:tr w:rsidR="002D3A4A" w:rsidRPr="00B35A26">
        <w:tblPrEx>
          <w:tblCellMar>
            <w:top w:w="0" w:type="dxa"/>
            <w:bottom w:w="0" w:type="dxa"/>
          </w:tblCellMar>
        </w:tblPrEx>
        <w:trPr>
          <w:cantSplit/>
          <w:jc w:val="center"/>
        </w:trPr>
        <w:tc>
          <w:tcPr>
            <w:tcW w:w="1689" w:type="dxa"/>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النسبة المئوية</w:t>
            </w:r>
          </w:p>
        </w:tc>
        <w:tc>
          <w:tcPr>
            <w:tcW w:w="783" w:type="dxa"/>
            <w:shd w:val="clear" w:color="auto" w:fill="D9D9D9"/>
            <w:vAlign w:val="bottom"/>
          </w:tcPr>
          <w:p w:rsidR="002D3A4A" w:rsidRPr="00BE1A71" w:rsidRDefault="002D3A4A" w:rsidP="002D3A4A">
            <w:pPr>
              <w:spacing w:before="40" w:after="40" w:line="240" w:lineRule="exact"/>
              <w:ind w:right="144"/>
              <w:jc w:val="lowKashida"/>
              <w:rPr>
                <w:rFonts w:hint="cs"/>
                <w:b/>
                <w:bCs/>
                <w:szCs w:val="20"/>
                <w:rtl/>
              </w:rPr>
            </w:pPr>
            <w:r>
              <w:rPr>
                <w:rFonts w:hint="cs"/>
                <w:b/>
                <w:bCs/>
                <w:szCs w:val="20"/>
                <w:rtl/>
              </w:rPr>
              <w:t>100.0</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b/>
                <w:bCs/>
                <w:szCs w:val="20"/>
                <w:rtl/>
              </w:rPr>
            </w:pPr>
            <w:r>
              <w:rPr>
                <w:rFonts w:hint="cs"/>
                <w:b/>
                <w:bCs/>
                <w:szCs w:val="20"/>
                <w:rtl/>
              </w:rPr>
              <w:t>0.0</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b/>
                <w:bCs/>
                <w:szCs w:val="20"/>
                <w:rtl/>
              </w:rPr>
            </w:pPr>
            <w:r>
              <w:rPr>
                <w:rFonts w:hint="cs"/>
                <w:b/>
                <w:bCs/>
                <w:szCs w:val="20"/>
                <w:rtl/>
              </w:rPr>
              <w:t>70.3</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b/>
                <w:bCs/>
                <w:szCs w:val="20"/>
                <w:rtl/>
              </w:rPr>
            </w:pPr>
            <w:r>
              <w:rPr>
                <w:rFonts w:hint="cs"/>
                <w:b/>
                <w:bCs/>
                <w:szCs w:val="20"/>
                <w:rtl/>
              </w:rPr>
              <w:t>2.4</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b/>
                <w:bCs/>
                <w:szCs w:val="20"/>
                <w:rtl/>
              </w:rPr>
            </w:pPr>
            <w:r>
              <w:rPr>
                <w:rFonts w:hint="cs"/>
                <w:b/>
                <w:b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b/>
                <w:bCs/>
                <w:szCs w:val="20"/>
                <w:rtl/>
              </w:rPr>
            </w:pPr>
            <w:r>
              <w:rPr>
                <w:rFonts w:hint="cs"/>
                <w:b/>
                <w:bCs/>
                <w:szCs w:val="20"/>
                <w:rtl/>
              </w:rPr>
              <w:t>27.1</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b/>
                <w:bCs/>
                <w:szCs w:val="20"/>
                <w:rtl/>
              </w:rPr>
            </w:pPr>
            <w:r>
              <w:rPr>
                <w:rFonts w:hint="cs"/>
                <w:b/>
                <w:b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b/>
                <w:bCs/>
                <w:szCs w:val="20"/>
                <w:rtl/>
              </w:rPr>
            </w:pPr>
            <w:r>
              <w:rPr>
                <w:rFonts w:hint="cs"/>
                <w:b/>
                <w:bCs/>
                <w:szCs w:val="20"/>
                <w:rtl/>
              </w:rPr>
              <w:t>0.2</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1016"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r>
      <w:tr w:rsidR="002D3A4A" w:rsidRPr="00B35A26">
        <w:tblPrEx>
          <w:tblCellMar>
            <w:top w:w="0" w:type="dxa"/>
            <w:bottom w:w="0" w:type="dxa"/>
          </w:tblCellMar>
        </w:tblPrEx>
        <w:trPr>
          <w:cantSplit/>
          <w:jc w:val="center"/>
        </w:trPr>
        <w:tc>
          <w:tcPr>
            <w:tcW w:w="1689" w:type="dxa"/>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 xml:space="preserve">  الصف الخامس</w:t>
            </w:r>
          </w:p>
        </w:tc>
        <w:tc>
          <w:tcPr>
            <w:tcW w:w="783" w:type="dxa"/>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682 50</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8</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072 35</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995</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607 14</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1016"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r>
      <w:tr w:rsidR="002D3A4A" w:rsidRPr="00B35A26">
        <w:tblPrEx>
          <w:tblCellMar>
            <w:top w:w="0" w:type="dxa"/>
            <w:bottom w:w="0" w:type="dxa"/>
          </w:tblCellMar>
        </w:tblPrEx>
        <w:trPr>
          <w:cantSplit/>
          <w:jc w:val="center"/>
        </w:trPr>
        <w:tc>
          <w:tcPr>
            <w:tcW w:w="1689" w:type="dxa"/>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 xml:space="preserve">    النسبة المئوية</w:t>
            </w:r>
          </w:p>
        </w:tc>
        <w:tc>
          <w:tcPr>
            <w:tcW w:w="783" w:type="dxa"/>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100.0</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0.0</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69.2</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2.0</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28.8</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1016"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r>
      <w:tr w:rsidR="002D3A4A" w:rsidRPr="00B35A26">
        <w:tblPrEx>
          <w:tblCellMar>
            <w:top w:w="0" w:type="dxa"/>
            <w:bottom w:w="0" w:type="dxa"/>
          </w:tblCellMar>
        </w:tblPrEx>
        <w:trPr>
          <w:cantSplit/>
          <w:jc w:val="center"/>
        </w:trPr>
        <w:tc>
          <w:tcPr>
            <w:tcW w:w="1689" w:type="dxa"/>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 xml:space="preserve">  الصف الثامن</w:t>
            </w:r>
          </w:p>
        </w:tc>
        <w:tc>
          <w:tcPr>
            <w:tcW w:w="783" w:type="dxa"/>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814 49</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10</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227 35</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429 1</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759 12</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389</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1016"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r>
      <w:tr w:rsidR="002D3A4A" w:rsidRPr="00B35A26">
        <w:tblPrEx>
          <w:tblCellMar>
            <w:top w:w="0" w:type="dxa"/>
            <w:bottom w:w="0" w:type="dxa"/>
          </w:tblCellMar>
        </w:tblPrEx>
        <w:trPr>
          <w:cantSplit/>
          <w:jc w:val="center"/>
        </w:trPr>
        <w:tc>
          <w:tcPr>
            <w:tcW w:w="1689" w:type="dxa"/>
            <w:tcBorders>
              <w:bottom w:val="single" w:sz="4" w:space="0" w:color="auto"/>
            </w:tcBorders>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 xml:space="preserve">    النسبة المئوية</w:t>
            </w:r>
          </w:p>
        </w:tc>
        <w:tc>
          <w:tcPr>
            <w:tcW w:w="783" w:type="dxa"/>
            <w:tcBorders>
              <w:bottom w:val="single" w:sz="4" w:space="0" w:color="auto"/>
            </w:tcBorders>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100.0</w:t>
            </w:r>
          </w:p>
        </w:tc>
        <w:tc>
          <w:tcPr>
            <w:tcW w:w="824"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0.0</w:t>
            </w:r>
          </w:p>
        </w:tc>
        <w:tc>
          <w:tcPr>
            <w:tcW w:w="824"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70.7</w:t>
            </w:r>
          </w:p>
        </w:tc>
        <w:tc>
          <w:tcPr>
            <w:tcW w:w="721"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2.9</w:t>
            </w:r>
          </w:p>
        </w:tc>
        <w:tc>
          <w:tcPr>
            <w:tcW w:w="721"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25.6</w:t>
            </w:r>
          </w:p>
        </w:tc>
        <w:tc>
          <w:tcPr>
            <w:tcW w:w="824"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927"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0.8</w:t>
            </w:r>
          </w:p>
        </w:tc>
        <w:tc>
          <w:tcPr>
            <w:tcW w:w="927"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721"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824"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c>
          <w:tcPr>
            <w:tcW w:w="1016"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sidRPr="00BE1A71">
              <w:rPr>
                <w:rFonts w:hint="cs"/>
                <w:szCs w:val="20"/>
                <w:rtl/>
              </w:rPr>
              <w:t>-</w:t>
            </w:r>
          </w:p>
        </w:tc>
      </w:tr>
      <w:tr w:rsidR="002D3A4A" w:rsidRPr="00B35A26">
        <w:tblPrEx>
          <w:tblCellMar>
            <w:top w:w="0" w:type="dxa"/>
            <w:bottom w:w="0" w:type="dxa"/>
          </w:tblCellMar>
        </w:tblPrEx>
        <w:trPr>
          <w:cantSplit/>
          <w:jc w:val="center"/>
        </w:trPr>
        <w:tc>
          <w:tcPr>
            <w:tcW w:w="1689" w:type="dxa"/>
            <w:tcBorders>
              <w:top w:val="single" w:sz="4" w:space="0" w:color="auto"/>
            </w:tcBorders>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من الصف التاسع</w:t>
            </w:r>
          </w:p>
        </w:tc>
        <w:tc>
          <w:tcPr>
            <w:tcW w:w="783" w:type="dxa"/>
            <w:tcBorders>
              <w:top w:val="single" w:sz="4" w:space="0" w:color="auto"/>
            </w:tcBorders>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007 227</w:t>
            </w:r>
          </w:p>
        </w:tc>
        <w:tc>
          <w:tcPr>
            <w:tcW w:w="824" w:type="dxa"/>
            <w:tcBorders>
              <w:top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tcBorders>
              <w:top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tcBorders>
              <w:top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850</w:t>
            </w:r>
          </w:p>
        </w:tc>
        <w:tc>
          <w:tcPr>
            <w:tcW w:w="721" w:type="dxa"/>
            <w:tcBorders>
              <w:top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381 13</w:t>
            </w:r>
          </w:p>
        </w:tc>
        <w:tc>
          <w:tcPr>
            <w:tcW w:w="824" w:type="dxa"/>
            <w:tcBorders>
              <w:top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749 32</w:t>
            </w:r>
          </w:p>
        </w:tc>
        <w:tc>
          <w:tcPr>
            <w:tcW w:w="824" w:type="dxa"/>
            <w:tcBorders>
              <w:top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712 86</w:t>
            </w:r>
          </w:p>
        </w:tc>
        <w:tc>
          <w:tcPr>
            <w:tcW w:w="927" w:type="dxa"/>
            <w:tcBorders>
              <w:top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824 23</w:t>
            </w:r>
          </w:p>
        </w:tc>
        <w:tc>
          <w:tcPr>
            <w:tcW w:w="927" w:type="dxa"/>
            <w:tcBorders>
              <w:top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358 63</w:t>
            </w:r>
          </w:p>
        </w:tc>
        <w:tc>
          <w:tcPr>
            <w:tcW w:w="824" w:type="dxa"/>
            <w:tcBorders>
              <w:top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185</w:t>
            </w:r>
          </w:p>
        </w:tc>
        <w:tc>
          <w:tcPr>
            <w:tcW w:w="721" w:type="dxa"/>
            <w:tcBorders>
              <w:top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726 2</w:t>
            </w:r>
          </w:p>
        </w:tc>
        <w:tc>
          <w:tcPr>
            <w:tcW w:w="824" w:type="dxa"/>
            <w:tcBorders>
              <w:top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362</w:t>
            </w:r>
          </w:p>
        </w:tc>
        <w:tc>
          <w:tcPr>
            <w:tcW w:w="1016" w:type="dxa"/>
            <w:tcBorders>
              <w:top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860 2</w:t>
            </w:r>
          </w:p>
        </w:tc>
      </w:tr>
      <w:tr w:rsidR="002D3A4A" w:rsidRPr="00B35A26">
        <w:tblPrEx>
          <w:tblCellMar>
            <w:top w:w="0" w:type="dxa"/>
            <w:bottom w:w="0" w:type="dxa"/>
          </w:tblCellMar>
        </w:tblPrEx>
        <w:trPr>
          <w:cantSplit/>
          <w:jc w:val="center"/>
        </w:trPr>
        <w:tc>
          <w:tcPr>
            <w:tcW w:w="1689" w:type="dxa"/>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النسبة المئوية</w:t>
            </w:r>
          </w:p>
        </w:tc>
        <w:tc>
          <w:tcPr>
            <w:tcW w:w="783" w:type="dxa"/>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100.0</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0.4</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5.9</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14.4</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38.2</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10.5</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27.9</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0.1</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1.2</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0.2</w:t>
            </w:r>
          </w:p>
        </w:tc>
        <w:tc>
          <w:tcPr>
            <w:tcW w:w="1016"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1.3</w:t>
            </w:r>
          </w:p>
        </w:tc>
      </w:tr>
      <w:tr w:rsidR="002D3A4A" w:rsidRPr="00B35A26">
        <w:tblPrEx>
          <w:tblCellMar>
            <w:top w:w="0" w:type="dxa"/>
            <w:bottom w:w="0" w:type="dxa"/>
          </w:tblCellMar>
        </w:tblPrEx>
        <w:trPr>
          <w:cantSplit/>
          <w:jc w:val="center"/>
        </w:trPr>
        <w:tc>
          <w:tcPr>
            <w:tcW w:w="1689" w:type="dxa"/>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 xml:space="preserve">  الصف التاسع</w:t>
            </w:r>
          </w:p>
        </w:tc>
        <w:tc>
          <w:tcPr>
            <w:tcW w:w="783" w:type="dxa"/>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811 47</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850</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381 13</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701 9</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161 26</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337 5</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371 12</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431 2</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53</w:t>
            </w:r>
          </w:p>
        </w:tc>
        <w:tc>
          <w:tcPr>
            <w:tcW w:w="1016"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12</w:t>
            </w:r>
          </w:p>
        </w:tc>
      </w:tr>
      <w:tr w:rsidR="002D3A4A" w:rsidRPr="00B35A26">
        <w:tblPrEx>
          <w:tblCellMar>
            <w:top w:w="0" w:type="dxa"/>
            <w:bottom w:w="0" w:type="dxa"/>
          </w:tblCellMar>
        </w:tblPrEx>
        <w:trPr>
          <w:cantSplit/>
          <w:jc w:val="center"/>
        </w:trPr>
        <w:tc>
          <w:tcPr>
            <w:tcW w:w="1689" w:type="dxa"/>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 xml:space="preserve">    النسبة المئوية</w:t>
            </w:r>
          </w:p>
        </w:tc>
        <w:tc>
          <w:tcPr>
            <w:tcW w:w="783" w:type="dxa"/>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100.0</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1.8</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28.0</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20.3</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18.0</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31.8</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0.1</w:t>
            </w:r>
          </w:p>
        </w:tc>
        <w:tc>
          <w:tcPr>
            <w:tcW w:w="1016"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r>
      <w:tr w:rsidR="002D3A4A" w:rsidRPr="00B35A26">
        <w:tblPrEx>
          <w:tblCellMar>
            <w:top w:w="0" w:type="dxa"/>
            <w:bottom w:w="0" w:type="dxa"/>
          </w:tblCellMar>
        </w:tblPrEx>
        <w:trPr>
          <w:cantSplit/>
          <w:jc w:val="center"/>
        </w:trPr>
        <w:tc>
          <w:tcPr>
            <w:tcW w:w="1689" w:type="dxa"/>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 xml:space="preserve">  الصف العاشر</w:t>
            </w:r>
          </w:p>
        </w:tc>
        <w:tc>
          <w:tcPr>
            <w:tcW w:w="783" w:type="dxa"/>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459 54</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094 8</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161 26</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337 5</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371 12</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431 2</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53</w:t>
            </w:r>
          </w:p>
        </w:tc>
        <w:tc>
          <w:tcPr>
            <w:tcW w:w="1016"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12</w:t>
            </w:r>
          </w:p>
        </w:tc>
      </w:tr>
      <w:tr w:rsidR="002D3A4A" w:rsidRPr="00B35A26">
        <w:tblPrEx>
          <w:tblCellMar>
            <w:top w:w="0" w:type="dxa"/>
            <w:bottom w:w="0" w:type="dxa"/>
          </w:tblCellMar>
        </w:tblPrEx>
        <w:trPr>
          <w:cantSplit/>
          <w:jc w:val="center"/>
        </w:trPr>
        <w:tc>
          <w:tcPr>
            <w:tcW w:w="1689" w:type="dxa"/>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 xml:space="preserve">    النسبة المئوية</w:t>
            </w:r>
          </w:p>
        </w:tc>
        <w:tc>
          <w:tcPr>
            <w:tcW w:w="783" w:type="dxa"/>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100.0</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14.9</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48.0</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9.8</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22.7</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4.5</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0.1</w:t>
            </w:r>
          </w:p>
        </w:tc>
        <w:tc>
          <w:tcPr>
            <w:tcW w:w="1016"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0.0</w:t>
            </w:r>
          </w:p>
        </w:tc>
      </w:tr>
      <w:tr w:rsidR="002D3A4A" w:rsidRPr="00B35A26">
        <w:tblPrEx>
          <w:tblCellMar>
            <w:top w:w="0" w:type="dxa"/>
            <w:bottom w:w="0" w:type="dxa"/>
          </w:tblCellMar>
        </w:tblPrEx>
        <w:trPr>
          <w:cantSplit/>
          <w:jc w:val="center"/>
        </w:trPr>
        <w:tc>
          <w:tcPr>
            <w:tcW w:w="1689" w:type="dxa"/>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 xml:space="preserve">  الصف الثاني عشر</w:t>
            </w:r>
          </w:p>
        </w:tc>
        <w:tc>
          <w:tcPr>
            <w:tcW w:w="783" w:type="dxa"/>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920 44</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075 7</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572 24</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715 1</w:t>
            </w:r>
          </w:p>
        </w:tc>
        <w:tc>
          <w:tcPr>
            <w:tcW w:w="927"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496 11</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11</w:t>
            </w:r>
          </w:p>
        </w:tc>
        <w:tc>
          <w:tcPr>
            <w:tcW w:w="721"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43</w:t>
            </w:r>
          </w:p>
        </w:tc>
        <w:tc>
          <w:tcPr>
            <w:tcW w:w="1016" w:type="dxa"/>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8</w:t>
            </w:r>
          </w:p>
        </w:tc>
      </w:tr>
      <w:tr w:rsidR="002D3A4A" w:rsidRPr="00B35A26">
        <w:tblPrEx>
          <w:tblCellMar>
            <w:top w:w="0" w:type="dxa"/>
            <w:bottom w:w="0" w:type="dxa"/>
          </w:tblCellMar>
        </w:tblPrEx>
        <w:trPr>
          <w:cantSplit/>
          <w:jc w:val="center"/>
        </w:trPr>
        <w:tc>
          <w:tcPr>
            <w:tcW w:w="1689" w:type="dxa"/>
            <w:tcBorders>
              <w:bottom w:val="single" w:sz="4" w:space="0" w:color="auto"/>
            </w:tcBorders>
            <w:shd w:val="clear" w:color="auto" w:fill="auto"/>
            <w:vAlign w:val="bottom"/>
          </w:tcPr>
          <w:p w:rsidR="002D3A4A" w:rsidRPr="003A24A5" w:rsidRDefault="002D3A4A" w:rsidP="002D3A4A">
            <w:pPr>
              <w:spacing w:before="40" w:after="40" w:line="240" w:lineRule="exact"/>
              <w:rPr>
                <w:rFonts w:hint="cs"/>
                <w:sz w:val="16"/>
                <w:szCs w:val="24"/>
                <w:rtl/>
              </w:rPr>
            </w:pPr>
            <w:r w:rsidRPr="003A24A5">
              <w:rPr>
                <w:rFonts w:hint="cs"/>
                <w:sz w:val="16"/>
                <w:szCs w:val="24"/>
                <w:rtl/>
              </w:rPr>
              <w:t xml:space="preserve">    النسبة المئوية</w:t>
            </w:r>
          </w:p>
        </w:tc>
        <w:tc>
          <w:tcPr>
            <w:tcW w:w="783" w:type="dxa"/>
            <w:tcBorders>
              <w:bottom w:val="single" w:sz="4" w:space="0" w:color="auto"/>
            </w:tcBorders>
            <w:shd w:val="clear" w:color="auto" w:fill="D9D9D9"/>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100.0</w:t>
            </w:r>
          </w:p>
        </w:tc>
        <w:tc>
          <w:tcPr>
            <w:tcW w:w="824"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721"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15.8</w:t>
            </w:r>
          </w:p>
        </w:tc>
        <w:tc>
          <w:tcPr>
            <w:tcW w:w="824"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54.7</w:t>
            </w:r>
          </w:p>
        </w:tc>
        <w:tc>
          <w:tcPr>
            <w:tcW w:w="927"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3.8</w:t>
            </w:r>
          </w:p>
        </w:tc>
        <w:tc>
          <w:tcPr>
            <w:tcW w:w="927"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25.6</w:t>
            </w:r>
          </w:p>
        </w:tc>
        <w:tc>
          <w:tcPr>
            <w:tcW w:w="824"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0.0</w:t>
            </w:r>
          </w:p>
        </w:tc>
        <w:tc>
          <w:tcPr>
            <w:tcW w:w="721"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w:t>
            </w:r>
          </w:p>
        </w:tc>
        <w:tc>
          <w:tcPr>
            <w:tcW w:w="824"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0.1</w:t>
            </w:r>
          </w:p>
        </w:tc>
        <w:tc>
          <w:tcPr>
            <w:tcW w:w="1016" w:type="dxa"/>
            <w:tcBorders>
              <w:bottom w:val="single" w:sz="4" w:space="0" w:color="auto"/>
            </w:tcBorders>
            <w:shd w:val="clear" w:color="auto" w:fill="auto"/>
            <w:vAlign w:val="bottom"/>
          </w:tcPr>
          <w:p w:rsidR="002D3A4A" w:rsidRPr="00BE1A71" w:rsidRDefault="002D3A4A" w:rsidP="002D3A4A">
            <w:pPr>
              <w:spacing w:before="40" w:after="40" w:line="240" w:lineRule="exact"/>
              <w:ind w:right="144"/>
              <w:jc w:val="lowKashida"/>
              <w:rPr>
                <w:rFonts w:hint="cs"/>
                <w:szCs w:val="20"/>
                <w:rtl/>
              </w:rPr>
            </w:pPr>
            <w:r>
              <w:rPr>
                <w:rFonts w:hint="cs"/>
                <w:szCs w:val="20"/>
                <w:rtl/>
              </w:rPr>
              <w:t>0.0</w:t>
            </w:r>
          </w:p>
        </w:tc>
      </w:tr>
      <w:tr w:rsidR="002D3A4A" w:rsidRPr="00B35A26">
        <w:tblPrEx>
          <w:tblCellMar>
            <w:top w:w="0" w:type="dxa"/>
            <w:bottom w:w="0" w:type="dxa"/>
          </w:tblCellMar>
        </w:tblPrEx>
        <w:trPr>
          <w:cantSplit/>
          <w:jc w:val="center"/>
        </w:trPr>
        <w:tc>
          <w:tcPr>
            <w:tcW w:w="1689" w:type="dxa"/>
            <w:tcBorders>
              <w:top w:val="single" w:sz="4" w:space="0" w:color="auto"/>
            </w:tcBorders>
            <w:shd w:val="clear" w:color="auto" w:fill="D9D9D9"/>
            <w:vAlign w:val="bottom"/>
          </w:tcPr>
          <w:p w:rsidR="002D3A4A" w:rsidRPr="003A24A5" w:rsidRDefault="002D3A4A" w:rsidP="002D3A4A">
            <w:pPr>
              <w:spacing w:before="40" w:after="80" w:line="220" w:lineRule="exact"/>
              <w:rPr>
                <w:rFonts w:hint="cs"/>
                <w:sz w:val="16"/>
                <w:szCs w:val="24"/>
                <w:rtl/>
              </w:rPr>
            </w:pPr>
            <w:r w:rsidRPr="003A24A5">
              <w:rPr>
                <w:rFonts w:hint="cs"/>
                <w:sz w:val="16"/>
                <w:szCs w:val="24"/>
                <w:rtl/>
              </w:rPr>
              <w:t>المجموع</w:t>
            </w:r>
          </w:p>
        </w:tc>
        <w:tc>
          <w:tcPr>
            <w:tcW w:w="783" w:type="dxa"/>
            <w:tcBorders>
              <w:top w:val="single" w:sz="4" w:space="0" w:color="auto"/>
            </w:tcBorders>
            <w:shd w:val="clear" w:color="auto" w:fill="D9D9D9"/>
            <w:vAlign w:val="bottom"/>
          </w:tcPr>
          <w:p w:rsidR="002D3A4A" w:rsidRPr="00C35536" w:rsidRDefault="002D3A4A" w:rsidP="002D3A4A">
            <w:pPr>
              <w:spacing w:before="40" w:after="80" w:line="220" w:lineRule="exact"/>
              <w:ind w:right="144"/>
              <w:jc w:val="lowKashida"/>
              <w:rPr>
                <w:rFonts w:hint="cs"/>
                <w:b/>
                <w:bCs/>
                <w:sz w:val="18"/>
                <w:szCs w:val="18"/>
                <w:rtl/>
              </w:rPr>
            </w:pPr>
            <w:r w:rsidRPr="00C35536">
              <w:rPr>
                <w:rFonts w:hint="cs"/>
                <w:b/>
                <w:bCs/>
                <w:sz w:val="18"/>
                <w:szCs w:val="18"/>
                <w:rtl/>
              </w:rPr>
              <w:t>646 626</w:t>
            </w:r>
          </w:p>
        </w:tc>
        <w:tc>
          <w:tcPr>
            <w:tcW w:w="824" w:type="dxa"/>
            <w:tcBorders>
              <w:top w:val="single" w:sz="4" w:space="0" w:color="auto"/>
            </w:tcBorders>
            <w:shd w:val="clear" w:color="auto" w:fill="D9D9D9"/>
            <w:vAlign w:val="bottom"/>
          </w:tcPr>
          <w:p w:rsidR="002D3A4A" w:rsidRPr="00C35536" w:rsidRDefault="002D3A4A" w:rsidP="002D3A4A">
            <w:pPr>
              <w:spacing w:before="40" w:after="80" w:line="220" w:lineRule="exact"/>
              <w:ind w:right="144"/>
              <w:jc w:val="lowKashida"/>
              <w:rPr>
                <w:rFonts w:hint="cs"/>
                <w:b/>
                <w:bCs/>
                <w:sz w:val="18"/>
                <w:szCs w:val="18"/>
                <w:rtl/>
              </w:rPr>
            </w:pPr>
            <w:r w:rsidRPr="00C35536">
              <w:rPr>
                <w:rFonts w:hint="cs"/>
                <w:b/>
                <w:bCs/>
                <w:sz w:val="18"/>
                <w:szCs w:val="18"/>
                <w:rtl/>
              </w:rPr>
              <w:t>307 196</w:t>
            </w:r>
          </w:p>
        </w:tc>
        <w:tc>
          <w:tcPr>
            <w:tcW w:w="824" w:type="dxa"/>
            <w:tcBorders>
              <w:top w:val="single" w:sz="4" w:space="0" w:color="auto"/>
            </w:tcBorders>
            <w:shd w:val="clear" w:color="auto" w:fill="D9D9D9"/>
            <w:vAlign w:val="bottom"/>
          </w:tcPr>
          <w:p w:rsidR="002D3A4A" w:rsidRPr="00C35536" w:rsidRDefault="002D3A4A" w:rsidP="002D3A4A">
            <w:pPr>
              <w:spacing w:before="40" w:after="80" w:line="220" w:lineRule="exact"/>
              <w:ind w:right="144"/>
              <w:jc w:val="lowKashida"/>
              <w:rPr>
                <w:rFonts w:hint="cs"/>
                <w:b/>
                <w:bCs/>
                <w:sz w:val="18"/>
                <w:szCs w:val="18"/>
                <w:rtl/>
              </w:rPr>
            </w:pPr>
            <w:r w:rsidRPr="00C35536">
              <w:rPr>
                <w:rFonts w:hint="cs"/>
                <w:b/>
                <w:bCs/>
                <w:sz w:val="18"/>
                <w:szCs w:val="18"/>
                <w:rtl/>
              </w:rPr>
              <w:t>852 140</w:t>
            </w:r>
          </w:p>
        </w:tc>
        <w:tc>
          <w:tcPr>
            <w:tcW w:w="721" w:type="dxa"/>
            <w:tcBorders>
              <w:top w:val="single" w:sz="4" w:space="0" w:color="auto"/>
            </w:tcBorders>
            <w:shd w:val="clear" w:color="auto" w:fill="D9D9D9"/>
            <w:vAlign w:val="bottom"/>
          </w:tcPr>
          <w:p w:rsidR="002D3A4A" w:rsidRPr="00C35536" w:rsidRDefault="002D3A4A" w:rsidP="002D3A4A">
            <w:pPr>
              <w:spacing w:before="40" w:after="80" w:line="220" w:lineRule="exact"/>
              <w:ind w:right="144"/>
              <w:jc w:val="lowKashida"/>
              <w:rPr>
                <w:rFonts w:hint="cs"/>
                <w:b/>
                <w:bCs/>
                <w:sz w:val="18"/>
                <w:szCs w:val="18"/>
                <w:rtl/>
              </w:rPr>
            </w:pPr>
            <w:r w:rsidRPr="00C35536">
              <w:rPr>
                <w:rFonts w:hint="cs"/>
                <w:b/>
                <w:bCs/>
                <w:sz w:val="18"/>
                <w:szCs w:val="18"/>
                <w:rtl/>
              </w:rPr>
              <w:t>605 8</w:t>
            </w:r>
          </w:p>
        </w:tc>
        <w:tc>
          <w:tcPr>
            <w:tcW w:w="721" w:type="dxa"/>
            <w:tcBorders>
              <w:top w:val="single" w:sz="4" w:space="0" w:color="auto"/>
            </w:tcBorders>
            <w:shd w:val="clear" w:color="auto" w:fill="D9D9D9"/>
            <w:vAlign w:val="bottom"/>
          </w:tcPr>
          <w:p w:rsidR="002D3A4A" w:rsidRPr="00C35536" w:rsidRDefault="002D3A4A" w:rsidP="002D3A4A">
            <w:pPr>
              <w:spacing w:before="40" w:after="80" w:line="220" w:lineRule="exact"/>
              <w:ind w:right="144"/>
              <w:jc w:val="lowKashida"/>
              <w:rPr>
                <w:rFonts w:hint="cs"/>
                <w:b/>
                <w:bCs/>
                <w:sz w:val="18"/>
                <w:szCs w:val="18"/>
                <w:rtl/>
              </w:rPr>
            </w:pPr>
            <w:r w:rsidRPr="00C35536">
              <w:rPr>
                <w:rFonts w:hint="cs"/>
                <w:b/>
                <w:bCs/>
                <w:sz w:val="18"/>
                <w:szCs w:val="18"/>
                <w:rtl/>
              </w:rPr>
              <w:t>381 13</w:t>
            </w:r>
          </w:p>
        </w:tc>
        <w:tc>
          <w:tcPr>
            <w:tcW w:w="824" w:type="dxa"/>
            <w:tcBorders>
              <w:top w:val="single" w:sz="4" w:space="0" w:color="auto"/>
            </w:tcBorders>
            <w:shd w:val="clear" w:color="auto" w:fill="D9D9D9"/>
            <w:vAlign w:val="bottom"/>
          </w:tcPr>
          <w:p w:rsidR="002D3A4A" w:rsidRPr="00C35536" w:rsidRDefault="002D3A4A" w:rsidP="002D3A4A">
            <w:pPr>
              <w:spacing w:before="40" w:after="80" w:line="220" w:lineRule="exact"/>
              <w:ind w:right="144"/>
              <w:jc w:val="lowKashida"/>
              <w:rPr>
                <w:rFonts w:hint="cs"/>
                <w:b/>
                <w:bCs/>
                <w:sz w:val="18"/>
                <w:szCs w:val="18"/>
                <w:rtl/>
              </w:rPr>
            </w:pPr>
            <w:r w:rsidRPr="00C35536">
              <w:rPr>
                <w:rFonts w:hint="cs"/>
                <w:b/>
                <w:bCs/>
                <w:sz w:val="18"/>
                <w:szCs w:val="18"/>
                <w:rtl/>
              </w:rPr>
              <w:t>085 87</w:t>
            </w:r>
          </w:p>
        </w:tc>
        <w:tc>
          <w:tcPr>
            <w:tcW w:w="824" w:type="dxa"/>
            <w:tcBorders>
              <w:top w:val="single" w:sz="4" w:space="0" w:color="auto"/>
            </w:tcBorders>
            <w:shd w:val="clear" w:color="auto" w:fill="D9D9D9"/>
            <w:vAlign w:val="bottom"/>
          </w:tcPr>
          <w:p w:rsidR="002D3A4A" w:rsidRPr="00C35536" w:rsidRDefault="002D3A4A" w:rsidP="002D3A4A">
            <w:pPr>
              <w:spacing w:before="40" w:after="80" w:line="220" w:lineRule="exact"/>
              <w:ind w:right="144"/>
              <w:jc w:val="lowKashida"/>
              <w:rPr>
                <w:rFonts w:hint="cs"/>
                <w:b/>
                <w:bCs/>
                <w:sz w:val="18"/>
                <w:szCs w:val="18"/>
                <w:rtl/>
              </w:rPr>
            </w:pPr>
            <w:r w:rsidRPr="00C35536">
              <w:rPr>
                <w:rFonts w:hint="cs"/>
                <w:b/>
                <w:bCs/>
                <w:sz w:val="18"/>
                <w:szCs w:val="18"/>
                <w:rtl/>
              </w:rPr>
              <w:t>712 86</w:t>
            </w:r>
          </w:p>
        </w:tc>
        <w:tc>
          <w:tcPr>
            <w:tcW w:w="927" w:type="dxa"/>
            <w:tcBorders>
              <w:top w:val="single" w:sz="4" w:space="0" w:color="auto"/>
            </w:tcBorders>
            <w:shd w:val="clear" w:color="auto" w:fill="D9D9D9"/>
            <w:vAlign w:val="bottom"/>
          </w:tcPr>
          <w:p w:rsidR="002D3A4A" w:rsidRPr="00C35536" w:rsidRDefault="002D3A4A" w:rsidP="002D3A4A">
            <w:pPr>
              <w:spacing w:before="40" w:after="80" w:line="220" w:lineRule="exact"/>
              <w:ind w:right="144"/>
              <w:jc w:val="lowKashida"/>
              <w:rPr>
                <w:rFonts w:hint="cs"/>
                <w:b/>
                <w:bCs/>
                <w:sz w:val="18"/>
                <w:szCs w:val="18"/>
                <w:rtl/>
              </w:rPr>
            </w:pPr>
            <w:r w:rsidRPr="00C35536">
              <w:rPr>
                <w:rFonts w:hint="cs"/>
                <w:b/>
                <w:bCs/>
                <w:sz w:val="18"/>
                <w:szCs w:val="18"/>
                <w:rtl/>
              </w:rPr>
              <w:t>213 24</w:t>
            </w:r>
          </w:p>
        </w:tc>
        <w:tc>
          <w:tcPr>
            <w:tcW w:w="927" w:type="dxa"/>
            <w:tcBorders>
              <w:top w:val="single" w:sz="4" w:space="0" w:color="auto"/>
            </w:tcBorders>
            <w:shd w:val="clear" w:color="auto" w:fill="D9D9D9"/>
            <w:vAlign w:val="bottom"/>
          </w:tcPr>
          <w:p w:rsidR="002D3A4A" w:rsidRPr="00C35536" w:rsidRDefault="002D3A4A" w:rsidP="002D3A4A">
            <w:pPr>
              <w:spacing w:before="40" w:after="80" w:line="220" w:lineRule="exact"/>
              <w:ind w:right="144"/>
              <w:jc w:val="lowKashida"/>
              <w:rPr>
                <w:rFonts w:hint="cs"/>
                <w:b/>
                <w:bCs/>
                <w:sz w:val="18"/>
                <w:szCs w:val="18"/>
                <w:rtl/>
              </w:rPr>
            </w:pPr>
            <w:r w:rsidRPr="00C35536">
              <w:rPr>
                <w:rFonts w:hint="cs"/>
                <w:b/>
                <w:bCs/>
                <w:sz w:val="18"/>
                <w:szCs w:val="18"/>
                <w:rtl/>
              </w:rPr>
              <w:t>358 63</w:t>
            </w:r>
          </w:p>
        </w:tc>
        <w:tc>
          <w:tcPr>
            <w:tcW w:w="824" w:type="dxa"/>
            <w:tcBorders>
              <w:top w:val="single" w:sz="4" w:space="0" w:color="auto"/>
            </w:tcBorders>
            <w:shd w:val="clear" w:color="auto" w:fill="D9D9D9"/>
            <w:vAlign w:val="bottom"/>
          </w:tcPr>
          <w:p w:rsidR="002D3A4A" w:rsidRPr="00C35536" w:rsidRDefault="002D3A4A" w:rsidP="002D3A4A">
            <w:pPr>
              <w:spacing w:before="40" w:after="80" w:line="220" w:lineRule="exact"/>
              <w:ind w:right="144"/>
              <w:jc w:val="lowKashida"/>
              <w:rPr>
                <w:rFonts w:hint="cs"/>
                <w:b/>
                <w:bCs/>
                <w:sz w:val="18"/>
                <w:szCs w:val="18"/>
                <w:rtl/>
              </w:rPr>
            </w:pPr>
            <w:r w:rsidRPr="00C35536">
              <w:rPr>
                <w:rFonts w:hint="cs"/>
                <w:b/>
                <w:bCs/>
                <w:sz w:val="18"/>
                <w:szCs w:val="18"/>
                <w:rtl/>
              </w:rPr>
              <w:t>185</w:t>
            </w:r>
          </w:p>
        </w:tc>
        <w:tc>
          <w:tcPr>
            <w:tcW w:w="721" w:type="dxa"/>
            <w:tcBorders>
              <w:top w:val="single" w:sz="4" w:space="0" w:color="auto"/>
            </w:tcBorders>
            <w:shd w:val="clear" w:color="auto" w:fill="D9D9D9"/>
            <w:vAlign w:val="bottom"/>
          </w:tcPr>
          <w:p w:rsidR="002D3A4A" w:rsidRPr="00C35536" w:rsidRDefault="002D3A4A" w:rsidP="002D3A4A">
            <w:pPr>
              <w:spacing w:before="40" w:after="80" w:line="220" w:lineRule="exact"/>
              <w:ind w:right="144"/>
              <w:jc w:val="lowKashida"/>
              <w:rPr>
                <w:rFonts w:hint="cs"/>
                <w:b/>
                <w:bCs/>
                <w:sz w:val="18"/>
                <w:szCs w:val="18"/>
                <w:rtl/>
              </w:rPr>
            </w:pPr>
            <w:r w:rsidRPr="00C35536">
              <w:rPr>
                <w:rFonts w:hint="cs"/>
                <w:b/>
                <w:bCs/>
                <w:sz w:val="18"/>
                <w:szCs w:val="18"/>
                <w:rtl/>
              </w:rPr>
              <w:t>726 2</w:t>
            </w:r>
          </w:p>
        </w:tc>
        <w:tc>
          <w:tcPr>
            <w:tcW w:w="824" w:type="dxa"/>
            <w:tcBorders>
              <w:top w:val="single" w:sz="4" w:space="0" w:color="auto"/>
            </w:tcBorders>
            <w:shd w:val="clear" w:color="auto" w:fill="D9D9D9"/>
            <w:vAlign w:val="bottom"/>
          </w:tcPr>
          <w:p w:rsidR="002D3A4A" w:rsidRPr="00C35536" w:rsidRDefault="002D3A4A" w:rsidP="002D3A4A">
            <w:pPr>
              <w:spacing w:before="40" w:after="80" w:line="220" w:lineRule="exact"/>
              <w:ind w:right="144"/>
              <w:jc w:val="lowKashida"/>
              <w:rPr>
                <w:rFonts w:hint="cs"/>
                <w:b/>
                <w:bCs/>
                <w:sz w:val="18"/>
                <w:szCs w:val="18"/>
                <w:rtl/>
              </w:rPr>
            </w:pPr>
            <w:r w:rsidRPr="00C35536">
              <w:rPr>
                <w:rFonts w:hint="cs"/>
                <w:b/>
                <w:bCs/>
                <w:sz w:val="18"/>
                <w:szCs w:val="18"/>
                <w:rtl/>
              </w:rPr>
              <w:t>362</w:t>
            </w:r>
          </w:p>
        </w:tc>
        <w:tc>
          <w:tcPr>
            <w:tcW w:w="1016" w:type="dxa"/>
            <w:tcBorders>
              <w:top w:val="single" w:sz="4" w:space="0" w:color="auto"/>
            </w:tcBorders>
            <w:shd w:val="clear" w:color="auto" w:fill="D9D9D9"/>
            <w:vAlign w:val="bottom"/>
          </w:tcPr>
          <w:p w:rsidR="002D3A4A" w:rsidRPr="00C35536" w:rsidRDefault="002D3A4A" w:rsidP="002D3A4A">
            <w:pPr>
              <w:spacing w:before="40" w:after="80" w:line="220" w:lineRule="exact"/>
              <w:ind w:right="144"/>
              <w:jc w:val="lowKashida"/>
              <w:rPr>
                <w:rFonts w:hint="cs"/>
                <w:b/>
                <w:bCs/>
                <w:sz w:val="18"/>
                <w:szCs w:val="18"/>
                <w:rtl/>
              </w:rPr>
            </w:pPr>
            <w:r w:rsidRPr="00C35536">
              <w:rPr>
                <w:rFonts w:hint="cs"/>
                <w:b/>
                <w:bCs/>
                <w:sz w:val="18"/>
                <w:szCs w:val="18"/>
                <w:rtl/>
              </w:rPr>
              <w:t>860 2</w:t>
            </w:r>
          </w:p>
        </w:tc>
      </w:tr>
      <w:tr w:rsidR="002D3A4A" w:rsidRPr="00B35A26">
        <w:tblPrEx>
          <w:tblCellMar>
            <w:top w:w="0" w:type="dxa"/>
            <w:bottom w:w="0" w:type="dxa"/>
          </w:tblCellMar>
        </w:tblPrEx>
        <w:trPr>
          <w:cantSplit/>
          <w:jc w:val="center"/>
        </w:trPr>
        <w:tc>
          <w:tcPr>
            <w:tcW w:w="1689" w:type="dxa"/>
            <w:tcBorders>
              <w:bottom w:val="single" w:sz="12" w:space="0" w:color="auto"/>
            </w:tcBorders>
            <w:shd w:val="clear" w:color="auto" w:fill="D9D9D9"/>
            <w:vAlign w:val="bottom"/>
          </w:tcPr>
          <w:p w:rsidR="002D3A4A" w:rsidRPr="003A24A5" w:rsidRDefault="002D3A4A" w:rsidP="002D3A4A">
            <w:pPr>
              <w:spacing w:before="40" w:after="80" w:line="240" w:lineRule="exact"/>
              <w:rPr>
                <w:rFonts w:hint="cs"/>
                <w:sz w:val="16"/>
                <w:szCs w:val="24"/>
                <w:rtl/>
              </w:rPr>
            </w:pPr>
            <w:r w:rsidRPr="003A24A5">
              <w:rPr>
                <w:rFonts w:hint="cs"/>
                <w:sz w:val="16"/>
                <w:szCs w:val="24"/>
                <w:rtl/>
              </w:rPr>
              <w:t>النسبة المئوية</w:t>
            </w:r>
          </w:p>
        </w:tc>
        <w:tc>
          <w:tcPr>
            <w:tcW w:w="783" w:type="dxa"/>
            <w:tcBorders>
              <w:bottom w:val="single" w:sz="12" w:space="0" w:color="auto"/>
            </w:tcBorders>
            <w:shd w:val="clear" w:color="auto" w:fill="D9D9D9"/>
            <w:vAlign w:val="bottom"/>
          </w:tcPr>
          <w:p w:rsidR="002D3A4A" w:rsidRPr="00C35536" w:rsidRDefault="002D3A4A" w:rsidP="002D3A4A">
            <w:pPr>
              <w:spacing w:before="40" w:after="80" w:line="240" w:lineRule="exact"/>
              <w:ind w:right="144"/>
              <w:jc w:val="lowKashida"/>
              <w:rPr>
                <w:rFonts w:hint="cs"/>
                <w:b/>
                <w:bCs/>
                <w:sz w:val="18"/>
                <w:szCs w:val="18"/>
                <w:rtl/>
              </w:rPr>
            </w:pPr>
            <w:r w:rsidRPr="00C35536">
              <w:rPr>
                <w:rFonts w:hint="cs"/>
                <w:b/>
                <w:bCs/>
                <w:sz w:val="18"/>
                <w:szCs w:val="18"/>
                <w:rtl/>
              </w:rPr>
              <w:t>100.0</w:t>
            </w:r>
          </w:p>
        </w:tc>
        <w:tc>
          <w:tcPr>
            <w:tcW w:w="824" w:type="dxa"/>
            <w:tcBorders>
              <w:bottom w:val="single" w:sz="12" w:space="0" w:color="auto"/>
            </w:tcBorders>
            <w:shd w:val="clear" w:color="auto" w:fill="D9D9D9"/>
            <w:vAlign w:val="bottom"/>
          </w:tcPr>
          <w:p w:rsidR="002D3A4A" w:rsidRPr="00C35536" w:rsidRDefault="002D3A4A" w:rsidP="002D3A4A">
            <w:pPr>
              <w:spacing w:before="40" w:after="80" w:line="240" w:lineRule="exact"/>
              <w:ind w:right="144"/>
              <w:jc w:val="lowKashida"/>
              <w:rPr>
                <w:rFonts w:hint="cs"/>
                <w:b/>
                <w:bCs/>
                <w:sz w:val="18"/>
                <w:szCs w:val="18"/>
                <w:rtl/>
              </w:rPr>
            </w:pPr>
            <w:r w:rsidRPr="00C35536">
              <w:rPr>
                <w:rFonts w:hint="cs"/>
                <w:b/>
                <w:bCs/>
                <w:sz w:val="18"/>
                <w:szCs w:val="18"/>
                <w:rtl/>
              </w:rPr>
              <w:t>31.3</w:t>
            </w:r>
          </w:p>
        </w:tc>
        <w:tc>
          <w:tcPr>
            <w:tcW w:w="824" w:type="dxa"/>
            <w:tcBorders>
              <w:bottom w:val="single" w:sz="12" w:space="0" w:color="auto"/>
            </w:tcBorders>
            <w:shd w:val="clear" w:color="auto" w:fill="D9D9D9"/>
            <w:vAlign w:val="bottom"/>
          </w:tcPr>
          <w:p w:rsidR="002D3A4A" w:rsidRPr="00C35536" w:rsidRDefault="002D3A4A" w:rsidP="002D3A4A">
            <w:pPr>
              <w:spacing w:before="40" w:after="80" w:line="240" w:lineRule="exact"/>
              <w:ind w:right="144"/>
              <w:jc w:val="lowKashida"/>
              <w:rPr>
                <w:rFonts w:hint="cs"/>
                <w:b/>
                <w:bCs/>
                <w:sz w:val="18"/>
                <w:szCs w:val="18"/>
                <w:rtl/>
              </w:rPr>
            </w:pPr>
            <w:r w:rsidRPr="00C35536">
              <w:rPr>
                <w:rFonts w:hint="cs"/>
                <w:b/>
                <w:bCs/>
                <w:sz w:val="18"/>
                <w:szCs w:val="18"/>
                <w:rtl/>
              </w:rPr>
              <w:t>22.5</w:t>
            </w:r>
          </w:p>
        </w:tc>
        <w:tc>
          <w:tcPr>
            <w:tcW w:w="721" w:type="dxa"/>
            <w:tcBorders>
              <w:bottom w:val="single" w:sz="12" w:space="0" w:color="auto"/>
            </w:tcBorders>
            <w:shd w:val="clear" w:color="auto" w:fill="D9D9D9"/>
            <w:vAlign w:val="bottom"/>
          </w:tcPr>
          <w:p w:rsidR="002D3A4A" w:rsidRPr="00C35536" w:rsidRDefault="002D3A4A" w:rsidP="002D3A4A">
            <w:pPr>
              <w:spacing w:before="40" w:after="80" w:line="240" w:lineRule="exact"/>
              <w:ind w:right="144"/>
              <w:jc w:val="lowKashida"/>
              <w:rPr>
                <w:rFonts w:hint="cs"/>
                <w:b/>
                <w:bCs/>
                <w:sz w:val="18"/>
                <w:szCs w:val="18"/>
                <w:rtl/>
              </w:rPr>
            </w:pPr>
            <w:r w:rsidRPr="00C35536">
              <w:rPr>
                <w:rFonts w:hint="cs"/>
                <w:b/>
                <w:bCs/>
                <w:sz w:val="18"/>
                <w:szCs w:val="18"/>
                <w:rtl/>
              </w:rPr>
              <w:t>1.4</w:t>
            </w:r>
          </w:p>
        </w:tc>
        <w:tc>
          <w:tcPr>
            <w:tcW w:w="721" w:type="dxa"/>
            <w:tcBorders>
              <w:bottom w:val="single" w:sz="12" w:space="0" w:color="auto"/>
            </w:tcBorders>
            <w:shd w:val="clear" w:color="auto" w:fill="D9D9D9"/>
            <w:vAlign w:val="bottom"/>
          </w:tcPr>
          <w:p w:rsidR="002D3A4A" w:rsidRPr="00C35536" w:rsidRDefault="002D3A4A" w:rsidP="002D3A4A">
            <w:pPr>
              <w:spacing w:before="40" w:after="80" w:line="240" w:lineRule="exact"/>
              <w:ind w:right="144"/>
              <w:jc w:val="lowKashida"/>
              <w:rPr>
                <w:rFonts w:hint="cs"/>
                <w:b/>
                <w:bCs/>
                <w:sz w:val="18"/>
                <w:szCs w:val="18"/>
                <w:rtl/>
              </w:rPr>
            </w:pPr>
            <w:r w:rsidRPr="00C35536">
              <w:rPr>
                <w:rFonts w:hint="cs"/>
                <w:b/>
                <w:bCs/>
                <w:sz w:val="18"/>
                <w:szCs w:val="18"/>
                <w:rtl/>
              </w:rPr>
              <w:t>2.1</w:t>
            </w:r>
          </w:p>
        </w:tc>
        <w:tc>
          <w:tcPr>
            <w:tcW w:w="824" w:type="dxa"/>
            <w:tcBorders>
              <w:bottom w:val="single" w:sz="12" w:space="0" w:color="auto"/>
            </w:tcBorders>
            <w:shd w:val="clear" w:color="auto" w:fill="D9D9D9"/>
            <w:vAlign w:val="bottom"/>
          </w:tcPr>
          <w:p w:rsidR="002D3A4A" w:rsidRPr="00C35536" w:rsidRDefault="002D3A4A" w:rsidP="002D3A4A">
            <w:pPr>
              <w:spacing w:before="40" w:after="80" w:line="240" w:lineRule="exact"/>
              <w:ind w:right="144"/>
              <w:jc w:val="lowKashida"/>
              <w:rPr>
                <w:rFonts w:hint="cs"/>
                <w:b/>
                <w:bCs/>
                <w:sz w:val="18"/>
                <w:szCs w:val="18"/>
                <w:rtl/>
              </w:rPr>
            </w:pPr>
            <w:r w:rsidRPr="00C35536">
              <w:rPr>
                <w:rFonts w:hint="cs"/>
                <w:b/>
                <w:bCs/>
                <w:sz w:val="18"/>
                <w:szCs w:val="18"/>
                <w:rtl/>
              </w:rPr>
              <w:t>13.9</w:t>
            </w:r>
          </w:p>
        </w:tc>
        <w:tc>
          <w:tcPr>
            <w:tcW w:w="824" w:type="dxa"/>
            <w:tcBorders>
              <w:bottom w:val="single" w:sz="12" w:space="0" w:color="auto"/>
            </w:tcBorders>
            <w:shd w:val="clear" w:color="auto" w:fill="D9D9D9"/>
            <w:vAlign w:val="bottom"/>
          </w:tcPr>
          <w:p w:rsidR="002D3A4A" w:rsidRPr="00C35536" w:rsidRDefault="002D3A4A" w:rsidP="002D3A4A">
            <w:pPr>
              <w:spacing w:before="40" w:after="80" w:line="240" w:lineRule="exact"/>
              <w:ind w:right="144"/>
              <w:jc w:val="lowKashida"/>
              <w:rPr>
                <w:rFonts w:hint="cs"/>
                <w:b/>
                <w:bCs/>
                <w:sz w:val="18"/>
                <w:szCs w:val="18"/>
                <w:rtl/>
              </w:rPr>
            </w:pPr>
            <w:r w:rsidRPr="00C35536">
              <w:rPr>
                <w:rFonts w:hint="cs"/>
                <w:b/>
                <w:bCs/>
                <w:sz w:val="18"/>
                <w:szCs w:val="18"/>
                <w:rtl/>
              </w:rPr>
              <w:t>13.8</w:t>
            </w:r>
          </w:p>
        </w:tc>
        <w:tc>
          <w:tcPr>
            <w:tcW w:w="927" w:type="dxa"/>
            <w:tcBorders>
              <w:bottom w:val="single" w:sz="12" w:space="0" w:color="auto"/>
            </w:tcBorders>
            <w:shd w:val="clear" w:color="auto" w:fill="D9D9D9"/>
            <w:vAlign w:val="bottom"/>
          </w:tcPr>
          <w:p w:rsidR="002D3A4A" w:rsidRPr="00C35536" w:rsidRDefault="002D3A4A" w:rsidP="002D3A4A">
            <w:pPr>
              <w:spacing w:before="40" w:after="80" w:line="240" w:lineRule="exact"/>
              <w:ind w:right="144"/>
              <w:jc w:val="lowKashida"/>
              <w:rPr>
                <w:rFonts w:hint="cs"/>
                <w:b/>
                <w:bCs/>
                <w:sz w:val="18"/>
                <w:szCs w:val="18"/>
                <w:rtl/>
              </w:rPr>
            </w:pPr>
            <w:r w:rsidRPr="00C35536">
              <w:rPr>
                <w:rFonts w:hint="cs"/>
                <w:b/>
                <w:bCs/>
                <w:sz w:val="18"/>
                <w:szCs w:val="18"/>
                <w:rtl/>
              </w:rPr>
              <w:t>3.9</w:t>
            </w:r>
          </w:p>
        </w:tc>
        <w:tc>
          <w:tcPr>
            <w:tcW w:w="927" w:type="dxa"/>
            <w:tcBorders>
              <w:bottom w:val="single" w:sz="12" w:space="0" w:color="auto"/>
            </w:tcBorders>
            <w:shd w:val="clear" w:color="auto" w:fill="D9D9D9"/>
            <w:vAlign w:val="bottom"/>
          </w:tcPr>
          <w:p w:rsidR="002D3A4A" w:rsidRPr="00C35536" w:rsidRDefault="002D3A4A" w:rsidP="002D3A4A">
            <w:pPr>
              <w:spacing w:before="40" w:after="80" w:line="240" w:lineRule="exact"/>
              <w:ind w:right="144"/>
              <w:jc w:val="lowKashida"/>
              <w:rPr>
                <w:rFonts w:hint="cs"/>
                <w:b/>
                <w:bCs/>
                <w:sz w:val="18"/>
                <w:szCs w:val="18"/>
                <w:rtl/>
              </w:rPr>
            </w:pPr>
            <w:r w:rsidRPr="00C35536">
              <w:rPr>
                <w:rFonts w:hint="cs"/>
                <w:b/>
                <w:bCs/>
                <w:sz w:val="18"/>
                <w:szCs w:val="18"/>
                <w:rtl/>
              </w:rPr>
              <w:t>10.1</w:t>
            </w:r>
          </w:p>
        </w:tc>
        <w:tc>
          <w:tcPr>
            <w:tcW w:w="824" w:type="dxa"/>
            <w:tcBorders>
              <w:bottom w:val="single" w:sz="12" w:space="0" w:color="auto"/>
            </w:tcBorders>
            <w:shd w:val="clear" w:color="auto" w:fill="D9D9D9"/>
            <w:vAlign w:val="bottom"/>
          </w:tcPr>
          <w:p w:rsidR="002D3A4A" w:rsidRPr="00C35536" w:rsidRDefault="002D3A4A" w:rsidP="002D3A4A">
            <w:pPr>
              <w:spacing w:before="40" w:after="80" w:line="240" w:lineRule="exact"/>
              <w:ind w:right="144"/>
              <w:jc w:val="lowKashida"/>
              <w:rPr>
                <w:rFonts w:hint="cs"/>
                <w:b/>
                <w:bCs/>
                <w:sz w:val="18"/>
                <w:szCs w:val="18"/>
                <w:rtl/>
              </w:rPr>
            </w:pPr>
            <w:r w:rsidRPr="00C35536">
              <w:rPr>
                <w:rFonts w:hint="cs"/>
                <w:b/>
                <w:bCs/>
                <w:sz w:val="18"/>
                <w:szCs w:val="18"/>
                <w:rtl/>
              </w:rPr>
              <w:t>0.0</w:t>
            </w:r>
          </w:p>
        </w:tc>
        <w:tc>
          <w:tcPr>
            <w:tcW w:w="721" w:type="dxa"/>
            <w:tcBorders>
              <w:bottom w:val="single" w:sz="12" w:space="0" w:color="auto"/>
            </w:tcBorders>
            <w:shd w:val="clear" w:color="auto" w:fill="D9D9D9"/>
            <w:vAlign w:val="bottom"/>
          </w:tcPr>
          <w:p w:rsidR="002D3A4A" w:rsidRPr="00C35536" w:rsidRDefault="002D3A4A" w:rsidP="002D3A4A">
            <w:pPr>
              <w:spacing w:before="40" w:after="80" w:line="240" w:lineRule="exact"/>
              <w:ind w:right="144"/>
              <w:jc w:val="lowKashida"/>
              <w:rPr>
                <w:rFonts w:hint="cs"/>
                <w:b/>
                <w:bCs/>
                <w:sz w:val="18"/>
                <w:szCs w:val="18"/>
                <w:rtl/>
              </w:rPr>
            </w:pPr>
            <w:r w:rsidRPr="00C35536">
              <w:rPr>
                <w:rFonts w:hint="cs"/>
                <w:b/>
                <w:bCs/>
                <w:sz w:val="18"/>
                <w:szCs w:val="18"/>
                <w:rtl/>
              </w:rPr>
              <w:t>0.4</w:t>
            </w:r>
          </w:p>
        </w:tc>
        <w:tc>
          <w:tcPr>
            <w:tcW w:w="824" w:type="dxa"/>
            <w:tcBorders>
              <w:bottom w:val="single" w:sz="12" w:space="0" w:color="auto"/>
            </w:tcBorders>
            <w:shd w:val="clear" w:color="auto" w:fill="D9D9D9"/>
            <w:vAlign w:val="bottom"/>
          </w:tcPr>
          <w:p w:rsidR="002D3A4A" w:rsidRPr="00C35536" w:rsidRDefault="002D3A4A" w:rsidP="002D3A4A">
            <w:pPr>
              <w:spacing w:before="40" w:after="80" w:line="240" w:lineRule="exact"/>
              <w:ind w:right="144"/>
              <w:jc w:val="lowKashida"/>
              <w:rPr>
                <w:rFonts w:hint="cs"/>
                <w:b/>
                <w:bCs/>
                <w:sz w:val="18"/>
                <w:szCs w:val="18"/>
                <w:rtl/>
              </w:rPr>
            </w:pPr>
            <w:r w:rsidRPr="00C35536">
              <w:rPr>
                <w:rFonts w:hint="cs"/>
                <w:b/>
                <w:bCs/>
                <w:sz w:val="18"/>
                <w:szCs w:val="18"/>
                <w:rtl/>
              </w:rPr>
              <w:t>0.1</w:t>
            </w:r>
          </w:p>
        </w:tc>
        <w:tc>
          <w:tcPr>
            <w:tcW w:w="1016" w:type="dxa"/>
            <w:tcBorders>
              <w:bottom w:val="single" w:sz="12" w:space="0" w:color="auto"/>
            </w:tcBorders>
            <w:shd w:val="clear" w:color="auto" w:fill="D9D9D9"/>
            <w:vAlign w:val="bottom"/>
          </w:tcPr>
          <w:p w:rsidR="002D3A4A" w:rsidRPr="00C35536" w:rsidRDefault="002D3A4A" w:rsidP="002D3A4A">
            <w:pPr>
              <w:spacing w:before="40" w:after="80" w:line="240" w:lineRule="exact"/>
              <w:ind w:right="144"/>
              <w:jc w:val="lowKashida"/>
              <w:rPr>
                <w:rFonts w:hint="cs"/>
                <w:b/>
                <w:bCs/>
                <w:sz w:val="18"/>
                <w:szCs w:val="18"/>
                <w:rtl/>
              </w:rPr>
            </w:pPr>
            <w:r w:rsidRPr="00C35536">
              <w:rPr>
                <w:rFonts w:hint="cs"/>
                <w:b/>
                <w:bCs/>
                <w:sz w:val="18"/>
                <w:szCs w:val="18"/>
                <w:rtl/>
              </w:rPr>
              <w:t>0.5</w:t>
            </w:r>
          </w:p>
        </w:tc>
      </w:tr>
    </w:tbl>
    <w:p w:rsidR="002D3A4A" w:rsidRDefault="002D3A4A" w:rsidP="002D3A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280" w:lineRule="exact"/>
        <w:ind w:left="1267" w:right="1267" w:hanging="1267"/>
        <w:jc w:val="lowKashida"/>
        <w:rPr>
          <w:rFonts w:hint="cs"/>
          <w:rtl/>
        </w:rPr>
      </w:pPr>
      <w:r>
        <w:rPr>
          <w:rtl/>
        </w:rPr>
        <w:br w:type="page"/>
      </w:r>
      <w:r>
        <w:rPr>
          <w:rFonts w:hint="cs"/>
          <w:rtl/>
        </w:rPr>
        <w:tab/>
      </w:r>
      <w:r>
        <w:rPr>
          <w:rFonts w:hint="cs"/>
          <w:rtl/>
        </w:rPr>
        <w:tab/>
        <w:t>أنواع المدارس ونسبتها المئوية، ونسبة التلاميذ/الطلاب الإناث في كل مدرسة</w:t>
      </w:r>
    </w:p>
    <w:p w:rsidR="002D3A4A" w:rsidRDefault="002D3A4A" w:rsidP="002D3A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280" w:lineRule="exact"/>
        <w:ind w:left="1267" w:right="1267" w:hanging="1267"/>
        <w:jc w:val="lowKashida"/>
        <w:rPr>
          <w:rFonts w:hint="cs"/>
          <w:rtl/>
        </w:rPr>
      </w:pPr>
      <w:r>
        <w:rPr>
          <w:rFonts w:hint="cs"/>
          <w:rtl/>
        </w:rPr>
        <w:tab/>
      </w:r>
      <w:r>
        <w:rPr>
          <w:rFonts w:hint="cs"/>
          <w:rtl/>
        </w:rPr>
        <w:tab/>
        <w:t>السنة الأكاديمية 2002/2003</w:t>
      </w:r>
    </w:p>
    <w:tbl>
      <w:tblPr>
        <w:bidiVisual/>
        <w:tblW w:w="12525" w:type="dxa"/>
        <w:jc w:val="center"/>
        <w:tblInd w:w="-263" w:type="dxa"/>
        <w:tblLayout w:type="fixed"/>
        <w:tblCellMar>
          <w:left w:w="0" w:type="dxa"/>
          <w:right w:w="0" w:type="dxa"/>
        </w:tblCellMar>
        <w:tblLook w:val="0000" w:firstRow="0" w:lastRow="0" w:firstColumn="0" w:lastColumn="0" w:noHBand="0" w:noVBand="0"/>
      </w:tblPr>
      <w:tblGrid>
        <w:gridCol w:w="1803"/>
        <w:gridCol w:w="1092"/>
        <w:gridCol w:w="772"/>
        <w:gridCol w:w="824"/>
        <w:gridCol w:w="618"/>
        <w:gridCol w:w="618"/>
        <w:gridCol w:w="824"/>
        <w:gridCol w:w="721"/>
        <w:gridCol w:w="927"/>
        <w:gridCol w:w="927"/>
        <w:gridCol w:w="824"/>
        <w:gridCol w:w="721"/>
        <w:gridCol w:w="824"/>
        <w:gridCol w:w="1030"/>
      </w:tblGrid>
      <w:tr w:rsidR="002D3A4A" w:rsidRPr="00B35A26">
        <w:tblPrEx>
          <w:tblCellMar>
            <w:top w:w="0" w:type="dxa"/>
            <w:bottom w:w="0" w:type="dxa"/>
          </w:tblCellMar>
        </w:tblPrEx>
        <w:trPr>
          <w:cantSplit/>
          <w:trHeight w:val="845"/>
          <w:tblHeader/>
          <w:jc w:val="center"/>
        </w:trPr>
        <w:tc>
          <w:tcPr>
            <w:tcW w:w="1803"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jc w:val="center"/>
              <w:rPr>
                <w:rFonts w:hint="cs"/>
                <w:i/>
                <w:iCs/>
                <w:sz w:val="22"/>
                <w:szCs w:val="22"/>
                <w:rtl/>
              </w:rPr>
            </w:pPr>
            <w:r w:rsidRPr="00B35A26">
              <w:rPr>
                <w:rFonts w:hint="cs"/>
                <w:i/>
                <w:iCs/>
                <w:sz w:val="22"/>
                <w:szCs w:val="22"/>
                <w:rtl/>
              </w:rPr>
              <w:t>نوع المدرسة</w:t>
            </w:r>
          </w:p>
        </w:tc>
        <w:tc>
          <w:tcPr>
            <w:tcW w:w="1092"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center"/>
              <w:rPr>
                <w:rFonts w:hint="cs"/>
                <w:i/>
                <w:iCs/>
                <w:sz w:val="22"/>
                <w:szCs w:val="22"/>
                <w:rtl/>
              </w:rPr>
            </w:pPr>
            <w:r w:rsidRPr="00B35A26">
              <w:rPr>
                <w:rFonts w:hint="cs"/>
                <w:i/>
                <w:iCs/>
                <w:sz w:val="22"/>
                <w:szCs w:val="22"/>
                <w:rtl/>
              </w:rPr>
              <w:t>مجموع التلاميذ/ الطلاب الذكور</w:t>
            </w:r>
          </w:p>
        </w:tc>
        <w:tc>
          <w:tcPr>
            <w:tcW w:w="772"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center"/>
              <w:rPr>
                <w:rFonts w:hint="cs"/>
                <w:i/>
                <w:iCs/>
                <w:sz w:val="22"/>
                <w:szCs w:val="22"/>
                <w:rtl/>
              </w:rPr>
            </w:pPr>
            <w:r w:rsidRPr="00B35A26">
              <w:rPr>
                <w:rFonts w:hint="cs"/>
                <w:i/>
                <w:iCs/>
                <w:sz w:val="22"/>
                <w:szCs w:val="22"/>
                <w:rtl/>
              </w:rPr>
              <w:t>المدارس الابتدائية</w:t>
            </w:r>
          </w:p>
        </w:tc>
        <w:tc>
          <w:tcPr>
            <w:tcW w:w="824"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center"/>
              <w:rPr>
                <w:rFonts w:hint="cs"/>
                <w:i/>
                <w:iCs/>
                <w:sz w:val="22"/>
                <w:szCs w:val="22"/>
                <w:rtl/>
              </w:rPr>
            </w:pPr>
            <w:r w:rsidRPr="00B35A26">
              <w:rPr>
                <w:rFonts w:hint="cs"/>
                <w:i/>
                <w:iCs/>
                <w:sz w:val="22"/>
                <w:szCs w:val="22"/>
                <w:rtl/>
              </w:rPr>
              <w:t>المدارس الثانوية العامة</w:t>
            </w:r>
          </w:p>
        </w:tc>
        <w:tc>
          <w:tcPr>
            <w:tcW w:w="618"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center"/>
              <w:rPr>
                <w:rFonts w:hint="cs"/>
                <w:i/>
                <w:iCs/>
                <w:sz w:val="22"/>
                <w:szCs w:val="22"/>
                <w:rtl/>
              </w:rPr>
            </w:pPr>
            <w:r w:rsidRPr="00B35A26">
              <w:rPr>
                <w:rFonts w:hint="cs"/>
                <w:i/>
                <w:iCs/>
                <w:sz w:val="22"/>
                <w:szCs w:val="22"/>
                <w:rtl/>
              </w:rPr>
              <w:t>المدارس الخاصة</w:t>
            </w:r>
          </w:p>
        </w:tc>
        <w:tc>
          <w:tcPr>
            <w:tcW w:w="618"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center"/>
              <w:rPr>
                <w:rFonts w:hint="cs"/>
                <w:i/>
                <w:iCs/>
                <w:sz w:val="22"/>
                <w:szCs w:val="22"/>
                <w:rtl/>
              </w:rPr>
            </w:pPr>
            <w:r w:rsidRPr="00B35A26">
              <w:rPr>
                <w:rFonts w:hint="cs"/>
                <w:i/>
                <w:iCs/>
                <w:sz w:val="22"/>
                <w:szCs w:val="22"/>
                <w:rtl/>
              </w:rPr>
              <w:t>السنة السابقة للدراسة المهنية</w:t>
            </w:r>
          </w:p>
        </w:tc>
        <w:tc>
          <w:tcPr>
            <w:tcW w:w="824"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center"/>
              <w:rPr>
                <w:rFonts w:hint="cs"/>
                <w:i/>
                <w:iCs/>
                <w:sz w:val="22"/>
                <w:szCs w:val="22"/>
                <w:rtl/>
              </w:rPr>
            </w:pPr>
            <w:r w:rsidRPr="00B35A26">
              <w:rPr>
                <w:rFonts w:hint="cs"/>
                <w:i/>
                <w:iCs/>
                <w:sz w:val="22"/>
                <w:szCs w:val="22"/>
                <w:rtl/>
              </w:rPr>
              <w:t>المدارس الثانوية الأكاديمية</w:t>
            </w:r>
          </w:p>
        </w:tc>
        <w:tc>
          <w:tcPr>
            <w:tcW w:w="721"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center"/>
              <w:rPr>
                <w:rFonts w:hint="cs"/>
                <w:i/>
                <w:iCs/>
                <w:sz w:val="22"/>
                <w:szCs w:val="22"/>
                <w:rtl/>
              </w:rPr>
            </w:pPr>
            <w:r>
              <w:rPr>
                <w:rFonts w:hint="cs"/>
                <w:i/>
                <w:iCs/>
                <w:sz w:val="22"/>
                <w:szCs w:val="22"/>
                <w:rtl/>
              </w:rPr>
              <w:t>كليات التدريب المهني</w:t>
            </w:r>
          </w:p>
        </w:tc>
        <w:tc>
          <w:tcPr>
            <w:tcW w:w="927"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center"/>
              <w:rPr>
                <w:rFonts w:hint="cs"/>
                <w:i/>
                <w:iCs/>
                <w:sz w:val="22"/>
                <w:szCs w:val="22"/>
                <w:rtl/>
              </w:rPr>
            </w:pPr>
            <w:r w:rsidRPr="00B35A26">
              <w:rPr>
                <w:rFonts w:hint="cs"/>
                <w:i/>
                <w:iCs/>
                <w:sz w:val="22"/>
                <w:szCs w:val="22"/>
                <w:rtl/>
              </w:rPr>
              <w:t>المدارس الإعدادية و/أو المدارس المهنية</w:t>
            </w:r>
          </w:p>
        </w:tc>
        <w:tc>
          <w:tcPr>
            <w:tcW w:w="927"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center"/>
              <w:rPr>
                <w:rFonts w:hint="cs"/>
                <w:i/>
                <w:iCs/>
                <w:sz w:val="22"/>
                <w:szCs w:val="22"/>
                <w:rtl/>
              </w:rPr>
            </w:pPr>
            <w:r>
              <w:rPr>
                <w:rFonts w:hint="cs"/>
                <w:i/>
                <w:iCs/>
                <w:sz w:val="22"/>
                <w:szCs w:val="22"/>
                <w:rtl/>
              </w:rPr>
              <w:t>المدارس الثانوية و/أو المدارس المهنية</w:t>
            </w:r>
          </w:p>
        </w:tc>
        <w:tc>
          <w:tcPr>
            <w:tcW w:w="824"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center"/>
              <w:rPr>
                <w:rFonts w:hint="cs"/>
                <w:i/>
                <w:iCs/>
                <w:sz w:val="22"/>
                <w:szCs w:val="22"/>
                <w:rtl/>
              </w:rPr>
            </w:pPr>
            <w:r w:rsidRPr="00B35A26">
              <w:rPr>
                <w:rFonts w:hint="cs"/>
                <w:i/>
                <w:iCs/>
                <w:sz w:val="22"/>
                <w:szCs w:val="22"/>
                <w:rtl/>
              </w:rPr>
              <w:t>الأكاديميات الفنية و/أو المهنية</w:t>
            </w:r>
          </w:p>
        </w:tc>
        <w:tc>
          <w:tcPr>
            <w:tcW w:w="721"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center"/>
              <w:rPr>
                <w:rFonts w:hint="cs"/>
                <w:i/>
                <w:iCs/>
                <w:sz w:val="22"/>
                <w:szCs w:val="22"/>
                <w:rtl/>
              </w:rPr>
            </w:pPr>
            <w:r w:rsidRPr="00B35A26">
              <w:rPr>
                <w:rFonts w:hint="cs"/>
                <w:i/>
                <w:iCs/>
                <w:sz w:val="22"/>
                <w:szCs w:val="22"/>
                <w:rtl/>
              </w:rPr>
              <w:t>كليات التربية المتوسطة</w:t>
            </w:r>
          </w:p>
        </w:tc>
        <w:tc>
          <w:tcPr>
            <w:tcW w:w="824"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center"/>
              <w:rPr>
                <w:rFonts w:hint="cs"/>
                <w:i/>
                <w:iCs/>
                <w:sz w:val="22"/>
                <w:szCs w:val="22"/>
                <w:rtl/>
              </w:rPr>
            </w:pPr>
            <w:r w:rsidRPr="00B35A26">
              <w:rPr>
                <w:rFonts w:hint="cs"/>
                <w:i/>
                <w:iCs/>
                <w:sz w:val="22"/>
                <w:szCs w:val="22"/>
                <w:rtl/>
              </w:rPr>
              <w:t>كليات التربية العليا للتدريب المهني</w:t>
            </w:r>
          </w:p>
        </w:tc>
        <w:tc>
          <w:tcPr>
            <w:tcW w:w="1030" w:type="dxa"/>
            <w:tcBorders>
              <w:top w:val="single" w:sz="4" w:space="0" w:color="auto"/>
              <w:bottom w:val="single" w:sz="12" w:space="0" w:color="auto"/>
            </w:tcBorders>
            <w:shd w:val="clear" w:color="auto" w:fill="auto"/>
            <w:vAlign w:val="bottom"/>
          </w:tcPr>
          <w:p w:rsidR="002D3A4A" w:rsidRPr="00B35A26" w:rsidRDefault="002D3A4A" w:rsidP="002D3A4A">
            <w:pPr>
              <w:spacing w:before="40" w:after="40" w:line="200" w:lineRule="exact"/>
              <w:ind w:right="144"/>
              <w:jc w:val="center"/>
              <w:rPr>
                <w:rFonts w:hint="cs"/>
                <w:i/>
                <w:iCs/>
                <w:sz w:val="22"/>
                <w:szCs w:val="22"/>
                <w:rtl/>
              </w:rPr>
            </w:pPr>
            <w:r w:rsidRPr="00B35A26">
              <w:rPr>
                <w:rFonts w:hint="cs"/>
                <w:i/>
                <w:iCs/>
                <w:sz w:val="22"/>
                <w:szCs w:val="22"/>
                <w:rtl/>
              </w:rPr>
              <w:t>أكاديميات تدريب المعلمين وكليات التربية</w:t>
            </w:r>
          </w:p>
        </w:tc>
      </w:tr>
      <w:tr w:rsidR="002D3A4A" w:rsidRPr="00B35A26">
        <w:tblPrEx>
          <w:tblCellMar>
            <w:top w:w="0" w:type="dxa"/>
            <w:bottom w:w="0" w:type="dxa"/>
          </w:tblCellMar>
        </w:tblPrEx>
        <w:trPr>
          <w:cantSplit/>
          <w:trHeight w:hRule="exact" w:val="110"/>
          <w:tblHeader/>
          <w:jc w:val="center"/>
        </w:trPr>
        <w:tc>
          <w:tcPr>
            <w:tcW w:w="1803" w:type="dxa"/>
            <w:tcBorders>
              <w:top w:val="single" w:sz="12" w:space="0" w:color="auto"/>
            </w:tcBorders>
            <w:shd w:val="clear" w:color="auto" w:fill="auto"/>
            <w:vAlign w:val="bottom"/>
          </w:tcPr>
          <w:p w:rsidR="002D3A4A" w:rsidRPr="00B35A26" w:rsidRDefault="002D3A4A" w:rsidP="002D3A4A">
            <w:pPr>
              <w:spacing w:before="40" w:after="80" w:line="220" w:lineRule="exact"/>
              <w:rPr>
                <w:rFonts w:hint="cs"/>
                <w:sz w:val="16"/>
                <w:szCs w:val="24"/>
                <w:rtl/>
              </w:rPr>
            </w:pPr>
          </w:p>
        </w:tc>
        <w:tc>
          <w:tcPr>
            <w:tcW w:w="1092" w:type="dxa"/>
            <w:tcBorders>
              <w:top w:val="single" w:sz="12" w:space="0" w:color="auto"/>
            </w:tcBorders>
            <w:shd w:val="clear" w:color="auto" w:fill="auto"/>
            <w:vAlign w:val="bottom"/>
          </w:tcPr>
          <w:p w:rsidR="002D3A4A" w:rsidRPr="00B35A26" w:rsidRDefault="002D3A4A" w:rsidP="002D3A4A">
            <w:pPr>
              <w:spacing w:before="40" w:after="80" w:line="220" w:lineRule="exact"/>
              <w:ind w:right="144"/>
              <w:jc w:val="lowKashida"/>
              <w:rPr>
                <w:rFonts w:hint="cs"/>
                <w:sz w:val="16"/>
                <w:szCs w:val="24"/>
                <w:rtl/>
              </w:rPr>
            </w:pPr>
          </w:p>
        </w:tc>
        <w:tc>
          <w:tcPr>
            <w:tcW w:w="772" w:type="dxa"/>
            <w:tcBorders>
              <w:top w:val="single" w:sz="12" w:space="0" w:color="auto"/>
            </w:tcBorders>
            <w:shd w:val="clear" w:color="auto" w:fill="auto"/>
            <w:vAlign w:val="bottom"/>
          </w:tcPr>
          <w:p w:rsidR="002D3A4A" w:rsidRPr="00B35A26" w:rsidRDefault="002D3A4A" w:rsidP="002D3A4A">
            <w:pPr>
              <w:spacing w:before="40" w:after="80" w:line="22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2D3A4A" w:rsidRPr="00B35A26" w:rsidRDefault="002D3A4A" w:rsidP="002D3A4A">
            <w:pPr>
              <w:spacing w:before="40" w:after="80" w:line="220" w:lineRule="exact"/>
              <w:ind w:right="144"/>
              <w:jc w:val="lowKashida"/>
              <w:rPr>
                <w:rFonts w:hint="cs"/>
                <w:sz w:val="16"/>
                <w:szCs w:val="24"/>
                <w:rtl/>
              </w:rPr>
            </w:pPr>
          </w:p>
        </w:tc>
        <w:tc>
          <w:tcPr>
            <w:tcW w:w="618" w:type="dxa"/>
            <w:tcBorders>
              <w:top w:val="single" w:sz="12" w:space="0" w:color="auto"/>
            </w:tcBorders>
            <w:shd w:val="clear" w:color="auto" w:fill="auto"/>
            <w:vAlign w:val="bottom"/>
          </w:tcPr>
          <w:p w:rsidR="002D3A4A" w:rsidRPr="00B35A26" w:rsidRDefault="002D3A4A" w:rsidP="002D3A4A">
            <w:pPr>
              <w:spacing w:before="40" w:after="80" w:line="220" w:lineRule="exact"/>
              <w:ind w:right="144"/>
              <w:jc w:val="lowKashida"/>
              <w:rPr>
                <w:rFonts w:hint="cs"/>
                <w:sz w:val="16"/>
                <w:szCs w:val="24"/>
                <w:rtl/>
              </w:rPr>
            </w:pPr>
          </w:p>
        </w:tc>
        <w:tc>
          <w:tcPr>
            <w:tcW w:w="618" w:type="dxa"/>
            <w:tcBorders>
              <w:top w:val="single" w:sz="12" w:space="0" w:color="auto"/>
            </w:tcBorders>
            <w:shd w:val="clear" w:color="auto" w:fill="auto"/>
            <w:vAlign w:val="bottom"/>
          </w:tcPr>
          <w:p w:rsidR="002D3A4A" w:rsidRPr="00B35A26" w:rsidRDefault="002D3A4A" w:rsidP="002D3A4A">
            <w:pPr>
              <w:spacing w:before="40" w:after="80" w:line="22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2D3A4A" w:rsidRPr="00B35A26" w:rsidRDefault="002D3A4A" w:rsidP="002D3A4A">
            <w:pPr>
              <w:spacing w:before="40" w:after="80" w:line="22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2D3A4A" w:rsidRPr="00B35A26" w:rsidRDefault="002D3A4A" w:rsidP="002D3A4A">
            <w:pPr>
              <w:spacing w:before="40" w:after="80" w:line="22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2D3A4A" w:rsidRPr="00B35A26" w:rsidRDefault="002D3A4A" w:rsidP="002D3A4A">
            <w:pPr>
              <w:spacing w:before="40" w:after="80" w:line="22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2D3A4A" w:rsidRPr="00B35A26" w:rsidRDefault="002D3A4A" w:rsidP="002D3A4A">
            <w:pPr>
              <w:spacing w:before="40" w:after="80" w:line="22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2D3A4A" w:rsidRPr="00B35A26" w:rsidRDefault="002D3A4A" w:rsidP="002D3A4A">
            <w:pPr>
              <w:spacing w:before="40" w:after="80" w:line="22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2D3A4A" w:rsidRPr="00B35A26" w:rsidRDefault="002D3A4A" w:rsidP="002D3A4A">
            <w:pPr>
              <w:spacing w:before="40" w:after="80" w:line="22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2D3A4A" w:rsidRPr="00B35A26" w:rsidRDefault="002D3A4A" w:rsidP="002D3A4A">
            <w:pPr>
              <w:spacing w:before="40" w:after="80" w:line="22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2D3A4A" w:rsidRPr="00B35A26" w:rsidRDefault="002D3A4A" w:rsidP="002D3A4A">
            <w:pPr>
              <w:spacing w:before="40" w:after="80" w:line="220" w:lineRule="exact"/>
              <w:ind w:right="144"/>
              <w:jc w:val="lowKashida"/>
              <w:rPr>
                <w:rFonts w:hint="cs"/>
                <w:sz w:val="16"/>
                <w:szCs w:val="24"/>
                <w:rtl/>
              </w:rPr>
            </w:pPr>
          </w:p>
        </w:tc>
      </w:tr>
      <w:tr w:rsidR="002D3A4A" w:rsidRPr="00B35A26">
        <w:tblPrEx>
          <w:tblCellMar>
            <w:top w:w="0" w:type="dxa"/>
            <w:bottom w:w="0" w:type="dxa"/>
          </w:tblCellMar>
        </w:tblPrEx>
        <w:trPr>
          <w:cantSplit/>
          <w:trHeight w:val="315"/>
          <w:jc w:val="center"/>
        </w:trPr>
        <w:tc>
          <w:tcPr>
            <w:tcW w:w="1803" w:type="dxa"/>
            <w:shd w:val="clear" w:color="auto" w:fill="auto"/>
          </w:tcPr>
          <w:p w:rsidR="002D3A4A" w:rsidRPr="00C70F31" w:rsidRDefault="002D3A4A" w:rsidP="002D3A4A">
            <w:pPr>
              <w:spacing w:before="40" w:after="40" w:line="180" w:lineRule="exact"/>
              <w:rPr>
                <w:rFonts w:hint="cs"/>
                <w:b/>
                <w:bCs/>
                <w:sz w:val="22"/>
                <w:szCs w:val="22"/>
                <w:rtl/>
              </w:rPr>
            </w:pPr>
            <w:r w:rsidRPr="00C70F31">
              <w:rPr>
                <w:rFonts w:hint="cs"/>
                <w:b/>
                <w:bCs/>
                <w:sz w:val="22"/>
                <w:szCs w:val="22"/>
                <w:rtl/>
              </w:rPr>
              <w:t>من هم دون سن الدراسة</w:t>
            </w:r>
          </w:p>
        </w:tc>
        <w:tc>
          <w:tcPr>
            <w:tcW w:w="1092" w:type="dxa"/>
            <w:shd w:val="clear" w:color="auto" w:fill="D9D9D9"/>
          </w:tcPr>
          <w:p w:rsidR="002D3A4A" w:rsidRPr="00C70F31" w:rsidRDefault="002D3A4A" w:rsidP="002D3A4A">
            <w:pPr>
              <w:spacing w:before="40" w:after="40" w:line="180" w:lineRule="exact"/>
              <w:ind w:right="144"/>
              <w:rPr>
                <w:rFonts w:hint="cs"/>
                <w:szCs w:val="20"/>
                <w:rtl/>
              </w:rPr>
            </w:pPr>
            <w:r w:rsidRPr="00C70F31">
              <w:rPr>
                <w:rFonts w:hint="cs"/>
                <w:szCs w:val="20"/>
                <w:rtl/>
              </w:rPr>
              <w:t>724 2</w:t>
            </w:r>
          </w:p>
        </w:tc>
        <w:tc>
          <w:tcPr>
            <w:tcW w:w="772" w:type="dxa"/>
            <w:shd w:val="clear" w:color="auto" w:fill="auto"/>
          </w:tcPr>
          <w:p w:rsidR="002D3A4A" w:rsidRPr="00C70F31" w:rsidRDefault="002D3A4A" w:rsidP="002D3A4A">
            <w:pPr>
              <w:spacing w:before="40" w:after="40" w:line="180" w:lineRule="exact"/>
              <w:ind w:right="144"/>
              <w:rPr>
                <w:rFonts w:hint="cs"/>
                <w:szCs w:val="20"/>
                <w:rtl/>
              </w:rPr>
            </w:pPr>
            <w:r w:rsidRPr="00C70F31">
              <w:rPr>
                <w:rFonts w:hint="cs"/>
                <w:szCs w:val="20"/>
                <w:rtl/>
              </w:rPr>
              <w:t>703 2</w:t>
            </w:r>
          </w:p>
        </w:tc>
        <w:tc>
          <w:tcPr>
            <w:tcW w:w="824" w:type="dxa"/>
            <w:shd w:val="clear" w:color="auto" w:fill="auto"/>
          </w:tcPr>
          <w:p w:rsidR="002D3A4A" w:rsidRPr="00C70F31" w:rsidRDefault="002D3A4A" w:rsidP="002D3A4A">
            <w:pPr>
              <w:spacing w:before="40" w:after="40" w:line="180" w:lineRule="exact"/>
              <w:ind w:right="144"/>
              <w:rPr>
                <w:rFonts w:hint="cs"/>
                <w:szCs w:val="20"/>
                <w:rtl/>
              </w:rPr>
            </w:pPr>
            <w:r w:rsidRPr="00C70F31">
              <w:rPr>
                <w:rFonts w:hint="cs"/>
                <w:szCs w:val="20"/>
                <w:rtl/>
              </w:rPr>
              <w:t>-</w:t>
            </w:r>
          </w:p>
        </w:tc>
        <w:tc>
          <w:tcPr>
            <w:tcW w:w="618" w:type="dxa"/>
            <w:shd w:val="clear" w:color="auto" w:fill="auto"/>
          </w:tcPr>
          <w:p w:rsidR="002D3A4A" w:rsidRPr="00C70F31" w:rsidRDefault="002D3A4A" w:rsidP="002D3A4A">
            <w:pPr>
              <w:spacing w:before="40" w:after="40" w:line="180" w:lineRule="exact"/>
              <w:ind w:right="144"/>
              <w:rPr>
                <w:rFonts w:hint="cs"/>
                <w:szCs w:val="20"/>
                <w:rtl/>
              </w:rPr>
            </w:pPr>
            <w:r w:rsidRPr="00C70F31">
              <w:rPr>
                <w:rFonts w:hint="cs"/>
                <w:szCs w:val="20"/>
                <w:rtl/>
              </w:rPr>
              <w:t>21</w:t>
            </w:r>
          </w:p>
        </w:tc>
        <w:tc>
          <w:tcPr>
            <w:tcW w:w="618" w:type="dxa"/>
            <w:shd w:val="clear" w:color="auto" w:fill="auto"/>
          </w:tcPr>
          <w:p w:rsidR="002D3A4A" w:rsidRPr="00C70F31" w:rsidRDefault="002D3A4A" w:rsidP="002D3A4A">
            <w:pPr>
              <w:spacing w:before="40" w:after="40" w:line="180" w:lineRule="exact"/>
              <w:ind w:right="144"/>
              <w:rPr>
                <w:rFonts w:hint="cs"/>
                <w:szCs w:val="20"/>
                <w:rtl/>
              </w:rPr>
            </w:pPr>
            <w:r w:rsidRPr="00C70F31">
              <w:rPr>
                <w:rFonts w:hint="cs"/>
                <w:szCs w:val="20"/>
                <w:rtl/>
              </w:rPr>
              <w:t>-</w:t>
            </w:r>
          </w:p>
        </w:tc>
        <w:tc>
          <w:tcPr>
            <w:tcW w:w="824" w:type="dxa"/>
            <w:shd w:val="clear" w:color="auto" w:fill="auto"/>
          </w:tcPr>
          <w:p w:rsidR="002D3A4A" w:rsidRPr="00C70F31" w:rsidRDefault="002D3A4A" w:rsidP="002D3A4A">
            <w:pPr>
              <w:spacing w:before="40" w:after="40" w:line="180" w:lineRule="exact"/>
              <w:ind w:right="144"/>
              <w:rPr>
                <w:rFonts w:hint="cs"/>
                <w:szCs w:val="20"/>
                <w:rtl/>
              </w:rPr>
            </w:pPr>
            <w:r w:rsidRPr="00C70F31">
              <w:rPr>
                <w:rFonts w:hint="cs"/>
                <w:szCs w:val="20"/>
                <w:rtl/>
              </w:rPr>
              <w:t>-</w:t>
            </w:r>
          </w:p>
        </w:tc>
        <w:tc>
          <w:tcPr>
            <w:tcW w:w="721" w:type="dxa"/>
            <w:shd w:val="clear" w:color="auto" w:fill="auto"/>
          </w:tcPr>
          <w:p w:rsidR="002D3A4A" w:rsidRPr="00C70F31" w:rsidRDefault="002D3A4A" w:rsidP="002D3A4A">
            <w:pPr>
              <w:spacing w:before="40" w:after="40" w:line="180" w:lineRule="exact"/>
              <w:ind w:right="144"/>
              <w:rPr>
                <w:rFonts w:hint="cs"/>
                <w:szCs w:val="20"/>
                <w:rtl/>
              </w:rPr>
            </w:pPr>
            <w:r w:rsidRPr="00C70F31">
              <w:rPr>
                <w:rFonts w:hint="cs"/>
                <w:szCs w:val="20"/>
                <w:rtl/>
              </w:rPr>
              <w:t>-</w:t>
            </w:r>
          </w:p>
        </w:tc>
        <w:tc>
          <w:tcPr>
            <w:tcW w:w="927" w:type="dxa"/>
            <w:shd w:val="clear" w:color="auto" w:fill="auto"/>
          </w:tcPr>
          <w:p w:rsidR="002D3A4A" w:rsidRPr="00C70F31" w:rsidRDefault="002D3A4A" w:rsidP="002D3A4A">
            <w:pPr>
              <w:spacing w:before="40" w:after="40" w:line="180" w:lineRule="exact"/>
              <w:ind w:right="144"/>
              <w:rPr>
                <w:rFonts w:hint="cs"/>
                <w:szCs w:val="20"/>
                <w:rtl/>
              </w:rPr>
            </w:pPr>
            <w:r w:rsidRPr="00C70F31">
              <w:rPr>
                <w:rFonts w:hint="cs"/>
                <w:szCs w:val="20"/>
                <w:rtl/>
              </w:rPr>
              <w:t>-</w:t>
            </w:r>
          </w:p>
        </w:tc>
        <w:tc>
          <w:tcPr>
            <w:tcW w:w="927" w:type="dxa"/>
            <w:shd w:val="clear" w:color="auto" w:fill="auto"/>
          </w:tcPr>
          <w:p w:rsidR="002D3A4A" w:rsidRPr="00C70F31" w:rsidRDefault="002D3A4A" w:rsidP="002D3A4A">
            <w:pPr>
              <w:spacing w:before="40" w:after="40" w:line="180" w:lineRule="exact"/>
              <w:ind w:right="144"/>
              <w:rPr>
                <w:rFonts w:hint="cs"/>
                <w:szCs w:val="20"/>
                <w:rtl/>
              </w:rPr>
            </w:pPr>
            <w:r w:rsidRPr="00C70F31">
              <w:rPr>
                <w:rFonts w:hint="cs"/>
                <w:szCs w:val="20"/>
                <w:rtl/>
              </w:rPr>
              <w:t>-</w:t>
            </w:r>
          </w:p>
        </w:tc>
        <w:tc>
          <w:tcPr>
            <w:tcW w:w="824" w:type="dxa"/>
            <w:shd w:val="clear" w:color="auto" w:fill="auto"/>
          </w:tcPr>
          <w:p w:rsidR="002D3A4A" w:rsidRPr="00C70F31" w:rsidRDefault="002D3A4A" w:rsidP="002D3A4A">
            <w:pPr>
              <w:spacing w:before="40" w:after="40" w:line="180" w:lineRule="exact"/>
              <w:ind w:right="144"/>
              <w:rPr>
                <w:rFonts w:hint="cs"/>
                <w:szCs w:val="20"/>
                <w:rtl/>
              </w:rPr>
            </w:pPr>
            <w:r w:rsidRPr="00C70F31">
              <w:rPr>
                <w:rFonts w:hint="cs"/>
                <w:szCs w:val="20"/>
                <w:rtl/>
              </w:rPr>
              <w:t>-</w:t>
            </w:r>
          </w:p>
        </w:tc>
        <w:tc>
          <w:tcPr>
            <w:tcW w:w="721" w:type="dxa"/>
            <w:shd w:val="clear" w:color="auto" w:fill="auto"/>
          </w:tcPr>
          <w:p w:rsidR="002D3A4A" w:rsidRPr="00C70F31" w:rsidRDefault="002D3A4A" w:rsidP="002D3A4A">
            <w:pPr>
              <w:spacing w:before="40" w:after="40" w:line="180" w:lineRule="exact"/>
              <w:ind w:right="144"/>
              <w:rPr>
                <w:rFonts w:hint="cs"/>
                <w:szCs w:val="20"/>
                <w:rtl/>
              </w:rPr>
            </w:pPr>
            <w:r w:rsidRPr="00C70F31">
              <w:rPr>
                <w:rFonts w:hint="cs"/>
                <w:szCs w:val="20"/>
                <w:rtl/>
              </w:rPr>
              <w:t>-</w:t>
            </w:r>
          </w:p>
        </w:tc>
        <w:tc>
          <w:tcPr>
            <w:tcW w:w="824" w:type="dxa"/>
            <w:shd w:val="clear" w:color="auto" w:fill="auto"/>
          </w:tcPr>
          <w:p w:rsidR="002D3A4A" w:rsidRPr="00C70F31" w:rsidRDefault="002D3A4A" w:rsidP="002D3A4A">
            <w:pPr>
              <w:spacing w:before="40" w:after="40" w:line="180" w:lineRule="exact"/>
              <w:ind w:right="144"/>
              <w:rPr>
                <w:rFonts w:hint="cs"/>
                <w:szCs w:val="20"/>
                <w:rtl/>
              </w:rPr>
            </w:pPr>
            <w:r w:rsidRPr="00C70F31">
              <w:rPr>
                <w:rFonts w:hint="cs"/>
                <w:szCs w:val="20"/>
                <w:rtl/>
              </w:rPr>
              <w:t>-</w:t>
            </w:r>
          </w:p>
        </w:tc>
        <w:tc>
          <w:tcPr>
            <w:tcW w:w="1030" w:type="dxa"/>
            <w:shd w:val="clear" w:color="auto" w:fill="auto"/>
          </w:tcPr>
          <w:p w:rsidR="002D3A4A" w:rsidRPr="00C70F31" w:rsidRDefault="002D3A4A" w:rsidP="002D3A4A">
            <w:pPr>
              <w:spacing w:before="40" w:after="40" w:line="180" w:lineRule="exact"/>
              <w:ind w:right="144"/>
              <w:rPr>
                <w:rFonts w:hint="cs"/>
                <w:szCs w:val="20"/>
                <w:rtl/>
              </w:rPr>
            </w:pPr>
            <w:r w:rsidRPr="00C70F31">
              <w:rPr>
                <w:rFonts w:hint="cs"/>
                <w:szCs w:val="20"/>
                <w:rtl/>
              </w:rPr>
              <w:t>-</w:t>
            </w:r>
          </w:p>
        </w:tc>
      </w:tr>
      <w:tr w:rsidR="002D3A4A" w:rsidRPr="00B35A26">
        <w:tblPrEx>
          <w:tblCellMar>
            <w:top w:w="0" w:type="dxa"/>
            <w:bottom w:w="0" w:type="dxa"/>
          </w:tblCellMar>
        </w:tblPrEx>
        <w:trPr>
          <w:cantSplit/>
          <w:trHeight w:val="225"/>
          <w:jc w:val="center"/>
        </w:trPr>
        <w:tc>
          <w:tcPr>
            <w:tcW w:w="1803" w:type="dxa"/>
            <w:shd w:val="clear" w:color="auto" w:fill="auto"/>
            <w:vAlign w:val="bottom"/>
          </w:tcPr>
          <w:p w:rsidR="002D3A4A" w:rsidRPr="00C70F31" w:rsidRDefault="002D3A4A" w:rsidP="002D3A4A">
            <w:pPr>
              <w:spacing w:before="40" w:after="40" w:line="180" w:lineRule="exact"/>
              <w:rPr>
                <w:rFonts w:hint="cs"/>
                <w:b/>
                <w:bCs/>
                <w:sz w:val="22"/>
                <w:szCs w:val="22"/>
                <w:rtl/>
              </w:rPr>
            </w:pPr>
            <w:r w:rsidRPr="00C70F31">
              <w:rPr>
                <w:rFonts w:hint="cs"/>
                <w:b/>
                <w:bCs/>
                <w:sz w:val="22"/>
                <w:szCs w:val="22"/>
                <w:rtl/>
              </w:rPr>
              <w:t>النسبة المئوية</w:t>
            </w:r>
          </w:p>
        </w:tc>
        <w:tc>
          <w:tcPr>
            <w:tcW w:w="1092" w:type="dxa"/>
            <w:shd w:val="clear" w:color="auto" w:fill="D9D9D9"/>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100.0</w:t>
            </w:r>
          </w:p>
        </w:tc>
        <w:tc>
          <w:tcPr>
            <w:tcW w:w="772"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99.2</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618"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0.8</w:t>
            </w:r>
          </w:p>
        </w:tc>
        <w:tc>
          <w:tcPr>
            <w:tcW w:w="618"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721"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927"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927"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721"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1030"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r>
      <w:tr w:rsidR="002D3A4A" w:rsidRPr="00B35A26">
        <w:tblPrEx>
          <w:tblCellMar>
            <w:top w:w="0" w:type="dxa"/>
            <w:bottom w:w="0" w:type="dxa"/>
          </w:tblCellMar>
        </w:tblPrEx>
        <w:trPr>
          <w:cantSplit/>
          <w:trHeight w:val="450"/>
          <w:jc w:val="center"/>
        </w:trPr>
        <w:tc>
          <w:tcPr>
            <w:tcW w:w="1803" w:type="dxa"/>
            <w:shd w:val="clear" w:color="auto" w:fill="auto"/>
            <w:vAlign w:val="bottom"/>
          </w:tcPr>
          <w:p w:rsidR="002D3A4A" w:rsidRPr="00C70F31" w:rsidRDefault="002D3A4A" w:rsidP="002D3A4A">
            <w:pPr>
              <w:spacing w:before="40" w:after="40" w:line="180" w:lineRule="exact"/>
              <w:jc w:val="lowKashida"/>
              <w:rPr>
                <w:rFonts w:hint="cs"/>
                <w:b/>
                <w:bCs/>
                <w:sz w:val="22"/>
                <w:szCs w:val="22"/>
                <w:rtl/>
              </w:rPr>
            </w:pPr>
            <w:r w:rsidRPr="00C70F31">
              <w:rPr>
                <w:rFonts w:hint="cs"/>
                <w:b/>
                <w:bCs/>
                <w:sz w:val="22"/>
                <w:szCs w:val="22"/>
                <w:rtl/>
              </w:rPr>
              <w:t xml:space="preserve">الصف الأول </w:t>
            </w:r>
            <w:r w:rsidRPr="00C70F31">
              <w:rPr>
                <w:b/>
                <w:bCs/>
                <w:sz w:val="22"/>
                <w:szCs w:val="22"/>
                <w:rtl/>
              </w:rPr>
              <w:t>–</w:t>
            </w:r>
            <w:r w:rsidRPr="00C70F31">
              <w:rPr>
                <w:rFonts w:hint="cs"/>
                <w:b/>
                <w:bCs/>
                <w:sz w:val="22"/>
                <w:szCs w:val="22"/>
                <w:rtl/>
              </w:rPr>
              <w:t xml:space="preserve"> الرابع</w:t>
            </w:r>
          </w:p>
        </w:tc>
        <w:tc>
          <w:tcPr>
            <w:tcW w:w="1092" w:type="dxa"/>
            <w:shd w:val="clear" w:color="auto" w:fill="D9D9D9"/>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702 183</w:t>
            </w:r>
          </w:p>
        </w:tc>
        <w:tc>
          <w:tcPr>
            <w:tcW w:w="772"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092 182</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618"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610 1</w:t>
            </w:r>
          </w:p>
        </w:tc>
        <w:tc>
          <w:tcPr>
            <w:tcW w:w="618"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721"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927"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927"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721"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1030"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r>
      <w:tr w:rsidR="002D3A4A" w:rsidRPr="00B35A26">
        <w:tblPrEx>
          <w:tblCellMar>
            <w:top w:w="0" w:type="dxa"/>
            <w:bottom w:w="0" w:type="dxa"/>
          </w:tblCellMar>
        </w:tblPrEx>
        <w:trPr>
          <w:cantSplit/>
          <w:trHeight w:val="362"/>
          <w:jc w:val="center"/>
        </w:trPr>
        <w:tc>
          <w:tcPr>
            <w:tcW w:w="1803" w:type="dxa"/>
            <w:shd w:val="clear" w:color="auto" w:fill="auto"/>
            <w:vAlign w:val="bottom"/>
          </w:tcPr>
          <w:p w:rsidR="002D3A4A" w:rsidRPr="00C70F31" w:rsidRDefault="002D3A4A" w:rsidP="002D3A4A">
            <w:pPr>
              <w:spacing w:before="40" w:after="40" w:line="180" w:lineRule="exact"/>
              <w:rPr>
                <w:rFonts w:hint="cs"/>
                <w:b/>
                <w:bCs/>
                <w:sz w:val="22"/>
                <w:szCs w:val="22"/>
                <w:rtl/>
              </w:rPr>
            </w:pPr>
            <w:r w:rsidRPr="00C70F31">
              <w:rPr>
                <w:rFonts w:hint="cs"/>
                <w:b/>
                <w:bCs/>
                <w:sz w:val="22"/>
                <w:szCs w:val="22"/>
                <w:rtl/>
              </w:rPr>
              <w:t>النسبة المئوية</w:t>
            </w:r>
          </w:p>
        </w:tc>
        <w:tc>
          <w:tcPr>
            <w:tcW w:w="1092" w:type="dxa"/>
            <w:shd w:val="clear" w:color="auto" w:fill="D9D9D9"/>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100.0</w:t>
            </w:r>
          </w:p>
        </w:tc>
        <w:tc>
          <w:tcPr>
            <w:tcW w:w="772"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99.1</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618"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0.9</w:t>
            </w:r>
          </w:p>
        </w:tc>
        <w:tc>
          <w:tcPr>
            <w:tcW w:w="618"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721"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927"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927"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721"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1030"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r>
      <w:tr w:rsidR="002D3A4A" w:rsidRPr="00B35A26">
        <w:tblPrEx>
          <w:tblCellMar>
            <w:top w:w="0" w:type="dxa"/>
            <w:bottom w:w="0" w:type="dxa"/>
          </w:tblCellMar>
        </w:tblPrEx>
        <w:trPr>
          <w:cantSplit/>
          <w:trHeight w:val="351"/>
          <w:jc w:val="center"/>
        </w:trPr>
        <w:tc>
          <w:tcPr>
            <w:tcW w:w="1803" w:type="dxa"/>
            <w:shd w:val="clear" w:color="auto" w:fill="auto"/>
            <w:vAlign w:val="bottom"/>
          </w:tcPr>
          <w:p w:rsidR="002D3A4A" w:rsidRPr="00C70F31" w:rsidRDefault="002D3A4A" w:rsidP="002D3A4A">
            <w:pPr>
              <w:spacing w:before="40" w:after="40" w:line="180" w:lineRule="exact"/>
              <w:rPr>
                <w:rFonts w:hint="cs"/>
                <w:sz w:val="22"/>
                <w:szCs w:val="22"/>
                <w:rtl/>
              </w:rPr>
            </w:pPr>
            <w:r w:rsidRPr="00C70F31">
              <w:rPr>
                <w:rFonts w:hint="cs"/>
                <w:sz w:val="22"/>
                <w:szCs w:val="22"/>
                <w:rtl/>
              </w:rPr>
              <w:t xml:space="preserve">  الصف الأول</w:t>
            </w:r>
          </w:p>
        </w:tc>
        <w:tc>
          <w:tcPr>
            <w:tcW w:w="1092" w:type="dxa"/>
            <w:shd w:val="clear" w:color="auto" w:fill="D9D9D9"/>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219 45</w:t>
            </w:r>
          </w:p>
        </w:tc>
        <w:tc>
          <w:tcPr>
            <w:tcW w:w="772"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900 44</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618"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319</w:t>
            </w:r>
          </w:p>
        </w:tc>
        <w:tc>
          <w:tcPr>
            <w:tcW w:w="618"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721"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927"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927"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721"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1030"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r>
      <w:tr w:rsidR="002D3A4A" w:rsidRPr="00B35A26">
        <w:tblPrEx>
          <w:tblCellMar>
            <w:top w:w="0" w:type="dxa"/>
            <w:bottom w:w="0" w:type="dxa"/>
          </w:tblCellMar>
        </w:tblPrEx>
        <w:trPr>
          <w:cantSplit/>
          <w:trHeight w:val="362"/>
          <w:jc w:val="center"/>
        </w:trPr>
        <w:tc>
          <w:tcPr>
            <w:tcW w:w="1803" w:type="dxa"/>
            <w:shd w:val="clear" w:color="auto" w:fill="auto"/>
            <w:vAlign w:val="bottom"/>
          </w:tcPr>
          <w:p w:rsidR="002D3A4A" w:rsidRPr="00C70F31" w:rsidRDefault="002D3A4A" w:rsidP="002D3A4A">
            <w:pPr>
              <w:spacing w:before="40" w:after="40" w:line="180" w:lineRule="exact"/>
              <w:rPr>
                <w:rFonts w:hint="cs"/>
                <w:sz w:val="22"/>
                <w:szCs w:val="22"/>
                <w:rtl/>
              </w:rPr>
            </w:pPr>
            <w:r w:rsidRPr="00C70F31">
              <w:rPr>
                <w:rFonts w:hint="cs"/>
                <w:sz w:val="22"/>
                <w:szCs w:val="22"/>
                <w:rtl/>
              </w:rPr>
              <w:t xml:space="preserve">    النسبة المئوية</w:t>
            </w:r>
          </w:p>
        </w:tc>
        <w:tc>
          <w:tcPr>
            <w:tcW w:w="1092" w:type="dxa"/>
            <w:shd w:val="clear" w:color="auto" w:fill="D9D9D9"/>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100.0</w:t>
            </w:r>
          </w:p>
        </w:tc>
        <w:tc>
          <w:tcPr>
            <w:tcW w:w="772"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99.3</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618"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0.7</w:t>
            </w:r>
          </w:p>
        </w:tc>
        <w:tc>
          <w:tcPr>
            <w:tcW w:w="618"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721"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927"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927"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721"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1030"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r>
      <w:tr w:rsidR="002D3A4A" w:rsidRPr="00B35A26">
        <w:tblPrEx>
          <w:tblCellMar>
            <w:top w:w="0" w:type="dxa"/>
            <w:bottom w:w="0" w:type="dxa"/>
          </w:tblCellMar>
        </w:tblPrEx>
        <w:trPr>
          <w:cantSplit/>
          <w:trHeight w:val="362"/>
          <w:jc w:val="center"/>
        </w:trPr>
        <w:tc>
          <w:tcPr>
            <w:tcW w:w="1803" w:type="dxa"/>
            <w:shd w:val="clear" w:color="auto" w:fill="auto"/>
            <w:vAlign w:val="bottom"/>
          </w:tcPr>
          <w:p w:rsidR="002D3A4A" w:rsidRPr="00C70F31" w:rsidRDefault="002D3A4A" w:rsidP="002D3A4A">
            <w:pPr>
              <w:spacing w:before="40" w:after="40" w:line="180" w:lineRule="exact"/>
              <w:rPr>
                <w:rFonts w:hint="cs"/>
                <w:sz w:val="22"/>
                <w:szCs w:val="22"/>
                <w:rtl/>
              </w:rPr>
            </w:pPr>
            <w:r w:rsidRPr="00C70F31">
              <w:rPr>
                <w:rFonts w:hint="cs"/>
                <w:sz w:val="22"/>
                <w:szCs w:val="22"/>
                <w:rtl/>
              </w:rPr>
              <w:t xml:space="preserve">  الصف الرابع</w:t>
            </w:r>
          </w:p>
        </w:tc>
        <w:tc>
          <w:tcPr>
            <w:tcW w:w="1092" w:type="dxa"/>
            <w:shd w:val="clear" w:color="auto" w:fill="D9D9D9"/>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323 47</w:t>
            </w:r>
          </w:p>
        </w:tc>
        <w:tc>
          <w:tcPr>
            <w:tcW w:w="772"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796 46</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618"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527</w:t>
            </w:r>
          </w:p>
        </w:tc>
        <w:tc>
          <w:tcPr>
            <w:tcW w:w="618"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721"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927"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927"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721"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1030" w:type="dxa"/>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r>
      <w:tr w:rsidR="002D3A4A" w:rsidRPr="00B35A26">
        <w:tblPrEx>
          <w:tblCellMar>
            <w:top w:w="0" w:type="dxa"/>
            <w:bottom w:w="0" w:type="dxa"/>
          </w:tblCellMar>
        </w:tblPrEx>
        <w:trPr>
          <w:cantSplit/>
          <w:trHeight w:val="261"/>
          <w:jc w:val="center"/>
        </w:trPr>
        <w:tc>
          <w:tcPr>
            <w:tcW w:w="1803" w:type="dxa"/>
            <w:tcBorders>
              <w:bottom w:val="single" w:sz="4" w:space="0" w:color="auto"/>
            </w:tcBorders>
            <w:shd w:val="clear" w:color="auto" w:fill="auto"/>
            <w:vAlign w:val="bottom"/>
          </w:tcPr>
          <w:p w:rsidR="002D3A4A" w:rsidRPr="00C70F31" w:rsidRDefault="002D3A4A" w:rsidP="002D3A4A">
            <w:pPr>
              <w:spacing w:before="40" w:after="40" w:line="180" w:lineRule="exact"/>
              <w:rPr>
                <w:rFonts w:hint="cs"/>
                <w:sz w:val="22"/>
                <w:szCs w:val="22"/>
                <w:rtl/>
              </w:rPr>
            </w:pPr>
            <w:r w:rsidRPr="00C70F31">
              <w:rPr>
                <w:rFonts w:hint="cs"/>
                <w:sz w:val="22"/>
                <w:szCs w:val="22"/>
                <w:rtl/>
              </w:rPr>
              <w:t xml:space="preserve">    النسبة المئوية</w:t>
            </w:r>
          </w:p>
        </w:tc>
        <w:tc>
          <w:tcPr>
            <w:tcW w:w="1092" w:type="dxa"/>
            <w:tcBorders>
              <w:bottom w:val="single" w:sz="4" w:space="0" w:color="auto"/>
            </w:tcBorders>
            <w:shd w:val="clear" w:color="auto" w:fill="D9D9D9"/>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100.0</w:t>
            </w:r>
          </w:p>
        </w:tc>
        <w:tc>
          <w:tcPr>
            <w:tcW w:w="772"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98.9</w:t>
            </w:r>
          </w:p>
        </w:tc>
        <w:tc>
          <w:tcPr>
            <w:tcW w:w="824"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618"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1.1</w:t>
            </w:r>
          </w:p>
        </w:tc>
        <w:tc>
          <w:tcPr>
            <w:tcW w:w="618"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721"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927"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927"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721"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1030"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r>
      <w:tr w:rsidR="002D3A4A" w:rsidRPr="00B35A26">
        <w:tblPrEx>
          <w:tblCellMar>
            <w:top w:w="0" w:type="dxa"/>
            <w:bottom w:w="0" w:type="dxa"/>
          </w:tblCellMar>
        </w:tblPrEx>
        <w:trPr>
          <w:cantSplit/>
          <w:trHeight w:val="440"/>
          <w:jc w:val="center"/>
        </w:trPr>
        <w:tc>
          <w:tcPr>
            <w:tcW w:w="1803" w:type="dxa"/>
            <w:tcBorders>
              <w:top w:val="single" w:sz="4" w:space="0" w:color="auto"/>
            </w:tcBorders>
            <w:shd w:val="clear" w:color="auto" w:fill="auto"/>
            <w:vAlign w:val="bottom"/>
          </w:tcPr>
          <w:p w:rsidR="002D3A4A" w:rsidRPr="00C70F31" w:rsidRDefault="002D3A4A" w:rsidP="002D3A4A">
            <w:pPr>
              <w:spacing w:before="40" w:after="40" w:line="180" w:lineRule="exact"/>
              <w:jc w:val="lowKashida"/>
              <w:rPr>
                <w:rFonts w:hint="cs"/>
                <w:b/>
                <w:bCs/>
                <w:sz w:val="22"/>
                <w:szCs w:val="22"/>
                <w:rtl/>
              </w:rPr>
            </w:pPr>
            <w:r w:rsidRPr="00C70F31">
              <w:rPr>
                <w:rFonts w:hint="cs"/>
                <w:b/>
                <w:bCs/>
                <w:sz w:val="22"/>
                <w:szCs w:val="22"/>
                <w:rtl/>
              </w:rPr>
              <w:t xml:space="preserve">الصف الخامس </w:t>
            </w:r>
            <w:r w:rsidRPr="00C70F31">
              <w:rPr>
                <w:b/>
                <w:bCs/>
                <w:sz w:val="22"/>
                <w:szCs w:val="22"/>
                <w:rtl/>
              </w:rPr>
              <w:t>–</w:t>
            </w:r>
            <w:r w:rsidRPr="00C70F31">
              <w:rPr>
                <w:rFonts w:hint="cs"/>
                <w:b/>
                <w:bCs/>
                <w:sz w:val="22"/>
                <w:szCs w:val="22"/>
                <w:rtl/>
              </w:rPr>
              <w:t xml:space="preserve"> الثامن</w:t>
            </w:r>
          </w:p>
        </w:tc>
        <w:tc>
          <w:tcPr>
            <w:tcW w:w="1092" w:type="dxa"/>
            <w:tcBorders>
              <w:top w:val="single" w:sz="4" w:space="0" w:color="auto"/>
            </w:tcBorders>
            <w:shd w:val="clear" w:color="auto" w:fill="D9D9D9"/>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664 188</w:t>
            </w:r>
          </w:p>
        </w:tc>
        <w:tc>
          <w:tcPr>
            <w:tcW w:w="772"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38</w:t>
            </w:r>
          </w:p>
        </w:tc>
        <w:tc>
          <w:tcPr>
            <w:tcW w:w="824"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206 127</w:t>
            </w:r>
          </w:p>
        </w:tc>
        <w:tc>
          <w:tcPr>
            <w:tcW w:w="618"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694 2</w:t>
            </w:r>
          </w:p>
        </w:tc>
        <w:tc>
          <w:tcPr>
            <w:tcW w:w="618"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648 58</w:t>
            </w:r>
          </w:p>
        </w:tc>
        <w:tc>
          <w:tcPr>
            <w:tcW w:w="721"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927"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78</w:t>
            </w:r>
          </w:p>
        </w:tc>
        <w:tc>
          <w:tcPr>
            <w:tcW w:w="927"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721"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1030"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r>
      <w:tr w:rsidR="002D3A4A" w:rsidRPr="00B35A26">
        <w:tblPrEx>
          <w:tblCellMar>
            <w:top w:w="0" w:type="dxa"/>
            <w:bottom w:w="0" w:type="dxa"/>
          </w:tblCellMar>
        </w:tblPrEx>
        <w:trPr>
          <w:cantSplit/>
          <w:trHeight w:val="362"/>
          <w:jc w:val="center"/>
        </w:trPr>
        <w:tc>
          <w:tcPr>
            <w:tcW w:w="1803" w:type="dxa"/>
            <w:shd w:val="clear" w:color="auto" w:fill="auto"/>
            <w:vAlign w:val="bottom"/>
          </w:tcPr>
          <w:p w:rsidR="002D3A4A" w:rsidRPr="00C70F31" w:rsidRDefault="002D3A4A" w:rsidP="002D3A4A">
            <w:pPr>
              <w:spacing w:before="40" w:after="40" w:line="180" w:lineRule="exact"/>
              <w:rPr>
                <w:rFonts w:hint="cs"/>
                <w:b/>
                <w:bCs/>
                <w:sz w:val="22"/>
                <w:szCs w:val="22"/>
                <w:rtl/>
              </w:rPr>
            </w:pPr>
            <w:r w:rsidRPr="00C70F31">
              <w:rPr>
                <w:rFonts w:hint="cs"/>
                <w:b/>
                <w:bCs/>
                <w:sz w:val="22"/>
                <w:szCs w:val="22"/>
                <w:rtl/>
              </w:rPr>
              <w:t>النسبة المئوية</w:t>
            </w:r>
          </w:p>
        </w:tc>
        <w:tc>
          <w:tcPr>
            <w:tcW w:w="1092" w:type="dxa"/>
            <w:shd w:val="clear" w:color="auto" w:fill="D9D9D9"/>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100.0</w:t>
            </w:r>
          </w:p>
        </w:tc>
        <w:tc>
          <w:tcPr>
            <w:tcW w:w="772"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0.0</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67.4</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1.4</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31.1</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0.0</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1030"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r>
      <w:tr w:rsidR="002D3A4A" w:rsidRPr="00B35A26">
        <w:tblPrEx>
          <w:tblCellMar>
            <w:top w:w="0" w:type="dxa"/>
            <w:bottom w:w="0" w:type="dxa"/>
          </w:tblCellMar>
        </w:tblPrEx>
        <w:trPr>
          <w:cantSplit/>
          <w:trHeight w:val="362"/>
          <w:jc w:val="center"/>
        </w:trPr>
        <w:tc>
          <w:tcPr>
            <w:tcW w:w="1803" w:type="dxa"/>
            <w:shd w:val="clear" w:color="auto" w:fill="auto"/>
            <w:vAlign w:val="bottom"/>
          </w:tcPr>
          <w:p w:rsidR="002D3A4A" w:rsidRPr="00C70F31" w:rsidRDefault="002D3A4A" w:rsidP="002D3A4A">
            <w:pPr>
              <w:spacing w:before="40" w:after="40" w:line="180" w:lineRule="exact"/>
              <w:rPr>
                <w:rFonts w:hint="cs"/>
                <w:sz w:val="22"/>
                <w:szCs w:val="22"/>
                <w:rtl/>
              </w:rPr>
            </w:pPr>
            <w:r w:rsidRPr="00C70F31">
              <w:rPr>
                <w:rFonts w:hint="cs"/>
                <w:sz w:val="22"/>
                <w:szCs w:val="22"/>
                <w:rtl/>
              </w:rPr>
              <w:t xml:space="preserve">  الصف الخامس</w:t>
            </w:r>
          </w:p>
        </w:tc>
        <w:tc>
          <w:tcPr>
            <w:tcW w:w="1092" w:type="dxa"/>
            <w:shd w:val="clear" w:color="auto" w:fill="D9D9D9"/>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299 47</w:t>
            </w:r>
          </w:p>
        </w:tc>
        <w:tc>
          <w:tcPr>
            <w:tcW w:w="772"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8</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363 31</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562</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366 15</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1030"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r>
      <w:tr w:rsidR="002D3A4A" w:rsidRPr="00B35A26">
        <w:tblPrEx>
          <w:tblCellMar>
            <w:top w:w="0" w:type="dxa"/>
            <w:bottom w:w="0" w:type="dxa"/>
          </w:tblCellMar>
        </w:tblPrEx>
        <w:trPr>
          <w:cantSplit/>
          <w:trHeight w:val="351"/>
          <w:jc w:val="center"/>
        </w:trPr>
        <w:tc>
          <w:tcPr>
            <w:tcW w:w="1803" w:type="dxa"/>
            <w:shd w:val="clear" w:color="auto" w:fill="auto"/>
            <w:vAlign w:val="bottom"/>
          </w:tcPr>
          <w:p w:rsidR="002D3A4A" w:rsidRPr="00C70F31" w:rsidRDefault="002D3A4A" w:rsidP="002D3A4A">
            <w:pPr>
              <w:spacing w:before="40" w:after="40" w:line="180" w:lineRule="exact"/>
              <w:rPr>
                <w:rFonts w:hint="cs"/>
                <w:sz w:val="22"/>
                <w:szCs w:val="22"/>
                <w:rtl/>
              </w:rPr>
            </w:pPr>
            <w:r w:rsidRPr="00C70F31">
              <w:rPr>
                <w:rFonts w:hint="cs"/>
                <w:sz w:val="22"/>
                <w:szCs w:val="22"/>
                <w:rtl/>
              </w:rPr>
              <w:t xml:space="preserve">    النسبة المئوية</w:t>
            </w:r>
          </w:p>
        </w:tc>
        <w:tc>
          <w:tcPr>
            <w:tcW w:w="1092" w:type="dxa"/>
            <w:shd w:val="clear" w:color="auto" w:fill="D9D9D9"/>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100.0</w:t>
            </w:r>
          </w:p>
        </w:tc>
        <w:tc>
          <w:tcPr>
            <w:tcW w:w="772"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0.0</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66.3</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1.2</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32.5</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1030"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r>
      <w:tr w:rsidR="002D3A4A" w:rsidRPr="00B35A26">
        <w:tblPrEx>
          <w:tblCellMar>
            <w:top w:w="0" w:type="dxa"/>
            <w:bottom w:w="0" w:type="dxa"/>
          </w:tblCellMar>
        </w:tblPrEx>
        <w:trPr>
          <w:cantSplit/>
          <w:trHeight w:val="362"/>
          <w:jc w:val="center"/>
        </w:trPr>
        <w:tc>
          <w:tcPr>
            <w:tcW w:w="1803" w:type="dxa"/>
            <w:shd w:val="clear" w:color="auto" w:fill="auto"/>
            <w:vAlign w:val="bottom"/>
          </w:tcPr>
          <w:p w:rsidR="002D3A4A" w:rsidRPr="00C70F31" w:rsidRDefault="002D3A4A" w:rsidP="002D3A4A">
            <w:pPr>
              <w:spacing w:before="40" w:after="40" w:line="180" w:lineRule="exact"/>
              <w:rPr>
                <w:rFonts w:hint="cs"/>
                <w:sz w:val="22"/>
                <w:szCs w:val="22"/>
                <w:rtl/>
              </w:rPr>
            </w:pPr>
            <w:r w:rsidRPr="00C70F31">
              <w:rPr>
                <w:rFonts w:hint="cs"/>
                <w:sz w:val="22"/>
                <w:szCs w:val="22"/>
                <w:rtl/>
              </w:rPr>
              <w:t xml:space="preserve">  الصف الثامن</w:t>
            </w:r>
          </w:p>
        </w:tc>
        <w:tc>
          <w:tcPr>
            <w:tcW w:w="1092" w:type="dxa"/>
            <w:shd w:val="clear" w:color="auto" w:fill="D9D9D9"/>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119 47</w:t>
            </w:r>
          </w:p>
        </w:tc>
        <w:tc>
          <w:tcPr>
            <w:tcW w:w="772"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 xml:space="preserve"> 13</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335 32</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762</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931 13</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78</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1030"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r>
      <w:tr w:rsidR="002D3A4A" w:rsidRPr="00B35A26">
        <w:tblPrEx>
          <w:tblCellMar>
            <w:top w:w="0" w:type="dxa"/>
            <w:bottom w:w="0" w:type="dxa"/>
          </w:tblCellMar>
        </w:tblPrEx>
        <w:trPr>
          <w:cantSplit/>
          <w:trHeight w:val="243"/>
          <w:jc w:val="center"/>
        </w:trPr>
        <w:tc>
          <w:tcPr>
            <w:tcW w:w="1803" w:type="dxa"/>
            <w:tcBorders>
              <w:bottom w:val="single" w:sz="4" w:space="0" w:color="auto"/>
            </w:tcBorders>
            <w:shd w:val="clear" w:color="auto" w:fill="auto"/>
            <w:vAlign w:val="bottom"/>
          </w:tcPr>
          <w:p w:rsidR="002D3A4A" w:rsidRPr="00C70F31" w:rsidRDefault="002D3A4A" w:rsidP="002D3A4A">
            <w:pPr>
              <w:spacing w:before="40" w:after="40" w:line="180" w:lineRule="exact"/>
              <w:rPr>
                <w:rFonts w:hint="cs"/>
                <w:sz w:val="22"/>
                <w:szCs w:val="22"/>
                <w:rtl/>
              </w:rPr>
            </w:pPr>
            <w:r w:rsidRPr="00C70F31">
              <w:rPr>
                <w:rFonts w:hint="cs"/>
                <w:sz w:val="22"/>
                <w:szCs w:val="22"/>
                <w:rtl/>
              </w:rPr>
              <w:t xml:space="preserve">    النسبة المئوية</w:t>
            </w:r>
          </w:p>
        </w:tc>
        <w:tc>
          <w:tcPr>
            <w:tcW w:w="1092" w:type="dxa"/>
            <w:tcBorders>
              <w:bottom w:val="single" w:sz="4" w:space="0" w:color="auto"/>
            </w:tcBorders>
            <w:shd w:val="clear" w:color="auto" w:fill="D9D9D9"/>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100.0</w:t>
            </w:r>
          </w:p>
        </w:tc>
        <w:tc>
          <w:tcPr>
            <w:tcW w:w="772" w:type="dxa"/>
            <w:tcBorders>
              <w:bottom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0.0</w:t>
            </w:r>
          </w:p>
        </w:tc>
        <w:tc>
          <w:tcPr>
            <w:tcW w:w="824" w:type="dxa"/>
            <w:tcBorders>
              <w:bottom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68.6</w:t>
            </w:r>
          </w:p>
        </w:tc>
        <w:tc>
          <w:tcPr>
            <w:tcW w:w="618" w:type="dxa"/>
            <w:tcBorders>
              <w:bottom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1.6</w:t>
            </w:r>
          </w:p>
        </w:tc>
        <w:tc>
          <w:tcPr>
            <w:tcW w:w="618" w:type="dxa"/>
            <w:tcBorders>
              <w:bottom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tcBorders>
              <w:bottom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29.6</w:t>
            </w:r>
          </w:p>
        </w:tc>
        <w:tc>
          <w:tcPr>
            <w:tcW w:w="721" w:type="dxa"/>
            <w:tcBorders>
              <w:bottom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927" w:type="dxa"/>
            <w:tcBorders>
              <w:bottom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0.2</w:t>
            </w:r>
          </w:p>
        </w:tc>
        <w:tc>
          <w:tcPr>
            <w:tcW w:w="927" w:type="dxa"/>
            <w:tcBorders>
              <w:bottom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tcBorders>
              <w:bottom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721" w:type="dxa"/>
            <w:tcBorders>
              <w:bottom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tcBorders>
              <w:bottom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1030" w:type="dxa"/>
            <w:tcBorders>
              <w:bottom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r>
      <w:tr w:rsidR="002D3A4A" w:rsidRPr="00B35A26">
        <w:tblPrEx>
          <w:tblCellMar>
            <w:top w:w="0" w:type="dxa"/>
            <w:bottom w:w="0" w:type="dxa"/>
          </w:tblCellMar>
        </w:tblPrEx>
        <w:trPr>
          <w:cantSplit/>
          <w:trHeight w:val="362"/>
          <w:jc w:val="center"/>
        </w:trPr>
        <w:tc>
          <w:tcPr>
            <w:tcW w:w="1803" w:type="dxa"/>
            <w:tcBorders>
              <w:top w:val="single" w:sz="4" w:space="0" w:color="auto"/>
            </w:tcBorders>
            <w:shd w:val="clear" w:color="auto" w:fill="auto"/>
            <w:vAlign w:val="bottom"/>
          </w:tcPr>
          <w:p w:rsidR="002D3A4A" w:rsidRPr="00C70F31" w:rsidRDefault="002D3A4A" w:rsidP="002D3A4A">
            <w:pPr>
              <w:spacing w:before="40" w:after="40" w:line="180" w:lineRule="exact"/>
              <w:rPr>
                <w:rFonts w:hint="cs"/>
                <w:b/>
                <w:bCs/>
                <w:sz w:val="22"/>
                <w:szCs w:val="22"/>
                <w:rtl/>
              </w:rPr>
            </w:pPr>
            <w:r w:rsidRPr="00C70F31">
              <w:rPr>
                <w:rFonts w:hint="cs"/>
                <w:b/>
                <w:bCs/>
                <w:sz w:val="22"/>
                <w:szCs w:val="22"/>
                <w:rtl/>
              </w:rPr>
              <w:t>من الصف التاسع</w:t>
            </w:r>
          </w:p>
        </w:tc>
        <w:tc>
          <w:tcPr>
            <w:tcW w:w="1092" w:type="dxa"/>
            <w:tcBorders>
              <w:top w:val="single" w:sz="4" w:space="0" w:color="auto"/>
            </w:tcBorders>
            <w:shd w:val="clear" w:color="auto" w:fill="D9D9D9"/>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872 207</w:t>
            </w:r>
          </w:p>
        </w:tc>
        <w:tc>
          <w:tcPr>
            <w:tcW w:w="772"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618"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536</w:t>
            </w:r>
          </w:p>
        </w:tc>
        <w:tc>
          <w:tcPr>
            <w:tcW w:w="618"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245 7</w:t>
            </w:r>
          </w:p>
        </w:tc>
        <w:tc>
          <w:tcPr>
            <w:tcW w:w="824"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020 44</w:t>
            </w:r>
          </w:p>
        </w:tc>
        <w:tc>
          <w:tcPr>
            <w:tcW w:w="721"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885 43</w:t>
            </w:r>
          </w:p>
        </w:tc>
        <w:tc>
          <w:tcPr>
            <w:tcW w:w="927"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276 26</w:t>
            </w:r>
          </w:p>
        </w:tc>
        <w:tc>
          <w:tcPr>
            <w:tcW w:w="927"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815 64</w:t>
            </w:r>
          </w:p>
        </w:tc>
        <w:tc>
          <w:tcPr>
            <w:tcW w:w="824"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641</w:t>
            </w:r>
          </w:p>
        </w:tc>
        <w:tc>
          <w:tcPr>
            <w:tcW w:w="721"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094 1</w:t>
            </w:r>
          </w:p>
        </w:tc>
        <w:tc>
          <w:tcPr>
            <w:tcW w:w="824"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580 8</w:t>
            </w:r>
          </w:p>
        </w:tc>
        <w:tc>
          <w:tcPr>
            <w:tcW w:w="1030" w:type="dxa"/>
            <w:tcBorders>
              <w:top w:val="single" w:sz="4" w:space="0" w:color="auto"/>
            </w:tcBorders>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780 10</w:t>
            </w:r>
          </w:p>
        </w:tc>
      </w:tr>
      <w:tr w:rsidR="002D3A4A" w:rsidRPr="00B35A26">
        <w:tblPrEx>
          <w:tblCellMar>
            <w:top w:w="0" w:type="dxa"/>
            <w:bottom w:w="0" w:type="dxa"/>
          </w:tblCellMar>
        </w:tblPrEx>
        <w:trPr>
          <w:cantSplit/>
          <w:trHeight w:val="351"/>
          <w:jc w:val="center"/>
        </w:trPr>
        <w:tc>
          <w:tcPr>
            <w:tcW w:w="1803" w:type="dxa"/>
            <w:shd w:val="clear" w:color="auto" w:fill="auto"/>
            <w:vAlign w:val="bottom"/>
          </w:tcPr>
          <w:p w:rsidR="002D3A4A" w:rsidRPr="00C70F31" w:rsidRDefault="002D3A4A" w:rsidP="002D3A4A">
            <w:pPr>
              <w:spacing w:before="40" w:after="40" w:line="180" w:lineRule="exact"/>
              <w:rPr>
                <w:rFonts w:hint="cs"/>
                <w:b/>
                <w:bCs/>
                <w:sz w:val="22"/>
                <w:szCs w:val="22"/>
                <w:rtl/>
              </w:rPr>
            </w:pPr>
            <w:r w:rsidRPr="00C70F31">
              <w:rPr>
                <w:rFonts w:hint="cs"/>
                <w:b/>
                <w:bCs/>
                <w:sz w:val="22"/>
                <w:szCs w:val="22"/>
                <w:rtl/>
              </w:rPr>
              <w:t>النسبة المئوية</w:t>
            </w:r>
          </w:p>
        </w:tc>
        <w:tc>
          <w:tcPr>
            <w:tcW w:w="1092" w:type="dxa"/>
            <w:shd w:val="clear" w:color="auto" w:fill="D9D9D9"/>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100.0</w:t>
            </w:r>
          </w:p>
        </w:tc>
        <w:tc>
          <w:tcPr>
            <w:tcW w:w="772"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0.3</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3.5</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21.2</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21.1</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12.6</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31.2</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0.3</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0.5</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4.1</w:t>
            </w:r>
          </w:p>
        </w:tc>
        <w:tc>
          <w:tcPr>
            <w:tcW w:w="1030"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5.2</w:t>
            </w:r>
          </w:p>
        </w:tc>
      </w:tr>
      <w:tr w:rsidR="002D3A4A" w:rsidRPr="00B35A26">
        <w:tblPrEx>
          <w:tblCellMar>
            <w:top w:w="0" w:type="dxa"/>
            <w:bottom w:w="0" w:type="dxa"/>
          </w:tblCellMar>
        </w:tblPrEx>
        <w:trPr>
          <w:cantSplit/>
          <w:trHeight w:val="143"/>
          <w:jc w:val="center"/>
        </w:trPr>
        <w:tc>
          <w:tcPr>
            <w:tcW w:w="1803" w:type="dxa"/>
            <w:shd w:val="clear" w:color="auto" w:fill="auto"/>
            <w:vAlign w:val="bottom"/>
          </w:tcPr>
          <w:p w:rsidR="002D3A4A" w:rsidRPr="00C70F31" w:rsidRDefault="002D3A4A" w:rsidP="002D3A4A">
            <w:pPr>
              <w:spacing w:before="40" w:after="40" w:line="180" w:lineRule="exact"/>
              <w:rPr>
                <w:rFonts w:hint="cs"/>
                <w:sz w:val="22"/>
                <w:szCs w:val="22"/>
                <w:rtl/>
              </w:rPr>
            </w:pPr>
            <w:r w:rsidRPr="00C70F31">
              <w:rPr>
                <w:rFonts w:hint="cs"/>
                <w:sz w:val="22"/>
                <w:szCs w:val="22"/>
                <w:rtl/>
              </w:rPr>
              <w:t xml:space="preserve">  الصف التاسع</w:t>
            </w:r>
          </w:p>
        </w:tc>
        <w:tc>
          <w:tcPr>
            <w:tcW w:w="1092" w:type="dxa"/>
            <w:shd w:val="clear" w:color="auto" w:fill="D9D9D9"/>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191 49</w:t>
            </w:r>
          </w:p>
        </w:tc>
        <w:tc>
          <w:tcPr>
            <w:tcW w:w="772"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536</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245 7</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442 12</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935 11</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338 15</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695 1</w:t>
            </w:r>
          </w:p>
        </w:tc>
        <w:tc>
          <w:tcPr>
            <w:tcW w:w="1030"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r>
      <w:tr w:rsidR="002D3A4A" w:rsidRPr="00B35A26">
        <w:tblPrEx>
          <w:tblCellMar>
            <w:top w:w="0" w:type="dxa"/>
            <w:bottom w:w="0" w:type="dxa"/>
          </w:tblCellMar>
        </w:tblPrEx>
        <w:trPr>
          <w:cantSplit/>
          <w:trHeight w:val="143"/>
          <w:jc w:val="center"/>
        </w:trPr>
        <w:tc>
          <w:tcPr>
            <w:tcW w:w="1803" w:type="dxa"/>
            <w:shd w:val="clear" w:color="auto" w:fill="auto"/>
            <w:vAlign w:val="bottom"/>
          </w:tcPr>
          <w:p w:rsidR="002D3A4A" w:rsidRPr="00C70F31" w:rsidRDefault="002D3A4A" w:rsidP="002D3A4A">
            <w:pPr>
              <w:spacing w:before="40" w:after="40" w:line="180" w:lineRule="exact"/>
              <w:rPr>
                <w:rFonts w:hint="cs"/>
                <w:sz w:val="22"/>
                <w:szCs w:val="22"/>
                <w:rtl/>
              </w:rPr>
            </w:pPr>
            <w:r w:rsidRPr="00C70F31">
              <w:rPr>
                <w:rFonts w:hint="cs"/>
                <w:sz w:val="22"/>
                <w:szCs w:val="22"/>
                <w:rtl/>
              </w:rPr>
              <w:t xml:space="preserve">    النسبة المئوية</w:t>
            </w:r>
          </w:p>
        </w:tc>
        <w:tc>
          <w:tcPr>
            <w:tcW w:w="1092" w:type="dxa"/>
            <w:shd w:val="clear" w:color="auto" w:fill="D9D9D9"/>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100.0</w:t>
            </w:r>
          </w:p>
        </w:tc>
        <w:tc>
          <w:tcPr>
            <w:tcW w:w="772"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1.1</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14.7</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25.3</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24.3</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31.2</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3.4</w:t>
            </w:r>
          </w:p>
        </w:tc>
        <w:tc>
          <w:tcPr>
            <w:tcW w:w="1030"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r>
      <w:tr w:rsidR="002D3A4A" w:rsidRPr="00B35A26">
        <w:tblPrEx>
          <w:tblCellMar>
            <w:top w:w="0" w:type="dxa"/>
            <w:bottom w:w="0" w:type="dxa"/>
          </w:tblCellMar>
        </w:tblPrEx>
        <w:trPr>
          <w:cantSplit/>
          <w:trHeight w:val="143"/>
          <w:jc w:val="center"/>
        </w:trPr>
        <w:tc>
          <w:tcPr>
            <w:tcW w:w="1803" w:type="dxa"/>
            <w:shd w:val="clear" w:color="auto" w:fill="auto"/>
            <w:vAlign w:val="bottom"/>
          </w:tcPr>
          <w:p w:rsidR="002D3A4A" w:rsidRPr="00C70F31" w:rsidRDefault="002D3A4A" w:rsidP="002D3A4A">
            <w:pPr>
              <w:spacing w:before="40" w:after="40" w:line="180" w:lineRule="exact"/>
              <w:rPr>
                <w:rFonts w:hint="cs"/>
                <w:sz w:val="22"/>
                <w:szCs w:val="22"/>
                <w:rtl/>
              </w:rPr>
            </w:pPr>
            <w:r w:rsidRPr="00C70F31">
              <w:rPr>
                <w:rFonts w:hint="cs"/>
                <w:sz w:val="22"/>
                <w:szCs w:val="22"/>
                <w:rtl/>
              </w:rPr>
              <w:t xml:space="preserve">  الصف العاشر</w:t>
            </w:r>
          </w:p>
        </w:tc>
        <w:tc>
          <w:tcPr>
            <w:tcW w:w="1092" w:type="dxa"/>
            <w:shd w:val="clear" w:color="auto" w:fill="D9D9D9"/>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649 48</w:t>
            </w:r>
          </w:p>
        </w:tc>
        <w:tc>
          <w:tcPr>
            <w:tcW w:w="772"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791 10</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266 14</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590 7</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342 13</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004 1</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567 1</w:t>
            </w:r>
          </w:p>
        </w:tc>
        <w:tc>
          <w:tcPr>
            <w:tcW w:w="1030"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89</w:t>
            </w:r>
          </w:p>
        </w:tc>
      </w:tr>
      <w:tr w:rsidR="002D3A4A" w:rsidRPr="00B35A26">
        <w:tblPrEx>
          <w:tblCellMar>
            <w:top w:w="0" w:type="dxa"/>
            <w:bottom w:w="0" w:type="dxa"/>
          </w:tblCellMar>
        </w:tblPrEx>
        <w:trPr>
          <w:cantSplit/>
          <w:trHeight w:val="143"/>
          <w:jc w:val="center"/>
        </w:trPr>
        <w:tc>
          <w:tcPr>
            <w:tcW w:w="1803" w:type="dxa"/>
            <w:shd w:val="clear" w:color="auto" w:fill="auto"/>
            <w:vAlign w:val="bottom"/>
          </w:tcPr>
          <w:p w:rsidR="002D3A4A" w:rsidRPr="00C70F31" w:rsidRDefault="002D3A4A" w:rsidP="002D3A4A">
            <w:pPr>
              <w:spacing w:before="40" w:after="40" w:line="180" w:lineRule="exact"/>
              <w:rPr>
                <w:rFonts w:hint="cs"/>
                <w:sz w:val="22"/>
                <w:szCs w:val="22"/>
                <w:rtl/>
              </w:rPr>
            </w:pPr>
            <w:r w:rsidRPr="00C70F31">
              <w:rPr>
                <w:rFonts w:hint="cs"/>
                <w:sz w:val="22"/>
                <w:szCs w:val="22"/>
                <w:rtl/>
              </w:rPr>
              <w:t xml:space="preserve">    النسبة المئوية</w:t>
            </w:r>
          </w:p>
        </w:tc>
        <w:tc>
          <w:tcPr>
            <w:tcW w:w="1092" w:type="dxa"/>
            <w:shd w:val="clear" w:color="auto" w:fill="D9D9D9"/>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100.0</w:t>
            </w:r>
          </w:p>
        </w:tc>
        <w:tc>
          <w:tcPr>
            <w:tcW w:w="772"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22.2</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29.3</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15.6</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27.4</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2.1</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3.2</w:t>
            </w:r>
          </w:p>
        </w:tc>
        <w:tc>
          <w:tcPr>
            <w:tcW w:w="1030"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0.2</w:t>
            </w:r>
          </w:p>
        </w:tc>
      </w:tr>
      <w:tr w:rsidR="002D3A4A" w:rsidRPr="00B35A26">
        <w:tblPrEx>
          <w:tblCellMar>
            <w:top w:w="0" w:type="dxa"/>
            <w:bottom w:w="0" w:type="dxa"/>
          </w:tblCellMar>
        </w:tblPrEx>
        <w:trPr>
          <w:cantSplit/>
          <w:trHeight w:val="143"/>
          <w:jc w:val="center"/>
        </w:trPr>
        <w:tc>
          <w:tcPr>
            <w:tcW w:w="1803" w:type="dxa"/>
            <w:shd w:val="clear" w:color="auto" w:fill="auto"/>
            <w:vAlign w:val="bottom"/>
          </w:tcPr>
          <w:p w:rsidR="002D3A4A" w:rsidRPr="00C70F31" w:rsidRDefault="002D3A4A" w:rsidP="002D3A4A">
            <w:pPr>
              <w:spacing w:before="40" w:after="40" w:line="180" w:lineRule="exact"/>
              <w:rPr>
                <w:rFonts w:hint="cs"/>
                <w:sz w:val="22"/>
                <w:szCs w:val="22"/>
                <w:rtl/>
              </w:rPr>
            </w:pPr>
            <w:r w:rsidRPr="00C70F31">
              <w:rPr>
                <w:rFonts w:hint="cs"/>
                <w:sz w:val="22"/>
                <w:szCs w:val="22"/>
                <w:rtl/>
              </w:rPr>
              <w:t xml:space="preserve">  الصف الثاني عشر</w:t>
            </w:r>
          </w:p>
        </w:tc>
        <w:tc>
          <w:tcPr>
            <w:tcW w:w="1092" w:type="dxa"/>
            <w:shd w:val="clear" w:color="auto" w:fill="D9D9D9"/>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102 37</w:t>
            </w:r>
          </w:p>
        </w:tc>
        <w:tc>
          <w:tcPr>
            <w:tcW w:w="772"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618"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870 9</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956 13</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413</w:t>
            </w:r>
          </w:p>
        </w:tc>
        <w:tc>
          <w:tcPr>
            <w:tcW w:w="927"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290 11</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37</w:t>
            </w:r>
          </w:p>
        </w:tc>
        <w:tc>
          <w:tcPr>
            <w:tcW w:w="721"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w:t>
            </w:r>
          </w:p>
        </w:tc>
        <w:tc>
          <w:tcPr>
            <w:tcW w:w="824"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439 1</w:t>
            </w:r>
          </w:p>
        </w:tc>
        <w:tc>
          <w:tcPr>
            <w:tcW w:w="1030" w:type="dxa"/>
            <w:shd w:val="clear" w:color="auto" w:fill="auto"/>
            <w:vAlign w:val="bottom"/>
          </w:tcPr>
          <w:p w:rsidR="002D3A4A" w:rsidRPr="0053379E" w:rsidRDefault="002D3A4A" w:rsidP="002D3A4A">
            <w:pPr>
              <w:spacing w:before="40" w:after="40" w:line="180" w:lineRule="exact"/>
              <w:ind w:right="144"/>
              <w:jc w:val="lowKashida"/>
              <w:rPr>
                <w:rFonts w:hint="cs"/>
                <w:sz w:val="18"/>
                <w:szCs w:val="18"/>
                <w:rtl/>
              </w:rPr>
            </w:pPr>
            <w:r w:rsidRPr="0053379E">
              <w:rPr>
                <w:rFonts w:hint="cs"/>
                <w:sz w:val="18"/>
                <w:szCs w:val="18"/>
                <w:rtl/>
              </w:rPr>
              <w:t>97</w:t>
            </w:r>
          </w:p>
        </w:tc>
      </w:tr>
      <w:tr w:rsidR="002D3A4A" w:rsidRPr="00B35A26">
        <w:tblPrEx>
          <w:tblCellMar>
            <w:top w:w="0" w:type="dxa"/>
            <w:bottom w:w="0" w:type="dxa"/>
          </w:tblCellMar>
        </w:tblPrEx>
        <w:trPr>
          <w:cantSplit/>
          <w:trHeight w:val="243"/>
          <w:jc w:val="center"/>
        </w:trPr>
        <w:tc>
          <w:tcPr>
            <w:tcW w:w="1803" w:type="dxa"/>
            <w:tcBorders>
              <w:bottom w:val="single" w:sz="4" w:space="0" w:color="auto"/>
            </w:tcBorders>
            <w:shd w:val="clear" w:color="auto" w:fill="auto"/>
            <w:vAlign w:val="bottom"/>
          </w:tcPr>
          <w:p w:rsidR="002D3A4A" w:rsidRPr="00C70F31" w:rsidRDefault="002D3A4A" w:rsidP="002D3A4A">
            <w:pPr>
              <w:spacing w:before="40" w:after="40" w:line="180" w:lineRule="exact"/>
              <w:rPr>
                <w:rFonts w:hint="cs"/>
                <w:sz w:val="22"/>
                <w:szCs w:val="22"/>
                <w:rtl/>
              </w:rPr>
            </w:pPr>
            <w:r w:rsidRPr="00C70F31">
              <w:rPr>
                <w:rFonts w:hint="cs"/>
                <w:sz w:val="22"/>
                <w:szCs w:val="22"/>
                <w:rtl/>
              </w:rPr>
              <w:t xml:space="preserve">    النسبة المئوية</w:t>
            </w:r>
          </w:p>
        </w:tc>
        <w:tc>
          <w:tcPr>
            <w:tcW w:w="1092" w:type="dxa"/>
            <w:tcBorders>
              <w:bottom w:val="single" w:sz="4" w:space="0" w:color="auto"/>
            </w:tcBorders>
            <w:shd w:val="clear" w:color="auto" w:fill="D9D9D9"/>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100.0</w:t>
            </w:r>
          </w:p>
        </w:tc>
        <w:tc>
          <w:tcPr>
            <w:tcW w:w="772"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618"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618"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26.6</w:t>
            </w:r>
          </w:p>
        </w:tc>
        <w:tc>
          <w:tcPr>
            <w:tcW w:w="721"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37.6</w:t>
            </w:r>
          </w:p>
        </w:tc>
        <w:tc>
          <w:tcPr>
            <w:tcW w:w="927"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1.1</w:t>
            </w:r>
          </w:p>
        </w:tc>
        <w:tc>
          <w:tcPr>
            <w:tcW w:w="927"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30.4</w:t>
            </w:r>
          </w:p>
        </w:tc>
        <w:tc>
          <w:tcPr>
            <w:tcW w:w="824"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0.1</w:t>
            </w:r>
          </w:p>
        </w:tc>
        <w:tc>
          <w:tcPr>
            <w:tcW w:w="721"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w:t>
            </w:r>
          </w:p>
        </w:tc>
        <w:tc>
          <w:tcPr>
            <w:tcW w:w="824"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3.9</w:t>
            </w:r>
          </w:p>
        </w:tc>
        <w:tc>
          <w:tcPr>
            <w:tcW w:w="1030" w:type="dxa"/>
            <w:tcBorders>
              <w:bottom w:val="single" w:sz="4" w:space="0" w:color="auto"/>
            </w:tcBorders>
            <w:shd w:val="clear" w:color="auto" w:fill="auto"/>
            <w:vAlign w:val="bottom"/>
          </w:tcPr>
          <w:p w:rsidR="002D3A4A" w:rsidRPr="00C70F31" w:rsidRDefault="002D3A4A" w:rsidP="002D3A4A">
            <w:pPr>
              <w:spacing w:before="40" w:after="40" w:line="180" w:lineRule="exact"/>
              <w:ind w:right="144"/>
              <w:jc w:val="lowKashida"/>
              <w:rPr>
                <w:rFonts w:hint="cs"/>
                <w:szCs w:val="20"/>
                <w:rtl/>
              </w:rPr>
            </w:pPr>
            <w:r w:rsidRPr="00C70F31">
              <w:rPr>
                <w:rFonts w:hint="cs"/>
                <w:szCs w:val="20"/>
                <w:rtl/>
              </w:rPr>
              <w:t>0.3</w:t>
            </w:r>
          </w:p>
        </w:tc>
      </w:tr>
      <w:tr w:rsidR="002D3A4A" w:rsidRPr="006B1D1F">
        <w:tblPrEx>
          <w:tblCellMar>
            <w:top w:w="0" w:type="dxa"/>
            <w:bottom w:w="0" w:type="dxa"/>
          </w:tblCellMar>
        </w:tblPrEx>
        <w:trPr>
          <w:cantSplit/>
          <w:trHeight w:val="143"/>
          <w:jc w:val="center"/>
        </w:trPr>
        <w:tc>
          <w:tcPr>
            <w:tcW w:w="1803" w:type="dxa"/>
            <w:tcBorders>
              <w:top w:val="single" w:sz="4" w:space="0" w:color="auto"/>
            </w:tcBorders>
            <w:shd w:val="clear" w:color="auto" w:fill="D9D9D9"/>
            <w:vAlign w:val="bottom"/>
          </w:tcPr>
          <w:p w:rsidR="002D3A4A" w:rsidRPr="006B1D1F" w:rsidRDefault="002D3A4A" w:rsidP="002D3A4A">
            <w:pPr>
              <w:spacing w:before="40" w:after="40" w:line="180" w:lineRule="exact"/>
              <w:rPr>
                <w:rFonts w:hint="cs"/>
                <w:b/>
                <w:bCs/>
                <w:sz w:val="22"/>
                <w:szCs w:val="22"/>
                <w:rtl/>
              </w:rPr>
            </w:pPr>
            <w:r w:rsidRPr="006B1D1F">
              <w:rPr>
                <w:rFonts w:hint="cs"/>
                <w:b/>
                <w:bCs/>
                <w:sz w:val="22"/>
                <w:szCs w:val="22"/>
                <w:rtl/>
              </w:rPr>
              <w:t>المجموع</w:t>
            </w:r>
          </w:p>
        </w:tc>
        <w:tc>
          <w:tcPr>
            <w:tcW w:w="1092" w:type="dxa"/>
            <w:tcBorders>
              <w:top w:val="single" w:sz="4"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962 582</w:t>
            </w:r>
          </w:p>
        </w:tc>
        <w:tc>
          <w:tcPr>
            <w:tcW w:w="772" w:type="dxa"/>
            <w:tcBorders>
              <w:top w:val="single" w:sz="4"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833 184</w:t>
            </w:r>
          </w:p>
        </w:tc>
        <w:tc>
          <w:tcPr>
            <w:tcW w:w="824" w:type="dxa"/>
            <w:tcBorders>
              <w:top w:val="single" w:sz="4"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206 127</w:t>
            </w:r>
          </w:p>
        </w:tc>
        <w:tc>
          <w:tcPr>
            <w:tcW w:w="618" w:type="dxa"/>
            <w:tcBorders>
              <w:top w:val="single" w:sz="4"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861 4</w:t>
            </w:r>
          </w:p>
        </w:tc>
        <w:tc>
          <w:tcPr>
            <w:tcW w:w="618" w:type="dxa"/>
            <w:tcBorders>
              <w:top w:val="single" w:sz="4"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245 7</w:t>
            </w:r>
          </w:p>
        </w:tc>
        <w:tc>
          <w:tcPr>
            <w:tcW w:w="824" w:type="dxa"/>
            <w:tcBorders>
              <w:top w:val="single" w:sz="4"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668 102</w:t>
            </w:r>
          </w:p>
        </w:tc>
        <w:tc>
          <w:tcPr>
            <w:tcW w:w="721" w:type="dxa"/>
            <w:tcBorders>
              <w:top w:val="single" w:sz="4"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885 43</w:t>
            </w:r>
          </w:p>
        </w:tc>
        <w:tc>
          <w:tcPr>
            <w:tcW w:w="927" w:type="dxa"/>
            <w:tcBorders>
              <w:top w:val="single" w:sz="4"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354 26</w:t>
            </w:r>
          </w:p>
        </w:tc>
        <w:tc>
          <w:tcPr>
            <w:tcW w:w="927" w:type="dxa"/>
            <w:tcBorders>
              <w:top w:val="single" w:sz="4"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815 64</w:t>
            </w:r>
          </w:p>
        </w:tc>
        <w:tc>
          <w:tcPr>
            <w:tcW w:w="824" w:type="dxa"/>
            <w:tcBorders>
              <w:top w:val="single" w:sz="4"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641</w:t>
            </w:r>
          </w:p>
        </w:tc>
        <w:tc>
          <w:tcPr>
            <w:tcW w:w="721" w:type="dxa"/>
            <w:tcBorders>
              <w:top w:val="single" w:sz="4"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094 1</w:t>
            </w:r>
          </w:p>
        </w:tc>
        <w:tc>
          <w:tcPr>
            <w:tcW w:w="824" w:type="dxa"/>
            <w:tcBorders>
              <w:top w:val="single" w:sz="4"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580 8</w:t>
            </w:r>
          </w:p>
        </w:tc>
        <w:tc>
          <w:tcPr>
            <w:tcW w:w="1030" w:type="dxa"/>
            <w:tcBorders>
              <w:top w:val="single" w:sz="4"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780 10</w:t>
            </w:r>
          </w:p>
        </w:tc>
      </w:tr>
      <w:tr w:rsidR="002D3A4A" w:rsidRPr="006B1D1F">
        <w:tblPrEx>
          <w:tblCellMar>
            <w:top w:w="0" w:type="dxa"/>
            <w:bottom w:w="0" w:type="dxa"/>
          </w:tblCellMar>
        </w:tblPrEx>
        <w:trPr>
          <w:cantSplit/>
          <w:trHeight w:val="143"/>
          <w:jc w:val="center"/>
        </w:trPr>
        <w:tc>
          <w:tcPr>
            <w:tcW w:w="1803" w:type="dxa"/>
            <w:tcBorders>
              <w:bottom w:val="single" w:sz="12" w:space="0" w:color="auto"/>
            </w:tcBorders>
            <w:shd w:val="clear" w:color="auto" w:fill="D9D9D9"/>
            <w:vAlign w:val="bottom"/>
          </w:tcPr>
          <w:p w:rsidR="002D3A4A" w:rsidRPr="006B1D1F" w:rsidRDefault="002D3A4A" w:rsidP="002D3A4A">
            <w:pPr>
              <w:spacing w:before="40" w:after="40" w:line="180" w:lineRule="exact"/>
              <w:rPr>
                <w:rFonts w:hint="cs"/>
                <w:b/>
                <w:bCs/>
                <w:sz w:val="22"/>
                <w:szCs w:val="22"/>
                <w:rtl/>
              </w:rPr>
            </w:pPr>
            <w:r w:rsidRPr="006B1D1F">
              <w:rPr>
                <w:rFonts w:hint="cs"/>
                <w:b/>
                <w:bCs/>
                <w:sz w:val="22"/>
                <w:szCs w:val="22"/>
                <w:rtl/>
              </w:rPr>
              <w:t>النسبة المئوية</w:t>
            </w:r>
          </w:p>
        </w:tc>
        <w:tc>
          <w:tcPr>
            <w:tcW w:w="1092" w:type="dxa"/>
            <w:tcBorders>
              <w:bottom w:val="single" w:sz="12"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100.0</w:t>
            </w:r>
          </w:p>
        </w:tc>
        <w:tc>
          <w:tcPr>
            <w:tcW w:w="772" w:type="dxa"/>
            <w:tcBorders>
              <w:bottom w:val="single" w:sz="12"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31.7</w:t>
            </w:r>
          </w:p>
        </w:tc>
        <w:tc>
          <w:tcPr>
            <w:tcW w:w="824" w:type="dxa"/>
            <w:tcBorders>
              <w:bottom w:val="single" w:sz="12"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21.8</w:t>
            </w:r>
          </w:p>
        </w:tc>
        <w:tc>
          <w:tcPr>
            <w:tcW w:w="618" w:type="dxa"/>
            <w:tcBorders>
              <w:bottom w:val="single" w:sz="12"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0.8</w:t>
            </w:r>
          </w:p>
        </w:tc>
        <w:tc>
          <w:tcPr>
            <w:tcW w:w="618" w:type="dxa"/>
            <w:tcBorders>
              <w:bottom w:val="single" w:sz="12"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1.2</w:t>
            </w:r>
          </w:p>
        </w:tc>
        <w:tc>
          <w:tcPr>
            <w:tcW w:w="824" w:type="dxa"/>
            <w:tcBorders>
              <w:bottom w:val="single" w:sz="12"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17.6</w:t>
            </w:r>
          </w:p>
        </w:tc>
        <w:tc>
          <w:tcPr>
            <w:tcW w:w="721" w:type="dxa"/>
            <w:tcBorders>
              <w:bottom w:val="single" w:sz="12"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7.5</w:t>
            </w:r>
          </w:p>
        </w:tc>
        <w:tc>
          <w:tcPr>
            <w:tcW w:w="927" w:type="dxa"/>
            <w:tcBorders>
              <w:bottom w:val="single" w:sz="12"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4.5</w:t>
            </w:r>
          </w:p>
        </w:tc>
        <w:tc>
          <w:tcPr>
            <w:tcW w:w="927" w:type="dxa"/>
            <w:tcBorders>
              <w:bottom w:val="single" w:sz="12"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11.1</w:t>
            </w:r>
          </w:p>
        </w:tc>
        <w:tc>
          <w:tcPr>
            <w:tcW w:w="824" w:type="dxa"/>
            <w:tcBorders>
              <w:bottom w:val="single" w:sz="12"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0.1</w:t>
            </w:r>
          </w:p>
        </w:tc>
        <w:tc>
          <w:tcPr>
            <w:tcW w:w="721" w:type="dxa"/>
            <w:tcBorders>
              <w:bottom w:val="single" w:sz="12"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0.2</w:t>
            </w:r>
          </w:p>
        </w:tc>
        <w:tc>
          <w:tcPr>
            <w:tcW w:w="824" w:type="dxa"/>
            <w:tcBorders>
              <w:bottom w:val="single" w:sz="12"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1.5</w:t>
            </w:r>
          </w:p>
        </w:tc>
        <w:tc>
          <w:tcPr>
            <w:tcW w:w="1030" w:type="dxa"/>
            <w:tcBorders>
              <w:bottom w:val="single" w:sz="12" w:space="0" w:color="auto"/>
            </w:tcBorders>
            <w:shd w:val="clear" w:color="auto" w:fill="D9D9D9"/>
            <w:vAlign w:val="bottom"/>
          </w:tcPr>
          <w:p w:rsidR="002D3A4A" w:rsidRPr="004C0106" w:rsidRDefault="002D3A4A" w:rsidP="002D3A4A">
            <w:pPr>
              <w:spacing w:before="40" w:after="40" w:line="180" w:lineRule="exact"/>
              <w:ind w:right="144"/>
              <w:jc w:val="lowKashida"/>
              <w:rPr>
                <w:rFonts w:hint="cs"/>
                <w:b/>
                <w:bCs/>
                <w:sz w:val="18"/>
                <w:szCs w:val="18"/>
                <w:rtl/>
              </w:rPr>
            </w:pPr>
            <w:r w:rsidRPr="004C0106">
              <w:rPr>
                <w:rFonts w:hint="cs"/>
                <w:b/>
                <w:bCs/>
                <w:sz w:val="18"/>
                <w:szCs w:val="18"/>
                <w:rtl/>
              </w:rPr>
              <w:t>1.8</w:t>
            </w:r>
          </w:p>
        </w:tc>
      </w:tr>
    </w:tbl>
    <w:p w:rsidR="00125A02" w:rsidRDefault="00125A02" w:rsidP="00414DB0">
      <w:pPr>
        <w:pStyle w:val="SingleTxt"/>
        <w:ind w:left="0"/>
        <w:rPr>
          <w:rFonts w:hint="cs"/>
          <w:rtl/>
        </w:rPr>
        <w:sectPr w:rsidR="00125A02" w:rsidSect="00125A02">
          <w:headerReference w:type="even" r:id="rId25"/>
          <w:headerReference w:type="default" r:id="rId26"/>
          <w:footerReference w:type="even" r:id="rId27"/>
          <w:footerReference w:type="default" r:id="rId28"/>
          <w:footnotePr>
            <w:numRestart w:val="eachSect"/>
          </w:footnotePr>
          <w:endnotePr>
            <w:numFmt w:val="decimal"/>
          </w:endnotePr>
          <w:pgSz w:w="15840" w:h="12240" w:orient="landscape" w:code="1"/>
          <w:pgMar w:top="1195" w:right="1742" w:bottom="1195" w:left="1901" w:header="576" w:footer="1037" w:gutter="0"/>
          <w:cols w:space="720"/>
          <w:noEndnote/>
          <w:bidi/>
          <w:rtlGutter/>
          <w:docGrid w:linePitch="280"/>
        </w:sectPr>
      </w:pPr>
    </w:p>
    <w:p w:rsidR="004C59C2" w:rsidRDefault="004C59C2" w:rsidP="004C59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Fonts w:hint="cs"/>
          <w:vertAlign w:val="superscript"/>
          <w:rtl/>
        </w:rPr>
      </w:pPr>
      <w:r>
        <w:rPr>
          <w:rFonts w:hint="cs"/>
          <w:rtl/>
        </w:rPr>
        <w:tab/>
      </w:r>
      <w:r w:rsidRPr="003C2A21">
        <w:rPr>
          <w:rFonts w:hint="cs"/>
          <w:sz w:val="30"/>
          <w:rtl/>
        </w:rPr>
        <w:tab/>
        <w:t>التلاميذ في صفوف التخرج من كليات التدريب المهني والكليات التقنية الثانوية السفلى و/أو كليات التدريب المهني موزعين بحسب نوع المدرسة، وبحسب الجنس، وبحسب صفوف التخرج للأعوام 1990 و 2000 و</w:t>
      </w:r>
      <w:r w:rsidRPr="003C2A21">
        <w:rPr>
          <w:rFonts w:hint="eastAsia"/>
          <w:sz w:val="30"/>
          <w:rtl/>
        </w:rPr>
        <w:t> </w:t>
      </w:r>
      <w:r w:rsidRPr="003C2A21">
        <w:rPr>
          <w:rFonts w:hint="cs"/>
          <w:sz w:val="30"/>
          <w:rtl/>
        </w:rPr>
        <w:t>2003</w:t>
      </w:r>
      <w:r w:rsidRPr="00D252AB">
        <w:rPr>
          <w:rFonts w:hint="cs"/>
          <w:b w:val="0"/>
          <w:bCs w:val="0"/>
          <w:sz w:val="30"/>
          <w:vertAlign w:val="superscript"/>
          <w:rtl/>
        </w:rPr>
        <w:t>(1)</w:t>
      </w:r>
    </w:p>
    <w:p w:rsidR="004C59C2" w:rsidRPr="0043461C" w:rsidRDefault="004C59C2" w:rsidP="004C59C2">
      <w:pPr>
        <w:pStyle w:val="SingleTxt"/>
        <w:spacing w:after="0" w:line="120" w:lineRule="exact"/>
        <w:rPr>
          <w:rFonts w:hint="cs"/>
          <w:sz w:val="10"/>
          <w:rtl/>
        </w:rPr>
      </w:pPr>
    </w:p>
    <w:tbl>
      <w:tblPr>
        <w:bidiVisual/>
        <w:tblW w:w="8893" w:type="dxa"/>
        <w:jc w:val="center"/>
        <w:tblInd w:w="314" w:type="dxa"/>
        <w:tblLayout w:type="fixed"/>
        <w:tblCellMar>
          <w:left w:w="0" w:type="dxa"/>
          <w:right w:w="0" w:type="dxa"/>
        </w:tblCellMar>
        <w:tblLook w:val="0000" w:firstRow="0" w:lastRow="0" w:firstColumn="0" w:lastColumn="0" w:noHBand="0" w:noVBand="0"/>
      </w:tblPr>
      <w:tblGrid>
        <w:gridCol w:w="4539"/>
        <w:gridCol w:w="852"/>
        <w:gridCol w:w="1133"/>
        <w:gridCol w:w="1030"/>
        <w:gridCol w:w="1339"/>
      </w:tblGrid>
      <w:tr w:rsidR="004C59C2" w:rsidRPr="00172E32">
        <w:tblPrEx>
          <w:tblCellMar>
            <w:top w:w="0" w:type="dxa"/>
            <w:bottom w:w="0" w:type="dxa"/>
          </w:tblCellMar>
        </w:tblPrEx>
        <w:trPr>
          <w:cantSplit/>
          <w:trHeight w:val="287"/>
          <w:tblHeader/>
          <w:jc w:val="center"/>
        </w:trPr>
        <w:tc>
          <w:tcPr>
            <w:tcW w:w="4539" w:type="dxa"/>
            <w:tcBorders>
              <w:top w:val="single" w:sz="4" w:space="0" w:color="auto"/>
            </w:tcBorders>
            <w:shd w:val="clear" w:color="auto" w:fill="auto"/>
            <w:tcMar>
              <w:left w:w="0" w:type="dxa"/>
              <w:right w:w="0" w:type="dxa"/>
            </w:tcMar>
            <w:vAlign w:val="bottom"/>
          </w:tcPr>
          <w:p w:rsidR="004C59C2" w:rsidRPr="00172E32" w:rsidRDefault="004C59C2" w:rsidP="0011796D">
            <w:pPr>
              <w:spacing w:before="80" w:after="80" w:line="240" w:lineRule="exact"/>
              <w:rPr>
                <w:rFonts w:hint="cs"/>
                <w:i/>
                <w:iCs/>
                <w:sz w:val="16"/>
                <w:szCs w:val="24"/>
                <w:rtl/>
              </w:rPr>
            </w:pPr>
          </w:p>
        </w:tc>
        <w:tc>
          <w:tcPr>
            <w:tcW w:w="852" w:type="dxa"/>
            <w:tcBorders>
              <w:top w:val="single" w:sz="4" w:space="0" w:color="auto"/>
            </w:tcBorders>
            <w:shd w:val="clear" w:color="auto" w:fill="auto"/>
            <w:vAlign w:val="bottom"/>
          </w:tcPr>
          <w:p w:rsidR="004C59C2" w:rsidRPr="00172E32" w:rsidRDefault="004C59C2" w:rsidP="0011796D">
            <w:pPr>
              <w:spacing w:before="80" w:after="80" w:line="240" w:lineRule="exact"/>
              <w:ind w:right="144"/>
              <w:jc w:val="lowKashida"/>
              <w:rPr>
                <w:rFonts w:hint="cs"/>
                <w:i/>
                <w:iCs/>
                <w:sz w:val="16"/>
                <w:szCs w:val="24"/>
                <w:rtl/>
              </w:rPr>
            </w:pPr>
          </w:p>
        </w:tc>
        <w:tc>
          <w:tcPr>
            <w:tcW w:w="3502" w:type="dxa"/>
            <w:gridSpan w:val="3"/>
            <w:tcBorders>
              <w:top w:val="single" w:sz="4" w:space="0" w:color="auto"/>
              <w:bottom w:val="single" w:sz="4" w:space="0" w:color="auto"/>
            </w:tcBorders>
            <w:shd w:val="clear" w:color="auto" w:fill="auto"/>
            <w:vAlign w:val="bottom"/>
          </w:tcPr>
          <w:p w:rsidR="004C59C2" w:rsidRPr="00172E32" w:rsidRDefault="004C59C2" w:rsidP="0011796D">
            <w:pPr>
              <w:spacing w:before="80" w:after="80" w:line="240" w:lineRule="exact"/>
              <w:ind w:right="144"/>
              <w:jc w:val="center"/>
              <w:rPr>
                <w:rFonts w:hint="cs"/>
                <w:i/>
                <w:iCs/>
                <w:sz w:val="16"/>
                <w:szCs w:val="24"/>
                <w:rtl/>
              </w:rPr>
            </w:pPr>
            <w:r w:rsidRPr="00172E32">
              <w:rPr>
                <w:rFonts w:hint="cs"/>
                <w:i/>
                <w:iCs/>
                <w:sz w:val="16"/>
                <w:szCs w:val="24"/>
                <w:rtl/>
              </w:rPr>
              <w:t>سنة التخرج</w:t>
            </w:r>
          </w:p>
        </w:tc>
      </w:tr>
      <w:tr w:rsidR="004C59C2" w:rsidRPr="00172E32">
        <w:tblPrEx>
          <w:tblCellMar>
            <w:top w:w="0" w:type="dxa"/>
            <w:bottom w:w="0" w:type="dxa"/>
          </w:tblCellMar>
        </w:tblPrEx>
        <w:trPr>
          <w:cantSplit/>
          <w:trHeight w:val="242"/>
          <w:tblHeader/>
          <w:jc w:val="center"/>
        </w:trPr>
        <w:tc>
          <w:tcPr>
            <w:tcW w:w="4539" w:type="dxa"/>
            <w:tcBorders>
              <w:bottom w:val="single" w:sz="12" w:space="0" w:color="auto"/>
            </w:tcBorders>
            <w:shd w:val="clear" w:color="auto" w:fill="auto"/>
            <w:vAlign w:val="bottom"/>
          </w:tcPr>
          <w:p w:rsidR="004C59C2" w:rsidRPr="00172E32" w:rsidRDefault="004C59C2" w:rsidP="0011796D">
            <w:pPr>
              <w:spacing w:after="80" w:line="240" w:lineRule="exact"/>
              <w:rPr>
                <w:rFonts w:hint="cs"/>
                <w:i/>
                <w:iCs/>
                <w:sz w:val="16"/>
                <w:szCs w:val="24"/>
                <w:rtl/>
              </w:rPr>
            </w:pPr>
            <w:r w:rsidRPr="00172E32">
              <w:rPr>
                <w:rFonts w:hint="cs"/>
                <w:i/>
                <w:iCs/>
                <w:sz w:val="16"/>
                <w:szCs w:val="24"/>
                <w:rtl/>
              </w:rPr>
              <w:t>نوع المدرسة</w:t>
            </w:r>
          </w:p>
        </w:tc>
        <w:tc>
          <w:tcPr>
            <w:tcW w:w="852" w:type="dxa"/>
            <w:tcBorders>
              <w:bottom w:val="single" w:sz="12" w:space="0" w:color="auto"/>
            </w:tcBorders>
            <w:shd w:val="clear" w:color="auto" w:fill="auto"/>
            <w:vAlign w:val="bottom"/>
          </w:tcPr>
          <w:p w:rsidR="004C59C2" w:rsidRPr="00172E32" w:rsidRDefault="004C59C2" w:rsidP="0011796D">
            <w:pPr>
              <w:spacing w:after="80" w:line="240" w:lineRule="exact"/>
              <w:ind w:right="144"/>
              <w:jc w:val="lowKashida"/>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4C59C2" w:rsidRPr="00172E32" w:rsidRDefault="004C59C2" w:rsidP="0011796D">
            <w:pPr>
              <w:spacing w:after="80" w:line="240" w:lineRule="exact"/>
              <w:ind w:right="144"/>
              <w:jc w:val="lowKashida"/>
              <w:rPr>
                <w:rFonts w:hint="cs"/>
                <w:i/>
                <w:iCs/>
                <w:sz w:val="16"/>
                <w:szCs w:val="24"/>
                <w:rtl/>
              </w:rPr>
            </w:pPr>
            <w:r w:rsidRPr="00172E32">
              <w:rPr>
                <w:rFonts w:hint="cs"/>
                <w:i/>
                <w:iCs/>
                <w:sz w:val="16"/>
                <w:szCs w:val="24"/>
                <w:rtl/>
              </w:rPr>
              <w:t>1990</w:t>
            </w:r>
          </w:p>
        </w:tc>
        <w:tc>
          <w:tcPr>
            <w:tcW w:w="1030" w:type="dxa"/>
            <w:tcBorders>
              <w:top w:val="single" w:sz="4" w:space="0" w:color="auto"/>
              <w:bottom w:val="single" w:sz="12" w:space="0" w:color="auto"/>
            </w:tcBorders>
            <w:shd w:val="clear" w:color="auto" w:fill="auto"/>
            <w:vAlign w:val="bottom"/>
          </w:tcPr>
          <w:p w:rsidR="004C59C2" w:rsidRPr="00172E32" w:rsidRDefault="004C59C2" w:rsidP="0011796D">
            <w:pPr>
              <w:spacing w:after="80" w:line="240" w:lineRule="exact"/>
              <w:ind w:right="144"/>
              <w:jc w:val="lowKashida"/>
              <w:rPr>
                <w:rFonts w:hint="cs"/>
                <w:i/>
                <w:iCs/>
                <w:sz w:val="16"/>
                <w:szCs w:val="24"/>
                <w:rtl/>
              </w:rPr>
            </w:pPr>
            <w:r w:rsidRPr="00172E32">
              <w:rPr>
                <w:rFonts w:hint="cs"/>
                <w:i/>
                <w:iCs/>
                <w:sz w:val="16"/>
                <w:szCs w:val="24"/>
                <w:rtl/>
              </w:rPr>
              <w:t>2000</w:t>
            </w:r>
          </w:p>
        </w:tc>
        <w:tc>
          <w:tcPr>
            <w:tcW w:w="1339" w:type="dxa"/>
            <w:tcBorders>
              <w:top w:val="single" w:sz="4" w:space="0" w:color="auto"/>
              <w:bottom w:val="single" w:sz="12" w:space="0" w:color="auto"/>
            </w:tcBorders>
            <w:shd w:val="clear" w:color="auto" w:fill="auto"/>
            <w:vAlign w:val="bottom"/>
          </w:tcPr>
          <w:p w:rsidR="004C59C2" w:rsidRPr="00172E32" w:rsidRDefault="004C59C2" w:rsidP="0011796D">
            <w:pPr>
              <w:spacing w:after="80" w:line="240" w:lineRule="exact"/>
              <w:ind w:right="144"/>
              <w:jc w:val="lowKashida"/>
              <w:rPr>
                <w:rFonts w:hint="cs"/>
                <w:i/>
                <w:iCs/>
                <w:sz w:val="16"/>
                <w:szCs w:val="24"/>
                <w:rtl/>
              </w:rPr>
            </w:pPr>
            <w:r w:rsidRPr="00172E32">
              <w:rPr>
                <w:rFonts w:hint="cs"/>
                <w:i/>
                <w:iCs/>
                <w:sz w:val="16"/>
                <w:szCs w:val="24"/>
                <w:rtl/>
              </w:rPr>
              <w:t>2003</w:t>
            </w:r>
          </w:p>
        </w:tc>
      </w:tr>
      <w:tr w:rsidR="004C59C2" w:rsidRPr="00172E32">
        <w:tblPrEx>
          <w:tblCellMar>
            <w:top w:w="0" w:type="dxa"/>
            <w:bottom w:w="0" w:type="dxa"/>
          </w:tblCellMar>
        </w:tblPrEx>
        <w:trPr>
          <w:cantSplit/>
          <w:trHeight w:hRule="exact" w:val="115"/>
          <w:tblHeader/>
          <w:jc w:val="center"/>
        </w:trPr>
        <w:tc>
          <w:tcPr>
            <w:tcW w:w="4539" w:type="dxa"/>
            <w:tcBorders>
              <w:top w:val="single" w:sz="12" w:space="0" w:color="auto"/>
            </w:tcBorders>
            <w:shd w:val="clear" w:color="auto" w:fill="auto"/>
            <w:vAlign w:val="bottom"/>
          </w:tcPr>
          <w:p w:rsidR="004C59C2" w:rsidRPr="00172E32" w:rsidRDefault="004C59C2" w:rsidP="0011796D">
            <w:pPr>
              <w:spacing w:before="40" w:after="80" w:line="240" w:lineRule="exact"/>
              <w:rPr>
                <w:rFonts w:hint="cs"/>
                <w:sz w:val="16"/>
                <w:szCs w:val="24"/>
                <w:rtl/>
              </w:rPr>
            </w:pPr>
          </w:p>
        </w:tc>
        <w:tc>
          <w:tcPr>
            <w:tcW w:w="852" w:type="dxa"/>
            <w:tcBorders>
              <w:top w:val="single" w:sz="12" w:space="0" w:color="auto"/>
            </w:tcBorders>
            <w:shd w:val="clear" w:color="auto" w:fill="auto"/>
            <w:vAlign w:val="bottom"/>
          </w:tcPr>
          <w:p w:rsidR="004C59C2" w:rsidRPr="00172E32" w:rsidRDefault="004C59C2" w:rsidP="0011796D">
            <w:pPr>
              <w:spacing w:before="40" w:after="80" w:line="240" w:lineRule="exact"/>
              <w:rPr>
                <w:rFonts w:hint="cs"/>
                <w:sz w:val="16"/>
                <w:szCs w:val="24"/>
                <w:rtl/>
              </w:rPr>
            </w:pPr>
          </w:p>
        </w:tc>
        <w:tc>
          <w:tcPr>
            <w:tcW w:w="1133" w:type="dxa"/>
            <w:tcBorders>
              <w:top w:val="single" w:sz="12" w:space="0" w:color="auto"/>
            </w:tcBorders>
            <w:shd w:val="clear" w:color="auto" w:fill="auto"/>
            <w:vAlign w:val="bottom"/>
          </w:tcPr>
          <w:p w:rsidR="004C59C2" w:rsidRPr="00172E32" w:rsidRDefault="004C59C2" w:rsidP="0011796D">
            <w:pPr>
              <w:spacing w:before="40" w:after="80" w:line="240" w:lineRule="exact"/>
              <w:rPr>
                <w:rFonts w:hint="cs"/>
                <w:sz w:val="16"/>
                <w:szCs w:val="24"/>
                <w:rtl/>
              </w:rPr>
            </w:pPr>
          </w:p>
        </w:tc>
        <w:tc>
          <w:tcPr>
            <w:tcW w:w="1030" w:type="dxa"/>
            <w:tcBorders>
              <w:top w:val="single" w:sz="12" w:space="0" w:color="auto"/>
            </w:tcBorders>
            <w:shd w:val="clear" w:color="auto" w:fill="auto"/>
            <w:vAlign w:val="bottom"/>
          </w:tcPr>
          <w:p w:rsidR="004C59C2" w:rsidRPr="00172E32" w:rsidRDefault="004C59C2" w:rsidP="0011796D">
            <w:pPr>
              <w:spacing w:before="40" w:after="80" w:line="240" w:lineRule="exact"/>
              <w:rPr>
                <w:rFonts w:hint="cs"/>
                <w:sz w:val="16"/>
                <w:szCs w:val="24"/>
                <w:rtl/>
              </w:rPr>
            </w:pPr>
          </w:p>
        </w:tc>
        <w:tc>
          <w:tcPr>
            <w:tcW w:w="1339" w:type="dxa"/>
            <w:tcBorders>
              <w:top w:val="single" w:sz="12" w:space="0" w:color="auto"/>
            </w:tcBorders>
            <w:shd w:val="clear" w:color="auto" w:fill="auto"/>
            <w:vAlign w:val="bottom"/>
          </w:tcPr>
          <w:p w:rsidR="004C59C2" w:rsidRPr="00172E32" w:rsidRDefault="004C59C2" w:rsidP="0011796D">
            <w:pPr>
              <w:spacing w:before="40" w:after="80" w:line="240" w:lineRule="exact"/>
              <w:rPr>
                <w:rFonts w:hint="cs"/>
                <w:sz w:val="16"/>
                <w:szCs w:val="24"/>
                <w:rtl/>
              </w:rPr>
            </w:pPr>
          </w:p>
        </w:tc>
      </w:tr>
      <w:tr w:rsidR="004C59C2" w:rsidRPr="00172E32">
        <w:tblPrEx>
          <w:tblCellMar>
            <w:top w:w="0" w:type="dxa"/>
            <w:bottom w:w="0" w:type="dxa"/>
          </w:tblCellMar>
        </w:tblPrEx>
        <w:trPr>
          <w:cantSplit/>
          <w:jc w:val="center"/>
        </w:trPr>
        <w:tc>
          <w:tcPr>
            <w:tcW w:w="45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كليات التدريب الحرفي</w:t>
            </w:r>
          </w:p>
        </w:tc>
        <w:tc>
          <w:tcPr>
            <w:tcW w:w="852" w:type="dxa"/>
            <w:shd w:val="clear" w:color="auto" w:fill="D9D9D9"/>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الرجال</w:t>
            </w:r>
          </w:p>
        </w:tc>
        <w:tc>
          <w:tcPr>
            <w:tcW w:w="1133"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572 24</w:t>
            </w:r>
          </w:p>
        </w:tc>
        <w:tc>
          <w:tcPr>
            <w:tcW w:w="1030"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745 23</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(496 23)</w:t>
            </w:r>
            <w:r w:rsidRPr="00D252AB">
              <w:rPr>
                <w:rFonts w:hint="cs"/>
                <w:sz w:val="24"/>
                <w:szCs w:val="24"/>
                <w:vertAlign w:val="superscript"/>
                <w:rtl/>
              </w:rPr>
              <w:t>(2)</w:t>
            </w:r>
          </w:p>
        </w:tc>
      </w:tr>
      <w:tr w:rsidR="004C59C2" w:rsidRPr="00172E32">
        <w:tblPrEx>
          <w:tblCellMar>
            <w:top w:w="0" w:type="dxa"/>
            <w:bottom w:w="0" w:type="dxa"/>
          </w:tblCellMar>
        </w:tblPrEx>
        <w:trPr>
          <w:cantSplit/>
          <w:jc w:val="center"/>
        </w:trPr>
        <w:tc>
          <w:tcPr>
            <w:tcW w:w="4539" w:type="dxa"/>
            <w:shd w:val="clear" w:color="auto" w:fill="D9D9D9"/>
            <w:vAlign w:val="bottom"/>
          </w:tcPr>
          <w:p w:rsidR="004C59C2" w:rsidRPr="003C2A21" w:rsidRDefault="004C59C2" w:rsidP="0011796D">
            <w:pPr>
              <w:spacing w:before="40" w:after="80" w:line="240" w:lineRule="exact"/>
              <w:rPr>
                <w:rFonts w:hint="cs"/>
                <w:sz w:val="24"/>
                <w:szCs w:val="24"/>
                <w:rtl/>
              </w:rPr>
            </w:pPr>
          </w:p>
        </w:tc>
        <w:tc>
          <w:tcPr>
            <w:tcW w:w="852" w:type="dxa"/>
            <w:shd w:val="clear" w:color="auto" w:fill="D9D9D9"/>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النساء</w:t>
            </w:r>
          </w:p>
        </w:tc>
        <w:tc>
          <w:tcPr>
            <w:tcW w:w="1133"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459 16</w:t>
            </w:r>
          </w:p>
        </w:tc>
        <w:tc>
          <w:tcPr>
            <w:tcW w:w="1030"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437 13</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(961 13)</w:t>
            </w:r>
            <w:r w:rsidRPr="00D252AB">
              <w:rPr>
                <w:rFonts w:hint="cs"/>
                <w:sz w:val="24"/>
                <w:szCs w:val="24"/>
                <w:vertAlign w:val="superscript"/>
                <w:rtl/>
              </w:rPr>
              <w:t>(2)</w:t>
            </w:r>
          </w:p>
        </w:tc>
      </w:tr>
      <w:tr w:rsidR="004C59C2" w:rsidRPr="00172E32">
        <w:tblPrEx>
          <w:tblCellMar>
            <w:top w:w="0" w:type="dxa"/>
            <w:bottom w:w="0" w:type="dxa"/>
          </w:tblCellMar>
        </w:tblPrEx>
        <w:trPr>
          <w:cantSplit/>
          <w:jc w:val="center"/>
        </w:trPr>
        <w:tc>
          <w:tcPr>
            <w:tcW w:w="4539" w:type="dxa"/>
            <w:shd w:val="clear" w:color="auto" w:fill="D9D9D9"/>
            <w:vAlign w:val="bottom"/>
          </w:tcPr>
          <w:p w:rsidR="004C59C2" w:rsidRPr="003C2A21" w:rsidRDefault="004C59C2" w:rsidP="0011796D">
            <w:pPr>
              <w:spacing w:before="40" w:after="80" w:line="240" w:lineRule="exact"/>
              <w:rPr>
                <w:rFonts w:hint="cs"/>
                <w:sz w:val="24"/>
                <w:szCs w:val="24"/>
                <w:rtl/>
              </w:rPr>
            </w:pPr>
          </w:p>
        </w:tc>
        <w:tc>
          <w:tcPr>
            <w:tcW w:w="852" w:type="dxa"/>
            <w:shd w:val="clear" w:color="auto" w:fill="D9D9D9"/>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المجموع</w:t>
            </w:r>
          </w:p>
        </w:tc>
        <w:tc>
          <w:tcPr>
            <w:tcW w:w="1133"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031 41</w:t>
            </w:r>
          </w:p>
        </w:tc>
        <w:tc>
          <w:tcPr>
            <w:tcW w:w="1030"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191 37</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(457 37)</w:t>
            </w:r>
            <w:r w:rsidRPr="00D252AB">
              <w:rPr>
                <w:rFonts w:hint="cs"/>
                <w:sz w:val="24"/>
                <w:szCs w:val="24"/>
                <w:vertAlign w:val="superscript"/>
                <w:rtl/>
              </w:rPr>
              <w:t>(2)</w:t>
            </w:r>
          </w:p>
        </w:tc>
      </w:tr>
      <w:tr w:rsidR="004C59C2" w:rsidRPr="00172E32">
        <w:tblPrEx>
          <w:tblCellMar>
            <w:top w:w="0" w:type="dxa"/>
            <w:bottom w:w="0" w:type="dxa"/>
          </w:tblCellMar>
        </w:tblPrEx>
        <w:trPr>
          <w:cantSplit/>
          <w:jc w:val="center"/>
        </w:trPr>
        <w:tc>
          <w:tcPr>
            <w:tcW w:w="4539" w:type="dxa"/>
            <w:shd w:val="clear" w:color="auto" w:fill="D9D9D9"/>
            <w:vAlign w:val="bottom"/>
          </w:tcPr>
          <w:p w:rsidR="004C59C2" w:rsidRPr="003C2A21" w:rsidRDefault="004C59C2" w:rsidP="0011796D">
            <w:pPr>
              <w:spacing w:before="40" w:after="80" w:line="240" w:lineRule="exact"/>
              <w:ind w:right="288"/>
              <w:jc w:val="lowKashida"/>
              <w:rPr>
                <w:rFonts w:hint="cs"/>
                <w:sz w:val="24"/>
                <w:szCs w:val="24"/>
                <w:rtl/>
              </w:rPr>
            </w:pPr>
            <w:r w:rsidRPr="003C2A21">
              <w:rPr>
                <w:rFonts w:hint="cs"/>
                <w:sz w:val="24"/>
                <w:szCs w:val="24"/>
                <w:rtl/>
              </w:rPr>
              <w:t>مجموع الكليات التقنية الثانوية السفلى و/أو كليات التدريب المهني</w:t>
            </w:r>
          </w:p>
        </w:tc>
        <w:tc>
          <w:tcPr>
            <w:tcW w:w="852" w:type="dxa"/>
            <w:shd w:val="clear" w:color="auto" w:fill="D9D9D9"/>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الرجال</w:t>
            </w:r>
          </w:p>
        </w:tc>
        <w:tc>
          <w:tcPr>
            <w:tcW w:w="1133"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158 7</w:t>
            </w:r>
          </w:p>
        </w:tc>
        <w:tc>
          <w:tcPr>
            <w:tcW w:w="1030"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228 5</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769 5</w:t>
            </w:r>
          </w:p>
        </w:tc>
      </w:tr>
      <w:tr w:rsidR="004C59C2" w:rsidRPr="00172E32">
        <w:tblPrEx>
          <w:tblCellMar>
            <w:top w:w="0" w:type="dxa"/>
            <w:bottom w:w="0" w:type="dxa"/>
          </w:tblCellMar>
        </w:tblPrEx>
        <w:trPr>
          <w:cantSplit/>
          <w:jc w:val="center"/>
        </w:trPr>
        <w:tc>
          <w:tcPr>
            <w:tcW w:w="4539" w:type="dxa"/>
            <w:shd w:val="clear" w:color="auto" w:fill="auto"/>
            <w:vAlign w:val="bottom"/>
          </w:tcPr>
          <w:p w:rsidR="004C59C2" w:rsidRPr="003C2A21" w:rsidRDefault="004C59C2" w:rsidP="0011796D">
            <w:pPr>
              <w:spacing w:before="40" w:after="80" w:line="240" w:lineRule="exact"/>
              <w:rPr>
                <w:rFonts w:hint="cs"/>
                <w:sz w:val="24"/>
                <w:szCs w:val="24"/>
                <w:rtl/>
              </w:rPr>
            </w:pPr>
          </w:p>
        </w:tc>
        <w:tc>
          <w:tcPr>
            <w:tcW w:w="852" w:type="dxa"/>
            <w:shd w:val="clear" w:color="auto" w:fill="auto"/>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النساء</w:t>
            </w:r>
          </w:p>
        </w:tc>
        <w:tc>
          <w:tcPr>
            <w:tcW w:w="1133"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893 10</w:t>
            </w:r>
          </w:p>
        </w:tc>
        <w:tc>
          <w:tcPr>
            <w:tcW w:w="1030"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137 8</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583 8</w:t>
            </w:r>
          </w:p>
        </w:tc>
      </w:tr>
      <w:tr w:rsidR="004C59C2" w:rsidRPr="00172E32">
        <w:tblPrEx>
          <w:tblCellMar>
            <w:top w:w="0" w:type="dxa"/>
            <w:bottom w:w="0" w:type="dxa"/>
          </w:tblCellMar>
        </w:tblPrEx>
        <w:trPr>
          <w:cantSplit/>
          <w:jc w:val="center"/>
        </w:trPr>
        <w:tc>
          <w:tcPr>
            <w:tcW w:w="4539" w:type="dxa"/>
            <w:shd w:val="clear" w:color="auto" w:fill="auto"/>
            <w:vAlign w:val="bottom"/>
          </w:tcPr>
          <w:p w:rsidR="004C59C2" w:rsidRPr="003C2A21" w:rsidRDefault="004C59C2" w:rsidP="0011796D">
            <w:pPr>
              <w:spacing w:before="40" w:after="80" w:line="240" w:lineRule="exact"/>
              <w:rPr>
                <w:rFonts w:hint="cs"/>
                <w:sz w:val="24"/>
                <w:szCs w:val="24"/>
                <w:rtl/>
              </w:rPr>
            </w:pPr>
          </w:p>
        </w:tc>
        <w:tc>
          <w:tcPr>
            <w:tcW w:w="852" w:type="dxa"/>
            <w:shd w:val="clear" w:color="auto" w:fill="auto"/>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المجموع</w:t>
            </w:r>
          </w:p>
        </w:tc>
        <w:tc>
          <w:tcPr>
            <w:tcW w:w="1133"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051 18</w:t>
            </w:r>
          </w:p>
        </w:tc>
        <w:tc>
          <w:tcPr>
            <w:tcW w:w="1030"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356 13</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352 14</w:t>
            </w:r>
          </w:p>
        </w:tc>
      </w:tr>
      <w:tr w:rsidR="004C59C2" w:rsidRPr="00172E32">
        <w:tblPrEx>
          <w:tblCellMar>
            <w:top w:w="0" w:type="dxa"/>
            <w:bottom w:w="0" w:type="dxa"/>
          </w:tblCellMar>
        </w:tblPrEx>
        <w:trPr>
          <w:cantSplit/>
          <w:jc w:val="center"/>
        </w:trPr>
        <w:tc>
          <w:tcPr>
            <w:tcW w:w="4539"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الكليات التقنية والحرفية والفنية</w:t>
            </w:r>
          </w:p>
        </w:tc>
        <w:tc>
          <w:tcPr>
            <w:tcW w:w="852" w:type="dxa"/>
            <w:shd w:val="clear" w:color="auto" w:fill="auto"/>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الرجال</w:t>
            </w:r>
          </w:p>
        </w:tc>
        <w:tc>
          <w:tcPr>
            <w:tcW w:w="1133"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742 4</w:t>
            </w:r>
          </w:p>
        </w:tc>
        <w:tc>
          <w:tcPr>
            <w:tcW w:w="1030"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287 3</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123 3</w:t>
            </w:r>
          </w:p>
        </w:tc>
      </w:tr>
      <w:tr w:rsidR="004C59C2" w:rsidRPr="00172E32">
        <w:tblPrEx>
          <w:tblCellMar>
            <w:top w:w="0" w:type="dxa"/>
            <w:bottom w:w="0" w:type="dxa"/>
          </w:tblCellMar>
        </w:tblPrEx>
        <w:trPr>
          <w:cantSplit/>
          <w:jc w:val="center"/>
        </w:trPr>
        <w:tc>
          <w:tcPr>
            <w:tcW w:w="4539" w:type="dxa"/>
            <w:shd w:val="clear" w:color="auto" w:fill="auto"/>
            <w:vAlign w:val="bottom"/>
          </w:tcPr>
          <w:p w:rsidR="004C59C2" w:rsidRPr="003C2A21" w:rsidRDefault="004C59C2" w:rsidP="0011796D">
            <w:pPr>
              <w:spacing w:before="40" w:after="80" w:line="240" w:lineRule="exact"/>
              <w:rPr>
                <w:rFonts w:hint="cs"/>
                <w:sz w:val="24"/>
                <w:szCs w:val="24"/>
                <w:rtl/>
              </w:rPr>
            </w:pPr>
          </w:p>
        </w:tc>
        <w:tc>
          <w:tcPr>
            <w:tcW w:w="852" w:type="dxa"/>
            <w:shd w:val="clear" w:color="auto" w:fill="auto"/>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النساء</w:t>
            </w:r>
          </w:p>
        </w:tc>
        <w:tc>
          <w:tcPr>
            <w:tcW w:w="1133"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641 1</w:t>
            </w:r>
          </w:p>
        </w:tc>
        <w:tc>
          <w:tcPr>
            <w:tcW w:w="1030"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048 1</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869</w:t>
            </w:r>
          </w:p>
        </w:tc>
      </w:tr>
      <w:tr w:rsidR="004C59C2" w:rsidRPr="00172E32">
        <w:tblPrEx>
          <w:tblCellMar>
            <w:top w:w="0" w:type="dxa"/>
            <w:bottom w:w="0" w:type="dxa"/>
          </w:tblCellMar>
        </w:tblPrEx>
        <w:trPr>
          <w:cantSplit/>
          <w:jc w:val="center"/>
        </w:trPr>
        <w:tc>
          <w:tcPr>
            <w:tcW w:w="4539" w:type="dxa"/>
            <w:shd w:val="clear" w:color="auto" w:fill="auto"/>
            <w:vAlign w:val="bottom"/>
          </w:tcPr>
          <w:p w:rsidR="004C59C2" w:rsidRPr="003C2A21" w:rsidRDefault="004C59C2" w:rsidP="0011796D">
            <w:pPr>
              <w:spacing w:before="40" w:after="80" w:line="240" w:lineRule="exact"/>
              <w:rPr>
                <w:rFonts w:hint="cs"/>
                <w:sz w:val="24"/>
                <w:szCs w:val="24"/>
                <w:rtl/>
              </w:rPr>
            </w:pPr>
          </w:p>
        </w:tc>
        <w:tc>
          <w:tcPr>
            <w:tcW w:w="852" w:type="dxa"/>
            <w:shd w:val="clear" w:color="auto" w:fill="auto"/>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المجموع</w:t>
            </w:r>
          </w:p>
        </w:tc>
        <w:tc>
          <w:tcPr>
            <w:tcW w:w="1133"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383 6</w:t>
            </w:r>
          </w:p>
        </w:tc>
        <w:tc>
          <w:tcPr>
            <w:tcW w:w="1030"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335 4</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992 3</w:t>
            </w:r>
          </w:p>
        </w:tc>
      </w:tr>
      <w:tr w:rsidR="004C59C2" w:rsidRPr="00172E32">
        <w:tblPrEx>
          <w:tblCellMar>
            <w:top w:w="0" w:type="dxa"/>
            <w:bottom w:w="0" w:type="dxa"/>
          </w:tblCellMar>
        </w:tblPrEx>
        <w:trPr>
          <w:cantSplit/>
          <w:jc w:val="center"/>
        </w:trPr>
        <w:tc>
          <w:tcPr>
            <w:tcW w:w="4539"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الأعمال</w:t>
            </w:r>
          </w:p>
        </w:tc>
        <w:tc>
          <w:tcPr>
            <w:tcW w:w="852" w:type="dxa"/>
            <w:shd w:val="clear" w:color="auto" w:fill="auto"/>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الرجال</w:t>
            </w:r>
          </w:p>
        </w:tc>
        <w:tc>
          <w:tcPr>
            <w:tcW w:w="1133"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055 1</w:t>
            </w:r>
          </w:p>
        </w:tc>
        <w:tc>
          <w:tcPr>
            <w:tcW w:w="1030"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294 1</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310 1</w:t>
            </w:r>
          </w:p>
        </w:tc>
      </w:tr>
      <w:tr w:rsidR="004C59C2" w:rsidRPr="00172E32">
        <w:tblPrEx>
          <w:tblCellMar>
            <w:top w:w="0" w:type="dxa"/>
            <w:bottom w:w="0" w:type="dxa"/>
          </w:tblCellMar>
        </w:tblPrEx>
        <w:trPr>
          <w:cantSplit/>
          <w:jc w:val="center"/>
        </w:trPr>
        <w:tc>
          <w:tcPr>
            <w:tcW w:w="4539" w:type="dxa"/>
            <w:shd w:val="clear" w:color="auto" w:fill="auto"/>
            <w:vAlign w:val="bottom"/>
          </w:tcPr>
          <w:p w:rsidR="004C59C2" w:rsidRPr="003C2A21" w:rsidRDefault="004C59C2" w:rsidP="0011796D">
            <w:pPr>
              <w:spacing w:before="40" w:after="80" w:line="240" w:lineRule="exact"/>
              <w:rPr>
                <w:rFonts w:hint="cs"/>
                <w:sz w:val="24"/>
                <w:szCs w:val="24"/>
                <w:rtl/>
              </w:rPr>
            </w:pPr>
          </w:p>
        </w:tc>
        <w:tc>
          <w:tcPr>
            <w:tcW w:w="852" w:type="dxa"/>
            <w:shd w:val="clear" w:color="auto" w:fill="auto"/>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النساء</w:t>
            </w:r>
          </w:p>
        </w:tc>
        <w:tc>
          <w:tcPr>
            <w:tcW w:w="1133"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952 2</w:t>
            </w:r>
          </w:p>
        </w:tc>
        <w:tc>
          <w:tcPr>
            <w:tcW w:w="1030"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434 2</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322 2</w:t>
            </w:r>
          </w:p>
        </w:tc>
      </w:tr>
      <w:tr w:rsidR="004C59C2" w:rsidRPr="00172E32">
        <w:tblPrEx>
          <w:tblCellMar>
            <w:top w:w="0" w:type="dxa"/>
            <w:bottom w:w="0" w:type="dxa"/>
          </w:tblCellMar>
        </w:tblPrEx>
        <w:trPr>
          <w:cantSplit/>
          <w:jc w:val="center"/>
        </w:trPr>
        <w:tc>
          <w:tcPr>
            <w:tcW w:w="4539" w:type="dxa"/>
            <w:shd w:val="clear" w:color="auto" w:fill="auto"/>
            <w:vAlign w:val="bottom"/>
          </w:tcPr>
          <w:p w:rsidR="004C59C2" w:rsidRPr="003C2A21" w:rsidRDefault="004C59C2" w:rsidP="0011796D">
            <w:pPr>
              <w:spacing w:before="40" w:after="80" w:line="240" w:lineRule="exact"/>
              <w:rPr>
                <w:rFonts w:hint="cs"/>
                <w:sz w:val="24"/>
                <w:szCs w:val="24"/>
                <w:rtl/>
              </w:rPr>
            </w:pPr>
          </w:p>
        </w:tc>
        <w:tc>
          <w:tcPr>
            <w:tcW w:w="852" w:type="dxa"/>
            <w:shd w:val="clear" w:color="auto" w:fill="auto"/>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المجموع</w:t>
            </w:r>
          </w:p>
        </w:tc>
        <w:tc>
          <w:tcPr>
            <w:tcW w:w="1133"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007 4</w:t>
            </w:r>
          </w:p>
        </w:tc>
        <w:tc>
          <w:tcPr>
            <w:tcW w:w="1030"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728 3</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632 3</w:t>
            </w:r>
          </w:p>
        </w:tc>
      </w:tr>
      <w:tr w:rsidR="004C59C2" w:rsidRPr="00172E32">
        <w:tblPrEx>
          <w:tblCellMar>
            <w:top w:w="0" w:type="dxa"/>
            <w:bottom w:w="0" w:type="dxa"/>
          </w:tblCellMar>
        </w:tblPrEx>
        <w:trPr>
          <w:cantSplit/>
          <w:jc w:val="center"/>
        </w:trPr>
        <w:tc>
          <w:tcPr>
            <w:tcW w:w="4539"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العلوم المنزلية والتجارية</w:t>
            </w:r>
          </w:p>
        </w:tc>
        <w:tc>
          <w:tcPr>
            <w:tcW w:w="852" w:type="dxa"/>
            <w:shd w:val="clear" w:color="auto" w:fill="auto"/>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الرجال</w:t>
            </w:r>
          </w:p>
        </w:tc>
        <w:tc>
          <w:tcPr>
            <w:tcW w:w="1133"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203</w:t>
            </w:r>
          </w:p>
        </w:tc>
        <w:tc>
          <w:tcPr>
            <w:tcW w:w="1030"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278</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349</w:t>
            </w:r>
          </w:p>
        </w:tc>
      </w:tr>
      <w:tr w:rsidR="004C59C2" w:rsidRPr="00172E32">
        <w:tblPrEx>
          <w:tblCellMar>
            <w:top w:w="0" w:type="dxa"/>
            <w:bottom w:w="0" w:type="dxa"/>
          </w:tblCellMar>
        </w:tblPrEx>
        <w:trPr>
          <w:cantSplit/>
          <w:jc w:val="center"/>
        </w:trPr>
        <w:tc>
          <w:tcPr>
            <w:tcW w:w="4539" w:type="dxa"/>
            <w:shd w:val="clear" w:color="auto" w:fill="auto"/>
            <w:vAlign w:val="bottom"/>
          </w:tcPr>
          <w:p w:rsidR="004C59C2" w:rsidRPr="003C2A21" w:rsidRDefault="004C59C2" w:rsidP="0011796D">
            <w:pPr>
              <w:spacing w:before="40" w:after="80" w:line="240" w:lineRule="exact"/>
              <w:rPr>
                <w:rFonts w:hint="cs"/>
                <w:sz w:val="24"/>
                <w:szCs w:val="24"/>
                <w:rtl/>
              </w:rPr>
            </w:pPr>
          </w:p>
        </w:tc>
        <w:tc>
          <w:tcPr>
            <w:tcW w:w="852" w:type="dxa"/>
            <w:shd w:val="clear" w:color="auto" w:fill="auto"/>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النساء</w:t>
            </w:r>
          </w:p>
        </w:tc>
        <w:tc>
          <w:tcPr>
            <w:tcW w:w="1133"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552 5</w:t>
            </w:r>
          </w:p>
        </w:tc>
        <w:tc>
          <w:tcPr>
            <w:tcW w:w="1030"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929 3</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149 3</w:t>
            </w:r>
          </w:p>
        </w:tc>
      </w:tr>
      <w:tr w:rsidR="004C59C2" w:rsidRPr="00172E32">
        <w:tblPrEx>
          <w:tblCellMar>
            <w:top w:w="0" w:type="dxa"/>
            <w:bottom w:w="0" w:type="dxa"/>
          </w:tblCellMar>
        </w:tblPrEx>
        <w:trPr>
          <w:cantSplit/>
          <w:jc w:val="center"/>
        </w:trPr>
        <w:tc>
          <w:tcPr>
            <w:tcW w:w="4539" w:type="dxa"/>
            <w:shd w:val="clear" w:color="auto" w:fill="auto"/>
            <w:vAlign w:val="bottom"/>
          </w:tcPr>
          <w:p w:rsidR="004C59C2" w:rsidRPr="003C2A21" w:rsidRDefault="004C59C2" w:rsidP="0011796D">
            <w:pPr>
              <w:spacing w:before="40" w:after="80" w:line="240" w:lineRule="exact"/>
              <w:rPr>
                <w:rFonts w:hint="cs"/>
                <w:sz w:val="24"/>
                <w:szCs w:val="24"/>
                <w:rtl/>
              </w:rPr>
            </w:pPr>
          </w:p>
        </w:tc>
        <w:tc>
          <w:tcPr>
            <w:tcW w:w="852" w:type="dxa"/>
            <w:shd w:val="clear" w:color="auto" w:fill="auto"/>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المجموع</w:t>
            </w:r>
          </w:p>
        </w:tc>
        <w:tc>
          <w:tcPr>
            <w:tcW w:w="1133"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755 5</w:t>
            </w:r>
          </w:p>
        </w:tc>
        <w:tc>
          <w:tcPr>
            <w:tcW w:w="1030"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207 4</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498 3</w:t>
            </w:r>
          </w:p>
        </w:tc>
      </w:tr>
      <w:tr w:rsidR="004C59C2" w:rsidRPr="00172E32">
        <w:tblPrEx>
          <w:tblCellMar>
            <w:top w:w="0" w:type="dxa"/>
            <w:bottom w:w="0" w:type="dxa"/>
          </w:tblCellMar>
        </w:tblPrEx>
        <w:trPr>
          <w:cantSplit/>
          <w:jc w:val="center"/>
        </w:trPr>
        <w:tc>
          <w:tcPr>
            <w:tcW w:w="4539"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الخدمة الاجتماعية</w:t>
            </w:r>
          </w:p>
        </w:tc>
        <w:tc>
          <w:tcPr>
            <w:tcW w:w="852" w:type="dxa"/>
            <w:shd w:val="clear" w:color="auto" w:fill="auto"/>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الرجال</w:t>
            </w:r>
          </w:p>
        </w:tc>
        <w:tc>
          <w:tcPr>
            <w:tcW w:w="1133"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111</w:t>
            </w:r>
          </w:p>
        </w:tc>
        <w:tc>
          <w:tcPr>
            <w:tcW w:w="1030"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23</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21</w:t>
            </w:r>
          </w:p>
        </w:tc>
      </w:tr>
      <w:tr w:rsidR="004C59C2" w:rsidRPr="00172E32">
        <w:tblPrEx>
          <w:tblCellMar>
            <w:top w:w="0" w:type="dxa"/>
            <w:bottom w:w="0" w:type="dxa"/>
          </w:tblCellMar>
        </w:tblPrEx>
        <w:trPr>
          <w:cantSplit/>
          <w:jc w:val="center"/>
        </w:trPr>
        <w:tc>
          <w:tcPr>
            <w:tcW w:w="4539" w:type="dxa"/>
            <w:shd w:val="clear" w:color="auto" w:fill="auto"/>
            <w:vAlign w:val="bottom"/>
          </w:tcPr>
          <w:p w:rsidR="004C59C2" w:rsidRPr="003C2A21" w:rsidRDefault="004C59C2" w:rsidP="0011796D">
            <w:pPr>
              <w:spacing w:before="40" w:after="80" w:line="240" w:lineRule="exact"/>
              <w:rPr>
                <w:rFonts w:hint="cs"/>
                <w:sz w:val="24"/>
                <w:szCs w:val="24"/>
                <w:rtl/>
              </w:rPr>
            </w:pPr>
          </w:p>
        </w:tc>
        <w:tc>
          <w:tcPr>
            <w:tcW w:w="852" w:type="dxa"/>
            <w:shd w:val="clear" w:color="auto" w:fill="auto"/>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النساء</w:t>
            </w:r>
          </w:p>
        </w:tc>
        <w:tc>
          <w:tcPr>
            <w:tcW w:w="1133"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598</w:t>
            </w:r>
          </w:p>
        </w:tc>
        <w:tc>
          <w:tcPr>
            <w:tcW w:w="1030"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240</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449</w:t>
            </w:r>
          </w:p>
        </w:tc>
      </w:tr>
      <w:tr w:rsidR="004C59C2" w:rsidRPr="00172E32">
        <w:tblPrEx>
          <w:tblCellMar>
            <w:top w:w="0" w:type="dxa"/>
            <w:bottom w:w="0" w:type="dxa"/>
          </w:tblCellMar>
        </w:tblPrEx>
        <w:trPr>
          <w:cantSplit/>
          <w:jc w:val="center"/>
        </w:trPr>
        <w:tc>
          <w:tcPr>
            <w:tcW w:w="4539" w:type="dxa"/>
            <w:shd w:val="clear" w:color="auto" w:fill="auto"/>
            <w:vAlign w:val="bottom"/>
          </w:tcPr>
          <w:p w:rsidR="004C59C2" w:rsidRPr="003C2A21" w:rsidRDefault="004C59C2" w:rsidP="0011796D">
            <w:pPr>
              <w:spacing w:before="40" w:after="80" w:line="240" w:lineRule="exact"/>
              <w:rPr>
                <w:rFonts w:hint="cs"/>
                <w:sz w:val="24"/>
                <w:szCs w:val="24"/>
                <w:rtl/>
              </w:rPr>
            </w:pPr>
          </w:p>
        </w:tc>
        <w:tc>
          <w:tcPr>
            <w:tcW w:w="852" w:type="dxa"/>
            <w:shd w:val="clear" w:color="auto" w:fill="auto"/>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المجموع</w:t>
            </w:r>
          </w:p>
        </w:tc>
        <w:tc>
          <w:tcPr>
            <w:tcW w:w="1133"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709</w:t>
            </w:r>
          </w:p>
        </w:tc>
        <w:tc>
          <w:tcPr>
            <w:tcW w:w="1030"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263</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470</w:t>
            </w:r>
          </w:p>
        </w:tc>
      </w:tr>
      <w:tr w:rsidR="004C59C2" w:rsidRPr="00172E32">
        <w:tblPrEx>
          <w:tblCellMar>
            <w:top w:w="0" w:type="dxa"/>
            <w:bottom w:w="0" w:type="dxa"/>
          </w:tblCellMar>
        </w:tblPrEx>
        <w:trPr>
          <w:cantSplit/>
          <w:jc w:val="center"/>
        </w:trPr>
        <w:tc>
          <w:tcPr>
            <w:tcW w:w="4539"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الزراعة والحراجة</w:t>
            </w:r>
          </w:p>
        </w:tc>
        <w:tc>
          <w:tcPr>
            <w:tcW w:w="852" w:type="dxa"/>
            <w:shd w:val="clear" w:color="auto" w:fill="auto"/>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الرجال</w:t>
            </w:r>
          </w:p>
        </w:tc>
        <w:tc>
          <w:tcPr>
            <w:tcW w:w="1133"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047 1</w:t>
            </w:r>
          </w:p>
        </w:tc>
        <w:tc>
          <w:tcPr>
            <w:tcW w:w="1030"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 xml:space="preserve">290 </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(966)</w:t>
            </w:r>
            <w:r w:rsidRPr="00D252AB">
              <w:rPr>
                <w:rFonts w:hint="cs"/>
                <w:sz w:val="24"/>
                <w:szCs w:val="24"/>
                <w:vertAlign w:val="superscript"/>
                <w:rtl/>
              </w:rPr>
              <w:t>(2)</w:t>
            </w:r>
          </w:p>
        </w:tc>
      </w:tr>
      <w:tr w:rsidR="004C59C2" w:rsidRPr="00172E32">
        <w:tblPrEx>
          <w:tblCellMar>
            <w:top w:w="0" w:type="dxa"/>
            <w:bottom w:w="0" w:type="dxa"/>
          </w:tblCellMar>
        </w:tblPrEx>
        <w:trPr>
          <w:cantSplit/>
          <w:jc w:val="center"/>
        </w:trPr>
        <w:tc>
          <w:tcPr>
            <w:tcW w:w="4539" w:type="dxa"/>
            <w:shd w:val="clear" w:color="auto" w:fill="auto"/>
            <w:vAlign w:val="bottom"/>
          </w:tcPr>
          <w:p w:rsidR="004C59C2" w:rsidRPr="003C2A21" w:rsidRDefault="004C59C2" w:rsidP="0011796D">
            <w:pPr>
              <w:spacing w:before="40" w:after="80" w:line="240" w:lineRule="exact"/>
              <w:rPr>
                <w:rFonts w:hint="cs"/>
                <w:b/>
                <w:bCs/>
                <w:sz w:val="24"/>
                <w:szCs w:val="24"/>
                <w:rtl/>
              </w:rPr>
            </w:pPr>
          </w:p>
        </w:tc>
        <w:tc>
          <w:tcPr>
            <w:tcW w:w="852" w:type="dxa"/>
            <w:shd w:val="clear" w:color="auto" w:fill="auto"/>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النساء</w:t>
            </w:r>
          </w:p>
        </w:tc>
        <w:tc>
          <w:tcPr>
            <w:tcW w:w="1133"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150</w:t>
            </w:r>
          </w:p>
        </w:tc>
        <w:tc>
          <w:tcPr>
            <w:tcW w:w="1030" w:type="dxa"/>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512</w:t>
            </w:r>
          </w:p>
        </w:tc>
        <w:tc>
          <w:tcPr>
            <w:tcW w:w="1339" w:type="dxa"/>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(794 1)</w:t>
            </w:r>
            <w:r w:rsidRPr="00D252AB">
              <w:rPr>
                <w:rFonts w:hint="cs"/>
                <w:sz w:val="24"/>
                <w:szCs w:val="24"/>
                <w:vertAlign w:val="superscript"/>
                <w:rtl/>
              </w:rPr>
              <w:t>(2)</w:t>
            </w:r>
          </w:p>
        </w:tc>
      </w:tr>
      <w:tr w:rsidR="004C59C2" w:rsidRPr="00172E32">
        <w:tblPrEx>
          <w:tblCellMar>
            <w:top w:w="0" w:type="dxa"/>
            <w:bottom w:w="0" w:type="dxa"/>
          </w:tblCellMar>
        </w:tblPrEx>
        <w:trPr>
          <w:cantSplit/>
          <w:jc w:val="center"/>
        </w:trPr>
        <w:tc>
          <w:tcPr>
            <w:tcW w:w="4539" w:type="dxa"/>
            <w:tcBorders>
              <w:bottom w:val="single" w:sz="4" w:space="0" w:color="auto"/>
            </w:tcBorders>
            <w:shd w:val="clear" w:color="auto" w:fill="auto"/>
            <w:vAlign w:val="bottom"/>
          </w:tcPr>
          <w:p w:rsidR="004C59C2" w:rsidRPr="003C2A21" w:rsidRDefault="004C59C2" w:rsidP="0011796D">
            <w:pPr>
              <w:spacing w:before="40" w:after="80" w:line="240" w:lineRule="exact"/>
              <w:rPr>
                <w:rFonts w:hint="cs"/>
                <w:b/>
                <w:bCs/>
                <w:sz w:val="24"/>
                <w:szCs w:val="24"/>
                <w:rtl/>
              </w:rPr>
            </w:pPr>
          </w:p>
        </w:tc>
        <w:tc>
          <w:tcPr>
            <w:tcW w:w="852" w:type="dxa"/>
            <w:tcBorders>
              <w:bottom w:val="single" w:sz="4" w:space="0" w:color="auto"/>
            </w:tcBorders>
            <w:shd w:val="clear" w:color="auto" w:fill="auto"/>
            <w:vAlign w:val="bottom"/>
          </w:tcPr>
          <w:p w:rsidR="004C59C2" w:rsidRPr="003C2A21" w:rsidRDefault="004C59C2" w:rsidP="0011796D">
            <w:pPr>
              <w:spacing w:before="40" w:after="80" w:line="200" w:lineRule="exact"/>
              <w:rPr>
                <w:rFonts w:hint="cs"/>
                <w:sz w:val="24"/>
                <w:szCs w:val="24"/>
                <w:rtl/>
              </w:rPr>
            </w:pPr>
            <w:r w:rsidRPr="003C2A21">
              <w:rPr>
                <w:rFonts w:hint="cs"/>
                <w:sz w:val="24"/>
                <w:szCs w:val="24"/>
                <w:rtl/>
              </w:rPr>
              <w:t>المجموع</w:t>
            </w:r>
          </w:p>
        </w:tc>
        <w:tc>
          <w:tcPr>
            <w:tcW w:w="1133" w:type="dxa"/>
            <w:tcBorders>
              <w:bottom w:val="single" w:sz="4" w:space="0" w:color="auto"/>
            </w:tcBorders>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197 1</w:t>
            </w:r>
          </w:p>
        </w:tc>
        <w:tc>
          <w:tcPr>
            <w:tcW w:w="1030" w:type="dxa"/>
            <w:tcBorders>
              <w:bottom w:val="single" w:sz="4" w:space="0" w:color="auto"/>
            </w:tcBorders>
            <w:shd w:val="clear" w:color="auto" w:fill="auto"/>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802</w:t>
            </w:r>
          </w:p>
        </w:tc>
        <w:tc>
          <w:tcPr>
            <w:tcW w:w="1339" w:type="dxa"/>
            <w:tcBorders>
              <w:bottom w:val="single" w:sz="4" w:space="0" w:color="auto"/>
            </w:tcBorders>
            <w:shd w:val="clear" w:color="auto" w:fill="D9D9D9"/>
            <w:vAlign w:val="bottom"/>
          </w:tcPr>
          <w:p w:rsidR="004C59C2" w:rsidRPr="003C2A21" w:rsidRDefault="004C59C2" w:rsidP="0011796D">
            <w:pPr>
              <w:spacing w:before="40" w:after="80" w:line="240" w:lineRule="exact"/>
              <w:rPr>
                <w:rFonts w:hint="cs"/>
                <w:sz w:val="24"/>
                <w:szCs w:val="24"/>
                <w:rtl/>
              </w:rPr>
            </w:pPr>
            <w:r w:rsidRPr="003C2A21">
              <w:rPr>
                <w:rFonts w:hint="cs"/>
                <w:sz w:val="24"/>
                <w:szCs w:val="24"/>
                <w:rtl/>
              </w:rPr>
              <w:t>(760 2)</w:t>
            </w:r>
            <w:r w:rsidRPr="00D252AB">
              <w:rPr>
                <w:rFonts w:hint="cs"/>
                <w:sz w:val="24"/>
                <w:szCs w:val="24"/>
                <w:vertAlign w:val="superscript"/>
                <w:rtl/>
              </w:rPr>
              <w:t>(2)</w:t>
            </w:r>
          </w:p>
        </w:tc>
      </w:tr>
      <w:tr w:rsidR="004C59C2" w:rsidRPr="00172E32">
        <w:tblPrEx>
          <w:tblCellMar>
            <w:top w:w="0" w:type="dxa"/>
            <w:bottom w:w="0" w:type="dxa"/>
          </w:tblCellMar>
        </w:tblPrEx>
        <w:trPr>
          <w:cantSplit/>
          <w:jc w:val="center"/>
        </w:trPr>
        <w:tc>
          <w:tcPr>
            <w:tcW w:w="4539" w:type="dxa"/>
            <w:tcBorders>
              <w:top w:val="single" w:sz="4" w:space="0" w:color="auto"/>
            </w:tcBorders>
            <w:shd w:val="clear" w:color="auto" w:fill="D9D9D9"/>
            <w:vAlign w:val="bottom"/>
          </w:tcPr>
          <w:p w:rsidR="004C59C2" w:rsidRPr="003C2A21" w:rsidRDefault="004C59C2" w:rsidP="0011796D">
            <w:pPr>
              <w:spacing w:before="40" w:after="80" w:line="240" w:lineRule="exact"/>
              <w:rPr>
                <w:rFonts w:hint="cs"/>
                <w:b/>
                <w:bCs/>
                <w:sz w:val="24"/>
                <w:szCs w:val="24"/>
                <w:rtl/>
              </w:rPr>
            </w:pPr>
            <w:r w:rsidRPr="003C2A21">
              <w:rPr>
                <w:rFonts w:hint="cs"/>
                <w:b/>
                <w:bCs/>
                <w:sz w:val="24"/>
                <w:szCs w:val="24"/>
                <w:rtl/>
              </w:rPr>
              <w:t>المجموع</w:t>
            </w:r>
          </w:p>
        </w:tc>
        <w:tc>
          <w:tcPr>
            <w:tcW w:w="852" w:type="dxa"/>
            <w:tcBorders>
              <w:top w:val="single" w:sz="4" w:space="0" w:color="auto"/>
            </w:tcBorders>
            <w:shd w:val="clear" w:color="auto" w:fill="D9D9D9"/>
            <w:vAlign w:val="bottom"/>
          </w:tcPr>
          <w:p w:rsidR="004C59C2" w:rsidRPr="0043461C" w:rsidRDefault="004C59C2" w:rsidP="0011796D">
            <w:pPr>
              <w:spacing w:before="40" w:after="80" w:line="200" w:lineRule="exact"/>
              <w:rPr>
                <w:rFonts w:hint="cs"/>
                <w:b/>
                <w:bCs/>
                <w:sz w:val="24"/>
                <w:szCs w:val="24"/>
                <w:rtl/>
              </w:rPr>
            </w:pPr>
            <w:r w:rsidRPr="0043461C">
              <w:rPr>
                <w:rFonts w:hint="cs"/>
                <w:b/>
                <w:bCs/>
                <w:sz w:val="24"/>
                <w:szCs w:val="24"/>
                <w:rtl/>
              </w:rPr>
              <w:t>الرجال</w:t>
            </w:r>
          </w:p>
        </w:tc>
        <w:tc>
          <w:tcPr>
            <w:tcW w:w="1133" w:type="dxa"/>
            <w:tcBorders>
              <w:top w:val="single" w:sz="4" w:space="0" w:color="auto"/>
            </w:tcBorders>
            <w:shd w:val="clear" w:color="auto" w:fill="D9D9D9"/>
            <w:vAlign w:val="bottom"/>
          </w:tcPr>
          <w:p w:rsidR="004C59C2" w:rsidRPr="0043461C" w:rsidRDefault="004C59C2" w:rsidP="0011796D">
            <w:pPr>
              <w:spacing w:before="40" w:after="80" w:line="240" w:lineRule="exact"/>
              <w:rPr>
                <w:rFonts w:hint="cs"/>
                <w:b/>
                <w:bCs/>
                <w:sz w:val="24"/>
                <w:szCs w:val="24"/>
                <w:rtl/>
              </w:rPr>
            </w:pPr>
            <w:r w:rsidRPr="0043461C">
              <w:rPr>
                <w:rFonts w:hint="cs"/>
                <w:b/>
                <w:bCs/>
                <w:sz w:val="24"/>
                <w:szCs w:val="24"/>
                <w:rtl/>
              </w:rPr>
              <w:t>730 31</w:t>
            </w:r>
          </w:p>
        </w:tc>
        <w:tc>
          <w:tcPr>
            <w:tcW w:w="1030" w:type="dxa"/>
            <w:tcBorders>
              <w:top w:val="single" w:sz="4" w:space="0" w:color="auto"/>
            </w:tcBorders>
            <w:shd w:val="clear" w:color="auto" w:fill="D9D9D9"/>
            <w:vAlign w:val="bottom"/>
          </w:tcPr>
          <w:p w:rsidR="004C59C2" w:rsidRPr="0043461C" w:rsidRDefault="004C59C2" w:rsidP="0011796D">
            <w:pPr>
              <w:spacing w:before="40" w:after="80" w:line="240" w:lineRule="exact"/>
              <w:rPr>
                <w:rFonts w:hint="cs"/>
                <w:b/>
                <w:bCs/>
                <w:sz w:val="24"/>
                <w:szCs w:val="24"/>
                <w:rtl/>
              </w:rPr>
            </w:pPr>
            <w:r w:rsidRPr="0043461C">
              <w:rPr>
                <w:rFonts w:hint="cs"/>
                <w:b/>
                <w:bCs/>
                <w:sz w:val="24"/>
                <w:szCs w:val="24"/>
                <w:rtl/>
              </w:rPr>
              <w:t>982 28</w:t>
            </w:r>
          </w:p>
        </w:tc>
        <w:tc>
          <w:tcPr>
            <w:tcW w:w="1339" w:type="dxa"/>
            <w:tcBorders>
              <w:top w:val="single" w:sz="4" w:space="0" w:color="auto"/>
            </w:tcBorders>
            <w:shd w:val="clear" w:color="auto" w:fill="D9D9D9"/>
            <w:vAlign w:val="bottom"/>
          </w:tcPr>
          <w:p w:rsidR="004C59C2" w:rsidRPr="0043461C" w:rsidRDefault="004C59C2" w:rsidP="0011796D">
            <w:pPr>
              <w:spacing w:before="40" w:after="80" w:line="240" w:lineRule="exact"/>
              <w:rPr>
                <w:rFonts w:hint="cs"/>
                <w:b/>
                <w:bCs/>
                <w:sz w:val="24"/>
                <w:szCs w:val="24"/>
                <w:rtl/>
              </w:rPr>
            </w:pPr>
            <w:r w:rsidRPr="0043461C">
              <w:rPr>
                <w:rFonts w:hint="cs"/>
                <w:b/>
                <w:bCs/>
                <w:sz w:val="24"/>
                <w:szCs w:val="24"/>
                <w:rtl/>
              </w:rPr>
              <w:t>265 29</w:t>
            </w:r>
          </w:p>
        </w:tc>
      </w:tr>
      <w:tr w:rsidR="004C59C2" w:rsidRPr="00172E32">
        <w:tblPrEx>
          <w:tblCellMar>
            <w:top w:w="0" w:type="dxa"/>
            <w:bottom w:w="0" w:type="dxa"/>
          </w:tblCellMar>
        </w:tblPrEx>
        <w:trPr>
          <w:cantSplit/>
          <w:jc w:val="center"/>
        </w:trPr>
        <w:tc>
          <w:tcPr>
            <w:tcW w:w="4539" w:type="dxa"/>
            <w:shd w:val="clear" w:color="auto" w:fill="D9D9D9"/>
            <w:vAlign w:val="bottom"/>
          </w:tcPr>
          <w:p w:rsidR="004C59C2" w:rsidRDefault="004C59C2" w:rsidP="0011796D">
            <w:pPr>
              <w:spacing w:before="40" w:after="80" w:line="240" w:lineRule="exact"/>
              <w:rPr>
                <w:rFonts w:hint="cs"/>
                <w:b/>
                <w:bCs/>
                <w:sz w:val="16"/>
                <w:szCs w:val="24"/>
                <w:rtl/>
              </w:rPr>
            </w:pPr>
          </w:p>
        </w:tc>
        <w:tc>
          <w:tcPr>
            <w:tcW w:w="852" w:type="dxa"/>
            <w:shd w:val="clear" w:color="auto" w:fill="D9D9D9"/>
            <w:vAlign w:val="bottom"/>
          </w:tcPr>
          <w:p w:rsidR="004C59C2" w:rsidRPr="0043461C" w:rsidRDefault="004C59C2" w:rsidP="0011796D">
            <w:pPr>
              <w:spacing w:before="40" w:after="80" w:line="200" w:lineRule="exact"/>
              <w:rPr>
                <w:rFonts w:hint="cs"/>
                <w:b/>
                <w:bCs/>
                <w:sz w:val="24"/>
                <w:szCs w:val="24"/>
                <w:rtl/>
              </w:rPr>
            </w:pPr>
            <w:r w:rsidRPr="0043461C">
              <w:rPr>
                <w:rFonts w:hint="cs"/>
                <w:b/>
                <w:bCs/>
                <w:sz w:val="24"/>
                <w:szCs w:val="24"/>
                <w:rtl/>
              </w:rPr>
              <w:t>النساء</w:t>
            </w:r>
          </w:p>
        </w:tc>
        <w:tc>
          <w:tcPr>
            <w:tcW w:w="1133" w:type="dxa"/>
            <w:shd w:val="clear" w:color="auto" w:fill="D9D9D9"/>
            <w:vAlign w:val="bottom"/>
          </w:tcPr>
          <w:p w:rsidR="004C59C2" w:rsidRPr="0043461C" w:rsidRDefault="004C59C2" w:rsidP="0011796D">
            <w:pPr>
              <w:spacing w:before="40" w:after="80" w:line="240" w:lineRule="exact"/>
              <w:rPr>
                <w:rFonts w:hint="cs"/>
                <w:b/>
                <w:bCs/>
                <w:sz w:val="24"/>
                <w:szCs w:val="24"/>
                <w:rtl/>
              </w:rPr>
            </w:pPr>
            <w:r w:rsidRPr="0043461C">
              <w:rPr>
                <w:rFonts w:hint="cs"/>
                <w:b/>
                <w:bCs/>
                <w:sz w:val="24"/>
                <w:szCs w:val="24"/>
                <w:rtl/>
              </w:rPr>
              <w:t>352 27</w:t>
            </w:r>
          </w:p>
        </w:tc>
        <w:tc>
          <w:tcPr>
            <w:tcW w:w="1030" w:type="dxa"/>
            <w:shd w:val="clear" w:color="auto" w:fill="D9D9D9"/>
            <w:vAlign w:val="bottom"/>
          </w:tcPr>
          <w:p w:rsidR="004C59C2" w:rsidRPr="0043461C" w:rsidRDefault="004C59C2" w:rsidP="0011796D">
            <w:pPr>
              <w:spacing w:before="40" w:after="80" w:line="240" w:lineRule="exact"/>
              <w:rPr>
                <w:rFonts w:hint="cs"/>
                <w:b/>
                <w:bCs/>
                <w:sz w:val="24"/>
                <w:szCs w:val="24"/>
                <w:rtl/>
              </w:rPr>
            </w:pPr>
            <w:r w:rsidRPr="0043461C">
              <w:rPr>
                <w:rFonts w:hint="cs"/>
                <w:b/>
                <w:bCs/>
                <w:sz w:val="24"/>
                <w:szCs w:val="24"/>
                <w:rtl/>
              </w:rPr>
              <w:t>574 21</w:t>
            </w:r>
          </w:p>
        </w:tc>
        <w:tc>
          <w:tcPr>
            <w:tcW w:w="1339" w:type="dxa"/>
            <w:shd w:val="clear" w:color="auto" w:fill="D9D9D9"/>
            <w:vAlign w:val="bottom"/>
          </w:tcPr>
          <w:p w:rsidR="004C59C2" w:rsidRPr="0043461C" w:rsidRDefault="004C59C2" w:rsidP="0011796D">
            <w:pPr>
              <w:spacing w:before="40" w:after="80" w:line="240" w:lineRule="exact"/>
              <w:rPr>
                <w:rFonts w:hint="cs"/>
                <w:b/>
                <w:bCs/>
                <w:sz w:val="24"/>
                <w:szCs w:val="24"/>
                <w:rtl/>
              </w:rPr>
            </w:pPr>
            <w:r w:rsidRPr="0043461C">
              <w:rPr>
                <w:rFonts w:hint="cs"/>
                <w:b/>
                <w:bCs/>
                <w:sz w:val="24"/>
                <w:szCs w:val="24"/>
                <w:rtl/>
              </w:rPr>
              <w:t>544 22</w:t>
            </w:r>
          </w:p>
        </w:tc>
      </w:tr>
      <w:tr w:rsidR="004C59C2" w:rsidRPr="00172E32">
        <w:tblPrEx>
          <w:tblCellMar>
            <w:top w:w="0" w:type="dxa"/>
            <w:bottom w:w="0" w:type="dxa"/>
          </w:tblCellMar>
        </w:tblPrEx>
        <w:trPr>
          <w:cantSplit/>
          <w:jc w:val="center"/>
        </w:trPr>
        <w:tc>
          <w:tcPr>
            <w:tcW w:w="4539" w:type="dxa"/>
            <w:tcBorders>
              <w:bottom w:val="single" w:sz="12" w:space="0" w:color="auto"/>
            </w:tcBorders>
            <w:shd w:val="clear" w:color="auto" w:fill="D9D9D9"/>
            <w:vAlign w:val="bottom"/>
          </w:tcPr>
          <w:p w:rsidR="004C59C2" w:rsidRDefault="004C59C2" w:rsidP="0011796D">
            <w:pPr>
              <w:spacing w:before="40" w:after="80" w:line="240" w:lineRule="exact"/>
              <w:rPr>
                <w:rFonts w:hint="cs"/>
                <w:b/>
                <w:bCs/>
                <w:sz w:val="16"/>
                <w:szCs w:val="24"/>
                <w:rtl/>
              </w:rPr>
            </w:pPr>
          </w:p>
        </w:tc>
        <w:tc>
          <w:tcPr>
            <w:tcW w:w="852" w:type="dxa"/>
            <w:tcBorders>
              <w:bottom w:val="single" w:sz="12" w:space="0" w:color="auto"/>
            </w:tcBorders>
            <w:shd w:val="clear" w:color="auto" w:fill="D9D9D9"/>
            <w:vAlign w:val="bottom"/>
          </w:tcPr>
          <w:p w:rsidR="004C59C2" w:rsidRPr="0043461C" w:rsidRDefault="004C59C2" w:rsidP="0011796D">
            <w:pPr>
              <w:spacing w:before="40" w:after="80" w:line="200" w:lineRule="exact"/>
              <w:rPr>
                <w:rFonts w:hint="cs"/>
                <w:b/>
                <w:bCs/>
                <w:sz w:val="24"/>
                <w:szCs w:val="24"/>
                <w:rtl/>
              </w:rPr>
            </w:pPr>
            <w:r w:rsidRPr="0043461C">
              <w:rPr>
                <w:rFonts w:hint="cs"/>
                <w:b/>
                <w:bCs/>
                <w:sz w:val="24"/>
                <w:szCs w:val="24"/>
                <w:rtl/>
              </w:rPr>
              <w:t>المجموع</w:t>
            </w:r>
          </w:p>
        </w:tc>
        <w:tc>
          <w:tcPr>
            <w:tcW w:w="1133" w:type="dxa"/>
            <w:tcBorders>
              <w:bottom w:val="single" w:sz="12" w:space="0" w:color="auto"/>
            </w:tcBorders>
            <w:shd w:val="clear" w:color="auto" w:fill="D9D9D9"/>
            <w:vAlign w:val="bottom"/>
          </w:tcPr>
          <w:p w:rsidR="004C59C2" w:rsidRPr="0043461C" w:rsidRDefault="004C59C2" w:rsidP="0011796D">
            <w:pPr>
              <w:spacing w:before="40" w:after="80" w:line="240" w:lineRule="exact"/>
              <w:rPr>
                <w:rFonts w:hint="cs"/>
                <w:b/>
                <w:bCs/>
                <w:sz w:val="24"/>
                <w:szCs w:val="24"/>
                <w:rtl/>
              </w:rPr>
            </w:pPr>
            <w:r w:rsidRPr="0043461C">
              <w:rPr>
                <w:rFonts w:hint="cs"/>
                <w:b/>
                <w:bCs/>
                <w:sz w:val="24"/>
                <w:szCs w:val="24"/>
                <w:rtl/>
              </w:rPr>
              <w:t>082 59</w:t>
            </w:r>
          </w:p>
        </w:tc>
        <w:tc>
          <w:tcPr>
            <w:tcW w:w="1030" w:type="dxa"/>
            <w:tcBorders>
              <w:bottom w:val="single" w:sz="12" w:space="0" w:color="auto"/>
            </w:tcBorders>
            <w:shd w:val="clear" w:color="auto" w:fill="D9D9D9"/>
            <w:vAlign w:val="bottom"/>
          </w:tcPr>
          <w:p w:rsidR="004C59C2" w:rsidRPr="0043461C" w:rsidRDefault="004C59C2" w:rsidP="0011796D">
            <w:pPr>
              <w:spacing w:before="40" w:after="80" w:line="240" w:lineRule="exact"/>
              <w:rPr>
                <w:rFonts w:hint="cs"/>
                <w:b/>
                <w:bCs/>
                <w:sz w:val="24"/>
                <w:szCs w:val="24"/>
                <w:rtl/>
              </w:rPr>
            </w:pPr>
            <w:r w:rsidRPr="0043461C">
              <w:rPr>
                <w:rFonts w:hint="cs"/>
                <w:b/>
                <w:bCs/>
                <w:sz w:val="24"/>
                <w:szCs w:val="24"/>
                <w:rtl/>
              </w:rPr>
              <w:t>556 50</w:t>
            </w:r>
          </w:p>
        </w:tc>
        <w:tc>
          <w:tcPr>
            <w:tcW w:w="1339" w:type="dxa"/>
            <w:tcBorders>
              <w:bottom w:val="single" w:sz="12" w:space="0" w:color="auto"/>
            </w:tcBorders>
            <w:shd w:val="clear" w:color="auto" w:fill="D9D9D9"/>
            <w:vAlign w:val="bottom"/>
          </w:tcPr>
          <w:p w:rsidR="004C59C2" w:rsidRPr="0043461C" w:rsidRDefault="004C59C2" w:rsidP="0011796D">
            <w:pPr>
              <w:spacing w:before="40" w:after="80" w:line="240" w:lineRule="exact"/>
              <w:rPr>
                <w:rFonts w:hint="cs"/>
                <w:b/>
                <w:bCs/>
                <w:sz w:val="24"/>
                <w:szCs w:val="24"/>
                <w:rtl/>
              </w:rPr>
            </w:pPr>
            <w:r w:rsidRPr="0043461C">
              <w:rPr>
                <w:rFonts w:hint="cs"/>
                <w:b/>
                <w:bCs/>
                <w:sz w:val="24"/>
                <w:szCs w:val="24"/>
                <w:rtl/>
              </w:rPr>
              <w:t>809 51</w:t>
            </w:r>
          </w:p>
        </w:tc>
      </w:tr>
    </w:tbl>
    <w:p w:rsidR="004C59C2" w:rsidRPr="0049476B" w:rsidRDefault="004C59C2" w:rsidP="004C59C2">
      <w:pPr>
        <w:pStyle w:val="FootnoteText"/>
        <w:tabs>
          <w:tab w:val="clear" w:pos="418"/>
          <w:tab w:val="right" w:pos="1195"/>
          <w:tab w:val="left" w:pos="1267"/>
          <w:tab w:val="left" w:pos="1656"/>
          <w:tab w:val="left" w:pos="2088"/>
        </w:tabs>
        <w:spacing w:line="120" w:lineRule="exact"/>
        <w:ind w:left="1267" w:right="1267" w:hanging="547"/>
        <w:rPr>
          <w:rFonts w:hint="cs"/>
          <w:spacing w:val="-5"/>
          <w:w w:val="103"/>
          <w:sz w:val="10"/>
          <w:rtl/>
        </w:rPr>
      </w:pPr>
    </w:p>
    <w:p w:rsidR="004C59C2" w:rsidRDefault="004C59C2" w:rsidP="008C354A">
      <w:pPr>
        <w:pStyle w:val="FootnoteText"/>
        <w:tabs>
          <w:tab w:val="clear" w:pos="418"/>
          <w:tab w:val="right" w:pos="1195"/>
          <w:tab w:val="left" w:pos="1267"/>
          <w:tab w:val="left" w:pos="1656"/>
          <w:tab w:val="left" w:pos="2088"/>
        </w:tabs>
        <w:spacing w:after="80" w:line="260" w:lineRule="exact"/>
        <w:ind w:left="1267" w:right="1267" w:hanging="547"/>
        <w:rPr>
          <w:rFonts w:hint="cs"/>
          <w:spacing w:val="-5"/>
          <w:w w:val="103"/>
          <w:rtl/>
        </w:rPr>
      </w:pPr>
      <w:r w:rsidRPr="00172E32">
        <w:rPr>
          <w:spacing w:val="-5"/>
          <w:w w:val="103"/>
          <w:rtl/>
        </w:rPr>
        <w:t>(</w:t>
      </w:r>
      <w:r>
        <w:rPr>
          <w:rFonts w:hint="cs"/>
          <w:spacing w:val="-5"/>
          <w:w w:val="103"/>
          <w:rtl/>
        </w:rPr>
        <w:t>1)</w:t>
      </w:r>
      <w:r>
        <w:rPr>
          <w:rFonts w:hint="cs"/>
          <w:spacing w:val="-5"/>
          <w:w w:val="103"/>
          <w:rtl/>
        </w:rPr>
        <w:tab/>
      </w:r>
      <w:r w:rsidR="008C354A">
        <w:rPr>
          <w:rFonts w:hint="cs"/>
          <w:spacing w:val="-5"/>
          <w:w w:val="103"/>
          <w:rtl/>
        </w:rPr>
        <w:tab/>
      </w:r>
      <w:r>
        <w:rPr>
          <w:rFonts w:hint="cs"/>
          <w:spacing w:val="-5"/>
          <w:w w:val="103"/>
          <w:rtl/>
        </w:rPr>
        <w:t>تم</w:t>
      </w:r>
      <w:r w:rsidR="008C354A">
        <w:rPr>
          <w:rFonts w:hint="cs"/>
          <w:spacing w:val="-5"/>
          <w:w w:val="103"/>
          <w:rtl/>
        </w:rPr>
        <w:t xml:space="preserve"> </w:t>
      </w:r>
      <w:r>
        <w:rPr>
          <w:rFonts w:hint="cs"/>
          <w:spacing w:val="-5"/>
          <w:w w:val="103"/>
          <w:rtl/>
        </w:rPr>
        <w:t>جمع البيانات بحلول شهر تشرين الأول/أكتوبر من السنة الماضية.</w:t>
      </w:r>
    </w:p>
    <w:p w:rsidR="00AF51AD" w:rsidRDefault="004C59C2" w:rsidP="008C354A">
      <w:pPr>
        <w:pStyle w:val="FootnoteText"/>
        <w:tabs>
          <w:tab w:val="clear" w:pos="418"/>
          <w:tab w:val="right" w:pos="1195"/>
          <w:tab w:val="left" w:pos="1267"/>
          <w:tab w:val="left" w:pos="1656"/>
          <w:tab w:val="left" w:pos="2088"/>
        </w:tabs>
        <w:spacing w:after="80" w:line="260" w:lineRule="exact"/>
        <w:ind w:left="1267" w:right="1267" w:hanging="547"/>
        <w:rPr>
          <w:rFonts w:hint="cs"/>
          <w:spacing w:val="-5"/>
          <w:rtl/>
        </w:rPr>
      </w:pPr>
      <w:r w:rsidRPr="00D252AB">
        <w:rPr>
          <w:rFonts w:hint="cs"/>
          <w:spacing w:val="-5"/>
          <w:sz w:val="26"/>
          <w:rtl/>
        </w:rPr>
        <w:t>(2)</w:t>
      </w:r>
      <w:r w:rsidR="008C354A">
        <w:rPr>
          <w:rFonts w:hint="cs"/>
          <w:spacing w:val="-5"/>
          <w:sz w:val="26"/>
          <w:rtl/>
        </w:rPr>
        <w:tab/>
      </w:r>
      <w:r w:rsidR="008C354A">
        <w:rPr>
          <w:rFonts w:hint="cs"/>
          <w:spacing w:val="-5"/>
          <w:rtl/>
        </w:rPr>
        <w:tab/>
      </w:r>
      <w:r w:rsidRPr="00B262B8">
        <w:rPr>
          <w:rFonts w:hint="cs"/>
          <w:spacing w:val="-5"/>
          <w:sz w:val="24"/>
          <w:szCs w:val="24"/>
          <w:rtl/>
        </w:rPr>
        <w:t>عن السنة الدراسية 2001/2002 نظرا لعدم وجود أرقام حتى الآن عن السنة الدراسية 2002/2003 بسبب اختلاف جدول السنة الدراسية في بعض المدارس</w:t>
      </w:r>
      <w:r>
        <w:rPr>
          <w:rFonts w:hint="cs"/>
          <w:spacing w:val="-5"/>
          <w:rtl/>
        </w:rPr>
        <w:t>.</w:t>
      </w:r>
    </w:p>
    <w:p w:rsidR="00AF51AD" w:rsidRDefault="00AF51AD" w:rsidP="004C59C2">
      <w:pPr>
        <w:pStyle w:val="SingleTxt"/>
        <w:rPr>
          <w:rtl/>
        </w:rPr>
        <w:sectPr w:rsidR="00AF51AD" w:rsidSect="00125A02">
          <w:headerReference w:type="even" r:id="rId29"/>
          <w:headerReference w:type="default" r:id="rId30"/>
          <w:footerReference w:type="even" r:id="rId31"/>
          <w:footerReference w:type="default" r:id="rId32"/>
          <w:endnotePr>
            <w:numFmt w:val="decimal"/>
          </w:endnotePr>
          <w:pgSz w:w="12240" w:h="15840" w:code="1"/>
          <w:pgMar w:top="1742" w:right="1195" w:bottom="1898" w:left="1195" w:header="576" w:footer="1030" w:gutter="0"/>
          <w:cols w:space="720"/>
          <w:noEndnote/>
          <w:bidi/>
          <w:rtlGutter/>
          <w:docGrid w:linePitch="280"/>
        </w:sectPr>
      </w:pPr>
    </w:p>
    <w:p w:rsidR="00484FEE" w:rsidRPr="00867173" w:rsidRDefault="00484FEE" w:rsidP="00484FE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80" w:line="240" w:lineRule="exact"/>
        <w:ind w:left="1267" w:right="1267" w:hanging="1267"/>
        <w:rPr>
          <w:rFonts w:hint="cs"/>
          <w:sz w:val="30"/>
          <w:szCs w:val="30"/>
          <w:rtl/>
        </w:rPr>
      </w:pPr>
      <w:r>
        <w:rPr>
          <w:rFonts w:hint="cs"/>
          <w:rtl/>
        </w:rPr>
        <w:tab/>
      </w:r>
      <w:r>
        <w:rPr>
          <w:rFonts w:hint="cs"/>
          <w:rtl/>
        </w:rPr>
        <w:tab/>
      </w:r>
      <w:r w:rsidRPr="00867173">
        <w:rPr>
          <w:rFonts w:hint="cs"/>
          <w:sz w:val="30"/>
          <w:szCs w:val="30"/>
          <w:rtl/>
        </w:rPr>
        <w:t>الالتحاق بالتعليم في المرحلتين الأولى والثانية وفي المرحلة الثالثة غير الجامعية</w:t>
      </w:r>
    </w:p>
    <w:p w:rsidR="00484FEE" w:rsidRDefault="00484FEE" w:rsidP="00484FEE">
      <w:pPr>
        <w:pStyle w:val="SingleTxt"/>
        <w:spacing w:after="80" w:line="240" w:lineRule="exact"/>
        <w:rPr>
          <w:rFonts w:hint="cs"/>
          <w:b/>
          <w:bCs/>
          <w:vertAlign w:val="superscript"/>
          <w:rtl/>
        </w:rPr>
      </w:pPr>
      <w:r w:rsidRPr="003D01CA">
        <w:rPr>
          <w:rFonts w:hint="cs"/>
          <w:b/>
          <w:bCs/>
          <w:rtl/>
        </w:rPr>
        <w:t>(المدارس والصفوف والتلاميذ بحسب نوع المدرسة في السنوات الأكاديمية 1999/2000 إلى 2002/2003</w:t>
      </w:r>
      <w:r w:rsidRPr="00D252AB">
        <w:rPr>
          <w:rFonts w:hint="cs"/>
          <w:b/>
          <w:bCs/>
          <w:vertAlign w:val="superscript"/>
          <w:rtl/>
        </w:rPr>
        <w:t>(1)</w:t>
      </w:r>
    </w:p>
    <w:p w:rsidR="00484FEE" w:rsidRPr="00EB2923" w:rsidRDefault="00484FEE" w:rsidP="00484FEE">
      <w:pPr>
        <w:pStyle w:val="SingleTxt"/>
        <w:spacing w:after="80" w:line="240" w:lineRule="exact"/>
        <w:rPr>
          <w:rFonts w:hint="cs"/>
          <w:i/>
          <w:iCs/>
          <w:sz w:val="26"/>
          <w:szCs w:val="26"/>
          <w:rtl/>
        </w:rPr>
      </w:pPr>
      <w:r>
        <w:rPr>
          <w:rFonts w:hint="cs"/>
          <w:b/>
          <w:bCs/>
          <w:rtl/>
        </w:rPr>
        <w:tab/>
      </w:r>
      <w:r>
        <w:rPr>
          <w:rFonts w:hint="cs"/>
          <w:b/>
          <w:bCs/>
          <w:rtl/>
        </w:rPr>
        <w:tab/>
      </w:r>
      <w:r>
        <w:rPr>
          <w:rFonts w:hint="cs"/>
          <w:b/>
          <w:bCs/>
          <w:rtl/>
        </w:rPr>
        <w:tab/>
      </w:r>
      <w:r>
        <w:rPr>
          <w:rFonts w:hint="cs"/>
          <w:b/>
          <w:bCs/>
          <w:rtl/>
        </w:rPr>
        <w:tab/>
      </w:r>
      <w:r>
        <w:rPr>
          <w:rFonts w:hint="cs"/>
          <w:b/>
          <w:bCs/>
          <w:rtl/>
        </w:rPr>
        <w:tab/>
      </w:r>
      <w:r w:rsidRPr="00EB2923">
        <w:rPr>
          <w:rFonts w:hint="cs"/>
          <w:i/>
          <w:iCs/>
          <w:sz w:val="26"/>
          <w:szCs w:val="26"/>
          <w:rtl/>
        </w:rPr>
        <w:t>1999/2000</w:t>
      </w:r>
      <w:r w:rsidRPr="00EB2923">
        <w:rPr>
          <w:rFonts w:hint="cs"/>
          <w:i/>
          <w:iCs/>
          <w:sz w:val="26"/>
          <w:szCs w:val="26"/>
          <w:rtl/>
        </w:rPr>
        <w:tab/>
      </w:r>
      <w:r w:rsidRPr="00EB2923">
        <w:rPr>
          <w:rFonts w:hint="cs"/>
          <w:i/>
          <w:iCs/>
          <w:sz w:val="26"/>
          <w:szCs w:val="26"/>
          <w:rtl/>
        </w:rPr>
        <w:tab/>
      </w:r>
      <w:r w:rsidRPr="00EB2923">
        <w:rPr>
          <w:rFonts w:hint="cs"/>
          <w:i/>
          <w:iCs/>
          <w:sz w:val="26"/>
          <w:szCs w:val="26"/>
          <w:rtl/>
        </w:rPr>
        <w:tab/>
      </w:r>
      <w:r w:rsidRPr="00EB2923">
        <w:rPr>
          <w:rFonts w:hint="cs"/>
          <w:i/>
          <w:iCs/>
          <w:sz w:val="26"/>
          <w:szCs w:val="26"/>
          <w:rtl/>
        </w:rPr>
        <w:tab/>
      </w:r>
      <w:r w:rsidRPr="00EB2923">
        <w:rPr>
          <w:rFonts w:hint="cs"/>
          <w:i/>
          <w:iCs/>
          <w:sz w:val="26"/>
          <w:szCs w:val="26"/>
          <w:rtl/>
        </w:rPr>
        <w:tab/>
      </w:r>
      <w:r>
        <w:rPr>
          <w:rFonts w:hint="cs"/>
          <w:i/>
          <w:iCs/>
          <w:sz w:val="26"/>
          <w:szCs w:val="26"/>
          <w:rtl/>
        </w:rPr>
        <w:tab/>
      </w:r>
      <w:r w:rsidRPr="00EB2923">
        <w:rPr>
          <w:rFonts w:hint="cs"/>
          <w:i/>
          <w:iCs/>
          <w:sz w:val="26"/>
          <w:szCs w:val="26"/>
          <w:rtl/>
        </w:rPr>
        <w:tab/>
        <w:t>2000/2001</w:t>
      </w:r>
    </w:p>
    <w:tbl>
      <w:tblPr>
        <w:bidiVisual/>
        <w:tblW w:w="12623" w:type="dxa"/>
        <w:jc w:val="center"/>
        <w:tblInd w:w="-987" w:type="dxa"/>
        <w:tblLayout w:type="fixed"/>
        <w:tblCellMar>
          <w:left w:w="0" w:type="dxa"/>
          <w:right w:w="0" w:type="dxa"/>
        </w:tblCellMar>
        <w:tblLook w:val="0000" w:firstRow="0" w:lastRow="0" w:firstColumn="0" w:lastColumn="0" w:noHBand="0" w:noVBand="0"/>
      </w:tblPr>
      <w:tblGrid>
        <w:gridCol w:w="86"/>
        <w:gridCol w:w="110"/>
        <w:gridCol w:w="3270"/>
        <w:gridCol w:w="774"/>
        <w:gridCol w:w="927"/>
        <w:gridCol w:w="1030"/>
        <w:gridCol w:w="927"/>
        <w:gridCol w:w="824"/>
        <w:gridCol w:w="824"/>
        <w:gridCol w:w="824"/>
        <w:gridCol w:w="1133"/>
        <w:gridCol w:w="927"/>
        <w:gridCol w:w="795"/>
        <w:gridCol w:w="172"/>
      </w:tblGrid>
      <w:tr w:rsidR="00484FEE" w:rsidRPr="00364046">
        <w:tblPrEx>
          <w:tblCellMar>
            <w:top w:w="0" w:type="dxa"/>
            <w:bottom w:w="0" w:type="dxa"/>
          </w:tblCellMar>
        </w:tblPrEx>
        <w:trPr>
          <w:gridBefore w:val="1"/>
          <w:wBefore w:w="86" w:type="dxa"/>
          <w:cantSplit/>
          <w:trHeight w:val="251"/>
          <w:tblHeader/>
          <w:jc w:val="center"/>
        </w:trPr>
        <w:tc>
          <w:tcPr>
            <w:tcW w:w="3380" w:type="dxa"/>
            <w:gridSpan w:val="2"/>
            <w:tcBorders>
              <w:top w:val="single" w:sz="4" w:space="0" w:color="auto"/>
            </w:tcBorders>
            <w:shd w:val="clear" w:color="auto" w:fill="auto"/>
            <w:tcMar>
              <w:left w:w="0" w:type="dxa"/>
              <w:right w:w="0" w:type="dxa"/>
            </w:tcMar>
            <w:vAlign w:val="bottom"/>
          </w:tcPr>
          <w:p w:rsidR="00484FEE" w:rsidRPr="00364046" w:rsidRDefault="00484FEE" w:rsidP="0011796D">
            <w:pPr>
              <w:spacing w:before="80" w:after="40" w:line="180" w:lineRule="exact"/>
              <w:rPr>
                <w:rFonts w:hint="cs"/>
                <w:i/>
                <w:iCs/>
                <w:sz w:val="12"/>
                <w:szCs w:val="20"/>
                <w:rtl/>
              </w:rPr>
            </w:pPr>
            <w:r w:rsidRPr="00364046">
              <w:rPr>
                <w:rFonts w:hint="cs"/>
                <w:i/>
                <w:iCs/>
                <w:sz w:val="12"/>
                <w:szCs w:val="20"/>
                <w:rtl/>
              </w:rPr>
              <w:t>نوع المدرسة</w:t>
            </w:r>
          </w:p>
        </w:tc>
        <w:tc>
          <w:tcPr>
            <w:tcW w:w="1701" w:type="dxa"/>
            <w:gridSpan w:val="2"/>
            <w:tcBorders>
              <w:top w:val="single" w:sz="4" w:space="0" w:color="auto"/>
              <w:bottom w:val="single" w:sz="4" w:space="0" w:color="auto"/>
            </w:tcBorders>
            <w:shd w:val="clear" w:color="auto" w:fill="C0C0C0"/>
            <w:vAlign w:val="bottom"/>
          </w:tcPr>
          <w:p w:rsidR="00484FEE" w:rsidRPr="00364046" w:rsidRDefault="00484FEE" w:rsidP="0011796D">
            <w:pPr>
              <w:spacing w:before="80" w:after="40" w:line="180" w:lineRule="exact"/>
              <w:ind w:right="144"/>
              <w:jc w:val="center"/>
              <w:rPr>
                <w:rFonts w:hint="cs"/>
                <w:i/>
                <w:iCs/>
                <w:sz w:val="12"/>
                <w:szCs w:val="20"/>
                <w:rtl/>
              </w:rPr>
            </w:pPr>
            <w:r w:rsidRPr="00364046">
              <w:rPr>
                <w:rFonts w:hint="cs"/>
                <w:i/>
                <w:iCs/>
                <w:sz w:val="12"/>
                <w:szCs w:val="20"/>
                <w:rtl/>
              </w:rPr>
              <w:t>العدد الإجمالي في النمسا</w:t>
            </w:r>
          </w:p>
        </w:tc>
        <w:tc>
          <w:tcPr>
            <w:tcW w:w="1030" w:type="dxa"/>
            <w:vMerge w:val="restart"/>
            <w:tcBorders>
              <w:top w:val="single" w:sz="4" w:space="0" w:color="auto"/>
            </w:tcBorders>
            <w:shd w:val="clear" w:color="auto" w:fill="D9D9D9"/>
            <w:vAlign w:val="bottom"/>
          </w:tcPr>
          <w:p w:rsidR="00484FEE" w:rsidRPr="00364046" w:rsidRDefault="00484FEE" w:rsidP="0011796D">
            <w:pPr>
              <w:spacing w:before="80" w:after="40" w:line="180" w:lineRule="exact"/>
              <w:ind w:right="144"/>
              <w:jc w:val="lowKashida"/>
              <w:rPr>
                <w:rFonts w:hint="cs"/>
                <w:i/>
                <w:iCs/>
                <w:sz w:val="12"/>
                <w:szCs w:val="20"/>
                <w:rtl/>
              </w:rPr>
            </w:pPr>
            <w:r w:rsidRPr="00364046">
              <w:rPr>
                <w:rFonts w:hint="cs"/>
                <w:i/>
                <w:iCs/>
                <w:sz w:val="12"/>
                <w:szCs w:val="20"/>
                <w:rtl/>
              </w:rPr>
              <w:t>العدد الإجمالي للتلاميذ</w:t>
            </w:r>
          </w:p>
        </w:tc>
        <w:tc>
          <w:tcPr>
            <w:tcW w:w="1751" w:type="dxa"/>
            <w:gridSpan w:val="2"/>
            <w:tcBorders>
              <w:top w:val="single" w:sz="4" w:space="0" w:color="auto"/>
            </w:tcBorders>
            <w:shd w:val="clear" w:color="auto" w:fill="D9D9D9"/>
            <w:vAlign w:val="bottom"/>
          </w:tcPr>
          <w:p w:rsidR="00484FEE" w:rsidRPr="00364046" w:rsidRDefault="00484FEE" w:rsidP="0011796D">
            <w:pPr>
              <w:spacing w:before="80" w:after="40" w:line="180" w:lineRule="exact"/>
              <w:ind w:right="144"/>
              <w:jc w:val="center"/>
              <w:rPr>
                <w:rFonts w:hint="cs"/>
                <w:i/>
                <w:iCs/>
                <w:sz w:val="12"/>
                <w:szCs w:val="20"/>
                <w:rtl/>
              </w:rPr>
            </w:pPr>
          </w:p>
        </w:tc>
        <w:tc>
          <w:tcPr>
            <w:tcW w:w="1648" w:type="dxa"/>
            <w:gridSpan w:val="2"/>
            <w:tcBorders>
              <w:top w:val="single" w:sz="4" w:space="0" w:color="auto"/>
              <w:bottom w:val="single" w:sz="4" w:space="0" w:color="auto"/>
            </w:tcBorders>
            <w:shd w:val="clear" w:color="auto" w:fill="C0C0C0"/>
            <w:vAlign w:val="bottom"/>
          </w:tcPr>
          <w:p w:rsidR="00484FEE" w:rsidRPr="00364046" w:rsidRDefault="00484FEE" w:rsidP="0011796D">
            <w:pPr>
              <w:spacing w:before="80" w:after="40" w:line="180" w:lineRule="exact"/>
              <w:ind w:right="144"/>
              <w:jc w:val="lowKashida"/>
              <w:rPr>
                <w:rFonts w:hint="cs"/>
                <w:i/>
                <w:iCs/>
                <w:sz w:val="12"/>
                <w:szCs w:val="20"/>
                <w:rtl/>
              </w:rPr>
            </w:pPr>
            <w:r w:rsidRPr="00364046">
              <w:rPr>
                <w:rFonts w:hint="cs"/>
                <w:i/>
                <w:iCs/>
                <w:sz w:val="12"/>
                <w:szCs w:val="20"/>
                <w:rtl/>
              </w:rPr>
              <w:t>العدد الإجمالي في النمسا</w:t>
            </w:r>
          </w:p>
        </w:tc>
        <w:tc>
          <w:tcPr>
            <w:tcW w:w="1133" w:type="dxa"/>
            <w:vMerge w:val="restart"/>
            <w:tcBorders>
              <w:top w:val="single" w:sz="4" w:space="0" w:color="auto"/>
            </w:tcBorders>
            <w:shd w:val="clear" w:color="auto" w:fill="D9D9D9"/>
            <w:vAlign w:val="bottom"/>
          </w:tcPr>
          <w:p w:rsidR="00484FEE" w:rsidRPr="00364046" w:rsidRDefault="00484FEE" w:rsidP="0011796D">
            <w:pPr>
              <w:spacing w:before="80" w:after="40" w:line="180" w:lineRule="exact"/>
              <w:ind w:right="144"/>
              <w:jc w:val="lowKashida"/>
              <w:rPr>
                <w:rFonts w:hint="cs"/>
                <w:i/>
                <w:iCs/>
                <w:sz w:val="12"/>
                <w:szCs w:val="20"/>
                <w:rtl/>
              </w:rPr>
            </w:pPr>
            <w:r w:rsidRPr="00364046">
              <w:rPr>
                <w:rFonts w:hint="cs"/>
                <w:i/>
                <w:iCs/>
                <w:sz w:val="12"/>
                <w:szCs w:val="20"/>
                <w:rtl/>
              </w:rPr>
              <w:t>العدد الإجمالي للتلاميذ</w:t>
            </w:r>
          </w:p>
        </w:tc>
        <w:tc>
          <w:tcPr>
            <w:tcW w:w="927" w:type="dxa"/>
            <w:tcBorders>
              <w:top w:val="single" w:sz="4" w:space="0" w:color="auto"/>
            </w:tcBorders>
            <w:shd w:val="clear" w:color="auto" w:fill="D9D9D9"/>
            <w:vAlign w:val="bottom"/>
          </w:tcPr>
          <w:p w:rsidR="00484FEE" w:rsidRPr="00364046" w:rsidRDefault="00484FEE" w:rsidP="0011796D">
            <w:pPr>
              <w:spacing w:before="80" w:after="40" w:line="180" w:lineRule="exact"/>
              <w:ind w:right="144"/>
              <w:jc w:val="lowKashida"/>
              <w:rPr>
                <w:rFonts w:hint="cs"/>
                <w:i/>
                <w:iCs/>
                <w:sz w:val="12"/>
                <w:szCs w:val="20"/>
                <w:rtl/>
              </w:rPr>
            </w:pPr>
          </w:p>
        </w:tc>
        <w:tc>
          <w:tcPr>
            <w:tcW w:w="967" w:type="dxa"/>
            <w:gridSpan w:val="2"/>
            <w:tcBorders>
              <w:top w:val="single" w:sz="4" w:space="0" w:color="auto"/>
            </w:tcBorders>
            <w:shd w:val="clear" w:color="auto" w:fill="D9D9D9"/>
            <w:vAlign w:val="bottom"/>
          </w:tcPr>
          <w:p w:rsidR="00484FEE" w:rsidRPr="00364046" w:rsidRDefault="00484FEE" w:rsidP="0011796D">
            <w:pPr>
              <w:spacing w:before="80" w:after="40" w:line="180" w:lineRule="exact"/>
              <w:ind w:right="144"/>
              <w:jc w:val="lowKashida"/>
              <w:rPr>
                <w:rFonts w:hint="cs"/>
                <w:i/>
                <w:iCs/>
                <w:sz w:val="12"/>
                <w:szCs w:val="20"/>
                <w:rtl/>
              </w:rPr>
            </w:pPr>
          </w:p>
        </w:tc>
      </w:tr>
      <w:tr w:rsidR="00484FEE" w:rsidRPr="00364046">
        <w:tblPrEx>
          <w:tblCellMar>
            <w:top w:w="0" w:type="dxa"/>
            <w:bottom w:w="0" w:type="dxa"/>
          </w:tblCellMar>
        </w:tblPrEx>
        <w:trPr>
          <w:gridAfter w:val="1"/>
          <w:wAfter w:w="172" w:type="dxa"/>
          <w:cantSplit/>
          <w:trHeight w:val="126"/>
          <w:tblHeader/>
          <w:jc w:val="center"/>
        </w:trPr>
        <w:tc>
          <w:tcPr>
            <w:tcW w:w="3466" w:type="dxa"/>
            <w:gridSpan w:val="3"/>
            <w:tcBorders>
              <w:bottom w:val="single" w:sz="12" w:space="0" w:color="auto"/>
            </w:tcBorders>
            <w:shd w:val="clear" w:color="auto" w:fill="auto"/>
            <w:vAlign w:val="bottom"/>
          </w:tcPr>
          <w:p w:rsidR="00484FEE" w:rsidRPr="00364046" w:rsidRDefault="00484FEE" w:rsidP="0011796D">
            <w:pPr>
              <w:spacing w:after="40" w:line="180" w:lineRule="exact"/>
              <w:rPr>
                <w:rFonts w:hint="cs"/>
                <w:i/>
                <w:iCs/>
                <w:sz w:val="12"/>
                <w:szCs w:val="20"/>
                <w:rtl/>
              </w:rPr>
            </w:pPr>
          </w:p>
        </w:tc>
        <w:tc>
          <w:tcPr>
            <w:tcW w:w="774" w:type="dxa"/>
            <w:tcBorders>
              <w:top w:val="single" w:sz="4" w:space="0" w:color="auto"/>
              <w:bottom w:val="single" w:sz="12" w:space="0" w:color="auto"/>
            </w:tcBorders>
            <w:shd w:val="clear" w:color="auto" w:fill="C0C0C0"/>
            <w:vAlign w:val="bottom"/>
          </w:tcPr>
          <w:p w:rsidR="00484FEE" w:rsidRPr="00364046" w:rsidRDefault="00484FEE" w:rsidP="0011796D">
            <w:pPr>
              <w:spacing w:after="40" w:line="180" w:lineRule="exact"/>
              <w:ind w:right="144"/>
              <w:jc w:val="lowKashida"/>
              <w:rPr>
                <w:rFonts w:hint="cs"/>
                <w:i/>
                <w:iCs/>
                <w:sz w:val="12"/>
                <w:szCs w:val="20"/>
                <w:rtl/>
              </w:rPr>
            </w:pPr>
            <w:r w:rsidRPr="00364046">
              <w:rPr>
                <w:rFonts w:hint="cs"/>
                <w:i/>
                <w:iCs/>
                <w:sz w:val="12"/>
                <w:szCs w:val="20"/>
                <w:rtl/>
              </w:rPr>
              <w:t>المدارس</w:t>
            </w:r>
          </w:p>
        </w:tc>
        <w:tc>
          <w:tcPr>
            <w:tcW w:w="927" w:type="dxa"/>
            <w:tcBorders>
              <w:top w:val="single" w:sz="4" w:space="0" w:color="auto"/>
              <w:bottom w:val="single" w:sz="12" w:space="0" w:color="auto"/>
            </w:tcBorders>
            <w:shd w:val="clear" w:color="auto" w:fill="C0C0C0"/>
            <w:vAlign w:val="bottom"/>
          </w:tcPr>
          <w:p w:rsidR="00484FEE" w:rsidRPr="00364046" w:rsidRDefault="00484FEE" w:rsidP="0011796D">
            <w:pPr>
              <w:spacing w:after="40" w:line="180" w:lineRule="exact"/>
              <w:ind w:right="144"/>
              <w:jc w:val="lowKashida"/>
              <w:rPr>
                <w:rFonts w:hint="cs"/>
                <w:i/>
                <w:iCs/>
                <w:sz w:val="12"/>
                <w:szCs w:val="20"/>
                <w:rtl/>
              </w:rPr>
            </w:pPr>
            <w:r w:rsidRPr="00364046">
              <w:rPr>
                <w:rFonts w:hint="cs"/>
                <w:i/>
                <w:iCs/>
                <w:sz w:val="12"/>
                <w:szCs w:val="20"/>
                <w:rtl/>
              </w:rPr>
              <w:t>الصفوف</w:t>
            </w:r>
          </w:p>
        </w:tc>
        <w:tc>
          <w:tcPr>
            <w:tcW w:w="1030" w:type="dxa"/>
            <w:vMerge/>
            <w:tcBorders>
              <w:bottom w:val="single" w:sz="12" w:space="0" w:color="auto"/>
            </w:tcBorders>
            <w:shd w:val="clear" w:color="auto" w:fill="D9D9D9"/>
            <w:vAlign w:val="bottom"/>
          </w:tcPr>
          <w:p w:rsidR="00484FEE" w:rsidRPr="00364046" w:rsidRDefault="00484FEE" w:rsidP="0011796D">
            <w:pPr>
              <w:spacing w:after="40" w:line="180" w:lineRule="exact"/>
              <w:ind w:right="144"/>
              <w:jc w:val="lowKashida"/>
              <w:rPr>
                <w:rFonts w:hint="cs"/>
                <w:i/>
                <w:iCs/>
                <w:sz w:val="12"/>
                <w:szCs w:val="20"/>
                <w:rtl/>
              </w:rPr>
            </w:pPr>
          </w:p>
        </w:tc>
        <w:tc>
          <w:tcPr>
            <w:tcW w:w="927" w:type="dxa"/>
            <w:tcBorders>
              <w:bottom w:val="single" w:sz="12" w:space="0" w:color="auto"/>
            </w:tcBorders>
            <w:shd w:val="clear" w:color="auto" w:fill="auto"/>
            <w:vAlign w:val="bottom"/>
          </w:tcPr>
          <w:p w:rsidR="00484FEE" w:rsidRPr="00364046" w:rsidRDefault="00484FEE" w:rsidP="0011796D">
            <w:pPr>
              <w:spacing w:after="40" w:line="180" w:lineRule="exact"/>
              <w:ind w:right="144"/>
              <w:jc w:val="lowKashida"/>
              <w:rPr>
                <w:rFonts w:hint="cs"/>
                <w:i/>
                <w:iCs/>
                <w:sz w:val="12"/>
                <w:szCs w:val="20"/>
                <w:rtl/>
              </w:rPr>
            </w:pPr>
            <w:r w:rsidRPr="00364046">
              <w:rPr>
                <w:rFonts w:hint="cs"/>
                <w:i/>
                <w:iCs/>
                <w:sz w:val="12"/>
                <w:szCs w:val="20"/>
                <w:rtl/>
              </w:rPr>
              <w:t>عدد التلميذات</w:t>
            </w:r>
          </w:p>
        </w:tc>
        <w:tc>
          <w:tcPr>
            <w:tcW w:w="824" w:type="dxa"/>
            <w:tcBorders>
              <w:bottom w:val="single" w:sz="12" w:space="0" w:color="auto"/>
            </w:tcBorders>
            <w:shd w:val="clear" w:color="auto" w:fill="auto"/>
            <w:vAlign w:val="bottom"/>
          </w:tcPr>
          <w:p w:rsidR="00484FEE" w:rsidRPr="00364046" w:rsidRDefault="00484FEE" w:rsidP="0011796D">
            <w:pPr>
              <w:spacing w:after="40" w:line="180" w:lineRule="exact"/>
              <w:ind w:right="144"/>
              <w:jc w:val="lowKashida"/>
              <w:rPr>
                <w:rFonts w:hint="cs"/>
                <w:i/>
                <w:iCs/>
                <w:sz w:val="12"/>
                <w:szCs w:val="20"/>
                <w:rtl/>
              </w:rPr>
            </w:pPr>
            <w:r w:rsidRPr="00364046">
              <w:rPr>
                <w:rFonts w:hint="cs"/>
                <w:i/>
                <w:iCs/>
                <w:sz w:val="12"/>
                <w:szCs w:val="20"/>
                <w:rtl/>
              </w:rPr>
              <w:t xml:space="preserve">نسبة التلميذات٪ </w:t>
            </w:r>
          </w:p>
        </w:tc>
        <w:tc>
          <w:tcPr>
            <w:tcW w:w="824" w:type="dxa"/>
            <w:tcBorders>
              <w:top w:val="single" w:sz="4" w:space="0" w:color="auto"/>
              <w:bottom w:val="single" w:sz="12" w:space="0" w:color="auto"/>
            </w:tcBorders>
            <w:shd w:val="clear" w:color="auto" w:fill="C0C0C0"/>
            <w:vAlign w:val="bottom"/>
          </w:tcPr>
          <w:p w:rsidR="00484FEE" w:rsidRPr="00364046" w:rsidRDefault="00484FEE" w:rsidP="0011796D">
            <w:pPr>
              <w:spacing w:after="40" w:line="180" w:lineRule="exact"/>
              <w:ind w:right="144"/>
              <w:jc w:val="lowKashida"/>
              <w:rPr>
                <w:rFonts w:hint="cs"/>
                <w:i/>
                <w:iCs/>
                <w:sz w:val="12"/>
                <w:szCs w:val="20"/>
                <w:rtl/>
              </w:rPr>
            </w:pPr>
            <w:r w:rsidRPr="00364046">
              <w:rPr>
                <w:rFonts w:hint="cs"/>
                <w:i/>
                <w:iCs/>
                <w:sz w:val="12"/>
                <w:szCs w:val="20"/>
                <w:rtl/>
              </w:rPr>
              <w:t>المدارس</w:t>
            </w:r>
          </w:p>
        </w:tc>
        <w:tc>
          <w:tcPr>
            <w:tcW w:w="824" w:type="dxa"/>
            <w:tcBorders>
              <w:top w:val="single" w:sz="4" w:space="0" w:color="auto"/>
              <w:bottom w:val="single" w:sz="12" w:space="0" w:color="auto"/>
            </w:tcBorders>
            <w:shd w:val="clear" w:color="auto" w:fill="C0C0C0"/>
            <w:vAlign w:val="bottom"/>
          </w:tcPr>
          <w:p w:rsidR="00484FEE" w:rsidRPr="00364046" w:rsidRDefault="00484FEE" w:rsidP="0011796D">
            <w:pPr>
              <w:spacing w:after="40" w:line="180" w:lineRule="exact"/>
              <w:ind w:right="144"/>
              <w:jc w:val="lowKashida"/>
              <w:rPr>
                <w:rFonts w:hint="cs"/>
                <w:i/>
                <w:iCs/>
                <w:sz w:val="12"/>
                <w:szCs w:val="20"/>
                <w:rtl/>
              </w:rPr>
            </w:pPr>
            <w:r w:rsidRPr="00364046">
              <w:rPr>
                <w:rFonts w:hint="cs"/>
                <w:i/>
                <w:iCs/>
                <w:sz w:val="12"/>
                <w:szCs w:val="20"/>
                <w:rtl/>
              </w:rPr>
              <w:t>الصفوف</w:t>
            </w:r>
          </w:p>
        </w:tc>
        <w:tc>
          <w:tcPr>
            <w:tcW w:w="1133" w:type="dxa"/>
            <w:vMerge/>
            <w:tcBorders>
              <w:bottom w:val="single" w:sz="12" w:space="0" w:color="auto"/>
            </w:tcBorders>
            <w:shd w:val="clear" w:color="auto" w:fill="D9D9D9"/>
            <w:vAlign w:val="bottom"/>
          </w:tcPr>
          <w:p w:rsidR="00484FEE" w:rsidRPr="00364046" w:rsidRDefault="00484FEE" w:rsidP="0011796D">
            <w:pPr>
              <w:spacing w:after="40" w:line="180" w:lineRule="exact"/>
              <w:ind w:right="144"/>
              <w:jc w:val="lowKashida"/>
              <w:rPr>
                <w:rFonts w:hint="cs"/>
                <w:i/>
                <w:iCs/>
                <w:sz w:val="12"/>
                <w:szCs w:val="20"/>
                <w:rtl/>
              </w:rPr>
            </w:pPr>
          </w:p>
        </w:tc>
        <w:tc>
          <w:tcPr>
            <w:tcW w:w="927" w:type="dxa"/>
            <w:tcBorders>
              <w:bottom w:val="single" w:sz="12" w:space="0" w:color="auto"/>
            </w:tcBorders>
            <w:shd w:val="clear" w:color="auto" w:fill="D9D9D9"/>
            <w:vAlign w:val="bottom"/>
          </w:tcPr>
          <w:p w:rsidR="00484FEE" w:rsidRPr="00364046" w:rsidRDefault="00484FEE" w:rsidP="0011796D">
            <w:pPr>
              <w:spacing w:after="40" w:line="180" w:lineRule="exact"/>
              <w:ind w:right="144"/>
              <w:jc w:val="lowKashida"/>
              <w:rPr>
                <w:rFonts w:hint="cs"/>
                <w:i/>
                <w:iCs/>
                <w:sz w:val="12"/>
                <w:szCs w:val="20"/>
                <w:rtl/>
              </w:rPr>
            </w:pPr>
            <w:r w:rsidRPr="00364046">
              <w:rPr>
                <w:rFonts w:hint="cs"/>
                <w:i/>
                <w:iCs/>
                <w:sz w:val="12"/>
                <w:szCs w:val="20"/>
                <w:rtl/>
              </w:rPr>
              <w:t>عدد التلميذات</w:t>
            </w:r>
          </w:p>
        </w:tc>
        <w:tc>
          <w:tcPr>
            <w:tcW w:w="795" w:type="dxa"/>
            <w:tcBorders>
              <w:bottom w:val="single" w:sz="12" w:space="0" w:color="auto"/>
            </w:tcBorders>
            <w:shd w:val="clear" w:color="auto" w:fill="D9D9D9"/>
            <w:vAlign w:val="bottom"/>
          </w:tcPr>
          <w:p w:rsidR="00484FEE" w:rsidRPr="00364046" w:rsidRDefault="00484FEE" w:rsidP="0011796D">
            <w:pPr>
              <w:spacing w:after="40" w:line="180" w:lineRule="exact"/>
              <w:ind w:right="144"/>
              <w:jc w:val="lowKashida"/>
              <w:rPr>
                <w:rFonts w:hint="cs"/>
                <w:i/>
                <w:iCs/>
                <w:sz w:val="12"/>
                <w:szCs w:val="20"/>
                <w:rtl/>
              </w:rPr>
            </w:pPr>
            <w:r w:rsidRPr="00364046">
              <w:rPr>
                <w:rFonts w:hint="cs"/>
                <w:i/>
                <w:iCs/>
                <w:sz w:val="10"/>
                <w:szCs w:val="18"/>
                <w:rtl/>
              </w:rPr>
              <w:t>نسبة التلميذات ٪</w:t>
            </w:r>
          </w:p>
        </w:tc>
      </w:tr>
      <w:tr w:rsidR="00484FEE" w:rsidRPr="003D01CA">
        <w:tblPrEx>
          <w:tblCellMar>
            <w:top w:w="0" w:type="dxa"/>
            <w:bottom w:w="0" w:type="dxa"/>
          </w:tblCellMar>
        </w:tblPrEx>
        <w:trPr>
          <w:gridBefore w:val="2"/>
          <w:wBefore w:w="196" w:type="dxa"/>
          <w:cantSplit/>
          <w:trHeight w:hRule="exact" w:val="115"/>
          <w:tblHeader/>
          <w:jc w:val="center"/>
        </w:trPr>
        <w:tc>
          <w:tcPr>
            <w:tcW w:w="3270" w:type="dxa"/>
            <w:tcBorders>
              <w:top w:val="single" w:sz="12" w:space="0" w:color="auto"/>
            </w:tcBorders>
            <w:shd w:val="clear" w:color="auto" w:fill="auto"/>
            <w:vAlign w:val="bottom"/>
          </w:tcPr>
          <w:p w:rsidR="00484FEE" w:rsidRPr="003D01CA" w:rsidRDefault="00484FEE" w:rsidP="0011796D">
            <w:pPr>
              <w:spacing w:before="40" w:after="80" w:line="180" w:lineRule="exact"/>
              <w:rPr>
                <w:rFonts w:hint="cs"/>
                <w:sz w:val="16"/>
                <w:szCs w:val="24"/>
                <w:rtl/>
              </w:rPr>
            </w:pPr>
          </w:p>
        </w:tc>
        <w:tc>
          <w:tcPr>
            <w:tcW w:w="774" w:type="dxa"/>
            <w:tcBorders>
              <w:top w:val="single" w:sz="12" w:space="0" w:color="auto"/>
            </w:tcBorders>
            <w:shd w:val="clear" w:color="auto" w:fill="C0C0C0"/>
            <w:vAlign w:val="bottom"/>
          </w:tcPr>
          <w:p w:rsidR="00484FEE" w:rsidRPr="003D01CA" w:rsidRDefault="00484FEE" w:rsidP="0011796D">
            <w:pPr>
              <w:spacing w:before="40" w:after="80" w:line="180" w:lineRule="exact"/>
              <w:ind w:right="144"/>
              <w:jc w:val="lowKashida"/>
              <w:rPr>
                <w:rFonts w:hint="cs"/>
                <w:sz w:val="16"/>
                <w:szCs w:val="24"/>
                <w:rtl/>
              </w:rPr>
            </w:pPr>
          </w:p>
        </w:tc>
        <w:tc>
          <w:tcPr>
            <w:tcW w:w="927" w:type="dxa"/>
            <w:tcBorders>
              <w:top w:val="single" w:sz="12" w:space="0" w:color="auto"/>
            </w:tcBorders>
            <w:shd w:val="clear" w:color="auto" w:fill="C0C0C0"/>
            <w:vAlign w:val="bottom"/>
          </w:tcPr>
          <w:p w:rsidR="00484FEE" w:rsidRPr="003D01CA" w:rsidRDefault="00484FEE" w:rsidP="0011796D">
            <w:pPr>
              <w:spacing w:before="40" w:after="80" w:line="180" w:lineRule="exact"/>
              <w:ind w:right="144"/>
              <w:jc w:val="lowKashida"/>
              <w:rPr>
                <w:rFonts w:hint="cs"/>
                <w:sz w:val="16"/>
                <w:szCs w:val="24"/>
                <w:rtl/>
              </w:rPr>
            </w:pPr>
          </w:p>
        </w:tc>
        <w:tc>
          <w:tcPr>
            <w:tcW w:w="1030" w:type="dxa"/>
            <w:tcBorders>
              <w:top w:val="single" w:sz="12" w:space="0" w:color="auto"/>
            </w:tcBorders>
            <w:shd w:val="clear" w:color="auto" w:fill="D9D9D9"/>
            <w:vAlign w:val="bottom"/>
          </w:tcPr>
          <w:p w:rsidR="00484FEE" w:rsidRPr="003D01CA" w:rsidRDefault="00484FEE" w:rsidP="0011796D">
            <w:pPr>
              <w:spacing w:before="40" w:after="80" w:line="18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484FEE" w:rsidRPr="003D01CA" w:rsidRDefault="00484FEE" w:rsidP="0011796D">
            <w:pPr>
              <w:spacing w:before="40" w:after="80" w:line="18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484FEE" w:rsidRPr="003D01CA" w:rsidRDefault="00484FEE" w:rsidP="0011796D">
            <w:pPr>
              <w:spacing w:before="40" w:after="80" w:line="180" w:lineRule="exact"/>
              <w:ind w:right="144"/>
              <w:jc w:val="lowKashida"/>
              <w:rPr>
                <w:rFonts w:hint="cs"/>
                <w:sz w:val="16"/>
                <w:szCs w:val="24"/>
                <w:rtl/>
              </w:rPr>
            </w:pPr>
          </w:p>
        </w:tc>
        <w:tc>
          <w:tcPr>
            <w:tcW w:w="824" w:type="dxa"/>
            <w:tcBorders>
              <w:top w:val="single" w:sz="12" w:space="0" w:color="auto"/>
            </w:tcBorders>
            <w:shd w:val="clear" w:color="auto" w:fill="C0C0C0"/>
            <w:vAlign w:val="bottom"/>
          </w:tcPr>
          <w:p w:rsidR="00484FEE" w:rsidRPr="003D01CA" w:rsidRDefault="00484FEE" w:rsidP="0011796D">
            <w:pPr>
              <w:spacing w:before="40" w:after="80" w:line="180" w:lineRule="exact"/>
              <w:ind w:right="144"/>
              <w:jc w:val="lowKashida"/>
              <w:rPr>
                <w:rFonts w:hint="cs"/>
                <w:sz w:val="16"/>
                <w:szCs w:val="24"/>
                <w:rtl/>
              </w:rPr>
            </w:pPr>
          </w:p>
        </w:tc>
        <w:tc>
          <w:tcPr>
            <w:tcW w:w="824" w:type="dxa"/>
            <w:tcBorders>
              <w:top w:val="single" w:sz="12" w:space="0" w:color="auto"/>
            </w:tcBorders>
            <w:shd w:val="clear" w:color="auto" w:fill="C0C0C0"/>
            <w:vAlign w:val="bottom"/>
          </w:tcPr>
          <w:p w:rsidR="00484FEE" w:rsidRPr="003D01CA" w:rsidRDefault="00484FEE" w:rsidP="0011796D">
            <w:pPr>
              <w:spacing w:before="40" w:after="80" w:line="180" w:lineRule="exact"/>
              <w:ind w:right="144"/>
              <w:jc w:val="lowKashida"/>
              <w:rPr>
                <w:rFonts w:hint="cs"/>
                <w:sz w:val="16"/>
                <w:szCs w:val="24"/>
                <w:rtl/>
              </w:rPr>
            </w:pPr>
          </w:p>
        </w:tc>
        <w:tc>
          <w:tcPr>
            <w:tcW w:w="1133" w:type="dxa"/>
            <w:tcBorders>
              <w:top w:val="single" w:sz="12" w:space="0" w:color="auto"/>
            </w:tcBorders>
            <w:shd w:val="clear" w:color="auto" w:fill="D9D9D9"/>
            <w:vAlign w:val="bottom"/>
          </w:tcPr>
          <w:p w:rsidR="00484FEE" w:rsidRPr="003D01CA" w:rsidRDefault="00484FEE" w:rsidP="0011796D">
            <w:pPr>
              <w:spacing w:before="40" w:after="80" w:line="18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484FEE" w:rsidRPr="003D01CA" w:rsidRDefault="00484FEE" w:rsidP="0011796D">
            <w:pPr>
              <w:spacing w:before="40" w:after="80" w:line="180" w:lineRule="exact"/>
              <w:ind w:right="144"/>
              <w:jc w:val="lowKashida"/>
              <w:rPr>
                <w:rFonts w:hint="cs"/>
                <w:sz w:val="16"/>
                <w:szCs w:val="24"/>
                <w:rtl/>
              </w:rPr>
            </w:pPr>
          </w:p>
        </w:tc>
        <w:tc>
          <w:tcPr>
            <w:tcW w:w="967" w:type="dxa"/>
            <w:gridSpan w:val="2"/>
            <w:tcBorders>
              <w:top w:val="single" w:sz="12" w:space="0" w:color="auto"/>
            </w:tcBorders>
            <w:shd w:val="clear" w:color="auto" w:fill="auto"/>
            <w:vAlign w:val="bottom"/>
          </w:tcPr>
          <w:p w:rsidR="00484FEE" w:rsidRPr="003D01CA" w:rsidRDefault="00484FEE" w:rsidP="0011796D">
            <w:pPr>
              <w:spacing w:before="40" w:after="80" w:line="180" w:lineRule="exact"/>
              <w:ind w:right="144"/>
              <w:jc w:val="lowKashida"/>
              <w:rPr>
                <w:rFonts w:hint="cs"/>
                <w:sz w:val="16"/>
                <w:szCs w:val="24"/>
                <w:rtl/>
              </w:rPr>
            </w:pPr>
          </w:p>
        </w:tc>
      </w:tr>
      <w:tr w:rsidR="00484FEE" w:rsidRPr="003D01CA">
        <w:tblPrEx>
          <w:tblCellMar>
            <w:top w:w="0" w:type="dxa"/>
            <w:bottom w:w="0" w:type="dxa"/>
          </w:tblCellMar>
        </w:tblPrEx>
        <w:trPr>
          <w:gridBefore w:val="2"/>
          <w:wBefore w:w="196" w:type="dxa"/>
          <w:cantSplit/>
          <w:trHeight w:val="234"/>
          <w:jc w:val="center"/>
        </w:trPr>
        <w:tc>
          <w:tcPr>
            <w:tcW w:w="3270" w:type="dxa"/>
            <w:shd w:val="clear" w:color="auto" w:fill="auto"/>
            <w:vAlign w:val="bottom"/>
          </w:tcPr>
          <w:p w:rsidR="00484FEE" w:rsidRPr="00867173" w:rsidRDefault="00484FEE" w:rsidP="0011796D">
            <w:pPr>
              <w:spacing w:before="40" w:after="40" w:line="180" w:lineRule="exact"/>
              <w:rPr>
                <w:rFonts w:hint="cs"/>
                <w:sz w:val="22"/>
                <w:szCs w:val="22"/>
                <w:rtl/>
              </w:rPr>
            </w:pPr>
            <w:r w:rsidRPr="00867173">
              <w:rPr>
                <w:rFonts w:hint="cs"/>
                <w:sz w:val="22"/>
                <w:szCs w:val="22"/>
                <w:rtl/>
              </w:rPr>
              <w:t>المدارس الابتدائية</w:t>
            </w:r>
          </w:p>
        </w:tc>
        <w:tc>
          <w:tcPr>
            <w:tcW w:w="77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364 3</w:t>
            </w:r>
          </w:p>
        </w:tc>
        <w:tc>
          <w:tcPr>
            <w:tcW w:w="927"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844 19</w:t>
            </w:r>
          </w:p>
        </w:tc>
        <w:tc>
          <w:tcPr>
            <w:tcW w:w="1030"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460 393</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280 190</w:t>
            </w:r>
          </w:p>
        </w:tc>
        <w:tc>
          <w:tcPr>
            <w:tcW w:w="824"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48.4</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384 3</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820 19</w:t>
            </w:r>
          </w:p>
        </w:tc>
        <w:tc>
          <w:tcPr>
            <w:tcW w:w="1133"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586 393</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517 190</w:t>
            </w:r>
          </w:p>
        </w:tc>
        <w:tc>
          <w:tcPr>
            <w:tcW w:w="967" w:type="dxa"/>
            <w:gridSpan w:val="2"/>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48.4</w:t>
            </w:r>
          </w:p>
        </w:tc>
      </w:tr>
      <w:tr w:rsidR="00484FEE" w:rsidRPr="003D01CA">
        <w:tblPrEx>
          <w:tblCellMar>
            <w:top w:w="0" w:type="dxa"/>
            <w:bottom w:w="0" w:type="dxa"/>
          </w:tblCellMar>
        </w:tblPrEx>
        <w:trPr>
          <w:gridBefore w:val="2"/>
          <w:wBefore w:w="196" w:type="dxa"/>
          <w:cantSplit/>
          <w:jc w:val="center"/>
        </w:trPr>
        <w:tc>
          <w:tcPr>
            <w:tcW w:w="3270" w:type="dxa"/>
            <w:shd w:val="clear" w:color="auto" w:fill="auto"/>
            <w:vAlign w:val="bottom"/>
          </w:tcPr>
          <w:p w:rsidR="00484FEE" w:rsidRPr="00867173" w:rsidRDefault="00484FEE" w:rsidP="0011796D">
            <w:pPr>
              <w:spacing w:before="40" w:after="40" w:line="180" w:lineRule="exact"/>
              <w:rPr>
                <w:rFonts w:hint="cs"/>
                <w:sz w:val="22"/>
                <w:szCs w:val="22"/>
                <w:rtl/>
              </w:rPr>
            </w:pPr>
            <w:r w:rsidRPr="00867173">
              <w:rPr>
                <w:rFonts w:hint="cs"/>
                <w:sz w:val="22"/>
                <w:szCs w:val="22"/>
                <w:rtl/>
              </w:rPr>
              <w:t>المدارس الثانوية العامة الرئيسية</w:t>
            </w:r>
          </w:p>
        </w:tc>
        <w:tc>
          <w:tcPr>
            <w:tcW w:w="77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180 1</w:t>
            </w:r>
          </w:p>
        </w:tc>
        <w:tc>
          <w:tcPr>
            <w:tcW w:w="927"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451 11</w:t>
            </w:r>
          </w:p>
        </w:tc>
        <w:tc>
          <w:tcPr>
            <w:tcW w:w="1030"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875 261</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064 125</w:t>
            </w:r>
          </w:p>
        </w:tc>
        <w:tc>
          <w:tcPr>
            <w:tcW w:w="824"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47.8</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183 1</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529 11</w:t>
            </w:r>
          </w:p>
        </w:tc>
        <w:tc>
          <w:tcPr>
            <w:tcW w:w="1133"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546 263</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425 125</w:t>
            </w:r>
          </w:p>
        </w:tc>
        <w:tc>
          <w:tcPr>
            <w:tcW w:w="967" w:type="dxa"/>
            <w:gridSpan w:val="2"/>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47.6</w:t>
            </w:r>
          </w:p>
        </w:tc>
      </w:tr>
      <w:tr w:rsidR="00484FEE" w:rsidRPr="003D01CA">
        <w:tblPrEx>
          <w:tblCellMar>
            <w:top w:w="0" w:type="dxa"/>
            <w:bottom w:w="0" w:type="dxa"/>
          </w:tblCellMar>
        </w:tblPrEx>
        <w:trPr>
          <w:gridBefore w:val="2"/>
          <w:wBefore w:w="196" w:type="dxa"/>
          <w:cantSplit/>
          <w:jc w:val="center"/>
        </w:trPr>
        <w:tc>
          <w:tcPr>
            <w:tcW w:w="3270" w:type="dxa"/>
            <w:shd w:val="clear" w:color="auto" w:fill="auto"/>
            <w:vAlign w:val="bottom"/>
          </w:tcPr>
          <w:p w:rsidR="00484FEE" w:rsidRPr="00867173" w:rsidRDefault="00484FEE" w:rsidP="0011796D">
            <w:pPr>
              <w:spacing w:before="40" w:after="40" w:line="180" w:lineRule="exact"/>
              <w:rPr>
                <w:rFonts w:hint="cs"/>
                <w:sz w:val="22"/>
                <w:szCs w:val="22"/>
                <w:rtl/>
              </w:rPr>
            </w:pPr>
            <w:r w:rsidRPr="00867173">
              <w:rPr>
                <w:rFonts w:hint="cs"/>
                <w:sz w:val="22"/>
                <w:szCs w:val="22"/>
                <w:rtl/>
              </w:rPr>
              <w:t>المدارس الخاصة</w:t>
            </w:r>
          </w:p>
        </w:tc>
        <w:tc>
          <w:tcPr>
            <w:tcW w:w="77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296</w:t>
            </w:r>
          </w:p>
        </w:tc>
        <w:tc>
          <w:tcPr>
            <w:tcW w:w="927"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035 2</w:t>
            </w:r>
          </w:p>
        </w:tc>
        <w:tc>
          <w:tcPr>
            <w:tcW w:w="1030"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521 14</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465 5</w:t>
            </w:r>
          </w:p>
        </w:tc>
        <w:tc>
          <w:tcPr>
            <w:tcW w:w="824"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37.6</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402</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984 1</w:t>
            </w:r>
          </w:p>
        </w:tc>
        <w:tc>
          <w:tcPr>
            <w:tcW w:w="1133"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602 13</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961 4</w:t>
            </w:r>
          </w:p>
        </w:tc>
        <w:tc>
          <w:tcPr>
            <w:tcW w:w="967" w:type="dxa"/>
            <w:gridSpan w:val="2"/>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36.5</w:t>
            </w:r>
          </w:p>
        </w:tc>
      </w:tr>
      <w:tr w:rsidR="00484FEE" w:rsidRPr="003D01CA">
        <w:tblPrEx>
          <w:tblCellMar>
            <w:top w:w="0" w:type="dxa"/>
            <w:bottom w:w="0" w:type="dxa"/>
          </w:tblCellMar>
        </w:tblPrEx>
        <w:trPr>
          <w:gridBefore w:val="2"/>
          <w:wBefore w:w="196" w:type="dxa"/>
          <w:cantSplit/>
          <w:jc w:val="center"/>
        </w:trPr>
        <w:tc>
          <w:tcPr>
            <w:tcW w:w="3270" w:type="dxa"/>
            <w:shd w:val="clear" w:color="auto" w:fill="auto"/>
            <w:vAlign w:val="bottom"/>
          </w:tcPr>
          <w:p w:rsidR="00484FEE" w:rsidRPr="00867173" w:rsidRDefault="00484FEE" w:rsidP="0011796D">
            <w:pPr>
              <w:spacing w:before="40" w:after="40" w:line="180" w:lineRule="exact"/>
              <w:rPr>
                <w:rFonts w:hint="cs"/>
                <w:sz w:val="22"/>
                <w:szCs w:val="22"/>
                <w:rtl/>
              </w:rPr>
            </w:pPr>
            <w:r w:rsidRPr="00867173">
              <w:rPr>
                <w:rFonts w:hint="cs"/>
                <w:sz w:val="22"/>
                <w:szCs w:val="22"/>
                <w:rtl/>
              </w:rPr>
              <w:t>السنة السابقة للتدريب المهني</w:t>
            </w:r>
          </w:p>
        </w:tc>
        <w:tc>
          <w:tcPr>
            <w:tcW w:w="77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171</w:t>
            </w:r>
          </w:p>
        </w:tc>
        <w:tc>
          <w:tcPr>
            <w:tcW w:w="927"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903</w:t>
            </w:r>
          </w:p>
        </w:tc>
        <w:tc>
          <w:tcPr>
            <w:tcW w:w="1030"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050 20</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798 6</w:t>
            </w:r>
          </w:p>
        </w:tc>
        <w:tc>
          <w:tcPr>
            <w:tcW w:w="824"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33.9</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313</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885</w:t>
            </w:r>
          </w:p>
        </w:tc>
        <w:tc>
          <w:tcPr>
            <w:tcW w:w="1133"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594 19</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692 6</w:t>
            </w:r>
          </w:p>
        </w:tc>
        <w:tc>
          <w:tcPr>
            <w:tcW w:w="967" w:type="dxa"/>
            <w:gridSpan w:val="2"/>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34.2</w:t>
            </w:r>
          </w:p>
        </w:tc>
      </w:tr>
      <w:tr w:rsidR="00484FEE" w:rsidRPr="003D01CA">
        <w:tblPrEx>
          <w:tblCellMar>
            <w:top w:w="0" w:type="dxa"/>
            <w:bottom w:w="0" w:type="dxa"/>
          </w:tblCellMar>
        </w:tblPrEx>
        <w:trPr>
          <w:gridBefore w:val="2"/>
          <w:wBefore w:w="196" w:type="dxa"/>
          <w:cantSplit/>
          <w:jc w:val="center"/>
        </w:trPr>
        <w:tc>
          <w:tcPr>
            <w:tcW w:w="3270" w:type="dxa"/>
            <w:shd w:val="clear" w:color="auto" w:fill="auto"/>
            <w:vAlign w:val="bottom"/>
          </w:tcPr>
          <w:p w:rsidR="00484FEE" w:rsidRPr="00D252AB" w:rsidRDefault="00484FEE" w:rsidP="0011796D">
            <w:pPr>
              <w:spacing w:before="40" w:after="40" w:line="180" w:lineRule="exact"/>
              <w:rPr>
                <w:rFonts w:hint="cs"/>
                <w:b/>
                <w:bCs/>
                <w:sz w:val="22"/>
                <w:szCs w:val="22"/>
                <w:vertAlign w:val="superscript"/>
                <w:rtl/>
              </w:rPr>
            </w:pPr>
            <w:r w:rsidRPr="00953A41">
              <w:rPr>
                <w:rFonts w:hint="cs"/>
                <w:b/>
                <w:bCs/>
                <w:sz w:val="22"/>
                <w:szCs w:val="22"/>
                <w:rtl/>
              </w:rPr>
              <w:t>مجموع المدارس الإلزامية</w:t>
            </w:r>
            <w:r>
              <w:rPr>
                <w:rFonts w:hint="cs"/>
                <w:b/>
                <w:bCs/>
                <w:sz w:val="22"/>
                <w:szCs w:val="22"/>
                <w:vertAlign w:val="superscript"/>
                <w:rtl/>
              </w:rPr>
              <w:t>(2)</w:t>
            </w:r>
          </w:p>
        </w:tc>
        <w:tc>
          <w:tcPr>
            <w:tcW w:w="77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067 5</w:t>
            </w:r>
          </w:p>
        </w:tc>
        <w:tc>
          <w:tcPr>
            <w:tcW w:w="927"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558 34</w:t>
            </w:r>
          </w:p>
        </w:tc>
        <w:tc>
          <w:tcPr>
            <w:tcW w:w="1030"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515 695</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333 330</w:t>
            </w:r>
          </w:p>
        </w:tc>
        <w:tc>
          <w:tcPr>
            <w:tcW w:w="824"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47.5</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003 5</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218 34</w:t>
            </w:r>
          </w:p>
        </w:tc>
        <w:tc>
          <w:tcPr>
            <w:tcW w:w="1133"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328 690</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595 327</w:t>
            </w:r>
          </w:p>
        </w:tc>
        <w:tc>
          <w:tcPr>
            <w:tcW w:w="967" w:type="dxa"/>
            <w:gridSpan w:val="2"/>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47.5</w:t>
            </w:r>
          </w:p>
        </w:tc>
      </w:tr>
      <w:tr w:rsidR="00484FEE" w:rsidRPr="003D01CA">
        <w:tblPrEx>
          <w:tblCellMar>
            <w:top w:w="0" w:type="dxa"/>
            <w:bottom w:w="0" w:type="dxa"/>
          </w:tblCellMar>
        </w:tblPrEx>
        <w:trPr>
          <w:gridBefore w:val="2"/>
          <w:wBefore w:w="196" w:type="dxa"/>
          <w:cantSplit/>
          <w:jc w:val="center"/>
        </w:trPr>
        <w:tc>
          <w:tcPr>
            <w:tcW w:w="3270" w:type="dxa"/>
            <w:tcBorders>
              <w:bottom w:val="single" w:sz="4" w:space="0" w:color="auto"/>
            </w:tcBorders>
            <w:shd w:val="clear" w:color="auto" w:fill="auto"/>
            <w:vAlign w:val="bottom"/>
          </w:tcPr>
          <w:p w:rsidR="00484FEE" w:rsidRPr="00953A41" w:rsidRDefault="00484FEE" w:rsidP="0011796D">
            <w:pPr>
              <w:spacing w:before="40" w:after="40" w:line="180" w:lineRule="exact"/>
              <w:rPr>
                <w:rFonts w:hint="cs"/>
                <w:b/>
                <w:bCs/>
                <w:sz w:val="22"/>
                <w:szCs w:val="22"/>
                <w:rtl/>
              </w:rPr>
            </w:pPr>
            <w:r w:rsidRPr="00953A41">
              <w:rPr>
                <w:rFonts w:hint="cs"/>
                <w:b/>
                <w:bCs/>
                <w:sz w:val="22"/>
                <w:szCs w:val="22"/>
                <w:rtl/>
              </w:rPr>
              <w:t>مجموع المدارس الثانوية العامة العليا</w:t>
            </w:r>
            <w:r w:rsidRPr="00D252AB">
              <w:rPr>
                <w:rFonts w:hint="cs"/>
                <w:b/>
                <w:bCs/>
                <w:sz w:val="22"/>
                <w:szCs w:val="22"/>
                <w:vertAlign w:val="superscript"/>
                <w:rtl/>
              </w:rPr>
              <w:t>(2)</w:t>
            </w:r>
          </w:p>
        </w:tc>
        <w:tc>
          <w:tcPr>
            <w:tcW w:w="774" w:type="dxa"/>
            <w:tcBorders>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326</w:t>
            </w:r>
          </w:p>
        </w:tc>
        <w:tc>
          <w:tcPr>
            <w:tcW w:w="927" w:type="dxa"/>
            <w:tcBorders>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496 7</w:t>
            </w:r>
          </w:p>
        </w:tc>
        <w:tc>
          <w:tcPr>
            <w:tcW w:w="1030" w:type="dxa"/>
            <w:tcBorders>
              <w:bottom w:val="single" w:sz="4" w:space="0" w:color="auto"/>
            </w:tcBorders>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091 185</w:t>
            </w:r>
          </w:p>
        </w:tc>
        <w:tc>
          <w:tcPr>
            <w:tcW w:w="927" w:type="dxa"/>
            <w:tcBorders>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312 100</w:t>
            </w:r>
          </w:p>
        </w:tc>
        <w:tc>
          <w:tcPr>
            <w:tcW w:w="824" w:type="dxa"/>
            <w:tcBorders>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54.2</w:t>
            </w:r>
          </w:p>
        </w:tc>
        <w:tc>
          <w:tcPr>
            <w:tcW w:w="824" w:type="dxa"/>
            <w:tcBorders>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325</w:t>
            </w:r>
          </w:p>
        </w:tc>
        <w:tc>
          <w:tcPr>
            <w:tcW w:w="824" w:type="dxa"/>
            <w:tcBorders>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535 7</w:t>
            </w:r>
          </w:p>
        </w:tc>
        <w:tc>
          <w:tcPr>
            <w:tcW w:w="1133" w:type="dxa"/>
            <w:tcBorders>
              <w:bottom w:val="single" w:sz="4" w:space="0" w:color="auto"/>
            </w:tcBorders>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713 184</w:t>
            </w:r>
          </w:p>
        </w:tc>
        <w:tc>
          <w:tcPr>
            <w:tcW w:w="927" w:type="dxa"/>
            <w:tcBorders>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051 100</w:t>
            </w:r>
          </w:p>
        </w:tc>
        <w:tc>
          <w:tcPr>
            <w:tcW w:w="967" w:type="dxa"/>
            <w:gridSpan w:val="2"/>
            <w:tcBorders>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54.2</w:t>
            </w:r>
          </w:p>
        </w:tc>
      </w:tr>
      <w:tr w:rsidR="00484FEE" w:rsidRPr="003D01CA">
        <w:tblPrEx>
          <w:tblCellMar>
            <w:top w:w="0" w:type="dxa"/>
            <w:bottom w:w="0" w:type="dxa"/>
          </w:tblCellMar>
        </w:tblPrEx>
        <w:trPr>
          <w:gridBefore w:val="2"/>
          <w:wBefore w:w="196" w:type="dxa"/>
          <w:cantSplit/>
          <w:jc w:val="center"/>
        </w:trPr>
        <w:tc>
          <w:tcPr>
            <w:tcW w:w="3270" w:type="dxa"/>
            <w:tcBorders>
              <w:top w:val="single" w:sz="4" w:space="0" w:color="auto"/>
              <w:bottom w:val="single" w:sz="4" w:space="0" w:color="auto"/>
            </w:tcBorders>
            <w:shd w:val="clear" w:color="auto" w:fill="auto"/>
            <w:vAlign w:val="bottom"/>
          </w:tcPr>
          <w:p w:rsidR="00484FEE" w:rsidRPr="00953A41" w:rsidRDefault="00484FEE" w:rsidP="0011796D">
            <w:pPr>
              <w:spacing w:before="40" w:after="40" w:line="180" w:lineRule="exact"/>
              <w:rPr>
                <w:rFonts w:hint="cs"/>
                <w:b/>
                <w:bCs/>
                <w:sz w:val="22"/>
                <w:szCs w:val="22"/>
                <w:rtl/>
              </w:rPr>
            </w:pPr>
            <w:r w:rsidRPr="00953A41">
              <w:rPr>
                <w:rFonts w:hint="cs"/>
                <w:b/>
                <w:bCs/>
                <w:sz w:val="22"/>
                <w:szCs w:val="22"/>
                <w:rtl/>
              </w:rPr>
              <w:t>مجموع المدارس العامة</w:t>
            </w:r>
            <w:r>
              <w:rPr>
                <w:rFonts w:hint="cs"/>
                <w:b/>
                <w:bCs/>
                <w:sz w:val="22"/>
                <w:szCs w:val="22"/>
                <w:vertAlign w:val="superscript"/>
                <w:rtl/>
              </w:rPr>
              <w:t>(2)</w:t>
            </w:r>
          </w:p>
        </w:tc>
        <w:tc>
          <w:tcPr>
            <w:tcW w:w="774" w:type="dxa"/>
            <w:tcBorders>
              <w:top w:val="single" w:sz="4" w:space="0" w:color="auto"/>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393 5</w:t>
            </w:r>
          </w:p>
        </w:tc>
        <w:tc>
          <w:tcPr>
            <w:tcW w:w="927" w:type="dxa"/>
            <w:tcBorders>
              <w:top w:val="single" w:sz="4" w:space="0" w:color="auto"/>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054 42</w:t>
            </w:r>
          </w:p>
        </w:tc>
        <w:tc>
          <w:tcPr>
            <w:tcW w:w="1030" w:type="dxa"/>
            <w:tcBorders>
              <w:top w:val="single" w:sz="4" w:space="0" w:color="auto"/>
              <w:bottom w:val="single" w:sz="4" w:space="0" w:color="auto"/>
            </w:tcBorders>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606 880</w:t>
            </w:r>
          </w:p>
        </w:tc>
        <w:tc>
          <w:tcPr>
            <w:tcW w:w="927" w:type="dxa"/>
            <w:tcBorders>
              <w:top w:val="single" w:sz="4" w:space="0" w:color="auto"/>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645 430</w:t>
            </w:r>
          </w:p>
        </w:tc>
        <w:tc>
          <w:tcPr>
            <w:tcW w:w="824" w:type="dxa"/>
            <w:tcBorders>
              <w:top w:val="single" w:sz="4" w:space="0" w:color="auto"/>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48.9</w:t>
            </w:r>
          </w:p>
        </w:tc>
        <w:tc>
          <w:tcPr>
            <w:tcW w:w="824" w:type="dxa"/>
            <w:tcBorders>
              <w:top w:val="single" w:sz="4" w:space="0" w:color="auto"/>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328 5</w:t>
            </w:r>
          </w:p>
        </w:tc>
        <w:tc>
          <w:tcPr>
            <w:tcW w:w="824" w:type="dxa"/>
            <w:tcBorders>
              <w:top w:val="single" w:sz="4" w:space="0" w:color="auto"/>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753 41</w:t>
            </w:r>
          </w:p>
        </w:tc>
        <w:tc>
          <w:tcPr>
            <w:tcW w:w="1133" w:type="dxa"/>
            <w:tcBorders>
              <w:top w:val="single" w:sz="4" w:space="0" w:color="auto"/>
              <w:bottom w:val="single" w:sz="4" w:space="0" w:color="auto"/>
            </w:tcBorders>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041 875</w:t>
            </w:r>
          </w:p>
        </w:tc>
        <w:tc>
          <w:tcPr>
            <w:tcW w:w="927" w:type="dxa"/>
            <w:tcBorders>
              <w:top w:val="single" w:sz="4" w:space="0" w:color="auto"/>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646 427</w:t>
            </w:r>
          </w:p>
        </w:tc>
        <w:tc>
          <w:tcPr>
            <w:tcW w:w="967" w:type="dxa"/>
            <w:gridSpan w:val="2"/>
            <w:tcBorders>
              <w:top w:val="single" w:sz="4" w:space="0" w:color="auto"/>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48.9</w:t>
            </w:r>
          </w:p>
        </w:tc>
      </w:tr>
      <w:tr w:rsidR="00484FEE" w:rsidRPr="003D01CA">
        <w:tblPrEx>
          <w:tblCellMar>
            <w:top w:w="0" w:type="dxa"/>
            <w:bottom w:w="0" w:type="dxa"/>
          </w:tblCellMar>
        </w:tblPrEx>
        <w:trPr>
          <w:gridBefore w:val="2"/>
          <w:wBefore w:w="196" w:type="dxa"/>
          <w:cantSplit/>
          <w:jc w:val="center"/>
        </w:trPr>
        <w:tc>
          <w:tcPr>
            <w:tcW w:w="3270" w:type="dxa"/>
            <w:tcBorders>
              <w:top w:val="single" w:sz="4" w:space="0" w:color="auto"/>
            </w:tcBorders>
            <w:shd w:val="clear" w:color="auto" w:fill="auto"/>
            <w:vAlign w:val="bottom"/>
          </w:tcPr>
          <w:p w:rsidR="00484FEE" w:rsidRPr="00953A41" w:rsidRDefault="00484FEE" w:rsidP="0011796D">
            <w:pPr>
              <w:spacing w:before="40" w:after="40" w:line="180" w:lineRule="exact"/>
              <w:rPr>
                <w:rFonts w:hint="cs"/>
                <w:b/>
                <w:bCs/>
                <w:sz w:val="22"/>
                <w:szCs w:val="22"/>
                <w:rtl/>
              </w:rPr>
            </w:pPr>
            <w:r w:rsidRPr="00953A41">
              <w:rPr>
                <w:rFonts w:hint="cs"/>
                <w:b/>
                <w:bCs/>
                <w:sz w:val="22"/>
                <w:szCs w:val="22"/>
                <w:rtl/>
              </w:rPr>
              <w:t>كليات التدريب الحرفي</w:t>
            </w:r>
          </w:p>
        </w:tc>
        <w:tc>
          <w:tcPr>
            <w:tcW w:w="774" w:type="dxa"/>
            <w:tcBorders>
              <w:top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182</w:t>
            </w:r>
          </w:p>
        </w:tc>
        <w:tc>
          <w:tcPr>
            <w:tcW w:w="927" w:type="dxa"/>
            <w:tcBorders>
              <w:top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625 5</w:t>
            </w:r>
          </w:p>
        </w:tc>
        <w:tc>
          <w:tcPr>
            <w:tcW w:w="1030" w:type="dxa"/>
            <w:tcBorders>
              <w:top w:val="single" w:sz="4" w:space="0" w:color="auto"/>
            </w:tcBorders>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942 132</w:t>
            </w:r>
          </w:p>
        </w:tc>
        <w:tc>
          <w:tcPr>
            <w:tcW w:w="927" w:type="dxa"/>
            <w:tcBorders>
              <w:top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728 44</w:t>
            </w:r>
          </w:p>
        </w:tc>
        <w:tc>
          <w:tcPr>
            <w:tcW w:w="824" w:type="dxa"/>
            <w:tcBorders>
              <w:top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33.6</w:t>
            </w:r>
          </w:p>
        </w:tc>
        <w:tc>
          <w:tcPr>
            <w:tcW w:w="824" w:type="dxa"/>
            <w:tcBorders>
              <w:top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182</w:t>
            </w:r>
          </w:p>
        </w:tc>
        <w:tc>
          <w:tcPr>
            <w:tcW w:w="824" w:type="dxa"/>
            <w:tcBorders>
              <w:top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627 5</w:t>
            </w:r>
          </w:p>
        </w:tc>
        <w:tc>
          <w:tcPr>
            <w:tcW w:w="1133" w:type="dxa"/>
            <w:tcBorders>
              <w:top w:val="single" w:sz="4" w:space="0" w:color="auto"/>
            </w:tcBorders>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942 132</w:t>
            </w:r>
          </w:p>
        </w:tc>
        <w:tc>
          <w:tcPr>
            <w:tcW w:w="927" w:type="dxa"/>
            <w:tcBorders>
              <w:top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728 44</w:t>
            </w:r>
          </w:p>
        </w:tc>
        <w:tc>
          <w:tcPr>
            <w:tcW w:w="967" w:type="dxa"/>
            <w:gridSpan w:val="2"/>
            <w:tcBorders>
              <w:top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33.6</w:t>
            </w:r>
          </w:p>
        </w:tc>
      </w:tr>
      <w:tr w:rsidR="00484FEE" w:rsidRPr="003D01CA">
        <w:tblPrEx>
          <w:tblCellMar>
            <w:top w:w="0" w:type="dxa"/>
            <w:bottom w:w="0" w:type="dxa"/>
          </w:tblCellMar>
        </w:tblPrEx>
        <w:trPr>
          <w:gridBefore w:val="2"/>
          <w:wBefore w:w="196" w:type="dxa"/>
          <w:cantSplit/>
          <w:jc w:val="center"/>
        </w:trPr>
        <w:tc>
          <w:tcPr>
            <w:tcW w:w="3270" w:type="dxa"/>
            <w:shd w:val="clear" w:color="auto" w:fill="auto"/>
            <w:vAlign w:val="bottom"/>
          </w:tcPr>
          <w:p w:rsidR="00484FEE" w:rsidRPr="00867173" w:rsidRDefault="00484FEE" w:rsidP="0011796D">
            <w:pPr>
              <w:spacing w:before="40" w:after="40" w:line="180" w:lineRule="exact"/>
              <w:rPr>
                <w:rFonts w:hint="cs"/>
                <w:sz w:val="22"/>
                <w:szCs w:val="22"/>
                <w:rtl/>
              </w:rPr>
            </w:pPr>
            <w:r w:rsidRPr="00867173">
              <w:rPr>
                <w:rFonts w:hint="cs"/>
                <w:sz w:val="22"/>
                <w:szCs w:val="22"/>
                <w:rtl/>
              </w:rPr>
              <w:t>الكليات التقنية والحرفية والفنية</w:t>
            </w:r>
          </w:p>
        </w:tc>
        <w:tc>
          <w:tcPr>
            <w:tcW w:w="77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163</w:t>
            </w:r>
          </w:p>
        </w:tc>
        <w:tc>
          <w:tcPr>
            <w:tcW w:w="927"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773</w:t>
            </w:r>
          </w:p>
        </w:tc>
        <w:tc>
          <w:tcPr>
            <w:tcW w:w="1030"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679 15</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795 3</w:t>
            </w:r>
          </w:p>
        </w:tc>
        <w:tc>
          <w:tcPr>
            <w:tcW w:w="824"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24.2</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135</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709</w:t>
            </w:r>
          </w:p>
        </w:tc>
        <w:tc>
          <w:tcPr>
            <w:tcW w:w="1133"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948 14</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229 3</w:t>
            </w:r>
          </w:p>
        </w:tc>
        <w:tc>
          <w:tcPr>
            <w:tcW w:w="967" w:type="dxa"/>
            <w:gridSpan w:val="2"/>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21.6</w:t>
            </w:r>
          </w:p>
        </w:tc>
      </w:tr>
      <w:tr w:rsidR="00484FEE" w:rsidRPr="003D01CA">
        <w:tblPrEx>
          <w:tblCellMar>
            <w:top w:w="0" w:type="dxa"/>
            <w:bottom w:w="0" w:type="dxa"/>
          </w:tblCellMar>
        </w:tblPrEx>
        <w:trPr>
          <w:gridBefore w:val="2"/>
          <w:wBefore w:w="196" w:type="dxa"/>
          <w:cantSplit/>
          <w:jc w:val="center"/>
        </w:trPr>
        <w:tc>
          <w:tcPr>
            <w:tcW w:w="3270" w:type="dxa"/>
            <w:shd w:val="clear" w:color="auto" w:fill="auto"/>
            <w:vAlign w:val="bottom"/>
          </w:tcPr>
          <w:p w:rsidR="00484FEE" w:rsidRPr="00867173" w:rsidRDefault="00484FEE" w:rsidP="0011796D">
            <w:pPr>
              <w:spacing w:before="40" w:after="40" w:line="180" w:lineRule="exact"/>
              <w:rPr>
                <w:rFonts w:hint="cs"/>
                <w:sz w:val="22"/>
                <w:szCs w:val="22"/>
                <w:rtl/>
              </w:rPr>
            </w:pPr>
            <w:r w:rsidRPr="00867173">
              <w:rPr>
                <w:rFonts w:hint="cs"/>
                <w:sz w:val="22"/>
                <w:szCs w:val="22"/>
                <w:rtl/>
              </w:rPr>
              <w:t>الأعمال</w:t>
            </w:r>
          </w:p>
        </w:tc>
        <w:tc>
          <w:tcPr>
            <w:tcW w:w="77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121</w:t>
            </w:r>
          </w:p>
        </w:tc>
        <w:tc>
          <w:tcPr>
            <w:tcW w:w="927"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588</w:t>
            </w:r>
          </w:p>
        </w:tc>
        <w:tc>
          <w:tcPr>
            <w:tcW w:w="1030"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652 13</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329 8</w:t>
            </w:r>
          </w:p>
        </w:tc>
        <w:tc>
          <w:tcPr>
            <w:tcW w:w="824"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61.0</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112</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533</w:t>
            </w:r>
          </w:p>
        </w:tc>
        <w:tc>
          <w:tcPr>
            <w:tcW w:w="1133"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470 12</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915 7</w:t>
            </w:r>
          </w:p>
        </w:tc>
        <w:tc>
          <w:tcPr>
            <w:tcW w:w="967" w:type="dxa"/>
            <w:gridSpan w:val="2"/>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63.5</w:t>
            </w:r>
          </w:p>
        </w:tc>
      </w:tr>
      <w:tr w:rsidR="00484FEE" w:rsidRPr="003D01CA">
        <w:tblPrEx>
          <w:tblCellMar>
            <w:top w:w="0" w:type="dxa"/>
            <w:bottom w:w="0" w:type="dxa"/>
          </w:tblCellMar>
        </w:tblPrEx>
        <w:trPr>
          <w:gridBefore w:val="2"/>
          <w:wBefore w:w="196" w:type="dxa"/>
          <w:cantSplit/>
          <w:jc w:val="center"/>
        </w:trPr>
        <w:tc>
          <w:tcPr>
            <w:tcW w:w="3270" w:type="dxa"/>
            <w:shd w:val="clear" w:color="auto" w:fill="auto"/>
            <w:vAlign w:val="bottom"/>
          </w:tcPr>
          <w:p w:rsidR="00484FEE" w:rsidRPr="00867173" w:rsidRDefault="00484FEE" w:rsidP="0011796D">
            <w:pPr>
              <w:spacing w:before="40" w:after="40" w:line="180" w:lineRule="exact"/>
              <w:rPr>
                <w:rFonts w:hint="cs"/>
                <w:sz w:val="22"/>
                <w:szCs w:val="22"/>
                <w:rtl/>
              </w:rPr>
            </w:pPr>
            <w:r w:rsidRPr="00867173">
              <w:rPr>
                <w:rFonts w:hint="cs"/>
                <w:sz w:val="22"/>
                <w:szCs w:val="22"/>
                <w:rtl/>
              </w:rPr>
              <w:t>العلوم المنزلية والتجارية</w:t>
            </w:r>
          </w:p>
        </w:tc>
        <w:tc>
          <w:tcPr>
            <w:tcW w:w="77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152</w:t>
            </w:r>
          </w:p>
        </w:tc>
        <w:tc>
          <w:tcPr>
            <w:tcW w:w="927"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452</w:t>
            </w:r>
          </w:p>
        </w:tc>
        <w:tc>
          <w:tcPr>
            <w:tcW w:w="1030"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267 10</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656 9</w:t>
            </w:r>
          </w:p>
        </w:tc>
        <w:tc>
          <w:tcPr>
            <w:tcW w:w="824"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94.0</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98</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422</w:t>
            </w:r>
          </w:p>
        </w:tc>
        <w:tc>
          <w:tcPr>
            <w:tcW w:w="1133"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711 9</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023 9</w:t>
            </w:r>
          </w:p>
        </w:tc>
        <w:tc>
          <w:tcPr>
            <w:tcW w:w="967" w:type="dxa"/>
            <w:gridSpan w:val="2"/>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92.9</w:t>
            </w:r>
          </w:p>
        </w:tc>
      </w:tr>
      <w:tr w:rsidR="00484FEE" w:rsidRPr="003D01CA">
        <w:tblPrEx>
          <w:tblCellMar>
            <w:top w:w="0" w:type="dxa"/>
            <w:bottom w:w="0" w:type="dxa"/>
          </w:tblCellMar>
        </w:tblPrEx>
        <w:trPr>
          <w:gridBefore w:val="2"/>
          <w:wBefore w:w="196" w:type="dxa"/>
          <w:cantSplit/>
          <w:jc w:val="center"/>
        </w:trPr>
        <w:tc>
          <w:tcPr>
            <w:tcW w:w="3270" w:type="dxa"/>
            <w:shd w:val="clear" w:color="auto" w:fill="auto"/>
            <w:vAlign w:val="bottom"/>
          </w:tcPr>
          <w:p w:rsidR="00484FEE" w:rsidRPr="00867173" w:rsidRDefault="00484FEE" w:rsidP="0011796D">
            <w:pPr>
              <w:spacing w:before="40" w:after="40" w:line="180" w:lineRule="exact"/>
              <w:rPr>
                <w:rFonts w:hint="cs"/>
                <w:sz w:val="22"/>
                <w:szCs w:val="22"/>
                <w:rtl/>
              </w:rPr>
            </w:pPr>
            <w:r w:rsidRPr="00867173">
              <w:rPr>
                <w:rFonts w:hint="cs"/>
                <w:sz w:val="22"/>
                <w:szCs w:val="22"/>
                <w:rtl/>
              </w:rPr>
              <w:t>الرعاية الاجتماعية</w:t>
            </w:r>
          </w:p>
        </w:tc>
        <w:tc>
          <w:tcPr>
            <w:tcW w:w="77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172</w:t>
            </w:r>
          </w:p>
        </w:tc>
        <w:tc>
          <w:tcPr>
            <w:tcW w:w="927"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550</w:t>
            </w:r>
          </w:p>
        </w:tc>
        <w:tc>
          <w:tcPr>
            <w:tcW w:w="1030"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661 14</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338 12</w:t>
            </w:r>
          </w:p>
        </w:tc>
        <w:tc>
          <w:tcPr>
            <w:tcW w:w="824"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84.2</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14</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63</w:t>
            </w:r>
          </w:p>
        </w:tc>
        <w:tc>
          <w:tcPr>
            <w:tcW w:w="1133"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461 1</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364 1</w:t>
            </w:r>
          </w:p>
        </w:tc>
        <w:tc>
          <w:tcPr>
            <w:tcW w:w="967" w:type="dxa"/>
            <w:gridSpan w:val="2"/>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93.4</w:t>
            </w:r>
          </w:p>
        </w:tc>
      </w:tr>
      <w:tr w:rsidR="00484FEE" w:rsidRPr="003D01CA">
        <w:tblPrEx>
          <w:tblCellMar>
            <w:top w:w="0" w:type="dxa"/>
            <w:bottom w:w="0" w:type="dxa"/>
          </w:tblCellMar>
        </w:tblPrEx>
        <w:trPr>
          <w:gridBefore w:val="2"/>
          <w:wBefore w:w="196" w:type="dxa"/>
          <w:cantSplit/>
          <w:jc w:val="center"/>
        </w:trPr>
        <w:tc>
          <w:tcPr>
            <w:tcW w:w="3270" w:type="dxa"/>
            <w:shd w:val="clear" w:color="auto" w:fill="auto"/>
            <w:vAlign w:val="bottom"/>
          </w:tcPr>
          <w:p w:rsidR="00484FEE" w:rsidRPr="00867173" w:rsidRDefault="00484FEE" w:rsidP="0011796D">
            <w:pPr>
              <w:spacing w:before="40" w:after="40" w:line="180" w:lineRule="exact"/>
              <w:rPr>
                <w:rFonts w:hint="cs"/>
                <w:sz w:val="22"/>
                <w:szCs w:val="22"/>
                <w:rtl/>
              </w:rPr>
            </w:pPr>
            <w:r w:rsidRPr="00867173">
              <w:rPr>
                <w:rFonts w:hint="cs"/>
                <w:sz w:val="22"/>
                <w:szCs w:val="22"/>
                <w:rtl/>
              </w:rPr>
              <w:t>الزراعة والحراجة</w:t>
            </w:r>
          </w:p>
        </w:tc>
        <w:tc>
          <w:tcPr>
            <w:tcW w:w="77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106</w:t>
            </w:r>
          </w:p>
        </w:tc>
        <w:tc>
          <w:tcPr>
            <w:tcW w:w="927"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434</w:t>
            </w:r>
          </w:p>
        </w:tc>
        <w:tc>
          <w:tcPr>
            <w:tcW w:w="1030"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200 10</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900 4</w:t>
            </w:r>
          </w:p>
        </w:tc>
        <w:tc>
          <w:tcPr>
            <w:tcW w:w="824"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48.0</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106</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439</w:t>
            </w:r>
          </w:p>
        </w:tc>
        <w:tc>
          <w:tcPr>
            <w:tcW w:w="1133"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200 10</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900 4</w:t>
            </w:r>
          </w:p>
        </w:tc>
        <w:tc>
          <w:tcPr>
            <w:tcW w:w="967" w:type="dxa"/>
            <w:gridSpan w:val="2"/>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48.0</w:t>
            </w:r>
          </w:p>
        </w:tc>
      </w:tr>
      <w:tr w:rsidR="00484FEE" w:rsidRPr="003D01CA">
        <w:tblPrEx>
          <w:tblCellMar>
            <w:top w:w="0" w:type="dxa"/>
            <w:bottom w:w="0" w:type="dxa"/>
          </w:tblCellMar>
        </w:tblPrEx>
        <w:trPr>
          <w:gridBefore w:val="2"/>
          <w:wBefore w:w="196" w:type="dxa"/>
          <w:cantSplit/>
          <w:jc w:val="center"/>
        </w:trPr>
        <w:tc>
          <w:tcPr>
            <w:tcW w:w="3270" w:type="dxa"/>
            <w:shd w:val="clear" w:color="auto" w:fill="auto"/>
            <w:vAlign w:val="bottom"/>
          </w:tcPr>
          <w:p w:rsidR="00484FEE" w:rsidRPr="00D252AB" w:rsidRDefault="00484FEE" w:rsidP="0011796D">
            <w:pPr>
              <w:spacing w:before="40" w:after="40" w:line="180" w:lineRule="exact"/>
              <w:rPr>
                <w:rFonts w:hint="cs"/>
                <w:b/>
                <w:bCs/>
                <w:sz w:val="22"/>
                <w:szCs w:val="22"/>
                <w:vertAlign w:val="superscript"/>
                <w:rtl/>
              </w:rPr>
            </w:pPr>
            <w:r w:rsidRPr="00953A41">
              <w:rPr>
                <w:rFonts w:hint="cs"/>
                <w:b/>
                <w:bCs/>
                <w:sz w:val="22"/>
                <w:szCs w:val="22"/>
                <w:rtl/>
              </w:rPr>
              <w:t>مجموع الكليات التقنية المتوسطة وكليات التدريب المهني</w:t>
            </w:r>
            <w:r>
              <w:rPr>
                <w:rFonts w:hint="cs"/>
                <w:b/>
                <w:bCs/>
                <w:sz w:val="22"/>
                <w:szCs w:val="22"/>
                <w:vertAlign w:val="superscript"/>
                <w:rtl/>
              </w:rPr>
              <w:t>(2)</w:t>
            </w:r>
          </w:p>
        </w:tc>
        <w:tc>
          <w:tcPr>
            <w:tcW w:w="77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714</w:t>
            </w:r>
          </w:p>
        </w:tc>
        <w:tc>
          <w:tcPr>
            <w:tcW w:w="927"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797 2</w:t>
            </w:r>
          </w:p>
        </w:tc>
        <w:tc>
          <w:tcPr>
            <w:tcW w:w="1030"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459 64</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018 39</w:t>
            </w:r>
          </w:p>
        </w:tc>
        <w:tc>
          <w:tcPr>
            <w:tcW w:w="824"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60.5</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447</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166 2</w:t>
            </w:r>
          </w:p>
        </w:tc>
        <w:tc>
          <w:tcPr>
            <w:tcW w:w="1133"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790 48</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431 26</w:t>
            </w:r>
          </w:p>
        </w:tc>
        <w:tc>
          <w:tcPr>
            <w:tcW w:w="967" w:type="dxa"/>
            <w:gridSpan w:val="2"/>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54.2</w:t>
            </w:r>
          </w:p>
        </w:tc>
      </w:tr>
      <w:tr w:rsidR="00484FEE" w:rsidRPr="003D01CA">
        <w:tblPrEx>
          <w:tblCellMar>
            <w:top w:w="0" w:type="dxa"/>
            <w:bottom w:w="0" w:type="dxa"/>
          </w:tblCellMar>
        </w:tblPrEx>
        <w:trPr>
          <w:gridBefore w:val="2"/>
          <w:wBefore w:w="196" w:type="dxa"/>
          <w:cantSplit/>
          <w:jc w:val="center"/>
        </w:trPr>
        <w:tc>
          <w:tcPr>
            <w:tcW w:w="3270" w:type="dxa"/>
            <w:shd w:val="clear" w:color="auto" w:fill="auto"/>
            <w:vAlign w:val="bottom"/>
          </w:tcPr>
          <w:p w:rsidR="00484FEE" w:rsidRPr="00867173" w:rsidRDefault="00484FEE" w:rsidP="0011796D">
            <w:pPr>
              <w:spacing w:before="40" w:after="40" w:line="180" w:lineRule="exact"/>
              <w:rPr>
                <w:rFonts w:hint="cs"/>
                <w:sz w:val="22"/>
                <w:szCs w:val="22"/>
                <w:rtl/>
              </w:rPr>
            </w:pPr>
            <w:r w:rsidRPr="00867173">
              <w:rPr>
                <w:rFonts w:hint="cs"/>
                <w:sz w:val="22"/>
                <w:szCs w:val="22"/>
                <w:rtl/>
              </w:rPr>
              <w:t>الكليات التقنية والحرفية والفنية</w:t>
            </w:r>
          </w:p>
        </w:tc>
        <w:tc>
          <w:tcPr>
            <w:tcW w:w="77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134</w:t>
            </w:r>
          </w:p>
        </w:tc>
        <w:tc>
          <w:tcPr>
            <w:tcW w:w="927"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210 2</w:t>
            </w:r>
          </w:p>
        </w:tc>
        <w:tc>
          <w:tcPr>
            <w:tcW w:w="1030"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322 54</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432 12</w:t>
            </w:r>
          </w:p>
        </w:tc>
        <w:tc>
          <w:tcPr>
            <w:tcW w:w="824"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22.9</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100</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265 2</w:t>
            </w:r>
          </w:p>
        </w:tc>
        <w:tc>
          <w:tcPr>
            <w:tcW w:w="1133"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902 55</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159 13</w:t>
            </w:r>
          </w:p>
        </w:tc>
        <w:tc>
          <w:tcPr>
            <w:tcW w:w="967" w:type="dxa"/>
            <w:gridSpan w:val="2"/>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23.5</w:t>
            </w:r>
          </w:p>
        </w:tc>
      </w:tr>
      <w:tr w:rsidR="00484FEE" w:rsidRPr="003D01CA">
        <w:tblPrEx>
          <w:tblCellMar>
            <w:top w:w="0" w:type="dxa"/>
            <w:bottom w:w="0" w:type="dxa"/>
          </w:tblCellMar>
        </w:tblPrEx>
        <w:trPr>
          <w:gridBefore w:val="2"/>
          <w:wBefore w:w="196" w:type="dxa"/>
          <w:cantSplit/>
          <w:jc w:val="center"/>
        </w:trPr>
        <w:tc>
          <w:tcPr>
            <w:tcW w:w="3270" w:type="dxa"/>
            <w:shd w:val="clear" w:color="auto" w:fill="auto"/>
            <w:vAlign w:val="bottom"/>
          </w:tcPr>
          <w:p w:rsidR="00484FEE" w:rsidRPr="00867173" w:rsidRDefault="00484FEE" w:rsidP="0011796D">
            <w:pPr>
              <w:spacing w:before="40" w:after="40" w:line="180" w:lineRule="exact"/>
              <w:rPr>
                <w:rFonts w:hint="cs"/>
                <w:sz w:val="22"/>
                <w:szCs w:val="22"/>
                <w:rtl/>
              </w:rPr>
            </w:pPr>
            <w:r w:rsidRPr="00867173">
              <w:rPr>
                <w:rFonts w:hint="cs"/>
                <w:sz w:val="22"/>
                <w:szCs w:val="22"/>
                <w:rtl/>
              </w:rPr>
              <w:t>الأعمال</w:t>
            </w:r>
          </w:p>
        </w:tc>
        <w:tc>
          <w:tcPr>
            <w:tcW w:w="77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122</w:t>
            </w:r>
          </w:p>
        </w:tc>
        <w:tc>
          <w:tcPr>
            <w:tcW w:w="927"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654 1</w:t>
            </w:r>
          </w:p>
        </w:tc>
        <w:tc>
          <w:tcPr>
            <w:tcW w:w="1030"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048 41</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191 25</w:t>
            </w:r>
          </w:p>
        </w:tc>
        <w:tc>
          <w:tcPr>
            <w:tcW w:w="824"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61.4</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108</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662 1</w:t>
            </w:r>
          </w:p>
        </w:tc>
        <w:tc>
          <w:tcPr>
            <w:tcW w:w="1133"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489 41</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741 25</w:t>
            </w:r>
          </w:p>
        </w:tc>
        <w:tc>
          <w:tcPr>
            <w:tcW w:w="967" w:type="dxa"/>
            <w:gridSpan w:val="2"/>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62.0</w:t>
            </w:r>
          </w:p>
        </w:tc>
      </w:tr>
      <w:tr w:rsidR="00484FEE" w:rsidRPr="003D01CA">
        <w:tblPrEx>
          <w:tblCellMar>
            <w:top w:w="0" w:type="dxa"/>
            <w:bottom w:w="0" w:type="dxa"/>
          </w:tblCellMar>
        </w:tblPrEx>
        <w:trPr>
          <w:gridBefore w:val="2"/>
          <w:wBefore w:w="196" w:type="dxa"/>
          <w:cantSplit/>
          <w:jc w:val="center"/>
        </w:trPr>
        <w:tc>
          <w:tcPr>
            <w:tcW w:w="3270" w:type="dxa"/>
            <w:shd w:val="clear" w:color="auto" w:fill="auto"/>
            <w:vAlign w:val="bottom"/>
          </w:tcPr>
          <w:p w:rsidR="00484FEE" w:rsidRPr="00867173" w:rsidRDefault="00484FEE" w:rsidP="0011796D">
            <w:pPr>
              <w:spacing w:before="40" w:after="40" w:line="180" w:lineRule="exact"/>
              <w:rPr>
                <w:rFonts w:hint="cs"/>
                <w:sz w:val="22"/>
                <w:szCs w:val="22"/>
                <w:rtl/>
              </w:rPr>
            </w:pPr>
            <w:r w:rsidRPr="00867173">
              <w:rPr>
                <w:rFonts w:hint="cs"/>
                <w:sz w:val="22"/>
                <w:szCs w:val="22"/>
                <w:rtl/>
              </w:rPr>
              <w:t>العلوم المنزلية والتجارية</w:t>
            </w:r>
          </w:p>
        </w:tc>
        <w:tc>
          <w:tcPr>
            <w:tcW w:w="77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172</w:t>
            </w:r>
          </w:p>
        </w:tc>
        <w:tc>
          <w:tcPr>
            <w:tcW w:w="927"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868</w:t>
            </w:r>
          </w:p>
        </w:tc>
        <w:tc>
          <w:tcPr>
            <w:tcW w:w="1030"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463 22</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244 21</w:t>
            </w:r>
          </w:p>
        </w:tc>
        <w:tc>
          <w:tcPr>
            <w:tcW w:w="824"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94.6</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73</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912</w:t>
            </w:r>
          </w:p>
        </w:tc>
        <w:tc>
          <w:tcPr>
            <w:tcW w:w="1133"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939 22</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611 21</w:t>
            </w:r>
          </w:p>
        </w:tc>
        <w:tc>
          <w:tcPr>
            <w:tcW w:w="967" w:type="dxa"/>
            <w:gridSpan w:val="2"/>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94.2</w:t>
            </w:r>
          </w:p>
        </w:tc>
      </w:tr>
      <w:tr w:rsidR="00484FEE" w:rsidRPr="003D01CA">
        <w:tblPrEx>
          <w:tblCellMar>
            <w:top w:w="0" w:type="dxa"/>
            <w:bottom w:w="0" w:type="dxa"/>
          </w:tblCellMar>
        </w:tblPrEx>
        <w:trPr>
          <w:gridBefore w:val="2"/>
          <w:wBefore w:w="196" w:type="dxa"/>
          <w:cantSplit/>
          <w:jc w:val="center"/>
        </w:trPr>
        <w:tc>
          <w:tcPr>
            <w:tcW w:w="3270" w:type="dxa"/>
            <w:shd w:val="clear" w:color="auto" w:fill="auto"/>
            <w:vAlign w:val="bottom"/>
          </w:tcPr>
          <w:p w:rsidR="00484FEE" w:rsidRPr="00867173" w:rsidRDefault="00484FEE" w:rsidP="0011796D">
            <w:pPr>
              <w:spacing w:before="40" w:after="40" w:line="180" w:lineRule="exact"/>
              <w:rPr>
                <w:rFonts w:hint="cs"/>
                <w:sz w:val="22"/>
                <w:szCs w:val="22"/>
                <w:rtl/>
              </w:rPr>
            </w:pPr>
            <w:r w:rsidRPr="00867173">
              <w:rPr>
                <w:rFonts w:hint="cs"/>
                <w:sz w:val="22"/>
                <w:szCs w:val="22"/>
                <w:rtl/>
              </w:rPr>
              <w:t>الزراعة والحراجة</w:t>
            </w:r>
          </w:p>
        </w:tc>
        <w:tc>
          <w:tcPr>
            <w:tcW w:w="77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13</w:t>
            </w:r>
          </w:p>
        </w:tc>
        <w:tc>
          <w:tcPr>
            <w:tcW w:w="927"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122</w:t>
            </w:r>
          </w:p>
        </w:tc>
        <w:tc>
          <w:tcPr>
            <w:tcW w:w="1030"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375 3</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350 1</w:t>
            </w:r>
          </w:p>
        </w:tc>
        <w:tc>
          <w:tcPr>
            <w:tcW w:w="824"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40.0</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13</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124</w:t>
            </w:r>
          </w:p>
        </w:tc>
        <w:tc>
          <w:tcPr>
            <w:tcW w:w="1133"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375 3</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350 1</w:t>
            </w:r>
          </w:p>
        </w:tc>
        <w:tc>
          <w:tcPr>
            <w:tcW w:w="967" w:type="dxa"/>
            <w:gridSpan w:val="2"/>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40.0</w:t>
            </w:r>
          </w:p>
        </w:tc>
      </w:tr>
      <w:tr w:rsidR="00484FEE" w:rsidRPr="003D01CA">
        <w:tblPrEx>
          <w:tblCellMar>
            <w:top w:w="0" w:type="dxa"/>
            <w:bottom w:w="0" w:type="dxa"/>
          </w:tblCellMar>
        </w:tblPrEx>
        <w:trPr>
          <w:gridBefore w:val="2"/>
          <w:wBefore w:w="196" w:type="dxa"/>
          <w:cantSplit/>
          <w:jc w:val="center"/>
        </w:trPr>
        <w:tc>
          <w:tcPr>
            <w:tcW w:w="3270" w:type="dxa"/>
            <w:shd w:val="clear" w:color="auto" w:fill="auto"/>
            <w:vAlign w:val="bottom"/>
          </w:tcPr>
          <w:p w:rsidR="00484FEE" w:rsidRPr="00D252AB" w:rsidRDefault="00484FEE" w:rsidP="0011796D">
            <w:pPr>
              <w:spacing w:before="40" w:after="40" w:line="180" w:lineRule="exact"/>
              <w:rPr>
                <w:rFonts w:hint="cs"/>
                <w:b/>
                <w:bCs/>
                <w:sz w:val="22"/>
                <w:szCs w:val="22"/>
                <w:vertAlign w:val="superscript"/>
                <w:rtl/>
              </w:rPr>
            </w:pPr>
            <w:r w:rsidRPr="00953A41">
              <w:rPr>
                <w:rFonts w:hint="cs"/>
                <w:b/>
                <w:bCs/>
                <w:sz w:val="22"/>
                <w:szCs w:val="22"/>
                <w:rtl/>
              </w:rPr>
              <w:t>مجموع الكليات التقنية العليا وكليات التدريب المهني</w:t>
            </w:r>
            <w:r>
              <w:rPr>
                <w:rFonts w:hint="cs"/>
                <w:b/>
                <w:bCs/>
                <w:sz w:val="22"/>
                <w:szCs w:val="22"/>
                <w:vertAlign w:val="superscript"/>
                <w:rtl/>
              </w:rPr>
              <w:t>(2)</w:t>
            </w:r>
          </w:p>
        </w:tc>
        <w:tc>
          <w:tcPr>
            <w:tcW w:w="77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341</w:t>
            </w:r>
          </w:p>
        </w:tc>
        <w:tc>
          <w:tcPr>
            <w:tcW w:w="927"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854 4</w:t>
            </w:r>
          </w:p>
        </w:tc>
        <w:tc>
          <w:tcPr>
            <w:tcW w:w="1030"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208 121</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217 60</w:t>
            </w:r>
          </w:p>
        </w:tc>
        <w:tc>
          <w:tcPr>
            <w:tcW w:w="824"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49.7</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281</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963 4</w:t>
            </w:r>
          </w:p>
        </w:tc>
        <w:tc>
          <w:tcPr>
            <w:tcW w:w="1133"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705 123</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861 61</w:t>
            </w:r>
          </w:p>
        </w:tc>
        <w:tc>
          <w:tcPr>
            <w:tcW w:w="967" w:type="dxa"/>
            <w:gridSpan w:val="2"/>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50.0</w:t>
            </w:r>
          </w:p>
        </w:tc>
      </w:tr>
      <w:tr w:rsidR="00484FEE" w:rsidRPr="003D01CA">
        <w:tblPrEx>
          <w:tblCellMar>
            <w:top w:w="0" w:type="dxa"/>
            <w:bottom w:w="0" w:type="dxa"/>
          </w:tblCellMar>
        </w:tblPrEx>
        <w:trPr>
          <w:gridBefore w:val="2"/>
          <w:wBefore w:w="196" w:type="dxa"/>
          <w:cantSplit/>
          <w:jc w:val="center"/>
        </w:trPr>
        <w:tc>
          <w:tcPr>
            <w:tcW w:w="3270" w:type="dxa"/>
            <w:tcBorders>
              <w:bottom w:val="single" w:sz="4" w:space="0" w:color="auto"/>
            </w:tcBorders>
            <w:shd w:val="clear" w:color="auto" w:fill="auto"/>
            <w:vAlign w:val="bottom"/>
          </w:tcPr>
          <w:p w:rsidR="00484FEE" w:rsidRPr="00953A41" w:rsidRDefault="00484FEE" w:rsidP="0011796D">
            <w:pPr>
              <w:spacing w:before="40" w:after="40" w:line="180" w:lineRule="exact"/>
              <w:rPr>
                <w:rFonts w:hint="cs"/>
                <w:b/>
                <w:bCs/>
                <w:sz w:val="22"/>
                <w:szCs w:val="22"/>
                <w:rtl/>
              </w:rPr>
            </w:pPr>
            <w:r w:rsidRPr="00953A41">
              <w:rPr>
                <w:rFonts w:hint="cs"/>
                <w:b/>
                <w:bCs/>
                <w:sz w:val="22"/>
                <w:szCs w:val="22"/>
                <w:rtl/>
              </w:rPr>
              <w:t>كليات الخدمة الاجتماعية</w:t>
            </w:r>
          </w:p>
        </w:tc>
        <w:tc>
          <w:tcPr>
            <w:tcW w:w="774" w:type="dxa"/>
            <w:tcBorders>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69</w:t>
            </w:r>
          </w:p>
        </w:tc>
        <w:tc>
          <w:tcPr>
            <w:tcW w:w="927" w:type="dxa"/>
            <w:tcBorders>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152</w:t>
            </w:r>
          </w:p>
        </w:tc>
        <w:tc>
          <w:tcPr>
            <w:tcW w:w="1030" w:type="dxa"/>
            <w:tcBorders>
              <w:bottom w:val="single" w:sz="4" w:space="0" w:color="auto"/>
            </w:tcBorders>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935 3</w:t>
            </w:r>
          </w:p>
        </w:tc>
        <w:tc>
          <w:tcPr>
            <w:tcW w:w="927" w:type="dxa"/>
            <w:tcBorders>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269 3</w:t>
            </w:r>
          </w:p>
        </w:tc>
        <w:tc>
          <w:tcPr>
            <w:tcW w:w="824" w:type="dxa"/>
            <w:tcBorders>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83.1</w:t>
            </w:r>
          </w:p>
        </w:tc>
        <w:tc>
          <w:tcPr>
            <w:tcW w:w="824" w:type="dxa"/>
            <w:tcBorders>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w:t>
            </w:r>
          </w:p>
        </w:tc>
        <w:tc>
          <w:tcPr>
            <w:tcW w:w="824" w:type="dxa"/>
            <w:tcBorders>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38</w:t>
            </w:r>
          </w:p>
        </w:tc>
        <w:tc>
          <w:tcPr>
            <w:tcW w:w="1133" w:type="dxa"/>
            <w:tcBorders>
              <w:bottom w:val="single" w:sz="4" w:space="0" w:color="auto"/>
            </w:tcBorders>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394 1</w:t>
            </w:r>
          </w:p>
        </w:tc>
        <w:tc>
          <w:tcPr>
            <w:tcW w:w="927" w:type="dxa"/>
            <w:tcBorders>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104 1</w:t>
            </w:r>
          </w:p>
        </w:tc>
        <w:tc>
          <w:tcPr>
            <w:tcW w:w="967" w:type="dxa"/>
            <w:gridSpan w:val="2"/>
            <w:tcBorders>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79.2</w:t>
            </w:r>
          </w:p>
        </w:tc>
      </w:tr>
      <w:tr w:rsidR="00484FEE" w:rsidRPr="003D01CA">
        <w:tblPrEx>
          <w:tblCellMar>
            <w:top w:w="0" w:type="dxa"/>
            <w:bottom w:w="0" w:type="dxa"/>
          </w:tblCellMar>
        </w:tblPrEx>
        <w:trPr>
          <w:gridBefore w:val="2"/>
          <w:wBefore w:w="196" w:type="dxa"/>
          <w:cantSplit/>
          <w:jc w:val="center"/>
        </w:trPr>
        <w:tc>
          <w:tcPr>
            <w:tcW w:w="3270" w:type="dxa"/>
            <w:tcBorders>
              <w:top w:val="single" w:sz="4" w:space="0" w:color="auto"/>
              <w:bottom w:val="single" w:sz="4" w:space="0" w:color="auto"/>
            </w:tcBorders>
            <w:shd w:val="clear" w:color="auto" w:fill="auto"/>
            <w:vAlign w:val="bottom"/>
          </w:tcPr>
          <w:p w:rsidR="00484FEE" w:rsidRPr="00953A41" w:rsidRDefault="00484FEE" w:rsidP="0011796D">
            <w:pPr>
              <w:spacing w:before="40" w:after="40" w:line="180" w:lineRule="exact"/>
              <w:rPr>
                <w:rFonts w:hint="cs"/>
                <w:b/>
                <w:bCs/>
                <w:sz w:val="22"/>
                <w:szCs w:val="22"/>
                <w:rtl/>
              </w:rPr>
            </w:pPr>
            <w:r w:rsidRPr="00953A41">
              <w:rPr>
                <w:rFonts w:hint="cs"/>
                <w:b/>
                <w:bCs/>
                <w:sz w:val="22"/>
                <w:szCs w:val="22"/>
                <w:rtl/>
              </w:rPr>
              <w:t>مجموع المدارس التقنية ومدارس التدريب المهني</w:t>
            </w:r>
            <w:r w:rsidRPr="00D252AB">
              <w:rPr>
                <w:rFonts w:hint="cs"/>
                <w:b/>
                <w:bCs/>
                <w:sz w:val="22"/>
                <w:szCs w:val="22"/>
                <w:vertAlign w:val="superscript"/>
                <w:rtl/>
              </w:rPr>
              <w:t>(2)</w:t>
            </w:r>
          </w:p>
        </w:tc>
        <w:tc>
          <w:tcPr>
            <w:tcW w:w="774" w:type="dxa"/>
            <w:tcBorders>
              <w:top w:val="single" w:sz="4" w:space="0" w:color="auto"/>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306 1</w:t>
            </w:r>
          </w:p>
        </w:tc>
        <w:tc>
          <w:tcPr>
            <w:tcW w:w="927" w:type="dxa"/>
            <w:tcBorders>
              <w:top w:val="single" w:sz="4" w:space="0" w:color="auto"/>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428 13</w:t>
            </w:r>
          </w:p>
        </w:tc>
        <w:tc>
          <w:tcPr>
            <w:tcW w:w="1030" w:type="dxa"/>
            <w:tcBorders>
              <w:top w:val="single" w:sz="4" w:space="0" w:color="auto"/>
              <w:bottom w:val="single" w:sz="4" w:space="0" w:color="auto"/>
            </w:tcBorders>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544 322</w:t>
            </w:r>
          </w:p>
        </w:tc>
        <w:tc>
          <w:tcPr>
            <w:tcW w:w="927" w:type="dxa"/>
            <w:tcBorders>
              <w:top w:val="single" w:sz="4" w:space="0" w:color="auto"/>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232 147</w:t>
            </w:r>
          </w:p>
        </w:tc>
        <w:tc>
          <w:tcPr>
            <w:tcW w:w="824" w:type="dxa"/>
            <w:tcBorders>
              <w:top w:val="single" w:sz="4" w:space="0" w:color="auto"/>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45.6</w:t>
            </w:r>
          </w:p>
        </w:tc>
        <w:tc>
          <w:tcPr>
            <w:tcW w:w="824" w:type="dxa"/>
            <w:tcBorders>
              <w:top w:val="single" w:sz="4" w:space="0" w:color="auto"/>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679</w:t>
            </w:r>
          </w:p>
        </w:tc>
        <w:tc>
          <w:tcPr>
            <w:tcW w:w="824" w:type="dxa"/>
            <w:tcBorders>
              <w:top w:val="single" w:sz="4" w:space="0" w:color="auto"/>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794 12</w:t>
            </w:r>
          </w:p>
        </w:tc>
        <w:tc>
          <w:tcPr>
            <w:tcW w:w="1133" w:type="dxa"/>
            <w:tcBorders>
              <w:top w:val="single" w:sz="4" w:space="0" w:color="auto"/>
              <w:bottom w:val="single" w:sz="4" w:space="0" w:color="auto"/>
            </w:tcBorders>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831 306</w:t>
            </w:r>
          </w:p>
        </w:tc>
        <w:tc>
          <w:tcPr>
            <w:tcW w:w="927" w:type="dxa"/>
            <w:tcBorders>
              <w:top w:val="single" w:sz="4" w:space="0" w:color="auto"/>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124 134</w:t>
            </w:r>
          </w:p>
        </w:tc>
        <w:tc>
          <w:tcPr>
            <w:tcW w:w="967" w:type="dxa"/>
            <w:gridSpan w:val="2"/>
            <w:tcBorders>
              <w:top w:val="single" w:sz="4" w:space="0" w:color="auto"/>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43.7</w:t>
            </w:r>
          </w:p>
        </w:tc>
      </w:tr>
      <w:tr w:rsidR="00484FEE" w:rsidRPr="003D01CA">
        <w:tblPrEx>
          <w:tblCellMar>
            <w:top w:w="0" w:type="dxa"/>
            <w:bottom w:w="0" w:type="dxa"/>
          </w:tblCellMar>
        </w:tblPrEx>
        <w:trPr>
          <w:gridBefore w:val="2"/>
          <w:wBefore w:w="196" w:type="dxa"/>
          <w:cantSplit/>
          <w:jc w:val="center"/>
        </w:trPr>
        <w:tc>
          <w:tcPr>
            <w:tcW w:w="3270" w:type="dxa"/>
            <w:tcBorders>
              <w:top w:val="single" w:sz="4" w:space="0" w:color="auto"/>
            </w:tcBorders>
            <w:shd w:val="clear" w:color="auto" w:fill="auto"/>
            <w:vAlign w:val="bottom"/>
          </w:tcPr>
          <w:p w:rsidR="00484FEE" w:rsidRPr="00953A41" w:rsidRDefault="00484FEE" w:rsidP="0011796D">
            <w:pPr>
              <w:spacing w:before="40" w:after="40" w:line="180" w:lineRule="exact"/>
              <w:rPr>
                <w:rFonts w:hint="cs"/>
                <w:b/>
                <w:bCs/>
                <w:sz w:val="22"/>
                <w:szCs w:val="22"/>
                <w:rtl/>
              </w:rPr>
            </w:pPr>
            <w:r w:rsidRPr="00953A41">
              <w:rPr>
                <w:rFonts w:hint="cs"/>
                <w:b/>
                <w:bCs/>
                <w:sz w:val="22"/>
                <w:szCs w:val="22"/>
                <w:rtl/>
              </w:rPr>
              <w:t>مجموع كليات التربية المتوسطة</w:t>
            </w:r>
          </w:p>
        </w:tc>
        <w:tc>
          <w:tcPr>
            <w:tcW w:w="774" w:type="dxa"/>
            <w:tcBorders>
              <w:top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w:t>
            </w:r>
          </w:p>
        </w:tc>
        <w:tc>
          <w:tcPr>
            <w:tcW w:w="927" w:type="dxa"/>
            <w:tcBorders>
              <w:top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w:t>
            </w:r>
          </w:p>
        </w:tc>
        <w:tc>
          <w:tcPr>
            <w:tcW w:w="1030" w:type="dxa"/>
            <w:tcBorders>
              <w:top w:val="single" w:sz="4" w:space="0" w:color="auto"/>
            </w:tcBorders>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751 3</w:t>
            </w:r>
          </w:p>
        </w:tc>
        <w:tc>
          <w:tcPr>
            <w:tcW w:w="927" w:type="dxa"/>
            <w:tcBorders>
              <w:top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018 1</w:t>
            </w:r>
          </w:p>
        </w:tc>
        <w:tc>
          <w:tcPr>
            <w:tcW w:w="824" w:type="dxa"/>
            <w:tcBorders>
              <w:top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27.1</w:t>
            </w:r>
          </w:p>
        </w:tc>
        <w:tc>
          <w:tcPr>
            <w:tcW w:w="824" w:type="dxa"/>
            <w:tcBorders>
              <w:top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w:t>
            </w:r>
          </w:p>
        </w:tc>
        <w:tc>
          <w:tcPr>
            <w:tcW w:w="824" w:type="dxa"/>
            <w:tcBorders>
              <w:top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167</w:t>
            </w:r>
          </w:p>
        </w:tc>
        <w:tc>
          <w:tcPr>
            <w:tcW w:w="1133" w:type="dxa"/>
            <w:tcBorders>
              <w:top w:val="single" w:sz="4" w:space="0" w:color="auto"/>
            </w:tcBorders>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669 3</w:t>
            </w:r>
          </w:p>
        </w:tc>
        <w:tc>
          <w:tcPr>
            <w:tcW w:w="927" w:type="dxa"/>
            <w:tcBorders>
              <w:top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021 1</w:t>
            </w:r>
          </w:p>
        </w:tc>
        <w:tc>
          <w:tcPr>
            <w:tcW w:w="967" w:type="dxa"/>
            <w:gridSpan w:val="2"/>
            <w:tcBorders>
              <w:top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27.8</w:t>
            </w:r>
          </w:p>
        </w:tc>
      </w:tr>
      <w:tr w:rsidR="00484FEE" w:rsidRPr="003D01CA">
        <w:tblPrEx>
          <w:tblCellMar>
            <w:top w:w="0" w:type="dxa"/>
            <w:bottom w:w="0" w:type="dxa"/>
          </w:tblCellMar>
        </w:tblPrEx>
        <w:trPr>
          <w:gridBefore w:val="2"/>
          <w:wBefore w:w="196" w:type="dxa"/>
          <w:cantSplit/>
          <w:jc w:val="center"/>
        </w:trPr>
        <w:tc>
          <w:tcPr>
            <w:tcW w:w="3270" w:type="dxa"/>
            <w:shd w:val="clear" w:color="auto" w:fill="auto"/>
            <w:vAlign w:val="bottom"/>
          </w:tcPr>
          <w:p w:rsidR="00484FEE" w:rsidRPr="00953A41" w:rsidRDefault="00484FEE" w:rsidP="0011796D">
            <w:pPr>
              <w:spacing w:before="40" w:after="40" w:line="180" w:lineRule="exact"/>
              <w:rPr>
                <w:rFonts w:hint="cs"/>
                <w:b/>
                <w:bCs/>
                <w:sz w:val="22"/>
                <w:szCs w:val="22"/>
                <w:rtl/>
              </w:rPr>
            </w:pPr>
            <w:r w:rsidRPr="00953A41">
              <w:rPr>
                <w:rFonts w:hint="cs"/>
                <w:b/>
                <w:bCs/>
                <w:sz w:val="22"/>
                <w:szCs w:val="22"/>
                <w:rtl/>
              </w:rPr>
              <w:t>مجموع كليات التربية العليا للتدريب</w:t>
            </w:r>
          </w:p>
        </w:tc>
        <w:tc>
          <w:tcPr>
            <w:tcW w:w="77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44</w:t>
            </w:r>
          </w:p>
        </w:tc>
        <w:tc>
          <w:tcPr>
            <w:tcW w:w="927"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348</w:t>
            </w:r>
          </w:p>
        </w:tc>
        <w:tc>
          <w:tcPr>
            <w:tcW w:w="1030"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288 9</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898 8</w:t>
            </w:r>
          </w:p>
        </w:tc>
        <w:tc>
          <w:tcPr>
            <w:tcW w:w="824"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95.8</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35</w:t>
            </w:r>
          </w:p>
        </w:tc>
        <w:tc>
          <w:tcPr>
            <w:tcW w:w="824" w:type="dxa"/>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348</w:t>
            </w:r>
          </w:p>
        </w:tc>
        <w:tc>
          <w:tcPr>
            <w:tcW w:w="1133" w:type="dxa"/>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071 9</w:t>
            </w:r>
          </w:p>
        </w:tc>
        <w:tc>
          <w:tcPr>
            <w:tcW w:w="927" w:type="dxa"/>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702 8</w:t>
            </w:r>
          </w:p>
        </w:tc>
        <w:tc>
          <w:tcPr>
            <w:tcW w:w="967" w:type="dxa"/>
            <w:gridSpan w:val="2"/>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95.9</w:t>
            </w:r>
          </w:p>
        </w:tc>
      </w:tr>
      <w:tr w:rsidR="00484FEE" w:rsidRPr="003D01CA">
        <w:tblPrEx>
          <w:tblCellMar>
            <w:top w:w="0" w:type="dxa"/>
            <w:bottom w:w="0" w:type="dxa"/>
          </w:tblCellMar>
        </w:tblPrEx>
        <w:trPr>
          <w:gridBefore w:val="2"/>
          <w:wBefore w:w="196" w:type="dxa"/>
          <w:cantSplit/>
          <w:jc w:val="center"/>
        </w:trPr>
        <w:tc>
          <w:tcPr>
            <w:tcW w:w="3270" w:type="dxa"/>
            <w:tcBorders>
              <w:bottom w:val="single" w:sz="4" w:space="0" w:color="auto"/>
            </w:tcBorders>
            <w:shd w:val="clear" w:color="auto" w:fill="auto"/>
            <w:vAlign w:val="bottom"/>
          </w:tcPr>
          <w:p w:rsidR="00484FEE" w:rsidRPr="00953A41" w:rsidRDefault="00484FEE" w:rsidP="0011796D">
            <w:pPr>
              <w:spacing w:before="40" w:after="40" w:line="180" w:lineRule="exact"/>
              <w:rPr>
                <w:rFonts w:hint="cs"/>
                <w:b/>
                <w:bCs/>
                <w:sz w:val="22"/>
                <w:szCs w:val="22"/>
                <w:rtl/>
              </w:rPr>
            </w:pPr>
            <w:r w:rsidRPr="00953A41">
              <w:rPr>
                <w:rFonts w:hint="cs"/>
                <w:b/>
                <w:bCs/>
                <w:sz w:val="22"/>
                <w:szCs w:val="22"/>
                <w:rtl/>
              </w:rPr>
              <w:t xml:space="preserve">مجموع كليات التربية للمرحلة الثالثة </w:t>
            </w:r>
          </w:p>
        </w:tc>
        <w:tc>
          <w:tcPr>
            <w:tcW w:w="774" w:type="dxa"/>
            <w:tcBorders>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33</w:t>
            </w:r>
          </w:p>
        </w:tc>
        <w:tc>
          <w:tcPr>
            <w:tcW w:w="927" w:type="dxa"/>
            <w:tcBorders>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w:t>
            </w:r>
          </w:p>
        </w:tc>
        <w:tc>
          <w:tcPr>
            <w:tcW w:w="1030" w:type="dxa"/>
            <w:tcBorders>
              <w:bottom w:val="single" w:sz="4" w:space="0" w:color="auto"/>
            </w:tcBorders>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304 12</w:t>
            </w:r>
          </w:p>
        </w:tc>
        <w:tc>
          <w:tcPr>
            <w:tcW w:w="927" w:type="dxa"/>
            <w:tcBorders>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803 9</w:t>
            </w:r>
          </w:p>
        </w:tc>
        <w:tc>
          <w:tcPr>
            <w:tcW w:w="824" w:type="dxa"/>
            <w:tcBorders>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79.7</w:t>
            </w:r>
          </w:p>
        </w:tc>
        <w:tc>
          <w:tcPr>
            <w:tcW w:w="824" w:type="dxa"/>
            <w:tcBorders>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28</w:t>
            </w:r>
          </w:p>
        </w:tc>
        <w:tc>
          <w:tcPr>
            <w:tcW w:w="824" w:type="dxa"/>
            <w:tcBorders>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330</w:t>
            </w:r>
          </w:p>
        </w:tc>
        <w:tc>
          <w:tcPr>
            <w:tcW w:w="1133" w:type="dxa"/>
            <w:tcBorders>
              <w:bottom w:val="single" w:sz="4" w:space="0" w:color="auto"/>
            </w:tcBorders>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206 13</w:t>
            </w:r>
          </w:p>
        </w:tc>
        <w:tc>
          <w:tcPr>
            <w:tcW w:w="927" w:type="dxa"/>
            <w:tcBorders>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387 10</w:t>
            </w:r>
          </w:p>
        </w:tc>
        <w:tc>
          <w:tcPr>
            <w:tcW w:w="967" w:type="dxa"/>
            <w:gridSpan w:val="2"/>
            <w:tcBorders>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78.7</w:t>
            </w:r>
          </w:p>
        </w:tc>
      </w:tr>
      <w:tr w:rsidR="00484FEE" w:rsidRPr="003D01CA">
        <w:tblPrEx>
          <w:tblCellMar>
            <w:top w:w="0" w:type="dxa"/>
            <w:bottom w:w="0" w:type="dxa"/>
          </w:tblCellMar>
        </w:tblPrEx>
        <w:trPr>
          <w:gridBefore w:val="2"/>
          <w:wBefore w:w="196" w:type="dxa"/>
          <w:cantSplit/>
          <w:jc w:val="center"/>
        </w:trPr>
        <w:tc>
          <w:tcPr>
            <w:tcW w:w="3270" w:type="dxa"/>
            <w:tcBorders>
              <w:top w:val="single" w:sz="4" w:space="0" w:color="auto"/>
              <w:bottom w:val="single" w:sz="4" w:space="0" w:color="auto"/>
            </w:tcBorders>
            <w:shd w:val="clear" w:color="auto" w:fill="auto"/>
            <w:vAlign w:val="bottom"/>
          </w:tcPr>
          <w:p w:rsidR="00484FEE" w:rsidRPr="00953A41" w:rsidRDefault="00484FEE" w:rsidP="0011796D">
            <w:pPr>
              <w:spacing w:before="40" w:after="40" w:line="180" w:lineRule="exact"/>
              <w:rPr>
                <w:rFonts w:hint="cs"/>
                <w:b/>
                <w:bCs/>
                <w:sz w:val="22"/>
                <w:szCs w:val="22"/>
                <w:rtl/>
              </w:rPr>
            </w:pPr>
            <w:r>
              <w:rPr>
                <w:rFonts w:hint="cs"/>
                <w:b/>
                <w:bCs/>
                <w:sz w:val="22"/>
                <w:szCs w:val="22"/>
                <w:rtl/>
              </w:rPr>
              <w:t>مجموع كليات تدريب المعلمين</w:t>
            </w:r>
            <w:r w:rsidRPr="0027553D">
              <w:rPr>
                <w:rFonts w:hint="cs"/>
                <w:b/>
                <w:bCs/>
                <w:sz w:val="22"/>
                <w:szCs w:val="22"/>
                <w:vertAlign w:val="superscript"/>
                <w:rtl/>
              </w:rPr>
              <w:t>(2)</w:t>
            </w:r>
          </w:p>
        </w:tc>
        <w:tc>
          <w:tcPr>
            <w:tcW w:w="774" w:type="dxa"/>
            <w:tcBorders>
              <w:top w:val="single" w:sz="4" w:space="0" w:color="auto"/>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81</w:t>
            </w:r>
          </w:p>
        </w:tc>
        <w:tc>
          <w:tcPr>
            <w:tcW w:w="927" w:type="dxa"/>
            <w:tcBorders>
              <w:top w:val="single" w:sz="4" w:space="0" w:color="auto"/>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348</w:t>
            </w:r>
          </w:p>
        </w:tc>
        <w:tc>
          <w:tcPr>
            <w:tcW w:w="1030" w:type="dxa"/>
            <w:tcBorders>
              <w:top w:val="single" w:sz="4" w:space="0" w:color="auto"/>
              <w:bottom w:val="single" w:sz="4" w:space="0" w:color="auto"/>
            </w:tcBorders>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343 25</w:t>
            </w:r>
          </w:p>
        </w:tc>
        <w:tc>
          <w:tcPr>
            <w:tcW w:w="927" w:type="dxa"/>
            <w:tcBorders>
              <w:top w:val="single" w:sz="4" w:space="0" w:color="auto"/>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719 19</w:t>
            </w:r>
          </w:p>
        </w:tc>
        <w:tc>
          <w:tcPr>
            <w:tcW w:w="824" w:type="dxa"/>
            <w:tcBorders>
              <w:top w:val="single" w:sz="4" w:space="0" w:color="auto"/>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77.8</w:t>
            </w:r>
          </w:p>
        </w:tc>
        <w:tc>
          <w:tcPr>
            <w:tcW w:w="824" w:type="dxa"/>
            <w:tcBorders>
              <w:top w:val="single" w:sz="4" w:space="0" w:color="auto"/>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67</w:t>
            </w:r>
          </w:p>
        </w:tc>
        <w:tc>
          <w:tcPr>
            <w:tcW w:w="824" w:type="dxa"/>
            <w:tcBorders>
              <w:top w:val="single" w:sz="4" w:space="0" w:color="auto"/>
              <w:bottom w:val="single" w:sz="4" w:space="0" w:color="auto"/>
            </w:tcBorders>
            <w:shd w:val="clear" w:color="auto" w:fill="C0C0C0"/>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845</w:t>
            </w:r>
          </w:p>
        </w:tc>
        <w:tc>
          <w:tcPr>
            <w:tcW w:w="1133" w:type="dxa"/>
            <w:tcBorders>
              <w:top w:val="single" w:sz="4" w:space="0" w:color="auto"/>
              <w:bottom w:val="single" w:sz="4" w:space="0" w:color="auto"/>
            </w:tcBorders>
            <w:shd w:val="clear" w:color="auto" w:fill="D9D9D9"/>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946 25</w:t>
            </w:r>
          </w:p>
        </w:tc>
        <w:tc>
          <w:tcPr>
            <w:tcW w:w="927" w:type="dxa"/>
            <w:tcBorders>
              <w:top w:val="single" w:sz="4" w:space="0" w:color="auto"/>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110 20</w:t>
            </w:r>
          </w:p>
        </w:tc>
        <w:tc>
          <w:tcPr>
            <w:tcW w:w="967" w:type="dxa"/>
            <w:gridSpan w:val="2"/>
            <w:tcBorders>
              <w:top w:val="single" w:sz="4" w:space="0" w:color="auto"/>
              <w:bottom w:val="single" w:sz="4" w:space="0" w:color="auto"/>
            </w:tcBorders>
            <w:shd w:val="clear" w:color="auto" w:fill="auto"/>
            <w:vAlign w:val="bottom"/>
          </w:tcPr>
          <w:p w:rsidR="00484FEE" w:rsidRPr="003D01CA" w:rsidRDefault="00484FEE" w:rsidP="0011796D">
            <w:pPr>
              <w:spacing w:before="40" w:after="40" w:line="180" w:lineRule="exact"/>
              <w:ind w:right="144"/>
              <w:jc w:val="lowKashida"/>
              <w:rPr>
                <w:rFonts w:hint="cs"/>
                <w:sz w:val="16"/>
                <w:szCs w:val="24"/>
                <w:rtl/>
              </w:rPr>
            </w:pPr>
            <w:r>
              <w:rPr>
                <w:rFonts w:hint="cs"/>
                <w:sz w:val="16"/>
                <w:szCs w:val="24"/>
                <w:rtl/>
              </w:rPr>
              <w:t>77.5</w:t>
            </w:r>
          </w:p>
        </w:tc>
      </w:tr>
      <w:tr w:rsidR="00484FEE" w:rsidRPr="003D01CA">
        <w:tblPrEx>
          <w:tblCellMar>
            <w:top w:w="0" w:type="dxa"/>
            <w:bottom w:w="0" w:type="dxa"/>
          </w:tblCellMar>
        </w:tblPrEx>
        <w:trPr>
          <w:gridBefore w:val="2"/>
          <w:wBefore w:w="196" w:type="dxa"/>
          <w:cantSplit/>
          <w:jc w:val="center"/>
        </w:trPr>
        <w:tc>
          <w:tcPr>
            <w:tcW w:w="3270" w:type="dxa"/>
            <w:tcBorders>
              <w:top w:val="single" w:sz="4" w:space="0" w:color="auto"/>
              <w:bottom w:val="single" w:sz="12" w:space="0" w:color="auto"/>
            </w:tcBorders>
            <w:shd w:val="clear" w:color="auto" w:fill="auto"/>
            <w:vAlign w:val="bottom"/>
          </w:tcPr>
          <w:p w:rsidR="00484FEE" w:rsidRPr="00953A41" w:rsidRDefault="00484FEE" w:rsidP="0011796D">
            <w:pPr>
              <w:spacing w:before="40" w:after="80" w:line="180" w:lineRule="exact"/>
              <w:rPr>
                <w:rFonts w:hint="cs"/>
                <w:b/>
                <w:bCs/>
                <w:sz w:val="22"/>
                <w:szCs w:val="22"/>
                <w:rtl/>
              </w:rPr>
            </w:pPr>
            <w:r w:rsidRPr="00953A41">
              <w:rPr>
                <w:rFonts w:hint="cs"/>
                <w:b/>
                <w:bCs/>
                <w:sz w:val="22"/>
                <w:szCs w:val="22"/>
                <w:rtl/>
              </w:rPr>
              <w:t>مجموع جميع المدارس</w:t>
            </w:r>
            <w:r w:rsidRPr="0027553D">
              <w:rPr>
                <w:rFonts w:hint="cs"/>
                <w:b/>
                <w:bCs/>
                <w:sz w:val="22"/>
                <w:szCs w:val="22"/>
                <w:vertAlign w:val="superscript"/>
                <w:rtl/>
              </w:rPr>
              <w:t>(2)</w:t>
            </w:r>
          </w:p>
        </w:tc>
        <w:tc>
          <w:tcPr>
            <w:tcW w:w="774" w:type="dxa"/>
            <w:tcBorders>
              <w:top w:val="single" w:sz="4" w:space="0" w:color="auto"/>
              <w:bottom w:val="single" w:sz="12" w:space="0" w:color="auto"/>
            </w:tcBorders>
            <w:shd w:val="clear" w:color="auto" w:fill="C0C0C0"/>
            <w:vAlign w:val="bottom"/>
          </w:tcPr>
          <w:p w:rsidR="00484FEE" w:rsidRPr="003D01CA" w:rsidRDefault="00484FEE" w:rsidP="0011796D">
            <w:pPr>
              <w:spacing w:before="40" w:after="80" w:line="180" w:lineRule="exact"/>
              <w:ind w:right="144"/>
              <w:jc w:val="lowKashida"/>
              <w:rPr>
                <w:rFonts w:hint="cs"/>
                <w:sz w:val="16"/>
                <w:szCs w:val="24"/>
                <w:rtl/>
              </w:rPr>
            </w:pPr>
            <w:r>
              <w:rPr>
                <w:rFonts w:hint="cs"/>
                <w:sz w:val="16"/>
                <w:szCs w:val="24"/>
                <w:rtl/>
              </w:rPr>
              <w:t>780 6</w:t>
            </w:r>
          </w:p>
        </w:tc>
        <w:tc>
          <w:tcPr>
            <w:tcW w:w="927" w:type="dxa"/>
            <w:tcBorders>
              <w:top w:val="single" w:sz="4" w:space="0" w:color="auto"/>
              <w:bottom w:val="single" w:sz="12" w:space="0" w:color="auto"/>
            </w:tcBorders>
            <w:shd w:val="clear" w:color="auto" w:fill="C0C0C0"/>
            <w:vAlign w:val="bottom"/>
          </w:tcPr>
          <w:p w:rsidR="00484FEE" w:rsidRPr="003D01CA" w:rsidRDefault="00484FEE" w:rsidP="0011796D">
            <w:pPr>
              <w:spacing w:before="40" w:after="80" w:line="180" w:lineRule="exact"/>
              <w:ind w:right="144"/>
              <w:jc w:val="lowKashida"/>
              <w:rPr>
                <w:rFonts w:hint="cs"/>
                <w:sz w:val="16"/>
                <w:szCs w:val="24"/>
                <w:rtl/>
              </w:rPr>
            </w:pPr>
            <w:r>
              <w:rPr>
                <w:rFonts w:hint="cs"/>
                <w:sz w:val="16"/>
                <w:szCs w:val="24"/>
                <w:rtl/>
              </w:rPr>
              <w:t>830 55</w:t>
            </w:r>
          </w:p>
        </w:tc>
        <w:tc>
          <w:tcPr>
            <w:tcW w:w="1030" w:type="dxa"/>
            <w:tcBorders>
              <w:top w:val="single" w:sz="4" w:space="0" w:color="auto"/>
              <w:bottom w:val="single" w:sz="12" w:space="0" w:color="auto"/>
            </w:tcBorders>
            <w:shd w:val="clear" w:color="auto" w:fill="C0C0C0"/>
            <w:vAlign w:val="bottom"/>
          </w:tcPr>
          <w:p w:rsidR="00484FEE" w:rsidRPr="003D01CA" w:rsidRDefault="00484FEE" w:rsidP="0011796D">
            <w:pPr>
              <w:spacing w:before="40" w:after="80" w:line="180" w:lineRule="exact"/>
              <w:ind w:right="144"/>
              <w:jc w:val="lowKashida"/>
              <w:rPr>
                <w:sz w:val="16"/>
                <w:szCs w:val="24"/>
              </w:rPr>
            </w:pPr>
            <w:r>
              <w:rPr>
                <w:rFonts w:hint="cs"/>
                <w:sz w:val="16"/>
                <w:szCs w:val="24"/>
                <w:rtl/>
              </w:rPr>
              <w:t>493 228</w:t>
            </w:r>
            <w:r w:rsidRPr="0043461C">
              <w:rPr>
                <w:sz w:val="24"/>
                <w:szCs w:val="24"/>
              </w:rPr>
              <w:t>1</w:t>
            </w:r>
          </w:p>
        </w:tc>
        <w:tc>
          <w:tcPr>
            <w:tcW w:w="927" w:type="dxa"/>
            <w:tcBorders>
              <w:top w:val="single" w:sz="4" w:space="0" w:color="auto"/>
              <w:bottom w:val="single" w:sz="12" w:space="0" w:color="auto"/>
            </w:tcBorders>
            <w:shd w:val="clear" w:color="auto" w:fill="C0C0C0"/>
            <w:vAlign w:val="bottom"/>
          </w:tcPr>
          <w:p w:rsidR="00484FEE" w:rsidRPr="003D01CA" w:rsidRDefault="00484FEE" w:rsidP="0011796D">
            <w:pPr>
              <w:spacing w:before="40" w:after="80" w:line="180" w:lineRule="exact"/>
              <w:ind w:right="144"/>
              <w:jc w:val="lowKashida"/>
              <w:rPr>
                <w:rFonts w:hint="cs"/>
                <w:sz w:val="16"/>
                <w:szCs w:val="24"/>
                <w:rtl/>
              </w:rPr>
            </w:pPr>
            <w:r>
              <w:rPr>
                <w:rFonts w:hint="cs"/>
                <w:sz w:val="16"/>
                <w:szCs w:val="24"/>
                <w:rtl/>
              </w:rPr>
              <w:t>596 597</w:t>
            </w:r>
          </w:p>
        </w:tc>
        <w:tc>
          <w:tcPr>
            <w:tcW w:w="824" w:type="dxa"/>
            <w:tcBorders>
              <w:top w:val="single" w:sz="4" w:space="0" w:color="auto"/>
              <w:bottom w:val="single" w:sz="12" w:space="0" w:color="auto"/>
            </w:tcBorders>
            <w:shd w:val="clear" w:color="auto" w:fill="C0C0C0"/>
            <w:vAlign w:val="bottom"/>
          </w:tcPr>
          <w:p w:rsidR="00484FEE" w:rsidRPr="003D01CA" w:rsidRDefault="00484FEE" w:rsidP="0011796D">
            <w:pPr>
              <w:spacing w:before="40" w:after="80" w:line="180" w:lineRule="exact"/>
              <w:ind w:right="144"/>
              <w:jc w:val="lowKashida"/>
              <w:rPr>
                <w:rFonts w:hint="cs"/>
                <w:sz w:val="16"/>
                <w:szCs w:val="24"/>
                <w:rtl/>
              </w:rPr>
            </w:pPr>
            <w:r>
              <w:rPr>
                <w:rFonts w:hint="cs"/>
                <w:sz w:val="16"/>
                <w:szCs w:val="24"/>
                <w:rtl/>
              </w:rPr>
              <w:t>48.6</w:t>
            </w:r>
          </w:p>
        </w:tc>
        <w:tc>
          <w:tcPr>
            <w:tcW w:w="824" w:type="dxa"/>
            <w:tcBorders>
              <w:top w:val="single" w:sz="4" w:space="0" w:color="auto"/>
              <w:bottom w:val="single" w:sz="12" w:space="0" w:color="auto"/>
            </w:tcBorders>
            <w:shd w:val="clear" w:color="auto" w:fill="C0C0C0"/>
            <w:vAlign w:val="bottom"/>
          </w:tcPr>
          <w:p w:rsidR="00484FEE" w:rsidRPr="003D01CA" w:rsidRDefault="00484FEE" w:rsidP="0011796D">
            <w:pPr>
              <w:spacing w:before="40" w:after="80" w:line="180" w:lineRule="exact"/>
              <w:ind w:right="144"/>
              <w:jc w:val="lowKashida"/>
              <w:rPr>
                <w:rFonts w:hint="cs"/>
                <w:sz w:val="16"/>
                <w:szCs w:val="24"/>
                <w:rtl/>
              </w:rPr>
            </w:pPr>
            <w:r>
              <w:rPr>
                <w:rFonts w:hint="cs"/>
                <w:sz w:val="16"/>
                <w:szCs w:val="24"/>
                <w:rtl/>
              </w:rPr>
              <w:t>074 6</w:t>
            </w:r>
          </w:p>
        </w:tc>
        <w:tc>
          <w:tcPr>
            <w:tcW w:w="824" w:type="dxa"/>
            <w:tcBorders>
              <w:top w:val="single" w:sz="4" w:space="0" w:color="auto"/>
              <w:bottom w:val="single" w:sz="12" w:space="0" w:color="auto"/>
            </w:tcBorders>
            <w:shd w:val="clear" w:color="auto" w:fill="C0C0C0"/>
            <w:vAlign w:val="bottom"/>
          </w:tcPr>
          <w:p w:rsidR="00484FEE" w:rsidRPr="003D01CA" w:rsidRDefault="00484FEE" w:rsidP="0011796D">
            <w:pPr>
              <w:spacing w:before="40" w:after="80" w:line="180" w:lineRule="exact"/>
              <w:ind w:right="144"/>
              <w:jc w:val="lowKashida"/>
              <w:rPr>
                <w:rFonts w:hint="cs"/>
                <w:sz w:val="16"/>
                <w:szCs w:val="24"/>
                <w:rtl/>
              </w:rPr>
            </w:pPr>
            <w:r>
              <w:rPr>
                <w:rFonts w:hint="cs"/>
                <w:sz w:val="16"/>
                <w:szCs w:val="24"/>
                <w:rtl/>
              </w:rPr>
              <w:t>062 55</w:t>
            </w:r>
          </w:p>
        </w:tc>
        <w:tc>
          <w:tcPr>
            <w:tcW w:w="1133" w:type="dxa"/>
            <w:tcBorders>
              <w:top w:val="single" w:sz="4" w:space="0" w:color="auto"/>
              <w:bottom w:val="single" w:sz="12" w:space="0" w:color="auto"/>
            </w:tcBorders>
            <w:shd w:val="clear" w:color="auto" w:fill="C0C0C0"/>
            <w:vAlign w:val="bottom"/>
          </w:tcPr>
          <w:p w:rsidR="00484FEE" w:rsidRPr="003D01CA" w:rsidRDefault="00484FEE" w:rsidP="0011796D">
            <w:pPr>
              <w:spacing w:before="40" w:after="80" w:line="180" w:lineRule="exact"/>
              <w:ind w:right="144"/>
              <w:jc w:val="lowKashida"/>
              <w:rPr>
                <w:rFonts w:hint="cs"/>
                <w:sz w:val="16"/>
                <w:szCs w:val="24"/>
                <w:rtl/>
              </w:rPr>
            </w:pPr>
            <w:r>
              <w:rPr>
                <w:rFonts w:hint="cs"/>
                <w:sz w:val="16"/>
                <w:szCs w:val="24"/>
                <w:rtl/>
              </w:rPr>
              <w:t>818 207 1</w:t>
            </w:r>
          </w:p>
        </w:tc>
        <w:tc>
          <w:tcPr>
            <w:tcW w:w="927" w:type="dxa"/>
            <w:tcBorders>
              <w:top w:val="single" w:sz="4" w:space="0" w:color="auto"/>
              <w:bottom w:val="single" w:sz="12" w:space="0" w:color="auto"/>
            </w:tcBorders>
            <w:shd w:val="clear" w:color="auto" w:fill="C0C0C0"/>
            <w:vAlign w:val="bottom"/>
          </w:tcPr>
          <w:p w:rsidR="00484FEE" w:rsidRPr="003D01CA" w:rsidRDefault="00484FEE" w:rsidP="0011796D">
            <w:pPr>
              <w:spacing w:before="40" w:after="80" w:line="180" w:lineRule="exact"/>
              <w:ind w:right="144"/>
              <w:jc w:val="lowKashida"/>
              <w:rPr>
                <w:rFonts w:hint="cs"/>
                <w:sz w:val="16"/>
                <w:szCs w:val="24"/>
                <w:rtl/>
              </w:rPr>
            </w:pPr>
            <w:r>
              <w:rPr>
                <w:rFonts w:hint="cs"/>
                <w:sz w:val="16"/>
                <w:szCs w:val="24"/>
                <w:rtl/>
              </w:rPr>
              <w:t>880 581</w:t>
            </w:r>
          </w:p>
        </w:tc>
        <w:tc>
          <w:tcPr>
            <w:tcW w:w="967" w:type="dxa"/>
            <w:gridSpan w:val="2"/>
            <w:tcBorders>
              <w:top w:val="single" w:sz="4" w:space="0" w:color="auto"/>
              <w:bottom w:val="single" w:sz="12" w:space="0" w:color="auto"/>
            </w:tcBorders>
            <w:shd w:val="clear" w:color="auto" w:fill="C0C0C0"/>
            <w:vAlign w:val="bottom"/>
          </w:tcPr>
          <w:p w:rsidR="00484FEE" w:rsidRPr="003D01CA" w:rsidRDefault="00484FEE" w:rsidP="0011796D">
            <w:pPr>
              <w:spacing w:before="40" w:after="80" w:line="180" w:lineRule="exact"/>
              <w:ind w:right="144"/>
              <w:jc w:val="lowKashida"/>
              <w:rPr>
                <w:rFonts w:hint="cs"/>
                <w:sz w:val="16"/>
                <w:szCs w:val="24"/>
                <w:rtl/>
              </w:rPr>
            </w:pPr>
            <w:r>
              <w:rPr>
                <w:rFonts w:hint="cs"/>
                <w:sz w:val="16"/>
                <w:szCs w:val="24"/>
                <w:rtl/>
              </w:rPr>
              <w:t>48.2</w:t>
            </w:r>
          </w:p>
        </w:tc>
      </w:tr>
    </w:tbl>
    <w:p w:rsidR="00484FEE" w:rsidRPr="00364046" w:rsidRDefault="00484FEE" w:rsidP="00484FEE">
      <w:pPr>
        <w:pStyle w:val="SingleTxt"/>
        <w:spacing w:after="0" w:line="120" w:lineRule="exact"/>
        <w:rPr>
          <w:rFonts w:hint="cs"/>
          <w:b/>
          <w:bCs/>
          <w:sz w:val="10"/>
          <w:rtl/>
        </w:rPr>
      </w:pPr>
    </w:p>
    <w:p w:rsidR="00484FEE" w:rsidRPr="00867173" w:rsidRDefault="00484FEE" w:rsidP="00484FEE">
      <w:pPr>
        <w:pStyle w:val="FootnoteText"/>
        <w:tabs>
          <w:tab w:val="clear" w:pos="418"/>
          <w:tab w:val="right" w:pos="1195"/>
          <w:tab w:val="left" w:pos="1267"/>
          <w:tab w:val="left" w:pos="1656"/>
          <w:tab w:val="left" w:pos="2088"/>
        </w:tabs>
        <w:spacing w:after="80" w:line="220" w:lineRule="exact"/>
        <w:ind w:left="1267" w:right="1267" w:hanging="547"/>
        <w:rPr>
          <w:rFonts w:hint="cs"/>
          <w:spacing w:val="-5"/>
          <w:w w:val="103"/>
          <w:sz w:val="24"/>
          <w:szCs w:val="24"/>
          <w:rtl/>
        </w:rPr>
      </w:pPr>
      <w:r w:rsidRPr="003D01CA">
        <w:rPr>
          <w:spacing w:val="-5"/>
          <w:w w:val="103"/>
          <w:rtl/>
        </w:rPr>
        <w:t>(</w:t>
      </w:r>
      <w:r w:rsidR="006459D9">
        <w:rPr>
          <w:rFonts w:hint="cs"/>
          <w:spacing w:val="-5"/>
          <w:w w:val="103"/>
          <w:rtl/>
        </w:rPr>
        <w:t>1</w:t>
      </w:r>
      <w:r w:rsidRPr="003D01CA">
        <w:rPr>
          <w:spacing w:val="-5"/>
          <w:w w:val="103"/>
          <w:rtl/>
        </w:rPr>
        <w:t>)</w:t>
      </w:r>
      <w:r>
        <w:rPr>
          <w:rFonts w:hint="cs"/>
          <w:spacing w:val="-5"/>
          <w:w w:val="103"/>
          <w:rtl/>
        </w:rPr>
        <w:t xml:space="preserve">  </w:t>
      </w:r>
      <w:r w:rsidRPr="003D01CA">
        <w:rPr>
          <w:spacing w:val="-5"/>
          <w:w w:val="103"/>
          <w:rtl/>
        </w:rPr>
        <w:tab/>
      </w:r>
      <w:r w:rsidRPr="00867173">
        <w:rPr>
          <w:rFonts w:hint="cs"/>
          <w:spacing w:val="-5"/>
          <w:w w:val="103"/>
          <w:sz w:val="24"/>
          <w:szCs w:val="24"/>
          <w:rtl/>
        </w:rPr>
        <w:t xml:space="preserve">تم جمع البيانات في تشرين الأول/أكتوبر 2001. ولا تشمل هذه البيانات المدارس في ميدان الرعاية الصحية والمدارس التي لها أنظمتها الأساسية الخاصة بها. </w:t>
      </w:r>
    </w:p>
    <w:p w:rsidR="00484FEE" w:rsidRDefault="00484FEE" w:rsidP="00484FEE">
      <w:pPr>
        <w:pStyle w:val="SingleTxt"/>
        <w:spacing w:after="80" w:line="220" w:lineRule="exact"/>
        <w:ind w:hanging="519"/>
        <w:rPr>
          <w:rFonts w:hint="cs"/>
          <w:b/>
          <w:bCs/>
          <w:rtl/>
        </w:rPr>
      </w:pPr>
      <w:r w:rsidRPr="00867173">
        <w:rPr>
          <w:rFonts w:hint="cs"/>
          <w:spacing w:val="-5"/>
          <w:sz w:val="24"/>
          <w:szCs w:val="24"/>
          <w:rtl/>
        </w:rPr>
        <w:t>(2)</w:t>
      </w:r>
      <w:r>
        <w:rPr>
          <w:rFonts w:hint="cs"/>
          <w:spacing w:val="-5"/>
          <w:sz w:val="24"/>
          <w:szCs w:val="24"/>
          <w:rtl/>
        </w:rPr>
        <w:t xml:space="preserve">  </w:t>
      </w:r>
      <w:r w:rsidRPr="00867173">
        <w:rPr>
          <w:rFonts w:hint="cs"/>
          <w:spacing w:val="-5"/>
          <w:sz w:val="24"/>
          <w:szCs w:val="24"/>
          <w:rtl/>
        </w:rPr>
        <w:t>لا تحسب إلا مرة واحدة المدارس التي تقدم أنواع مختلفة من الدراسة.</w:t>
      </w:r>
    </w:p>
    <w:p w:rsidR="00484FEE" w:rsidRPr="00EB2923" w:rsidRDefault="00484FEE" w:rsidP="00484FEE">
      <w:pPr>
        <w:pStyle w:val="SingleTxt"/>
        <w:rPr>
          <w:rFonts w:hint="cs"/>
          <w:sz w:val="26"/>
          <w:szCs w:val="26"/>
          <w:rtl/>
        </w:rPr>
      </w:pPr>
      <w:r>
        <w:rPr>
          <w:rFonts w:hint="cs"/>
          <w:b/>
          <w:bCs/>
          <w:rtl/>
        </w:rPr>
        <w:tab/>
      </w:r>
      <w:r w:rsidRPr="00EB2923">
        <w:rPr>
          <w:rFonts w:hint="cs"/>
          <w:sz w:val="26"/>
          <w:szCs w:val="26"/>
          <w:rtl/>
        </w:rPr>
        <w:t>2001/2002</w:t>
      </w:r>
      <w:r w:rsidRPr="00EB2923">
        <w:rPr>
          <w:rFonts w:hint="cs"/>
          <w:sz w:val="26"/>
          <w:szCs w:val="26"/>
          <w:rtl/>
        </w:rPr>
        <w:tab/>
      </w:r>
      <w:r w:rsidRPr="00EB2923">
        <w:rPr>
          <w:rFonts w:hint="cs"/>
          <w:sz w:val="26"/>
          <w:szCs w:val="26"/>
          <w:rtl/>
        </w:rPr>
        <w:tab/>
      </w:r>
      <w:r w:rsidRPr="00EB2923">
        <w:rPr>
          <w:rFonts w:hint="cs"/>
          <w:sz w:val="26"/>
          <w:szCs w:val="26"/>
          <w:rtl/>
        </w:rPr>
        <w:tab/>
      </w:r>
      <w:r w:rsidRPr="00EB2923">
        <w:rPr>
          <w:rFonts w:hint="cs"/>
          <w:sz w:val="26"/>
          <w:szCs w:val="26"/>
          <w:rtl/>
        </w:rPr>
        <w:tab/>
      </w:r>
      <w:r w:rsidRPr="00EB2923">
        <w:rPr>
          <w:rFonts w:hint="cs"/>
          <w:sz w:val="26"/>
          <w:szCs w:val="26"/>
          <w:rtl/>
        </w:rPr>
        <w:tab/>
      </w:r>
      <w:r>
        <w:rPr>
          <w:rFonts w:hint="cs"/>
          <w:sz w:val="26"/>
          <w:szCs w:val="26"/>
          <w:rtl/>
        </w:rPr>
        <w:tab/>
      </w:r>
      <w:r w:rsidRPr="00EB2923">
        <w:rPr>
          <w:rFonts w:hint="cs"/>
          <w:sz w:val="26"/>
          <w:szCs w:val="26"/>
          <w:rtl/>
        </w:rPr>
        <w:tab/>
        <w:t>2002/2003</w:t>
      </w:r>
    </w:p>
    <w:tbl>
      <w:tblPr>
        <w:bidiVisual/>
        <w:tblW w:w="12235" w:type="dxa"/>
        <w:jc w:val="center"/>
        <w:tblLayout w:type="fixed"/>
        <w:tblCellMar>
          <w:left w:w="0" w:type="dxa"/>
          <w:right w:w="0" w:type="dxa"/>
        </w:tblCellMar>
        <w:tblLook w:val="0000" w:firstRow="0" w:lastRow="0" w:firstColumn="0" w:lastColumn="0" w:noHBand="0" w:noVBand="0"/>
      </w:tblPr>
      <w:tblGrid>
        <w:gridCol w:w="3561"/>
        <w:gridCol w:w="742"/>
        <w:gridCol w:w="815"/>
        <w:gridCol w:w="983"/>
        <w:gridCol w:w="917"/>
        <w:gridCol w:w="815"/>
        <w:gridCol w:w="917"/>
        <w:gridCol w:w="815"/>
        <w:gridCol w:w="983"/>
        <w:gridCol w:w="917"/>
        <w:gridCol w:w="770"/>
      </w:tblGrid>
      <w:tr w:rsidR="00484FEE" w:rsidRPr="00CC0A68">
        <w:tblPrEx>
          <w:tblCellMar>
            <w:top w:w="0" w:type="dxa"/>
            <w:bottom w:w="0" w:type="dxa"/>
          </w:tblCellMar>
        </w:tblPrEx>
        <w:trPr>
          <w:cantSplit/>
          <w:trHeight w:val="251"/>
          <w:tblHeader/>
          <w:jc w:val="center"/>
        </w:trPr>
        <w:tc>
          <w:tcPr>
            <w:tcW w:w="3600" w:type="dxa"/>
            <w:tcBorders>
              <w:top w:val="single" w:sz="4" w:space="0" w:color="auto"/>
            </w:tcBorders>
            <w:shd w:val="clear" w:color="auto" w:fill="auto"/>
            <w:tcMar>
              <w:left w:w="0" w:type="dxa"/>
              <w:right w:w="0" w:type="dxa"/>
            </w:tcMar>
            <w:vAlign w:val="bottom"/>
          </w:tcPr>
          <w:p w:rsidR="00484FEE" w:rsidRPr="00CC0A68" w:rsidRDefault="00484FEE" w:rsidP="0011796D">
            <w:pPr>
              <w:spacing w:before="80" w:after="80" w:line="180" w:lineRule="exact"/>
              <w:rPr>
                <w:rFonts w:hint="cs"/>
                <w:i/>
                <w:iCs/>
                <w:sz w:val="12"/>
                <w:szCs w:val="20"/>
                <w:rtl/>
              </w:rPr>
            </w:pPr>
            <w:r w:rsidRPr="00CC0A68">
              <w:rPr>
                <w:rFonts w:hint="cs"/>
                <w:i/>
                <w:iCs/>
                <w:sz w:val="12"/>
                <w:szCs w:val="20"/>
                <w:rtl/>
              </w:rPr>
              <w:t>نوع المدرسة</w:t>
            </w:r>
          </w:p>
        </w:tc>
        <w:tc>
          <w:tcPr>
            <w:tcW w:w="1574" w:type="dxa"/>
            <w:gridSpan w:val="2"/>
            <w:tcBorders>
              <w:top w:val="single" w:sz="4" w:space="0" w:color="auto"/>
            </w:tcBorders>
            <w:shd w:val="clear" w:color="auto" w:fill="C0C0C0"/>
            <w:vAlign w:val="bottom"/>
          </w:tcPr>
          <w:p w:rsidR="00484FEE" w:rsidRPr="00CC0A68" w:rsidRDefault="00484FEE" w:rsidP="0011796D">
            <w:pPr>
              <w:spacing w:before="80" w:after="80" w:line="180" w:lineRule="exact"/>
              <w:ind w:right="144"/>
              <w:jc w:val="lowKashida"/>
              <w:rPr>
                <w:rFonts w:hint="cs"/>
                <w:i/>
                <w:iCs/>
                <w:sz w:val="12"/>
                <w:szCs w:val="20"/>
                <w:rtl/>
              </w:rPr>
            </w:pPr>
            <w:r w:rsidRPr="00CC0A68">
              <w:rPr>
                <w:rFonts w:hint="cs"/>
                <w:i/>
                <w:iCs/>
                <w:sz w:val="12"/>
                <w:szCs w:val="20"/>
                <w:rtl/>
              </w:rPr>
              <w:t>العدد الإجمالي في النمسا</w:t>
            </w:r>
          </w:p>
        </w:tc>
        <w:tc>
          <w:tcPr>
            <w:tcW w:w="994" w:type="dxa"/>
            <w:vMerge w:val="restart"/>
            <w:tcBorders>
              <w:top w:val="single" w:sz="4" w:space="0" w:color="auto"/>
            </w:tcBorders>
            <w:shd w:val="clear" w:color="auto" w:fill="D9D9D9"/>
            <w:vAlign w:val="bottom"/>
          </w:tcPr>
          <w:p w:rsidR="00484FEE" w:rsidRPr="00CC0A68" w:rsidRDefault="00484FEE" w:rsidP="0011796D">
            <w:pPr>
              <w:spacing w:before="80" w:after="80" w:line="180" w:lineRule="exact"/>
              <w:ind w:right="144"/>
              <w:jc w:val="center"/>
              <w:rPr>
                <w:rFonts w:hint="cs"/>
                <w:i/>
                <w:iCs/>
                <w:sz w:val="12"/>
                <w:szCs w:val="20"/>
                <w:rtl/>
                <w:lang w:bidi="ar-LB"/>
              </w:rPr>
            </w:pPr>
            <w:r w:rsidRPr="00CC0A68">
              <w:rPr>
                <w:rFonts w:hint="cs"/>
                <w:i/>
                <w:iCs/>
                <w:sz w:val="12"/>
                <w:szCs w:val="20"/>
                <w:rtl/>
                <w:lang w:bidi="ar-LB"/>
              </w:rPr>
              <w:t>العدد الإجمالي للتلاميذ</w:t>
            </w:r>
          </w:p>
        </w:tc>
        <w:tc>
          <w:tcPr>
            <w:tcW w:w="1751" w:type="dxa"/>
            <w:gridSpan w:val="2"/>
            <w:tcBorders>
              <w:top w:val="single" w:sz="4" w:space="0" w:color="auto"/>
            </w:tcBorders>
            <w:shd w:val="clear" w:color="auto" w:fill="D9D9D9"/>
            <w:vAlign w:val="bottom"/>
          </w:tcPr>
          <w:p w:rsidR="00484FEE" w:rsidRPr="00CC0A68" w:rsidRDefault="00484FEE" w:rsidP="0011796D">
            <w:pPr>
              <w:spacing w:before="80" w:after="80" w:line="180" w:lineRule="exact"/>
              <w:ind w:right="144"/>
              <w:jc w:val="lowKashida"/>
              <w:rPr>
                <w:rFonts w:hint="cs"/>
                <w:i/>
                <w:iCs/>
                <w:sz w:val="12"/>
                <w:szCs w:val="20"/>
                <w:rtl/>
              </w:rPr>
            </w:pPr>
            <w:r w:rsidRPr="00CC0A68">
              <w:rPr>
                <w:rFonts w:hint="cs"/>
                <w:i/>
                <w:iCs/>
                <w:sz w:val="12"/>
                <w:szCs w:val="20"/>
                <w:rtl/>
              </w:rPr>
              <w:t>ا</w:t>
            </w:r>
          </w:p>
        </w:tc>
        <w:tc>
          <w:tcPr>
            <w:tcW w:w="1751" w:type="dxa"/>
            <w:gridSpan w:val="2"/>
            <w:tcBorders>
              <w:top w:val="single" w:sz="4" w:space="0" w:color="auto"/>
            </w:tcBorders>
            <w:shd w:val="clear" w:color="auto" w:fill="C0C0C0"/>
            <w:vAlign w:val="bottom"/>
          </w:tcPr>
          <w:p w:rsidR="00484FEE" w:rsidRPr="00CC0A68" w:rsidRDefault="00484FEE" w:rsidP="0011796D">
            <w:pPr>
              <w:spacing w:before="80" w:after="80" w:line="180" w:lineRule="exact"/>
              <w:ind w:right="144"/>
              <w:jc w:val="lowKashida"/>
              <w:rPr>
                <w:rFonts w:hint="cs"/>
                <w:i/>
                <w:iCs/>
                <w:sz w:val="12"/>
                <w:szCs w:val="20"/>
                <w:rtl/>
                <w:lang w:bidi="ar-LB"/>
              </w:rPr>
            </w:pPr>
            <w:r w:rsidRPr="00CC0A68">
              <w:rPr>
                <w:rFonts w:hint="cs"/>
                <w:i/>
                <w:iCs/>
                <w:sz w:val="12"/>
                <w:szCs w:val="20"/>
                <w:rtl/>
                <w:lang w:bidi="ar-LB"/>
              </w:rPr>
              <w:t>العدد الإجمالي في النمسا</w:t>
            </w:r>
          </w:p>
        </w:tc>
        <w:tc>
          <w:tcPr>
            <w:tcW w:w="994" w:type="dxa"/>
            <w:vMerge w:val="restart"/>
            <w:tcBorders>
              <w:top w:val="single" w:sz="4" w:space="0" w:color="auto"/>
            </w:tcBorders>
            <w:shd w:val="clear" w:color="auto" w:fill="D9D9D9"/>
            <w:vAlign w:val="bottom"/>
          </w:tcPr>
          <w:p w:rsidR="00484FEE" w:rsidRPr="00CC0A68" w:rsidRDefault="00484FEE" w:rsidP="0011796D">
            <w:pPr>
              <w:spacing w:before="80" w:after="80" w:line="180" w:lineRule="exact"/>
              <w:jc w:val="left"/>
              <w:rPr>
                <w:rFonts w:hint="cs"/>
                <w:i/>
                <w:iCs/>
                <w:sz w:val="12"/>
                <w:szCs w:val="20"/>
                <w:rtl/>
                <w:lang w:bidi="ar-LB"/>
              </w:rPr>
            </w:pPr>
            <w:r w:rsidRPr="00CC0A68">
              <w:rPr>
                <w:rFonts w:hint="cs"/>
                <w:i/>
                <w:iCs/>
                <w:sz w:val="12"/>
                <w:szCs w:val="20"/>
                <w:rtl/>
                <w:lang w:bidi="ar-LB"/>
              </w:rPr>
              <w:t>العدد ا</w:t>
            </w:r>
            <w:r w:rsidRPr="00CC0A68">
              <w:rPr>
                <w:rFonts w:hint="cs"/>
                <w:i/>
                <w:iCs/>
                <w:sz w:val="12"/>
                <w:szCs w:val="20"/>
                <w:rtl/>
              </w:rPr>
              <w:t>الإجمالي للتلاميذ</w:t>
            </w:r>
          </w:p>
        </w:tc>
        <w:tc>
          <w:tcPr>
            <w:tcW w:w="1705" w:type="dxa"/>
            <w:gridSpan w:val="2"/>
            <w:tcBorders>
              <w:top w:val="single" w:sz="4" w:space="0" w:color="auto"/>
            </w:tcBorders>
            <w:shd w:val="clear" w:color="auto" w:fill="D9D9D9"/>
            <w:vAlign w:val="bottom"/>
          </w:tcPr>
          <w:p w:rsidR="00484FEE" w:rsidRPr="00CC0A68" w:rsidRDefault="00484FEE" w:rsidP="0011796D">
            <w:pPr>
              <w:spacing w:before="80" w:after="80" w:line="180" w:lineRule="exact"/>
              <w:ind w:right="144"/>
              <w:jc w:val="lowKashida"/>
              <w:rPr>
                <w:rFonts w:hint="cs"/>
                <w:i/>
                <w:iCs/>
                <w:sz w:val="12"/>
                <w:szCs w:val="20"/>
                <w:rtl/>
              </w:rPr>
            </w:pPr>
          </w:p>
        </w:tc>
      </w:tr>
      <w:tr w:rsidR="00484FEE" w:rsidRPr="00CC0A68">
        <w:tblPrEx>
          <w:tblCellMar>
            <w:top w:w="0" w:type="dxa"/>
            <w:bottom w:w="0" w:type="dxa"/>
          </w:tblCellMar>
        </w:tblPrEx>
        <w:trPr>
          <w:cantSplit/>
          <w:trHeight w:val="126"/>
          <w:tblHeader/>
          <w:jc w:val="center"/>
        </w:trPr>
        <w:tc>
          <w:tcPr>
            <w:tcW w:w="3600" w:type="dxa"/>
            <w:tcBorders>
              <w:bottom w:val="single" w:sz="12" w:space="0" w:color="auto"/>
            </w:tcBorders>
            <w:shd w:val="clear" w:color="auto" w:fill="auto"/>
            <w:vAlign w:val="bottom"/>
          </w:tcPr>
          <w:p w:rsidR="00484FEE" w:rsidRPr="00CC0A68" w:rsidRDefault="00484FEE" w:rsidP="0011796D">
            <w:pPr>
              <w:spacing w:after="80" w:line="180" w:lineRule="exact"/>
              <w:rPr>
                <w:rFonts w:hint="cs"/>
                <w:i/>
                <w:iCs/>
                <w:sz w:val="12"/>
                <w:szCs w:val="20"/>
                <w:rtl/>
              </w:rPr>
            </w:pPr>
          </w:p>
        </w:tc>
        <w:tc>
          <w:tcPr>
            <w:tcW w:w="750" w:type="dxa"/>
            <w:tcBorders>
              <w:bottom w:val="single" w:sz="12" w:space="0" w:color="auto"/>
            </w:tcBorders>
            <w:shd w:val="clear" w:color="auto" w:fill="C0C0C0"/>
            <w:vAlign w:val="bottom"/>
          </w:tcPr>
          <w:p w:rsidR="00484FEE" w:rsidRPr="00CC0A68" w:rsidRDefault="00484FEE" w:rsidP="0011796D">
            <w:pPr>
              <w:spacing w:after="80" w:line="180" w:lineRule="exact"/>
              <w:ind w:right="144"/>
              <w:jc w:val="lowKashida"/>
              <w:rPr>
                <w:rFonts w:hint="cs"/>
                <w:i/>
                <w:iCs/>
                <w:sz w:val="12"/>
                <w:szCs w:val="20"/>
                <w:rtl/>
              </w:rPr>
            </w:pPr>
            <w:r w:rsidRPr="00CC0A68">
              <w:rPr>
                <w:rFonts w:hint="cs"/>
                <w:i/>
                <w:iCs/>
                <w:sz w:val="12"/>
                <w:szCs w:val="20"/>
                <w:rtl/>
              </w:rPr>
              <w:t>المدارس</w:t>
            </w:r>
          </w:p>
        </w:tc>
        <w:tc>
          <w:tcPr>
            <w:tcW w:w="824" w:type="dxa"/>
            <w:tcBorders>
              <w:bottom w:val="single" w:sz="12" w:space="0" w:color="auto"/>
            </w:tcBorders>
            <w:shd w:val="clear" w:color="auto" w:fill="C0C0C0"/>
            <w:vAlign w:val="bottom"/>
          </w:tcPr>
          <w:p w:rsidR="00484FEE" w:rsidRPr="00CC0A68" w:rsidRDefault="00484FEE" w:rsidP="0011796D">
            <w:pPr>
              <w:spacing w:after="80" w:line="180" w:lineRule="exact"/>
              <w:ind w:right="144"/>
              <w:jc w:val="lowKashida"/>
              <w:rPr>
                <w:rFonts w:hint="cs"/>
                <w:i/>
                <w:iCs/>
                <w:sz w:val="12"/>
                <w:szCs w:val="20"/>
                <w:rtl/>
              </w:rPr>
            </w:pPr>
            <w:r w:rsidRPr="00CC0A68">
              <w:rPr>
                <w:rFonts w:hint="cs"/>
                <w:i/>
                <w:iCs/>
                <w:sz w:val="12"/>
                <w:szCs w:val="20"/>
                <w:rtl/>
              </w:rPr>
              <w:t>الصفوف</w:t>
            </w:r>
          </w:p>
        </w:tc>
        <w:tc>
          <w:tcPr>
            <w:tcW w:w="994" w:type="dxa"/>
            <w:vMerge/>
            <w:tcBorders>
              <w:bottom w:val="single" w:sz="12" w:space="0" w:color="auto"/>
            </w:tcBorders>
            <w:shd w:val="clear" w:color="auto" w:fill="D9D9D9"/>
            <w:vAlign w:val="bottom"/>
          </w:tcPr>
          <w:p w:rsidR="00484FEE" w:rsidRPr="00CC0A68" w:rsidRDefault="00484FEE" w:rsidP="0011796D">
            <w:pPr>
              <w:spacing w:after="80" w:line="180" w:lineRule="exact"/>
              <w:ind w:right="144"/>
              <w:jc w:val="lowKashida"/>
              <w:rPr>
                <w:rFonts w:hint="cs"/>
                <w:i/>
                <w:iCs/>
                <w:sz w:val="12"/>
                <w:szCs w:val="20"/>
                <w:rtl/>
              </w:rPr>
            </w:pPr>
          </w:p>
        </w:tc>
        <w:tc>
          <w:tcPr>
            <w:tcW w:w="927" w:type="dxa"/>
            <w:tcBorders>
              <w:bottom w:val="single" w:sz="12" w:space="0" w:color="auto"/>
            </w:tcBorders>
            <w:shd w:val="clear" w:color="auto" w:fill="auto"/>
            <w:vAlign w:val="bottom"/>
          </w:tcPr>
          <w:p w:rsidR="00484FEE" w:rsidRPr="00CC0A68" w:rsidRDefault="00484FEE" w:rsidP="0011796D">
            <w:pPr>
              <w:spacing w:after="80" w:line="180" w:lineRule="exact"/>
              <w:ind w:right="144"/>
              <w:jc w:val="left"/>
              <w:rPr>
                <w:rFonts w:hint="cs"/>
                <w:i/>
                <w:iCs/>
                <w:sz w:val="12"/>
                <w:szCs w:val="20"/>
                <w:rtl/>
              </w:rPr>
            </w:pPr>
            <w:r w:rsidRPr="00CC0A68">
              <w:rPr>
                <w:rFonts w:hint="cs"/>
                <w:i/>
                <w:iCs/>
                <w:sz w:val="12"/>
                <w:szCs w:val="20"/>
                <w:rtl/>
              </w:rPr>
              <w:t>عدد</w:t>
            </w:r>
            <w:r w:rsidRPr="00CC0A68">
              <w:rPr>
                <w:rFonts w:hint="cs"/>
                <w:i/>
                <w:iCs/>
                <w:sz w:val="12"/>
                <w:szCs w:val="20"/>
                <w:rtl/>
                <w:lang w:bidi="ar-LB"/>
              </w:rPr>
              <w:t xml:space="preserve"> </w:t>
            </w:r>
            <w:r w:rsidRPr="00CC0A68">
              <w:rPr>
                <w:rFonts w:hint="cs"/>
                <w:i/>
                <w:iCs/>
                <w:sz w:val="12"/>
                <w:szCs w:val="20"/>
                <w:rtl/>
              </w:rPr>
              <w:t>التلميذات</w:t>
            </w:r>
          </w:p>
        </w:tc>
        <w:tc>
          <w:tcPr>
            <w:tcW w:w="824" w:type="dxa"/>
            <w:tcBorders>
              <w:bottom w:val="single" w:sz="12" w:space="0" w:color="auto"/>
            </w:tcBorders>
            <w:shd w:val="clear" w:color="auto" w:fill="auto"/>
            <w:vAlign w:val="bottom"/>
          </w:tcPr>
          <w:p w:rsidR="00484FEE" w:rsidRPr="00CC0A68" w:rsidRDefault="00484FEE" w:rsidP="0011796D">
            <w:pPr>
              <w:spacing w:after="80" w:line="180" w:lineRule="exact"/>
              <w:ind w:right="144"/>
              <w:jc w:val="left"/>
              <w:rPr>
                <w:rFonts w:hint="cs"/>
                <w:i/>
                <w:iCs/>
                <w:sz w:val="12"/>
                <w:szCs w:val="20"/>
                <w:rtl/>
              </w:rPr>
            </w:pPr>
            <w:r w:rsidRPr="00CC0A68">
              <w:rPr>
                <w:rFonts w:hint="cs"/>
                <w:i/>
                <w:iCs/>
                <w:sz w:val="12"/>
                <w:szCs w:val="20"/>
                <w:rtl/>
              </w:rPr>
              <w:t xml:space="preserve">نسبة التلميذات٪ </w:t>
            </w:r>
          </w:p>
        </w:tc>
        <w:tc>
          <w:tcPr>
            <w:tcW w:w="927" w:type="dxa"/>
            <w:tcBorders>
              <w:bottom w:val="single" w:sz="12" w:space="0" w:color="auto"/>
            </w:tcBorders>
            <w:shd w:val="clear" w:color="auto" w:fill="C0C0C0"/>
            <w:vAlign w:val="bottom"/>
          </w:tcPr>
          <w:p w:rsidR="00484FEE" w:rsidRPr="00CC0A68" w:rsidRDefault="00484FEE" w:rsidP="0011796D">
            <w:pPr>
              <w:spacing w:after="80" w:line="180" w:lineRule="exact"/>
              <w:ind w:right="144"/>
              <w:jc w:val="lowKashida"/>
              <w:rPr>
                <w:rFonts w:hint="cs"/>
                <w:i/>
                <w:iCs/>
                <w:sz w:val="12"/>
                <w:szCs w:val="20"/>
                <w:rtl/>
              </w:rPr>
            </w:pPr>
            <w:r w:rsidRPr="00CC0A68">
              <w:rPr>
                <w:rFonts w:hint="cs"/>
                <w:i/>
                <w:iCs/>
                <w:sz w:val="12"/>
                <w:szCs w:val="20"/>
                <w:rtl/>
              </w:rPr>
              <w:t>المدارس</w:t>
            </w:r>
          </w:p>
        </w:tc>
        <w:tc>
          <w:tcPr>
            <w:tcW w:w="824" w:type="dxa"/>
            <w:tcBorders>
              <w:bottom w:val="single" w:sz="12" w:space="0" w:color="auto"/>
            </w:tcBorders>
            <w:shd w:val="clear" w:color="auto" w:fill="C0C0C0"/>
            <w:vAlign w:val="bottom"/>
          </w:tcPr>
          <w:p w:rsidR="00484FEE" w:rsidRPr="00CC0A68" w:rsidRDefault="00484FEE" w:rsidP="0011796D">
            <w:pPr>
              <w:spacing w:after="80" w:line="180" w:lineRule="exact"/>
              <w:ind w:right="144"/>
              <w:jc w:val="lowKashida"/>
              <w:rPr>
                <w:rFonts w:hint="cs"/>
                <w:i/>
                <w:iCs/>
                <w:sz w:val="12"/>
                <w:szCs w:val="20"/>
                <w:rtl/>
              </w:rPr>
            </w:pPr>
            <w:r w:rsidRPr="00CC0A68">
              <w:rPr>
                <w:rFonts w:hint="cs"/>
                <w:i/>
                <w:iCs/>
                <w:sz w:val="12"/>
                <w:szCs w:val="20"/>
                <w:rtl/>
              </w:rPr>
              <w:t>الصفوف</w:t>
            </w:r>
          </w:p>
        </w:tc>
        <w:tc>
          <w:tcPr>
            <w:tcW w:w="994" w:type="dxa"/>
            <w:vMerge/>
            <w:tcBorders>
              <w:bottom w:val="single" w:sz="12" w:space="0" w:color="auto"/>
            </w:tcBorders>
            <w:shd w:val="clear" w:color="auto" w:fill="D9D9D9"/>
            <w:vAlign w:val="bottom"/>
          </w:tcPr>
          <w:p w:rsidR="00484FEE" w:rsidRPr="00CC0A68" w:rsidRDefault="00484FEE" w:rsidP="0011796D">
            <w:pPr>
              <w:spacing w:after="80" w:line="180" w:lineRule="exact"/>
              <w:rPr>
                <w:rFonts w:hint="cs"/>
                <w:i/>
                <w:iCs/>
                <w:sz w:val="12"/>
                <w:szCs w:val="20"/>
                <w:rtl/>
              </w:rPr>
            </w:pPr>
          </w:p>
        </w:tc>
        <w:tc>
          <w:tcPr>
            <w:tcW w:w="927" w:type="dxa"/>
            <w:tcBorders>
              <w:bottom w:val="single" w:sz="12" w:space="0" w:color="auto"/>
            </w:tcBorders>
            <w:shd w:val="clear" w:color="auto" w:fill="auto"/>
            <w:vAlign w:val="bottom"/>
          </w:tcPr>
          <w:p w:rsidR="00484FEE" w:rsidRPr="00CC0A68" w:rsidRDefault="00484FEE" w:rsidP="0011796D">
            <w:pPr>
              <w:spacing w:after="80" w:line="180" w:lineRule="exact"/>
              <w:ind w:right="144"/>
              <w:jc w:val="lowKashida"/>
              <w:rPr>
                <w:rFonts w:hint="cs"/>
                <w:i/>
                <w:iCs/>
                <w:sz w:val="12"/>
                <w:szCs w:val="20"/>
                <w:rtl/>
                <w:lang w:bidi="ar-LB"/>
              </w:rPr>
            </w:pPr>
            <w:r w:rsidRPr="00CC0A68">
              <w:rPr>
                <w:rFonts w:hint="cs"/>
                <w:i/>
                <w:iCs/>
                <w:sz w:val="12"/>
                <w:szCs w:val="20"/>
                <w:rtl/>
                <w:lang w:bidi="ar-LB"/>
              </w:rPr>
              <w:t>عدد التلميذات</w:t>
            </w:r>
          </w:p>
        </w:tc>
        <w:tc>
          <w:tcPr>
            <w:tcW w:w="778" w:type="dxa"/>
            <w:tcBorders>
              <w:bottom w:val="single" w:sz="12" w:space="0" w:color="auto"/>
            </w:tcBorders>
            <w:shd w:val="clear" w:color="auto" w:fill="auto"/>
            <w:vAlign w:val="bottom"/>
          </w:tcPr>
          <w:p w:rsidR="00484FEE" w:rsidRPr="00CC0A68" w:rsidRDefault="00484FEE" w:rsidP="0011796D">
            <w:pPr>
              <w:spacing w:after="80" w:line="180" w:lineRule="exact"/>
              <w:ind w:right="144"/>
              <w:jc w:val="lowKashida"/>
              <w:rPr>
                <w:rFonts w:hint="cs"/>
                <w:i/>
                <w:iCs/>
                <w:sz w:val="12"/>
                <w:szCs w:val="20"/>
                <w:rtl/>
                <w:lang w:bidi="ar-LB"/>
              </w:rPr>
            </w:pPr>
            <w:r w:rsidRPr="00CC0A68">
              <w:rPr>
                <w:rFonts w:hint="cs"/>
                <w:i/>
                <w:iCs/>
                <w:sz w:val="12"/>
                <w:szCs w:val="20"/>
                <w:rtl/>
                <w:lang w:bidi="ar-LB"/>
              </w:rPr>
              <w:t>نسبة التلميذات٪</w:t>
            </w:r>
          </w:p>
        </w:tc>
      </w:tr>
      <w:tr w:rsidR="00484FEE" w:rsidRPr="003D01CA">
        <w:tblPrEx>
          <w:tblCellMar>
            <w:top w:w="0" w:type="dxa"/>
            <w:bottom w:w="0" w:type="dxa"/>
          </w:tblCellMar>
        </w:tblPrEx>
        <w:trPr>
          <w:cantSplit/>
          <w:trHeight w:hRule="exact" w:val="115"/>
          <w:tblHeader/>
          <w:jc w:val="center"/>
        </w:trPr>
        <w:tc>
          <w:tcPr>
            <w:tcW w:w="3600" w:type="dxa"/>
            <w:tcBorders>
              <w:top w:val="single" w:sz="12" w:space="0" w:color="auto"/>
            </w:tcBorders>
            <w:shd w:val="clear" w:color="auto" w:fill="auto"/>
            <w:vAlign w:val="bottom"/>
          </w:tcPr>
          <w:p w:rsidR="00484FEE" w:rsidRPr="003D01CA" w:rsidRDefault="00484FEE" w:rsidP="0011796D">
            <w:pPr>
              <w:spacing w:before="40" w:after="80" w:line="240" w:lineRule="exact"/>
              <w:rPr>
                <w:rFonts w:hint="cs"/>
                <w:sz w:val="16"/>
                <w:szCs w:val="24"/>
                <w:rtl/>
              </w:rPr>
            </w:pPr>
          </w:p>
        </w:tc>
        <w:tc>
          <w:tcPr>
            <w:tcW w:w="750" w:type="dxa"/>
            <w:tcBorders>
              <w:top w:val="single" w:sz="12" w:space="0" w:color="auto"/>
            </w:tcBorders>
            <w:shd w:val="clear" w:color="auto" w:fill="C0C0C0"/>
            <w:vAlign w:val="bottom"/>
          </w:tcPr>
          <w:p w:rsidR="00484FEE" w:rsidRPr="003D01CA" w:rsidRDefault="00484FEE" w:rsidP="0011796D">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C0C0C0"/>
            <w:vAlign w:val="bottom"/>
          </w:tcPr>
          <w:p w:rsidR="00484FEE" w:rsidRPr="003D01CA" w:rsidRDefault="00484FEE" w:rsidP="0011796D">
            <w:pPr>
              <w:spacing w:before="40" w:after="80" w:line="240" w:lineRule="exact"/>
              <w:ind w:right="144"/>
              <w:jc w:val="lowKashida"/>
              <w:rPr>
                <w:rFonts w:hint="cs"/>
                <w:sz w:val="16"/>
                <w:szCs w:val="24"/>
                <w:rtl/>
              </w:rPr>
            </w:pPr>
          </w:p>
        </w:tc>
        <w:tc>
          <w:tcPr>
            <w:tcW w:w="994" w:type="dxa"/>
            <w:tcBorders>
              <w:top w:val="single" w:sz="12" w:space="0" w:color="auto"/>
            </w:tcBorders>
            <w:shd w:val="clear" w:color="auto" w:fill="D9D9D9"/>
            <w:vAlign w:val="bottom"/>
          </w:tcPr>
          <w:p w:rsidR="00484FEE" w:rsidRPr="003D01CA" w:rsidRDefault="00484FEE" w:rsidP="0011796D">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484FEE" w:rsidRPr="003D01CA" w:rsidRDefault="00484FEE" w:rsidP="0011796D">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484FEE" w:rsidRPr="003D01CA" w:rsidRDefault="00484FEE" w:rsidP="0011796D">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C0C0C0"/>
            <w:vAlign w:val="bottom"/>
          </w:tcPr>
          <w:p w:rsidR="00484FEE" w:rsidRPr="003D01CA" w:rsidRDefault="00484FEE" w:rsidP="0011796D">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C0C0C0"/>
            <w:vAlign w:val="bottom"/>
          </w:tcPr>
          <w:p w:rsidR="00484FEE" w:rsidRPr="003D01CA" w:rsidRDefault="00484FEE" w:rsidP="0011796D">
            <w:pPr>
              <w:spacing w:before="40" w:after="80" w:line="240" w:lineRule="exact"/>
              <w:ind w:right="144"/>
              <w:jc w:val="lowKashida"/>
              <w:rPr>
                <w:rFonts w:hint="cs"/>
                <w:sz w:val="16"/>
                <w:szCs w:val="24"/>
                <w:rtl/>
              </w:rPr>
            </w:pPr>
          </w:p>
        </w:tc>
        <w:tc>
          <w:tcPr>
            <w:tcW w:w="994" w:type="dxa"/>
            <w:tcBorders>
              <w:top w:val="single" w:sz="12" w:space="0" w:color="auto"/>
            </w:tcBorders>
            <w:shd w:val="clear" w:color="auto" w:fill="D9D9D9"/>
            <w:vAlign w:val="bottom"/>
          </w:tcPr>
          <w:p w:rsidR="00484FEE" w:rsidRPr="003D01CA" w:rsidRDefault="00484FEE" w:rsidP="0011796D">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484FEE" w:rsidRPr="003D01CA" w:rsidRDefault="00484FEE" w:rsidP="0011796D">
            <w:pPr>
              <w:spacing w:before="40" w:after="80" w:line="240" w:lineRule="exact"/>
              <w:ind w:right="144"/>
              <w:jc w:val="lowKashida"/>
              <w:rPr>
                <w:rFonts w:hint="cs"/>
                <w:sz w:val="16"/>
                <w:szCs w:val="24"/>
                <w:rtl/>
              </w:rPr>
            </w:pPr>
          </w:p>
        </w:tc>
        <w:tc>
          <w:tcPr>
            <w:tcW w:w="778" w:type="dxa"/>
            <w:tcBorders>
              <w:top w:val="single" w:sz="12" w:space="0" w:color="auto"/>
            </w:tcBorders>
            <w:shd w:val="clear" w:color="auto" w:fill="auto"/>
            <w:vAlign w:val="bottom"/>
          </w:tcPr>
          <w:p w:rsidR="00484FEE" w:rsidRPr="003D01CA" w:rsidRDefault="00484FEE" w:rsidP="0011796D">
            <w:pPr>
              <w:spacing w:before="40" w:after="80" w:line="240" w:lineRule="exact"/>
              <w:ind w:right="144"/>
              <w:jc w:val="lowKashida"/>
              <w:rPr>
                <w:rFonts w:hint="cs"/>
                <w:sz w:val="16"/>
                <w:szCs w:val="24"/>
                <w:rtl/>
              </w:rPr>
            </w:pPr>
          </w:p>
        </w:tc>
      </w:tr>
      <w:tr w:rsidR="00484FEE" w:rsidRPr="003D01CA">
        <w:tblPrEx>
          <w:tblCellMar>
            <w:top w:w="0" w:type="dxa"/>
            <w:bottom w:w="0" w:type="dxa"/>
          </w:tblCellMar>
        </w:tblPrEx>
        <w:trPr>
          <w:cantSplit/>
          <w:trHeight w:val="234"/>
          <w:jc w:val="center"/>
        </w:trPr>
        <w:tc>
          <w:tcPr>
            <w:tcW w:w="3600" w:type="dxa"/>
            <w:shd w:val="clear" w:color="auto" w:fill="auto"/>
            <w:vAlign w:val="bottom"/>
          </w:tcPr>
          <w:p w:rsidR="00484FEE" w:rsidRPr="00867173" w:rsidRDefault="00484FEE" w:rsidP="0011796D">
            <w:pPr>
              <w:spacing w:before="40" w:after="40" w:line="200" w:lineRule="exact"/>
              <w:rPr>
                <w:rFonts w:hint="cs"/>
                <w:sz w:val="22"/>
                <w:szCs w:val="22"/>
                <w:rtl/>
              </w:rPr>
            </w:pPr>
            <w:r w:rsidRPr="00867173">
              <w:rPr>
                <w:rFonts w:hint="cs"/>
                <w:sz w:val="22"/>
                <w:szCs w:val="22"/>
                <w:rtl/>
              </w:rPr>
              <w:t>المدارس الابتدائية</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360 3</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387 19</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408 387</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657 187</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48.4</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351 3</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043 19</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140 381</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833 184</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48.5</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867173" w:rsidRDefault="00484FEE" w:rsidP="0011796D">
            <w:pPr>
              <w:spacing w:before="40" w:after="40" w:line="200" w:lineRule="exact"/>
              <w:rPr>
                <w:rFonts w:hint="cs"/>
                <w:sz w:val="22"/>
                <w:szCs w:val="22"/>
                <w:rtl/>
              </w:rPr>
            </w:pPr>
            <w:r w:rsidRPr="00867173">
              <w:rPr>
                <w:rFonts w:hint="cs"/>
                <w:sz w:val="22"/>
                <w:szCs w:val="22"/>
                <w:rtl/>
              </w:rPr>
              <w:t>المدارس الثانوية العامة الرئيسية</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170 1</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556 11</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781 265</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438 126</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47.6</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172 1</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588 11</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058 268</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206 127</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47.5</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867173" w:rsidRDefault="00484FEE" w:rsidP="0011796D">
            <w:pPr>
              <w:spacing w:before="40" w:after="40" w:line="200" w:lineRule="exact"/>
              <w:rPr>
                <w:rFonts w:hint="cs"/>
                <w:sz w:val="22"/>
                <w:szCs w:val="22"/>
                <w:rtl/>
              </w:rPr>
            </w:pPr>
            <w:r w:rsidRPr="00867173">
              <w:rPr>
                <w:rFonts w:hint="cs"/>
                <w:sz w:val="22"/>
                <w:szCs w:val="22"/>
                <w:rtl/>
              </w:rPr>
              <w:t>المدارس الخاصة</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402</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904 1</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337 13</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842 4</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36.3</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389</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925 1</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466 13</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861 4</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36.1</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867173" w:rsidRDefault="00484FEE" w:rsidP="0011796D">
            <w:pPr>
              <w:spacing w:before="40" w:after="40" w:line="200" w:lineRule="exact"/>
              <w:rPr>
                <w:rFonts w:hint="cs"/>
                <w:sz w:val="22"/>
                <w:szCs w:val="22"/>
                <w:rtl/>
              </w:rPr>
            </w:pPr>
            <w:r w:rsidRPr="00867173">
              <w:rPr>
                <w:rFonts w:hint="cs"/>
                <w:sz w:val="22"/>
                <w:szCs w:val="22"/>
                <w:rtl/>
              </w:rPr>
              <w:t>السنة السابقة للتدريب المهني</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302</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881</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750 19</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831 6</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34.6</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290</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905</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626 20</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245 7</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35.1</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FD0783" w:rsidRDefault="00484FEE" w:rsidP="0011796D">
            <w:pPr>
              <w:spacing w:before="40" w:after="40" w:line="200" w:lineRule="exact"/>
              <w:rPr>
                <w:rFonts w:hint="cs"/>
                <w:b/>
                <w:bCs/>
                <w:sz w:val="22"/>
                <w:szCs w:val="22"/>
                <w:vertAlign w:val="superscript"/>
                <w:rtl/>
              </w:rPr>
            </w:pPr>
            <w:r w:rsidRPr="00953A41">
              <w:rPr>
                <w:rFonts w:hint="cs"/>
                <w:b/>
                <w:bCs/>
                <w:sz w:val="22"/>
                <w:szCs w:val="22"/>
                <w:rtl/>
              </w:rPr>
              <w:t>مجموع المدارس الإلزامية</w:t>
            </w:r>
            <w:r>
              <w:rPr>
                <w:rFonts w:hint="cs"/>
                <w:b/>
                <w:bCs/>
                <w:sz w:val="22"/>
                <w:szCs w:val="22"/>
                <w:vertAlign w:val="superscript"/>
                <w:rtl/>
              </w:rPr>
              <w:t>(2)</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954 4</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728 33</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276 686</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768 325</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47.5</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945 4</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461 33</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290 683</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145 324</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47.4</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953A41" w:rsidRDefault="00484FEE" w:rsidP="0011796D">
            <w:pPr>
              <w:spacing w:before="40" w:after="40" w:line="200" w:lineRule="exact"/>
              <w:rPr>
                <w:rFonts w:hint="cs"/>
                <w:b/>
                <w:bCs/>
                <w:sz w:val="22"/>
                <w:szCs w:val="22"/>
                <w:rtl/>
              </w:rPr>
            </w:pPr>
            <w:r w:rsidRPr="00953A41">
              <w:rPr>
                <w:rFonts w:hint="cs"/>
                <w:b/>
                <w:bCs/>
                <w:sz w:val="22"/>
                <w:szCs w:val="22"/>
                <w:rtl/>
              </w:rPr>
              <w:t>مجموع المدارس الثانوية العامة العليا</w:t>
            </w:r>
            <w:r>
              <w:rPr>
                <w:rFonts w:hint="cs"/>
                <w:b/>
                <w:bCs/>
                <w:sz w:val="22"/>
                <w:szCs w:val="22"/>
                <w:vertAlign w:val="superscript"/>
                <w:rtl/>
              </w:rPr>
              <w:t>(2)</w:t>
            </w:r>
            <w:r w:rsidRPr="00953A41">
              <w:rPr>
                <w:rFonts w:hint="cs"/>
                <w:b/>
                <w:bCs/>
                <w:sz w:val="22"/>
                <w:szCs w:val="22"/>
                <w:vertAlign w:val="superscript"/>
                <w:rtl/>
              </w:rPr>
              <w:t>)</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325</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675 7</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347 186</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869 100</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54.1</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327</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800 7</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753 189</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668 102</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54.1</w:t>
            </w:r>
          </w:p>
        </w:tc>
      </w:tr>
      <w:tr w:rsidR="00484FEE" w:rsidRPr="003D01CA">
        <w:tblPrEx>
          <w:tblCellMar>
            <w:top w:w="0" w:type="dxa"/>
            <w:bottom w:w="0" w:type="dxa"/>
          </w:tblCellMar>
        </w:tblPrEx>
        <w:trPr>
          <w:cantSplit/>
          <w:trHeight w:val="342"/>
          <w:jc w:val="center"/>
        </w:trPr>
        <w:tc>
          <w:tcPr>
            <w:tcW w:w="3600" w:type="dxa"/>
            <w:shd w:val="clear" w:color="auto" w:fill="auto"/>
            <w:vAlign w:val="bottom"/>
          </w:tcPr>
          <w:p w:rsidR="00484FEE" w:rsidRPr="00FD0783" w:rsidRDefault="00484FEE" w:rsidP="0011796D">
            <w:pPr>
              <w:spacing w:before="40" w:after="40" w:line="200" w:lineRule="exact"/>
              <w:rPr>
                <w:rFonts w:hint="cs"/>
                <w:b/>
                <w:bCs/>
                <w:sz w:val="22"/>
                <w:szCs w:val="22"/>
                <w:vertAlign w:val="superscript"/>
                <w:rtl/>
              </w:rPr>
            </w:pPr>
            <w:r w:rsidRPr="00953A41">
              <w:rPr>
                <w:rFonts w:hint="cs"/>
                <w:b/>
                <w:bCs/>
                <w:sz w:val="22"/>
                <w:szCs w:val="22"/>
                <w:rtl/>
              </w:rPr>
              <w:t>مجموع المدارس العامة</w:t>
            </w:r>
            <w:r>
              <w:rPr>
                <w:rFonts w:hint="cs"/>
                <w:b/>
                <w:bCs/>
                <w:sz w:val="22"/>
                <w:szCs w:val="22"/>
                <w:vertAlign w:val="superscript"/>
                <w:rtl/>
              </w:rPr>
              <w:t>(2)</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279 5</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403 41</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623 872</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637 426</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48.9</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272 5</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261 41</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043 873</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813 426</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48.9</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953A41" w:rsidRDefault="00484FEE" w:rsidP="0011796D">
            <w:pPr>
              <w:spacing w:before="40" w:after="40" w:line="200" w:lineRule="exact"/>
              <w:rPr>
                <w:rFonts w:hint="cs"/>
                <w:b/>
                <w:bCs/>
                <w:sz w:val="22"/>
                <w:szCs w:val="22"/>
                <w:rtl/>
              </w:rPr>
            </w:pPr>
            <w:r w:rsidRPr="00953A41">
              <w:rPr>
                <w:rFonts w:hint="cs"/>
                <w:b/>
                <w:bCs/>
                <w:sz w:val="22"/>
                <w:szCs w:val="22"/>
                <w:rtl/>
              </w:rPr>
              <w:t>كليات التدريب الحرفي</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176</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658 5</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597 130</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885 43</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33.6</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176</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658 5</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597 130</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885 43</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33.6</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867173" w:rsidRDefault="00484FEE" w:rsidP="0011796D">
            <w:pPr>
              <w:spacing w:before="40" w:after="40" w:line="200" w:lineRule="exact"/>
              <w:rPr>
                <w:rFonts w:hint="cs"/>
                <w:sz w:val="22"/>
                <w:szCs w:val="22"/>
                <w:rtl/>
              </w:rPr>
            </w:pPr>
            <w:r w:rsidRPr="00867173">
              <w:rPr>
                <w:rFonts w:hint="cs"/>
                <w:sz w:val="22"/>
                <w:szCs w:val="22"/>
                <w:rtl/>
              </w:rPr>
              <w:t>الكليات التقنية والحرفية والفنية</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133</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731</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438 15</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987 2</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19.3</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132</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743</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565 15</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006 3</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19.3</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867173" w:rsidRDefault="00484FEE" w:rsidP="0011796D">
            <w:pPr>
              <w:spacing w:before="40" w:after="40" w:line="200" w:lineRule="exact"/>
              <w:rPr>
                <w:rFonts w:hint="cs"/>
                <w:sz w:val="22"/>
                <w:szCs w:val="22"/>
                <w:rtl/>
              </w:rPr>
            </w:pPr>
            <w:r w:rsidRPr="00867173">
              <w:rPr>
                <w:rFonts w:hint="cs"/>
                <w:sz w:val="22"/>
                <w:szCs w:val="22"/>
                <w:rtl/>
              </w:rPr>
              <w:t>الأعمال</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111</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522</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765 12</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889 7</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61.8</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109</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531</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136 13</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052 8</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61.3</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867173" w:rsidRDefault="00484FEE" w:rsidP="0011796D">
            <w:pPr>
              <w:spacing w:before="40" w:after="40" w:line="200" w:lineRule="exact"/>
              <w:rPr>
                <w:rFonts w:hint="cs"/>
                <w:sz w:val="22"/>
                <w:szCs w:val="22"/>
                <w:rtl/>
              </w:rPr>
            </w:pPr>
            <w:r w:rsidRPr="00867173">
              <w:rPr>
                <w:rFonts w:hint="cs"/>
                <w:sz w:val="22"/>
                <w:szCs w:val="22"/>
                <w:rtl/>
              </w:rPr>
              <w:t>العلوم المنزلية والتجارية</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98</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414</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373 9</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593 8</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91.7</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95</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404</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503 9</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538 8</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89.8</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867173" w:rsidRDefault="00484FEE" w:rsidP="0011796D">
            <w:pPr>
              <w:spacing w:before="40" w:after="40" w:line="200" w:lineRule="exact"/>
              <w:rPr>
                <w:rFonts w:hint="cs"/>
                <w:sz w:val="22"/>
                <w:szCs w:val="22"/>
                <w:rtl/>
              </w:rPr>
            </w:pPr>
            <w:r w:rsidRPr="00867173">
              <w:rPr>
                <w:rFonts w:hint="cs"/>
                <w:sz w:val="22"/>
                <w:szCs w:val="22"/>
                <w:rtl/>
              </w:rPr>
              <w:t>الرعاية الاجتماعية</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14</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64</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515 1</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428 1</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94.3</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15</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65</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642 1</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536 1</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93.5</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867173" w:rsidRDefault="00484FEE" w:rsidP="0011796D">
            <w:pPr>
              <w:spacing w:before="40" w:after="40" w:line="200" w:lineRule="exact"/>
              <w:rPr>
                <w:rFonts w:hint="cs"/>
                <w:sz w:val="22"/>
                <w:szCs w:val="22"/>
                <w:rtl/>
              </w:rPr>
            </w:pPr>
            <w:r w:rsidRPr="00867173">
              <w:rPr>
                <w:rFonts w:hint="cs"/>
                <w:sz w:val="22"/>
                <w:szCs w:val="22"/>
                <w:rtl/>
              </w:rPr>
              <w:t>الزراعة والحراجة</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104</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463</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721 10</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222 5</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48.7</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104</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463</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204 11</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533 5</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49.4</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FD0783" w:rsidRDefault="00484FEE" w:rsidP="0011796D">
            <w:pPr>
              <w:spacing w:before="40" w:after="40" w:line="200" w:lineRule="exact"/>
              <w:rPr>
                <w:rFonts w:hint="cs"/>
                <w:b/>
                <w:bCs/>
                <w:sz w:val="22"/>
                <w:szCs w:val="22"/>
                <w:vertAlign w:val="superscript"/>
                <w:rtl/>
              </w:rPr>
            </w:pPr>
            <w:r w:rsidRPr="00953A41">
              <w:rPr>
                <w:rFonts w:hint="cs"/>
                <w:b/>
                <w:bCs/>
                <w:sz w:val="22"/>
                <w:szCs w:val="22"/>
                <w:rtl/>
              </w:rPr>
              <w:t>مجموع الكليات التقنية المتوسطة وكليات التدريب المهني</w:t>
            </w:r>
            <w:r>
              <w:rPr>
                <w:rFonts w:hint="cs"/>
                <w:b/>
                <w:bCs/>
                <w:sz w:val="22"/>
                <w:szCs w:val="22"/>
                <w:vertAlign w:val="superscript"/>
                <w:rtl/>
              </w:rPr>
              <w:t>(2)</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444</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179 2</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410 49</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829 25</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52.3</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439</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206 2</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050 51</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665 26</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52.2</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867173" w:rsidRDefault="00484FEE" w:rsidP="0011796D">
            <w:pPr>
              <w:spacing w:before="40" w:after="40" w:line="200" w:lineRule="exact"/>
              <w:rPr>
                <w:rFonts w:hint="cs"/>
                <w:sz w:val="22"/>
                <w:szCs w:val="22"/>
                <w:rtl/>
              </w:rPr>
            </w:pPr>
            <w:r w:rsidRPr="00867173">
              <w:rPr>
                <w:rFonts w:hint="cs"/>
                <w:sz w:val="22"/>
                <w:szCs w:val="22"/>
                <w:rtl/>
              </w:rPr>
              <w:t>الكليات التقنية والحرفية والفنية</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101</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324 2</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178 57</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835 13</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24.2</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106</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377 2</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674 57</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817 13</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24.0</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867173" w:rsidRDefault="00484FEE" w:rsidP="0011796D">
            <w:pPr>
              <w:spacing w:before="40" w:after="40" w:line="200" w:lineRule="exact"/>
              <w:rPr>
                <w:rFonts w:hint="cs"/>
                <w:sz w:val="22"/>
                <w:szCs w:val="22"/>
                <w:rtl/>
              </w:rPr>
            </w:pPr>
            <w:r w:rsidRPr="00867173">
              <w:rPr>
                <w:rFonts w:hint="cs"/>
                <w:sz w:val="22"/>
                <w:szCs w:val="22"/>
                <w:rtl/>
              </w:rPr>
              <w:t>الأعمال</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108</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700 1</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460 42</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625 26</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62.7</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108</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726 1</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813 42</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839 26</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62.7</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867173" w:rsidRDefault="00484FEE" w:rsidP="0011796D">
            <w:pPr>
              <w:spacing w:before="40" w:after="40" w:line="200" w:lineRule="exact"/>
              <w:rPr>
                <w:rFonts w:hint="cs"/>
                <w:sz w:val="22"/>
                <w:szCs w:val="22"/>
                <w:rtl/>
              </w:rPr>
            </w:pPr>
            <w:r w:rsidRPr="00867173">
              <w:rPr>
                <w:rFonts w:hint="cs"/>
                <w:sz w:val="22"/>
                <w:szCs w:val="22"/>
                <w:rtl/>
              </w:rPr>
              <w:t>العلوم المنزلية والتجارية</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76</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946</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511 23</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034 22</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93.7</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82</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977</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361 24</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732 22</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93.3</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867173" w:rsidRDefault="00484FEE" w:rsidP="0011796D">
            <w:pPr>
              <w:spacing w:before="40" w:after="40" w:line="200" w:lineRule="exact"/>
              <w:rPr>
                <w:rFonts w:hint="cs"/>
                <w:sz w:val="22"/>
                <w:szCs w:val="22"/>
                <w:rtl/>
              </w:rPr>
            </w:pPr>
            <w:r w:rsidRPr="00867173">
              <w:rPr>
                <w:rFonts w:hint="cs"/>
                <w:sz w:val="22"/>
                <w:szCs w:val="22"/>
                <w:rtl/>
              </w:rPr>
              <w:t>الزراعة والحراجة</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13</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124</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325 3</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427 1</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42.9</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13</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124</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348 3</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457 1</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43.5</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953A41" w:rsidRDefault="00484FEE" w:rsidP="0011796D">
            <w:pPr>
              <w:spacing w:before="40" w:after="40" w:line="200" w:lineRule="exact"/>
              <w:rPr>
                <w:rFonts w:hint="cs"/>
                <w:b/>
                <w:bCs/>
                <w:sz w:val="22"/>
                <w:szCs w:val="22"/>
                <w:rtl/>
              </w:rPr>
            </w:pPr>
            <w:r w:rsidRPr="00953A41">
              <w:rPr>
                <w:rFonts w:hint="cs"/>
                <w:b/>
                <w:bCs/>
                <w:sz w:val="22"/>
                <w:szCs w:val="22"/>
                <w:rtl/>
              </w:rPr>
              <w:t>مجموع الكليات التق</w:t>
            </w:r>
            <w:r>
              <w:rPr>
                <w:rFonts w:hint="cs"/>
                <w:b/>
                <w:bCs/>
                <w:sz w:val="22"/>
                <w:szCs w:val="22"/>
                <w:rtl/>
              </w:rPr>
              <w:t>نية العليا وكليات التدريب المهن</w:t>
            </w:r>
            <w:r>
              <w:rPr>
                <w:rFonts w:hint="cs"/>
                <w:b/>
                <w:bCs/>
                <w:sz w:val="22"/>
                <w:szCs w:val="22"/>
                <w:vertAlign w:val="superscript"/>
                <w:rtl/>
              </w:rPr>
              <w:t>(2)</w:t>
            </w:r>
            <w:r w:rsidRPr="00953A41">
              <w:rPr>
                <w:rFonts w:hint="cs"/>
                <w:b/>
                <w:bCs/>
                <w:sz w:val="22"/>
                <w:szCs w:val="22"/>
                <w:vertAlign w:val="superscript"/>
                <w:rtl/>
              </w:rPr>
              <w:t>)</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284</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096 5</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495 126</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920 63</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50.0</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295</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204 5</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196 128</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845 64</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50.6</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953A41" w:rsidRDefault="00484FEE" w:rsidP="0011796D">
            <w:pPr>
              <w:spacing w:before="40" w:after="40" w:line="200" w:lineRule="exact"/>
              <w:rPr>
                <w:rFonts w:hint="cs"/>
                <w:b/>
                <w:bCs/>
                <w:sz w:val="22"/>
                <w:szCs w:val="22"/>
                <w:rtl/>
              </w:rPr>
            </w:pPr>
            <w:r w:rsidRPr="00953A41">
              <w:rPr>
                <w:rFonts w:hint="cs"/>
                <w:b/>
                <w:bCs/>
                <w:sz w:val="22"/>
                <w:szCs w:val="22"/>
                <w:rtl/>
              </w:rPr>
              <w:t>كليات الخدمة الاجتماعية</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35</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257 1</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988</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78.6</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10</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23</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826</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641</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77.6</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FD0783" w:rsidRDefault="00484FEE" w:rsidP="0011796D">
            <w:pPr>
              <w:spacing w:before="40" w:after="40" w:line="200" w:lineRule="exact"/>
              <w:rPr>
                <w:rFonts w:hint="cs"/>
                <w:b/>
                <w:bCs/>
                <w:sz w:val="22"/>
                <w:szCs w:val="22"/>
                <w:vertAlign w:val="superscript"/>
                <w:rtl/>
              </w:rPr>
            </w:pPr>
            <w:r w:rsidRPr="00953A41">
              <w:rPr>
                <w:rFonts w:hint="cs"/>
                <w:b/>
                <w:bCs/>
                <w:sz w:val="22"/>
                <w:szCs w:val="22"/>
                <w:rtl/>
              </w:rPr>
              <w:t>مجموع المدارس التقنية ومدارس التدريب المهني</w:t>
            </w:r>
            <w:r>
              <w:rPr>
                <w:rFonts w:hint="cs"/>
                <w:b/>
                <w:bCs/>
                <w:sz w:val="22"/>
                <w:szCs w:val="22"/>
                <w:vertAlign w:val="superscript"/>
                <w:rtl/>
              </w:rPr>
              <w:t>(2)</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676</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970 12</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775 309</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828 135</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43.8</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674</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091 13</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163 310</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695 135</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43.7</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953A41" w:rsidRDefault="00484FEE" w:rsidP="0011796D">
            <w:pPr>
              <w:spacing w:before="40" w:after="40" w:line="200" w:lineRule="exact"/>
              <w:rPr>
                <w:rFonts w:hint="cs"/>
                <w:b/>
                <w:bCs/>
                <w:sz w:val="22"/>
                <w:szCs w:val="22"/>
                <w:rtl/>
              </w:rPr>
            </w:pPr>
            <w:r w:rsidRPr="00953A41">
              <w:rPr>
                <w:rFonts w:hint="cs"/>
                <w:b/>
                <w:bCs/>
                <w:sz w:val="22"/>
                <w:szCs w:val="22"/>
                <w:rtl/>
              </w:rPr>
              <w:t>مجموع كليات التربية المتوسطة</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182</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069 4</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161 1</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28.5</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153</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820 3</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094 1</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28.6</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953A41" w:rsidRDefault="00484FEE" w:rsidP="0011796D">
            <w:pPr>
              <w:spacing w:before="40" w:after="40" w:line="200" w:lineRule="exact"/>
              <w:rPr>
                <w:rFonts w:hint="cs"/>
                <w:b/>
                <w:bCs/>
                <w:sz w:val="22"/>
                <w:szCs w:val="22"/>
                <w:rtl/>
              </w:rPr>
            </w:pPr>
            <w:r w:rsidRPr="00953A41">
              <w:rPr>
                <w:rFonts w:hint="cs"/>
                <w:b/>
                <w:bCs/>
                <w:sz w:val="22"/>
                <w:szCs w:val="22"/>
                <w:rtl/>
              </w:rPr>
              <w:t>مجموع كليات التربية العليا للتدريب</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35</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353</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996 8</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645 8</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96.1</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36</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352</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942 8</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580 8</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96.0</w:t>
            </w:r>
          </w:p>
        </w:tc>
      </w:tr>
      <w:tr w:rsidR="00484FEE" w:rsidRPr="003D01CA">
        <w:tblPrEx>
          <w:tblCellMar>
            <w:top w:w="0" w:type="dxa"/>
            <w:bottom w:w="0" w:type="dxa"/>
          </w:tblCellMar>
        </w:tblPrEx>
        <w:trPr>
          <w:cantSplit/>
          <w:jc w:val="center"/>
        </w:trPr>
        <w:tc>
          <w:tcPr>
            <w:tcW w:w="3600" w:type="dxa"/>
            <w:shd w:val="clear" w:color="auto" w:fill="auto"/>
            <w:vAlign w:val="bottom"/>
          </w:tcPr>
          <w:p w:rsidR="00484FEE" w:rsidRPr="00953A41" w:rsidRDefault="00484FEE" w:rsidP="0011796D">
            <w:pPr>
              <w:spacing w:before="40" w:after="40" w:line="200" w:lineRule="exact"/>
              <w:rPr>
                <w:rFonts w:hint="cs"/>
                <w:b/>
                <w:bCs/>
                <w:sz w:val="22"/>
                <w:szCs w:val="22"/>
                <w:rtl/>
              </w:rPr>
            </w:pPr>
            <w:r w:rsidRPr="00953A41">
              <w:rPr>
                <w:rFonts w:hint="cs"/>
                <w:b/>
                <w:bCs/>
                <w:sz w:val="22"/>
                <w:szCs w:val="22"/>
                <w:rtl/>
              </w:rPr>
              <w:t xml:space="preserve">مجموع كليات التربية للمرحلة الثالثة </w:t>
            </w:r>
          </w:p>
        </w:tc>
        <w:tc>
          <w:tcPr>
            <w:tcW w:w="750"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28</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664 13</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704 10</w:t>
            </w:r>
          </w:p>
        </w:tc>
        <w:tc>
          <w:tcPr>
            <w:tcW w:w="824"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78.3</w:t>
            </w:r>
          </w:p>
        </w:tc>
        <w:tc>
          <w:tcPr>
            <w:tcW w:w="927"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28</w:t>
            </w:r>
          </w:p>
        </w:tc>
        <w:tc>
          <w:tcPr>
            <w:tcW w:w="824" w:type="dxa"/>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w:t>
            </w:r>
          </w:p>
        </w:tc>
        <w:tc>
          <w:tcPr>
            <w:tcW w:w="994" w:type="dxa"/>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640 13</w:t>
            </w:r>
          </w:p>
        </w:tc>
        <w:tc>
          <w:tcPr>
            <w:tcW w:w="927"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780 10</w:t>
            </w:r>
          </w:p>
        </w:tc>
        <w:tc>
          <w:tcPr>
            <w:tcW w:w="778" w:type="dxa"/>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79.0</w:t>
            </w:r>
          </w:p>
        </w:tc>
      </w:tr>
      <w:tr w:rsidR="00484FEE" w:rsidRPr="003D01CA">
        <w:tblPrEx>
          <w:tblCellMar>
            <w:top w:w="0" w:type="dxa"/>
            <w:bottom w:w="0" w:type="dxa"/>
          </w:tblCellMar>
        </w:tblPrEx>
        <w:trPr>
          <w:cantSplit/>
          <w:jc w:val="center"/>
        </w:trPr>
        <w:tc>
          <w:tcPr>
            <w:tcW w:w="3600" w:type="dxa"/>
            <w:tcBorders>
              <w:bottom w:val="single" w:sz="2" w:space="0" w:color="auto"/>
            </w:tcBorders>
            <w:shd w:val="clear" w:color="auto" w:fill="auto"/>
            <w:vAlign w:val="bottom"/>
          </w:tcPr>
          <w:p w:rsidR="00484FEE" w:rsidRPr="00FD0783" w:rsidRDefault="00484FEE" w:rsidP="0011796D">
            <w:pPr>
              <w:spacing w:before="40" w:after="40" w:line="200" w:lineRule="exact"/>
              <w:rPr>
                <w:rFonts w:hint="cs"/>
                <w:b/>
                <w:bCs/>
                <w:sz w:val="22"/>
                <w:szCs w:val="22"/>
                <w:vertAlign w:val="superscript"/>
                <w:rtl/>
              </w:rPr>
            </w:pPr>
            <w:r w:rsidRPr="00953A41">
              <w:rPr>
                <w:rFonts w:hint="cs"/>
                <w:b/>
                <w:bCs/>
                <w:sz w:val="22"/>
                <w:szCs w:val="22"/>
                <w:rtl/>
              </w:rPr>
              <w:t>مجموع كليات تدريب المعلمين</w:t>
            </w:r>
            <w:r>
              <w:rPr>
                <w:rFonts w:hint="cs"/>
                <w:b/>
                <w:bCs/>
                <w:sz w:val="22"/>
                <w:szCs w:val="22"/>
                <w:vertAlign w:val="superscript"/>
                <w:rtl/>
              </w:rPr>
              <w:t>(2)</w:t>
            </w:r>
          </w:p>
        </w:tc>
        <w:tc>
          <w:tcPr>
            <w:tcW w:w="750" w:type="dxa"/>
            <w:tcBorders>
              <w:bottom w:val="single" w:sz="2" w:space="0" w:color="auto"/>
            </w:tcBorders>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67</w:t>
            </w:r>
          </w:p>
        </w:tc>
        <w:tc>
          <w:tcPr>
            <w:tcW w:w="824" w:type="dxa"/>
            <w:tcBorders>
              <w:bottom w:val="single" w:sz="2" w:space="0" w:color="auto"/>
            </w:tcBorders>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535</w:t>
            </w:r>
          </w:p>
        </w:tc>
        <w:tc>
          <w:tcPr>
            <w:tcW w:w="994" w:type="dxa"/>
            <w:tcBorders>
              <w:bottom w:val="single" w:sz="2" w:space="0" w:color="auto"/>
            </w:tcBorders>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729 26</w:t>
            </w:r>
          </w:p>
        </w:tc>
        <w:tc>
          <w:tcPr>
            <w:tcW w:w="927" w:type="dxa"/>
            <w:tcBorders>
              <w:bottom w:val="single" w:sz="2" w:space="0" w:color="auto"/>
            </w:tcBorders>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510 20</w:t>
            </w:r>
          </w:p>
        </w:tc>
        <w:tc>
          <w:tcPr>
            <w:tcW w:w="824" w:type="dxa"/>
            <w:tcBorders>
              <w:bottom w:val="single" w:sz="2" w:space="0" w:color="auto"/>
            </w:tcBorders>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76.7</w:t>
            </w:r>
          </w:p>
        </w:tc>
        <w:tc>
          <w:tcPr>
            <w:tcW w:w="927" w:type="dxa"/>
            <w:tcBorders>
              <w:bottom w:val="single" w:sz="2" w:space="0" w:color="auto"/>
            </w:tcBorders>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68</w:t>
            </w:r>
          </w:p>
        </w:tc>
        <w:tc>
          <w:tcPr>
            <w:tcW w:w="824" w:type="dxa"/>
            <w:tcBorders>
              <w:bottom w:val="single" w:sz="2" w:space="0" w:color="auto"/>
            </w:tcBorders>
            <w:shd w:val="clear" w:color="auto" w:fill="C0C0C0"/>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865</w:t>
            </w:r>
          </w:p>
        </w:tc>
        <w:tc>
          <w:tcPr>
            <w:tcW w:w="994" w:type="dxa"/>
            <w:tcBorders>
              <w:bottom w:val="single" w:sz="2" w:space="0" w:color="auto"/>
            </w:tcBorders>
            <w:shd w:val="clear" w:color="auto" w:fill="D9D9D9"/>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402 26</w:t>
            </w:r>
          </w:p>
        </w:tc>
        <w:tc>
          <w:tcPr>
            <w:tcW w:w="927" w:type="dxa"/>
            <w:tcBorders>
              <w:bottom w:val="single" w:sz="2" w:space="0" w:color="auto"/>
            </w:tcBorders>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454 20</w:t>
            </w:r>
          </w:p>
        </w:tc>
        <w:tc>
          <w:tcPr>
            <w:tcW w:w="778" w:type="dxa"/>
            <w:tcBorders>
              <w:bottom w:val="single" w:sz="2" w:space="0" w:color="auto"/>
            </w:tcBorders>
            <w:shd w:val="clear" w:color="auto" w:fill="auto"/>
            <w:vAlign w:val="bottom"/>
          </w:tcPr>
          <w:p w:rsidR="00484FEE" w:rsidRPr="00CC0A68" w:rsidRDefault="00484FEE" w:rsidP="0011796D">
            <w:pPr>
              <w:spacing w:before="40" w:after="40" w:line="200" w:lineRule="exact"/>
              <w:ind w:right="144"/>
              <w:jc w:val="lowKashida"/>
              <w:rPr>
                <w:rFonts w:hint="cs"/>
                <w:sz w:val="14"/>
                <w:szCs w:val="22"/>
                <w:rtl/>
              </w:rPr>
            </w:pPr>
            <w:r w:rsidRPr="00CC0A68">
              <w:rPr>
                <w:rFonts w:hint="cs"/>
                <w:sz w:val="14"/>
                <w:szCs w:val="22"/>
                <w:rtl/>
              </w:rPr>
              <w:t>77.5</w:t>
            </w:r>
          </w:p>
        </w:tc>
      </w:tr>
      <w:tr w:rsidR="00484FEE" w:rsidRPr="00F04E44">
        <w:tblPrEx>
          <w:tblCellMar>
            <w:top w:w="0" w:type="dxa"/>
            <w:bottom w:w="0" w:type="dxa"/>
          </w:tblCellMar>
        </w:tblPrEx>
        <w:trPr>
          <w:cantSplit/>
          <w:jc w:val="center"/>
        </w:trPr>
        <w:tc>
          <w:tcPr>
            <w:tcW w:w="3600" w:type="dxa"/>
            <w:tcBorders>
              <w:top w:val="single" w:sz="2" w:space="0" w:color="auto"/>
              <w:bottom w:val="single" w:sz="12" w:space="0" w:color="auto"/>
            </w:tcBorders>
            <w:shd w:val="clear" w:color="auto" w:fill="C0C0C0"/>
            <w:vAlign w:val="bottom"/>
          </w:tcPr>
          <w:p w:rsidR="00484FEE" w:rsidRPr="00FD0783" w:rsidRDefault="00484FEE" w:rsidP="0011796D">
            <w:pPr>
              <w:spacing w:before="40" w:after="40" w:line="200" w:lineRule="exact"/>
              <w:rPr>
                <w:rFonts w:hint="cs"/>
                <w:b/>
                <w:bCs/>
                <w:sz w:val="22"/>
                <w:szCs w:val="22"/>
                <w:vertAlign w:val="superscript"/>
                <w:rtl/>
              </w:rPr>
            </w:pPr>
            <w:r w:rsidRPr="00F04E44">
              <w:rPr>
                <w:rFonts w:hint="cs"/>
                <w:b/>
                <w:bCs/>
                <w:sz w:val="22"/>
                <w:szCs w:val="22"/>
                <w:rtl/>
              </w:rPr>
              <w:t>مجموع جميع المدارس</w:t>
            </w:r>
            <w:r>
              <w:rPr>
                <w:rFonts w:hint="cs"/>
                <w:b/>
                <w:bCs/>
                <w:sz w:val="22"/>
                <w:szCs w:val="22"/>
                <w:vertAlign w:val="superscript"/>
                <w:rtl/>
              </w:rPr>
              <w:t>(2)</w:t>
            </w:r>
          </w:p>
        </w:tc>
        <w:tc>
          <w:tcPr>
            <w:tcW w:w="750" w:type="dxa"/>
            <w:tcBorders>
              <w:top w:val="single" w:sz="2" w:space="0" w:color="auto"/>
              <w:bottom w:val="single" w:sz="12" w:space="0" w:color="auto"/>
            </w:tcBorders>
            <w:shd w:val="clear" w:color="auto" w:fill="C0C0C0"/>
            <w:vAlign w:val="bottom"/>
          </w:tcPr>
          <w:p w:rsidR="00484FEE" w:rsidRPr="00CC0A68" w:rsidRDefault="00484FEE" w:rsidP="0011796D">
            <w:pPr>
              <w:spacing w:before="40" w:after="40" w:line="200" w:lineRule="exact"/>
              <w:ind w:right="144"/>
              <w:jc w:val="lowKashida"/>
              <w:rPr>
                <w:rFonts w:hint="cs"/>
                <w:b/>
                <w:bCs/>
                <w:sz w:val="12"/>
                <w:szCs w:val="20"/>
                <w:rtl/>
              </w:rPr>
            </w:pPr>
            <w:r w:rsidRPr="00CC0A68">
              <w:rPr>
                <w:rFonts w:hint="cs"/>
                <w:b/>
                <w:bCs/>
                <w:sz w:val="12"/>
                <w:szCs w:val="20"/>
                <w:rtl/>
              </w:rPr>
              <w:t>022 6</w:t>
            </w:r>
          </w:p>
        </w:tc>
        <w:tc>
          <w:tcPr>
            <w:tcW w:w="824" w:type="dxa"/>
            <w:tcBorders>
              <w:top w:val="single" w:sz="2" w:space="0" w:color="auto"/>
              <w:bottom w:val="single" w:sz="12" w:space="0" w:color="auto"/>
            </w:tcBorders>
            <w:shd w:val="clear" w:color="auto" w:fill="C0C0C0"/>
            <w:vAlign w:val="bottom"/>
          </w:tcPr>
          <w:p w:rsidR="00484FEE" w:rsidRPr="00CC0A68" w:rsidRDefault="00484FEE" w:rsidP="0011796D">
            <w:pPr>
              <w:spacing w:before="40" w:after="40" w:line="200" w:lineRule="exact"/>
              <w:ind w:right="144"/>
              <w:jc w:val="lowKashida"/>
              <w:rPr>
                <w:rFonts w:hint="cs"/>
                <w:b/>
                <w:bCs/>
                <w:sz w:val="12"/>
                <w:szCs w:val="20"/>
                <w:rtl/>
              </w:rPr>
            </w:pPr>
            <w:r w:rsidRPr="00CC0A68">
              <w:rPr>
                <w:rFonts w:hint="cs"/>
                <w:b/>
                <w:bCs/>
                <w:sz w:val="12"/>
                <w:szCs w:val="20"/>
                <w:rtl/>
              </w:rPr>
              <w:t>908 54</w:t>
            </w:r>
          </w:p>
        </w:tc>
        <w:tc>
          <w:tcPr>
            <w:tcW w:w="994" w:type="dxa"/>
            <w:tcBorders>
              <w:top w:val="single" w:sz="2" w:space="0" w:color="auto"/>
              <w:bottom w:val="single" w:sz="12" w:space="0" w:color="auto"/>
            </w:tcBorders>
            <w:shd w:val="clear" w:color="auto" w:fill="C0C0C0"/>
            <w:vAlign w:val="bottom"/>
          </w:tcPr>
          <w:p w:rsidR="00484FEE" w:rsidRPr="00CC0A68" w:rsidRDefault="00484FEE" w:rsidP="0011796D">
            <w:pPr>
              <w:spacing w:before="40" w:after="40" w:line="200" w:lineRule="exact"/>
              <w:ind w:right="144"/>
              <w:jc w:val="lowKashida"/>
              <w:rPr>
                <w:rFonts w:hint="cs"/>
                <w:b/>
                <w:bCs/>
                <w:w w:val="100"/>
                <w:sz w:val="12"/>
                <w:szCs w:val="20"/>
                <w:rtl/>
                <w:lang w:bidi="ar-SY"/>
              </w:rPr>
            </w:pPr>
            <w:r w:rsidRPr="00CC0A68">
              <w:rPr>
                <w:rFonts w:hint="cs"/>
                <w:b/>
                <w:bCs/>
                <w:w w:val="100"/>
                <w:sz w:val="12"/>
                <w:szCs w:val="20"/>
                <w:rtl/>
              </w:rPr>
              <w:t xml:space="preserve">127 209 </w:t>
            </w:r>
            <w:r w:rsidRPr="00CC0A68">
              <w:rPr>
                <w:rFonts w:hint="cs"/>
                <w:b/>
                <w:bCs/>
                <w:w w:val="100"/>
                <w:sz w:val="12"/>
                <w:szCs w:val="20"/>
                <w:rtl/>
                <w:lang w:bidi="ar-SY"/>
              </w:rPr>
              <w:t>1</w:t>
            </w:r>
          </w:p>
        </w:tc>
        <w:tc>
          <w:tcPr>
            <w:tcW w:w="927" w:type="dxa"/>
            <w:tcBorders>
              <w:top w:val="single" w:sz="2" w:space="0" w:color="auto"/>
              <w:bottom w:val="single" w:sz="12" w:space="0" w:color="auto"/>
            </w:tcBorders>
            <w:shd w:val="clear" w:color="auto" w:fill="C0C0C0"/>
            <w:vAlign w:val="bottom"/>
          </w:tcPr>
          <w:p w:rsidR="00484FEE" w:rsidRPr="00CC0A68" w:rsidRDefault="00484FEE" w:rsidP="0011796D">
            <w:pPr>
              <w:spacing w:before="40" w:after="40" w:line="200" w:lineRule="exact"/>
              <w:ind w:right="144"/>
              <w:jc w:val="lowKashida"/>
              <w:rPr>
                <w:rFonts w:hint="cs"/>
                <w:b/>
                <w:bCs/>
                <w:sz w:val="12"/>
                <w:szCs w:val="20"/>
                <w:rtl/>
              </w:rPr>
            </w:pPr>
            <w:r w:rsidRPr="00CC0A68">
              <w:rPr>
                <w:rFonts w:hint="cs"/>
                <w:b/>
                <w:bCs/>
                <w:sz w:val="12"/>
                <w:szCs w:val="20"/>
                <w:rtl/>
              </w:rPr>
              <w:t>975 582</w:t>
            </w:r>
          </w:p>
        </w:tc>
        <w:tc>
          <w:tcPr>
            <w:tcW w:w="824" w:type="dxa"/>
            <w:tcBorders>
              <w:top w:val="single" w:sz="2" w:space="0" w:color="auto"/>
              <w:bottom w:val="single" w:sz="12" w:space="0" w:color="auto"/>
            </w:tcBorders>
            <w:shd w:val="clear" w:color="auto" w:fill="C0C0C0"/>
            <w:vAlign w:val="bottom"/>
          </w:tcPr>
          <w:p w:rsidR="00484FEE" w:rsidRPr="00CC0A68" w:rsidRDefault="00484FEE" w:rsidP="0011796D">
            <w:pPr>
              <w:spacing w:before="40" w:after="40" w:line="200" w:lineRule="exact"/>
              <w:ind w:right="144"/>
              <w:jc w:val="lowKashida"/>
              <w:rPr>
                <w:rFonts w:hint="cs"/>
                <w:b/>
                <w:bCs/>
                <w:sz w:val="12"/>
                <w:szCs w:val="20"/>
                <w:rtl/>
              </w:rPr>
            </w:pPr>
            <w:r w:rsidRPr="00CC0A68">
              <w:rPr>
                <w:rFonts w:hint="cs"/>
                <w:b/>
                <w:bCs/>
                <w:sz w:val="12"/>
                <w:szCs w:val="20"/>
                <w:rtl/>
              </w:rPr>
              <w:t>48.2</w:t>
            </w:r>
          </w:p>
        </w:tc>
        <w:tc>
          <w:tcPr>
            <w:tcW w:w="927" w:type="dxa"/>
            <w:tcBorders>
              <w:top w:val="single" w:sz="2" w:space="0" w:color="auto"/>
              <w:bottom w:val="single" w:sz="12" w:space="0" w:color="auto"/>
            </w:tcBorders>
            <w:shd w:val="clear" w:color="auto" w:fill="C0C0C0"/>
            <w:vAlign w:val="bottom"/>
          </w:tcPr>
          <w:p w:rsidR="00484FEE" w:rsidRPr="00CC0A68" w:rsidRDefault="00484FEE" w:rsidP="0011796D">
            <w:pPr>
              <w:spacing w:before="40" w:after="40" w:line="200" w:lineRule="exact"/>
              <w:ind w:right="144"/>
              <w:jc w:val="lowKashida"/>
              <w:rPr>
                <w:rFonts w:hint="cs"/>
                <w:b/>
                <w:bCs/>
                <w:sz w:val="12"/>
                <w:szCs w:val="20"/>
                <w:rtl/>
              </w:rPr>
            </w:pPr>
            <w:r w:rsidRPr="00CC0A68">
              <w:rPr>
                <w:rFonts w:hint="cs"/>
                <w:b/>
                <w:bCs/>
                <w:sz w:val="12"/>
                <w:szCs w:val="20"/>
                <w:rtl/>
              </w:rPr>
              <w:t>014 6</w:t>
            </w:r>
          </w:p>
        </w:tc>
        <w:tc>
          <w:tcPr>
            <w:tcW w:w="824" w:type="dxa"/>
            <w:tcBorders>
              <w:top w:val="single" w:sz="2" w:space="0" w:color="auto"/>
              <w:bottom w:val="single" w:sz="12" w:space="0" w:color="auto"/>
            </w:tcBorders>
            <w:shd w:val="clear" w:color="auto" w:fill="C0C0C0"/>
            <w:vAlign w:val="bottom"/>
          </w:tcPr>
          <w:p w:rsidR="00484FEE" w:rsidRPr="00CC0A68" w:rsidRDefault="00484FEE" w:rsidP="0011796D">
            <w:pPr>
              <w:spacing w:before="40" w:after="40" w:line="200" w:lineRule="exact"/>
              <w:ind w:right="144"/>
              <w:jc w:val="lowKashida"/>
              <w:rPr>
                <w:rFonts w:hint="cs"/>
                <w:b/>
                <w:bCs/>
                <w:sz w:val="12"/>
                <w:szCs w:val="20"/>
                <w:rtl/>
              </w:rPr>
            </w:pPr>
            <w:r w:rsidRPr="00CC0A68">
              <w:rPr>
                <w:rFonts w:hint="cs"/>
                <w:b/>
                <w:bCs/>
                <w:sz w:val="12"/>
                <w:szCs w:val="20"/>
                <w:rtl/>
              </w:rPr>
              <w:t>857 54</w:t>
            </w:r>
          </w:p>
        </w:tc>
        <w:tc>
          <w:tcPr>
            <w:tcW w:w="994" w:type="dxa"/>
            <w:tcBorders>
              <w:top w:val="single" w:sz="2" w:space="0" w:color="auto"/>
              <w:bottom w:val="single" w:sz="12" w:space="0" w:color="auto"/>
            </w:tcBorders>
            <w:shd w:val="clear" w:color="auto" w:fill="C0C0C0"/>
            <w:vAlign w:val="bottom"/>
          </w:tcPr>
          <w:p w:rsidR="00484FEE" w:rsidRPr="00CC0A68" w:rsidRDefault="00484FEE" w:rsidP="0011796D">
            <w:pPr>
              <w:spacing w:before="40" w:after="40" w:line="200" w:lineRule="exact"/>
              <w:ind w:right="144"/>
              <w:jc w:val="lowKashida"/>
              <w:rPr>
                <w:rFonts w:hint="cs"/>
                <w:b/>
                <w:bCs/>
                <w:sz w:val="12"/>
                <w:szCs w:val="20"/>
                <w:rtl/>
              </w:rPr>
            </w:pPr>
            <w:r w:rsidRPr="00CC0A68">
              <w:rPr>
                <w:rFonts w:hint="cs"/>
                <w:b/>
                <w:bCs/>
                <w:w w:val="100"/>
                <w:sz w:val="12"/>
                <w:szCs w:val="20"/>
                <w:rtl/>
                <w:lang w:bidi="ar-SY"/>
              </w:rPr>
              <w:t>114 210 1</w:t>
            </w:r>
          </w:p>
        </w:tc>
        <w:tc>
          <w:tcPr>
            <w:tcW w:w="927" w:type="dxa"/>
            <w:tcBorders>
              <w:top w:val="single" w:sz="2" w:space="0" w:color="auto"/>
              <w:bottom w:val="single" w:sz="12" w:space="0" w:color="auto"/>
            </w:tcBorders>
            <w:shd w:val="clear" w:color="auto" w:fill="C0C0C0"/>
            <w:vAlign w:val="bottom"/>
          </w:tcPr>
          <w:p w:rsidR="00484FEE" w:rsidRPr="00CC0A68" w:rsidRDefault="00484FEE" w:rsidP="0011796D">
            <w:pPr>
              <w:spacing w:before="40" w:after="40" w:line="200" w:lineRule="exact"/>
              <w:ind w:right="144"/>
              <w:jc w:val="lowKashida"/>
              <w:rPr>
                <w:rFonts w:hint="cs"/>
                <w:b/>
                <w:bCs/>
                <w:sz w:val="12"/>
                <w:szCs w:val="20"/>
                <w:rtl/>
              </w:rPr>
            </w:pPr>
            <w:r w:rsidRPr="00CC0A68">
              <w:rPr>
                <w:rFonts w:hint="cs"/>
                <w:b/>
                <w:bCs/>
                <w:sz w:val="12"/>
                <w:szCs w:val="20"/>
                <w:rtl/>
              </w:rPr>
              <w:t>303 583</w:t>
            </w:r>
          </w:p>
        </w:tc>
        <w:tc>
          <w:tcPr>
            <w:tcW w:w="778" w:type="dxa"/>
            <w:tcBorders>
              <w:top w:val="single" w:sz="2" w:space="0" w:color="auto"/>
              <w:bottom w:val="single" w:sz="12" w:space="0" w:color="auto"/>
            </w:tcBorders>
            <w:shd w:val="clear" w:color="auto" w:fill="C0C0C0"/>
            <w:vAlign w:val="bottom"/>
          </w:tcPr>
          <w:p w:rsidR="00484FEE" w:rsidRPr="00CC0A68" w:rsidRDefault="00484FEE" w:rsidP="0011796D">
            <w:pPr>
              <w:spacing w:before="40" w:after="40" w:line="200" w:lineRule="exact"/>
              <w:ind w:right="144"/>
              <w:jc w:val="lowKashida"/>
              <w:rPr>
                <w:rFonts w:hint="cs"/>
                <w:b/>
                <w:bCs/>
                <w:sz w:val="12"/>
                <w:szCs w:val="20"/>
                <w:rtl/>
              </w:rPr>
            </w:pPr>
            <w:r w:rsidRPr="00CC0A68">
              <w:rPr>
                <w:rFonts w:hint="cs"/>
                <w:b/>
                <w:bCs/>
                <w:sz w:val="12"/>
                <w:szCs w:val="20"/>
                <w:rtl/>
              </w:rPr>
              <w:t>48.2</w:t>
            </w:r>
          </w:p>
        </w:tc>
      </w:tr>
    </w:tbl>
    <w:p w:rsidR="00484FEE" w:rsidRPr="00FC78A2" w:rsidRDefault="00484FEE" w:rsidP="00484FEE">
      <w:pPr>
        <w:pStyle w:val="FootnoteText"/>
        <w:tabs>
          <w:tab w:val="clear" w:pos="418"/>
          <w:tab w:val="right" w:pos="1195"/>
          <w:tab w:val="left" w:pos="1267"/>
          <w:tab w:val="left" w:pos="1656"/>
          <w:tab w:val="left" w:pos="2088"/>
        </w:tabs>
        <w:spacing w:line="120" w:lineRule="exact"/>
        <w:ind w:left="1267" w:right="1267" w:hanging="547"/>
        <w:rPr>
          <w:sz w:val="10"/>
          <w:rtl/>
        </w:rPr>
      </w:pPr>
    </w:p>
    <w:p w:rsidR="00484FEE" w:rsidRPr="00867173" w:rsidRDefault="00484FEE" w:rsidP="00484FEE">
      <w:pPr>
        <w:pStyle w:val="FootnoteText"/>
        <w:tabs>
          <w:tab w:val="clear" w:pos="418"/>
          <w:tab w:val="right" w:pos="1195"/>
          <w:tab w:val="left" w:pos="1267"/>
          <w:tab w:val="left" w:pos="1656"/>
          <w:tab w:val="left" w:pos="2088"/>
        </w:tabs>
        <w:spacing w:after="80" w:line="260" w:lineRule="exact"/>
        <w:ind w:left="1267" w:right="1267" w:hanging="547"/>
        <w:rPr>
          <w:rFonts w:hint="cs"/>
          <w:spacing w:val="-5"/>
          <w:w w:val="103"/>
          <w:sz w:val="24"/>
          <w:szCs w:val="24"/>
          <w:rtl/>
        </w:rPr>
      </w:pPr>
      <w:r>
        <w:rPr>
          <w:rtl/>
        </w:rPr>
        <w:tab/>
      </w:r>
      <w:r w:rsidRPr="003D01CA">
        <w:rPr>
          <w:spacing w:val="-5"/>
          <w:w w:val="103"/>
          <w:rtl/>
        </w:rPr>
        <w:t>()</w:t>
      </w:r>
      <w:r w:rsidRPr="003D01CA">
        <w:rPr>
          <w:spacing w:val="-5"/>
          <w:w w:val="103"/>
          <w:rtl/>
        </w:rPr>
        <w:tab/>
      </w:r>
      <w:r w:rsidRPr="00867173">
        <w:rPr>
          <w:rFonts w:hint="cs"/>
          <w:spacing w:val="-5"/>
          <w:w w:val="103"/>
          <w:sz w:val="24"/>
          <w:szCs w:val="24"/>
          <w:rtl/>
        </w:rPr>
        <w:t xml:space="preserve">تم جمع البيانات في تشرين الأول/أكتوبر 2001. ولا تشمل هذه البيانات المدارس في ميدان الرعاية الصحية والمدارس التي لها أنظمتها الأساسية الخاصة بها. </w:t>
      </w:r>
    </w:p>
    <w:p w:rsidR="00484FEE" w:rsidRPr="00867173" w:rsidRDefault="00484FEE" w:rsidP="00484FEE">
      <w:pPr>
        <w:pStyle w:val="FootnoteText"/>
        <w:tabs>
          <w:tab w:val="clear" w:pos="418"/>
          <w:tab w:val="right" w:pos="1195"/>
          <w:tab w:val="left" w:pos="1267"/>
          <w:tab w:val="left" w:pos="1656"/>
          <w:tab w:val="left" w:pos="2088"/>
        </w:tabs>
        <w:spacing w:after="80" w:line="260" w:lineRule="exact"/>
        <w:ind w:left="1267" w:right="1267" w:hanging="547"/>
        <w:rPr>
          <w:rFonts w:hint="cs"/>
          <w:spacing w:val="-5"/>
          <w:w w:val="103"/>
          <w:sz w:val="24"/>
          <w:szCs w:val="24"/>
        </w:rPr>
      </w:pPr>
      <w:r>
        <w:rPr>
          <w:rFonts w:hint="cs"/>
          <w:spacing w:val="-5"/>
          <w:w w:val="103"/>
          <w:sz w:val="24"/>
          <w:szCs w:val="24"/>
          <w:rtl/>
        </w:rPr>
        <w:tab/>
      </w:r>
      <w:r w:rsidRPr="00867173">
        <w:rPr>
          <w:rFonts w:hint="cs"/>
          <w:spacing w:val="-5"/>
          <w:w w:val="103"/>
          <w:sz w:val="24"/>
          <w:szCs w:val="24"/>
          <w:rtl/>
        </w:rPr>
        <w:t>(</w:t>
      </w:r>
      <w:r w:rsidRPr="008776C1">
        <w:rPr>
          <w:rFonts w:hint="cs"/>
          <w:spacing w:val="-5"/>
          <w:w w:val="103"/>
          <w:sz w:val="24"/>
          <w:szCs w:val="24"/>
          <w:rtl/>
        </w:rPr>
        <w:t>2</w:t>
      </w:r>
      <w:r w:rsidRPr="00867173">
        <w:rPr>
          <w:rFonts w:hint="cs"/>
          <w:spacing w:val="-5"/>
          <w:w w:val="103"/>
          <w:sz w:val="24"/>
          <w:szCs w:val="24"/>
          <w:rtl/>
        </w:rPr>
        <w:t>)</w:t>
      </w:r>
      <w:r w:rsidRPr="00867173">
        <w:rPr>
          <w:rFonts w:hint="cs"/>
          <w:spacing w:val="-5"/>
          <w:w w:val="103"/>
          <w:sz w:val="24"/>
          <w:szCs w:val="24"/>
          <w:rtl/>
        </w:rPr>
        <w:tab/>
        <w:t>لا تحسب إلا مرة واحدة المدارس التي تقدم أنواع مختلفة من الدراسة.</w:t>
      </w:r>
    </w:p>
    <w:p w:rsidR="00484FEE" w:rsidRPr="00A77B98" w:rsidRDefault="00484FEE" w:rsidP="00484FEE">
      <w:pPr>
        <w:pStyle w:val="SingleTxt"/>
        <w:rPr>
          <w:rFonts w:hint="cs"/>
          <w:b/>
          <w:bCs/>
          <w:rtl/>
        </w:rPr>
      </w:pPr>
      <w:r>
        <w:rPr>
          <w:b/>
          <w:bCs/>
          <w:rtl/>
        </w:rPr>
        <w:br w:type="page"/>
      </w:r>
      <w:r w:rsidRPr="00A77B98">
        <w:rPr>
          <w:rFonts w:hint="cs"/>
          <w:b/>
          <w:bCs/>
          <w:rtl/>
        </w:rPr>
        <w:t>العاملون في الجامعات</w:t>
      </w:r>
    </w:p>
    <w:p w:rsidR="00484FEE" w:rsidRPr="00A77B98" w:rsidRDefault="00484FEE" w:rsidP="00484FEE">
      <w:pPr>
        <w:pStyle w:val="SingleTxt"/>
        <w:rPr>
          <w:rFonts w:hint="cs"/>
          <w:b/>
          <w:bCs/>
          <w:rtl/>
        </w:rPr>
      </w:pPr>
      <w:r w:rsidRPr="00A77B98">
        <w:rPr>
          <w:rFonts w:hint="cs"/>
          <w:b/>
          <w:bCs/>
          <w:rtl/>
        </w:rPr>
        <w:t>العاملون بشكل متفرغ في الجامعات وفي جامعات الفنون والموسيقى</w:t>
      </w:r>
      <w:bookmarkStart w:id="2" w:name="manualnote"/>
      <w:bookmarkEnd w:id="2"/>
      <w:r w:rsidRPr="00FD0783">
        <w:rPr>
          <w:rFonts w:hint="cs"/>
          <w:b/>
          <w:bCs/>
          <w:vertAlign w:val="superscript"/>
          <w:rtl/>
        </w:rPr>
        <w:t>(1)</w:t>
      </w:r>
      <w:r w:rsidRPr="00A77B98">
        <w:rPr>
          <w:rFonts w:hint="cs"/>
          <w:b/>
          <w:bCs/>
          <w:rtl/>
        </w:rPr>
        <w:t xml:space="preserve"> في الأعوام 2000 و 2001 و 2002</w:t>
      </w:r>
    </w:p>
    <w:tbl>
      <w:tblPr>
        <w:bidiVisual/>
        <w:tblW w:w="12715" w:type="dxa"/>
        <w:jc w:val="center"/>
        <w:tblInd w:w="-770" w:type="dxa"/>
        <w:tblLayout w:type="fixed"/>
        <w:tblCellMar>
          <w:left w:w="0" w:type="dxa"/>
          <w:right w:w="0" w:type="dxa"/>
        </w:tblCellMar>
        <w:tblLook w:val="0000" w:firstRow="0" w:lastRow="0" w:firstColumn="0" w:lastColumn="0" w:noHBand="0" w:noVBand="0"/>
      </w:tblPr>
      <w:tblGrid>
        <w:gridCol w:w="2209"/>
        <w:gridCol w:w="978"/>
        <w:gridCol w:w="900"/>
        <w:gridCol w:w="594"/>
        <w:gridCol w:w="1030"/>
        <w:gridCol w:w="927"/>
        <w:gridCol w:w="618"/>
        <w:gridCol w:w="1030"/>
        <w:gridCol w:w="927"/>
        <w:gridCol w:w="824"/>
        <w:gridCol w:w="1030"/>
        <w:gridCol w:w="927"/>
        <w:gridCol w:w="721"/>
      </w:tblGrid>
      <w:tr w:rsidR="00484FEE" w:rsidRPr="009E129F">
        <w:tblPrEx>
          <w:tblCellMar>
            <w:top w:w="0" w:type="dxa"/>
            <w:bottom w:w="0" w:type="dxa"/>
          </w:tblCellMar>
        </w:tblPrEx>
        <w:trPr>
          <w:cantSplit/>
          <w:tblHeader/>
          <w:jc w:val="center"/>
        </w:trPr>
        <w:tc>
          <w:tcPr>
            <w:tcW w:w="2209" w:type="dxa"/>
            <w:tcBorders>
              <w:top w:val="single" w:sz="4" w:space="0" w:color="auto"/>
            </w:tcBorders>
            <w:shd w:val="clear" w:color="auto" w:fill="auto"/>
            <w:tcMar>
              <w:left w:w="0" w:type="dxa"/>
              <w:right w:w="0" w:type="dxa"/>
            </w:tcMar>
            <w:vAlign w:val="bottom"/>
          </w:tcPr>
          <w:p w:rsidR="00484FEE" w:rsidRPr="009E129F" w:rsidRDefault="00484FEE" w:rsidP="0011796D">
            <w:pPr>
              <w:spacing w:before="80" w:after="80" w:line="240" w:lineRule="exact"/>
              <w:jc w:val="lowKashida"/>
              <w:rPr>
                <w:rFonts w:hint="cs"/>
                <w:i/>
                <w:iCs/>
                <w:sz w:val="12"/>
                <w:szCs w:val="20"/>
                <w:rtl/>
              </w:rPr>
            </w:pPr>
          </w:p>
        </w:tc>
        <w:tc>
          <w:tcPr>
            <w:tcW w:w="2472" w:type="dxa"/>
            <w:gridSpan w:val="3"/>
            <w:tcBorders>
              <w:top w:val="single" w:sz="4" w:space="0" w:color="auto"/>
            </w:tcBorders>
            <w:shd w:val="clear" w:color="auto" w:fill="auto"/>
            <w:vAlign w:val="bottom"/>
          </w:tcPr>
          <w:p w:rsidR="00484FEE" w:rsidRPr="009E129F" w:rsidRDefault="00484FEE" w:rsidP="0011796D">
            <w:pPr>
              <w:spacing w:before="80" w:after="80" w:line="240" w:lineRule="exact"/>
              <w:ind w:right="144"/>
              <w:jc w:val="center"/>
              <w:rPr>
                <w:rFonts w:hint="cs"/>
                <w:i/>
                <w:iCs/>
                <w:sz w:val="12"/>
                <w:szCs w:val="20"/>
                <w:rtl/>
              </w:rPr>
            </w:pPr>
            <w:r w:rsidRPr="009E129F">
              <w:rPr>
                <w:rFonts w:hint="cs"/>
                <w:i/>
                <w:iCs/>
                <w:sz w:val="12"/>
                <w:szCs w:val="20"/>
                <w:rtl/>
              </w:rPr>
              <w:t>2000</w:t>
            </w:r>
          </w:p>
        </w:tc>
        <w:tc>
          <w:tcPr>
            <w:tcW w:w="2575" w:type="dxa"/>
            <w:gridSpan w:val="3"/>
            <w:tcBorders>
              <w:top w:val="single" w:sz="4" w:space="0" w:color="auto"/>
            </w:tcBorders>
            <w:shd w:val="clear" w:color="auto" w:fill="auto"/>
            <w:vAlign w:val="bottom"/>
          </w:tcPr>
          <w:p w:rsidR="00484FEE" w:rsidRPr="009E129F" w:rsidRDefault="00484FEE" w:rsidP="0011796D">
            <w:pPr>
              <w:spacing w:before="80" w:after="80" w:line="240" w:lineRule="exact"/>
              <w:ind w:right="144"/>
              <w:jc w:val="center"/>
              <w:rPr>
                <w:rFonts w:hint="cs"/>
                <w:i/>
                <w:iCs/>
                <w:sz w:val="12"/>
                <w:szCs w:val="20"/>
                <w:rtl/>
              </w:rPr>
            </w:pPr>
            <w:r w:rsidRPr="009E129F">
              <w:rPr>
                <w:rFonts w:hint="cs"/>
                <w:i/>
                <w:iCs/>
                <w:sz w:val="12"/>
                <w:szCs w:val="20"/>
                <w:rtl/>
              </w:rPr>
              <w:t>2001</w:t>
            </w:r>
          </w:p>
        </w:tc>
        <w:tc>
          <w:tcPr>
            <w:tcW w:w="2781" w:type="dxa"/>
            <w:gridSpan w:val="3"/>
            <w:tcBorders>
              <w:top w:val="single" w:sz="4" w:space="0" w:color="auto"/>
            </w:tcBorders>
            <w:shd w:val="clear" w:color="auto" w:fill="auto"/>
            <w:vAlign w:val="bottom"/>
          </w:tcPr>
          <w:p w:rsidR="00484FEE" w:rsidRPr="009E129F" w:rsidRDefault="00484FEE" w:rsidP="0011796D">
            <w:pPr>
              <w:spacing w:before="80" w:after="80" w:line="240" w:lineRule="exact"/>
              <w:ind w:right="144"/>
              <w:jc w:val="center"/>
              <w:rPr>
                <w:rFonts w:hint="cs"/>
                <w:i/>
                <w:iCs/>
                <w:sz w:val="12"/>
                <w:szCs w:val="20"/>
                <w:rtl/>
              </w:rPr>
            </w:pPr>
            <w:r w:rsidRPr="009E129F">
              <w:rPr>
                <w:rFonts w:hint="cs"/>
                <w:i/>
                <w:iCs/>
                <w:sz w:val="12"/>
                <w:szCs w:val="20"/>
                <w:rtl/>
              </w:rPr>
              <w:t>2002</w:t>
            </w:r>
          </w:p>
        </w:tc>
        <w:tc>
          <w:tcPr>
            <w:tcW w:w="2678" w:type="dxa"/>
            <w:gridSpan w:val="3"/>
            <w:tcBorders>
              <w:top w:val="single" w:sz="4" w:space="0" w:color="auto"/>
            </w:tcBorders>
            <w:shd w:val="clear" w:color="auto" w:fill="auto"/>
            <w:vAlign w:val="bottom"/>
          </w:tcPr>
          <w:p w:rsidR="00484FEE" w:rsidRPr="009E129F" w:rsidRDefault="00484FEE" w:rsidP="0011796D">
            <w:pPr>
              <w:spacing w:before="80" w:after="80" w:line="240" w:lineRule="exact"/>
              <w:ind w:right="144"/>
              <w:jc w:val="center"/>
              <w:rPr>
                <w:rFonts w:hint="cs"/>
                <w:i/>
                <w:iCs/>
                <w:sz w:val="12"/>
                <w:szCs w:val="20"/>
                <w:rtl/>
              </w:rPr>
            </w:pPr>
            <w:r w:rsidRPr="009E129F">
              <w:rPr>
                <w:rFonts w:hint="cs"/>
                <w:i/>
                <w:iCs/>
                <w:sz w:val="12"/>
                <w:szCs w:val="20"/>
                <w:rtl/>
              </w:rPr>
              <w:t>2002 (قاعدة معلومات)</w:t>
            </w:r>
          </w:p>
        </w:tc>
      </w:tr>
      <w:tr w:rsidR="00484FEE" w:rsidRPr="009E129F">
        <w:tblPrEx>
          <w:tblCellMar>
            <w:top w:w="0" w:type="dxa"/>
            <w:bottom w:w="0" w:type="dxa"/>
          </w:tblCellMar>
        </w:tblPrEx>
        <w:trPr>
          <w:cantSplit/>
          <w:tblHeader/>
          <w:jc w:val="center"/>
        </w:trPr>
        <w:tc>
          <w:tcPr>
            <w:tcW w:w="2209" w:type="dxa"/>
            <w:tcBorders>
              <w:bottom w:val="single" w:sz="12" w:space="0" w:color="auto"/>
            </w:tcBorders>
            <w:shd w:val="clear" w:color="auto" w:fill="auto"/>
            <w:vAlign w:val="bottom"/>
          </w:tcPr>
          <w:p w:rsidR="00484FEE" w:rsidRPr="009E129F" w:rsidRDefault="00484FEE" w:rsidP="0011796D">
            <w:pPr>
              <w:spacing w:after="80" w:line="240" w:lineRule="exact"/>
              <w:jc w:val="lowKashida"/>
              <w:rPr>
                <w:rFonts w:hint="cs"/>
                <w:i/>
                <w:iCs/>
                <w:sz w:val="12"/>
                <w:szCs w:val="20"/>
                <w:rtl/>
              </w:rPr>
            </w:pPr>
          </w:p>
        </w:tc>
        <w:tc>
          <w:tcPr>
            <w:tcW w:w="978" w:type="dxa"/>
            <w:tcBorders>
              <w:bottom w:val="single" w:sz="12" w:space="0" w:color="auto"/>
            </w:tcBorders>
            <w:shd w:val="clear" w:color="auto" w:fill="auto"/>
            <w:vAlign w:val="bottom"/>
          </w:tcPr>
          <w:p w:rsidR="00484FEE" w:rsidRPr="009E129F" w:rsidRDefault="00484FEE" w:rsidP="0011796D">
            <w:pPr>
              <w:spacing w:after="80" w:line="240" w:lineRule="exact"/>
              <w:ind w:right="144"/>
              <w:jc w:val="lowKashida"/>
              <w:rPr>
                <w:rFonts w:hint="cs"/>
                <w:i/>
                <w:iCs/>
                <w:sz w:val="12"/>
                <w:szCs w:val="20"/>
                <w:rtl/>
              </w:rPr>
            </w:pPr>
            <w:r w:rsidRPr="009E129F">
              <w:rPr>
                <w:rFonts w:hint="cs"/>
                <w:i/>
                <w:iCs/>
                <w:sz w:val="12"/>
                <w:szCs w:val="20"/>
                <w:rtl/>
              </w:rPr>
              <w:t>إجمالي عدد العاملين</w:t>
            </w:r>
          </w:p>
        </w:tc>
        <w:tc>
          <w:tcPr>
            <w:tcW w:w="900" w:type="dxa"/>
            <w:tcBorders>
              <w:bottom w:val="single" w:sz="12" w:space="0" w:color="auto"/>
            </w:tcBorders>
            <w:shd w:val="clear" w:color="auto" w:fill="auto"/>
            <w:vAlign w:val="bottom"/>
          </w:tcPr>
          <w:p w:rsidR="00484FEE" w:rsidRPr="009E129F" w:rsidRDefault="00484FEE" w:rsidP="0011796D">
            <w:pPr>
              <w:spacing w:after="80" w:line="240" w:lineRule="exact"/>
              <w:ind w:right="144"/>
              <w:jc w:val="lowKashida"/>
              <w:rPr>
                <w:rFonts w:hint="cs"/>
                <w:i/>
                <w:iCs/>
                <w:sz w:val="12"/>
                <w:szCs w:val="20"/>
                <w:rtl/>
              </w:rPr>
            </w:pPr>
            <w:r w:rsidRPr="009E129F">
              <w:rPr>
                <w:rFonts w:hint="cs"/>
                <w:i/>
                <w:iCs/>
                <w:sz w:val="12"/>
                <w:szCs w:val="20"/>
                <w:rtl/>
              </w:rPr>
              <w:t>عدد النساء</w:t>
            </w:r>
          </w:p>
        </w:tc>
        <w:tc>
          <w:tcPr>
            <w:tcW w:w="594" w:type="dxa"/>
            <w:tcBorders>
              <w:bottom w:val="single" w:sz="12" w:space="0" w:color="auto"/>
            </w:tcBorders>
            <w:shd w:val="clear" w:color="auto" w:fill="auto"/>
            <w:vAlign w:val="bottom"/>
          </w:tcPr>
          <w:p w:rsidR="00484FEE" w:rsidRPr="009E129F" w:rsidRDefault="00484FEE" w:rsidP="0011796D">
            <w:pPr>
              <w:spacing w:after="80" w:line="240" w:lineRule="exact"/>
              <w:ind w:right="144"/>
              <w:jc w:val="lowKashida"/>
              <w:rPr>
                <w:rFonts w:hint="cs"/>
                <w:i/>
                <w:iCs/>
                <w:sz w:val="12"/>
                <w:szCs w:val="20"/>
                <w:rtl/>
              </w:rPr>
            </w:pPr>
            <w:r w:rsidRPr="009E129F">
              <w:rPr>
                <w:rFonts w:hint="cs"/>
                <w:i/>
                <w:iCs/>
                <w:sz w:val="12"/>
                <w:szCs w:val="20"/>
                <w:rtl/>
              </w:rPr>
              <w:t>نسبة النساء</w:t>
            </w:r>
          </w:p>
        </w:tc>
        <w:tc>
          <w:tcPr>
            <w:tcW w:w="1030" w:type="dxa"/>
            <w:tcBorders>
              <w:bottom w:val="single" w:sz="12" w:space="0" w:color="auto"/>
            </w:tcBorders>
            <w:shd w:val="clear" w:color="auto" w:fill="auto"/>
            <w:vAlign w:val="bottom"/>
          </w:tcPr>
          <w:p w:rsidR="00484FEE" w:rsidRPr="009E129F" w:rsidRDefault="00484FEE" w:rsidP="0011796D">
            <w:pPr>
              <w:spacing w:after="80" w:line="240" w:lineRule="exact"/>
              <w:ind w:right="144"/>
              <w:jc w:val="lowKashida"/>
              <w:rPr>
                <w:rFonts w:hint="cs"/>
                <w:i/>
                <w:iCs/>
                <w:sz w:val="12"/>
                <w:szCs w:val="20"/>
                <w:rtl/>
              </w:rPr>
            </w:pPr>
            <w:r w:rsidRPr="009E129F">
              <w:rPr>
                <w:rFonts w:hint="cs"/>
                <w:i/>
                <w:iCs/>
                <w:sz w:val="12"/>
                <w:szCs w:val="20"/>
                <w:rtl/>
              </w:rPr>
              <w:t>إجمالي عدد العاملين</w:t>
            </w:r>
          </w:p>
        </w:tc>
        <w:tc>
          <w:tcPr>
            <w:tcW w:w="927" w:type="dxa"/>
            <w:tcBorders>
              <w:bottom w:val="single" w:sz="12" w:space="0" w:color="auto"/>
            </w:tcBorders>
            <w:shd w:val="clear" w:color="auto" w:fill="auto"/>
            <w:vAlign w:val="bottom"/>
          </w:tcPr>
          <w:p w:rsidR="00484FEE" w:rsidRPr="009E129F" w:rsidRDefault="00484FEE" w:rsidP="0011796D">
            <w:pPr>
              <w:spacing w:after="80" w:line="240" w:lineRule="exact"/>
              <w:ind w:right="144"/>
              <w:jc w:val="lowKashida"/>
              <w:rPr>
                <w:rFonts w:hint="cs"/>
                <w:i/>
                <w:iCs/>
                <w:sz w:val="12"/>
                <w:szCs w:val="20"/>
                <w:rtl/>
              </w:rPr>
            </w:pPr>
            <w:r w:rsidRPr="009E129F">
              <w:rPr>
                <w:rFonts w:hint="cs"/>
                <w:i/>
                <w:iCs/>
                <w:sz w:val="12"/>
                <w:szCs w:val="20"/>
                <w:rtl/>
              </w:rPr>
              <w:t>عدد النساء</w:t>
            </w:r>
          </w:p>
        </w:tc>
        <w:tc>
          <w:tcPr>
            <w:tcW w:w="618" w:type="dxa"/>
            <w:tcBorders>
              <w:bottom w:val="single" w:sz="12" w:space="0" w:color="auto"/>
            </w:tcBorders>
            <w:shd w:val="clear" w:color="auto" w:fill="auto"/>
            <w:vAlign w:val="bottom"/>
          </w:tcPr>
          <w:p w:rsidR="00484FEE" w:rsidRPr="009E129F" w:rsidRDefault="00484FEE" w:rsidP="0011796D">
            <w:pPr>
              <w:spacing w:after="80" w:line="240" w:lineRule="exact"/>
              <w:ind w:right="144"/>
              <w:jc w:val="lowKashida"/>
              <w:rPr>
                <w:rFonts w:hint="cs"/>
                <w:i/>
                <w:iCs/>
                <w:sz w:val="12"/>
                <w:szCs w:val="20"/>
                <w:rtl/>
              </w:rPr>
            </w:pPr>
            <w:r w:rsidRPr="009E129F">
              <w:rPr>
                <w:rFonts w:hint="cs"/>
                <w:i/>
                <w:iCs/>
                <w:sz w:val="12"/>
                <w:szCs w:val="20"/>
                <w:rtl/>
              </w:rPr>
              <w:t>نسبة النساء</w:t>
            </w:r>
          </w:p>
        </w:tc>
        <w:tc>
          <w:tcPr>
            <w:tcW w:w="1030" w:type="dxa"/>
            <w:tcBorders>
              <w:bottom w:val="single" w:sz="12" w:space="0" w:color="auto"/>
            </w:tcBorders>
            <w:shd w:val="clear" w:color="auto" w:fill="auto"/>
            <w:vAlign w:val="bottom"/>
          </w:tcPr>
          <w:p w:rsidR="00484FEE" w:rsidRPr="009E129F" w:rsidRDefault="00484FEE" w:rsidP="0011796D">
            <w:pPr>
              <w:spacing w:after="80" w:line="240" w:lineRule="exact"/>
              <w:ind w:right="144"/>
              <w:jc w:val="lowKashida"/>
              <w:rPr>
                <w:rFonts w:hint="cs"/>
                <w:i/>
                <w:iCs/>
                <w:sz w:val="12"/>
                <w:szCs w:val="20"/>
                <w:rtl/>
              </w:rPr>
            </w:pPr>
            <w:r w:rsidRPr="009E129F">
              <w:rPr>
                <w:rFonts w:hint="cs"/>
                <w:i/>
                <w:iCs/>
                <w:sz w:val="12"/>
                <w:szCs w:val="20"/>
                <w:rtl/>
              </w:rPr>
              <w:t>إجمالي عدد العاملين</w:t>
            </w:r>
          </w:p>
        </w:tc>
        <w:tc>
          <w:tcPr>
            <w:tcW w:w="927" w:type="dxa"/>
            <w:tcBorders>
              <w:bottom w:val="single" w:sz="12" w:space="0" w:color="auto"/>
            </w:tcBorders>
            <w:shd w:val="clear" w:color="auto" w:fill="auto"/>
            <w:vAlign w:val="bottom"/>
          </w:tcPr>
          <w:p w:rsidR="00484FEE" w:rsidRPr="009E129F" w:rsidRDefault="00484FEE" w:rsidP="0011796D">
            <w:pPr>
              <w:spacing w:after="80" w:line="240" w:lineRule="exact"/>
              <w:ind w:right="144"/>
              <w:jc w:val="lowKashida"/>
              <w:rPr>
                <w:rFonts w:hint="cs"/>
                <w:i/>
                <w:iCs/>
                <w:sz w:val="12"/>
                <w:szCs w:val="20"/>
                <w:rtl/>
              </w:rPr>
            </w:pPr>
            <w:r w:rsidRPr="009E129F">
              <w:rPr>
                <w:rFonts w:hint="cs"/>
                <w:i/>
                <w:iCs/>
                <w:sz w:val="12"/>
                <w:szCs w:val="20"/>
                <w:rtl/>
              </w:rPr>
              <w:t>عدد النساء</w:t>
            </w:r>
          </w:p>
        </w:tc>
        <w:tc>
          <w:tcPr>
            <w:tcW w:w="824" w:type="dxa"/>
            <w:tcBorders>
              <w:bottom w:val="single" w:sz="12" w:space="0" w:color="auto"/>
            </w:tcBorders>
            <w:shd w:val="clear" w:color="auto" w:fill="auto"/>
            <w:vAlign w:val="bottom"/>
          </w:tcPr>
          <w:p w:rsidR="00484FEE" w:rsidRPr="009E129F" w:rsidRDefault="00484FEE" w:rsidP="0011796D">
            <w:pPr>
              <w:spacing w:after="80" w:line="240" w:lineRule="exact"/>
              <w:ind w:right="144"/>
              <w:jc w:val="lowKashida"/>
              <w:rPr>
                <w:rFonts w:hint="cs"/>
                <w:i/>
                <w:iCs/>
                <w:sz w:val="12"/>
                <w:szCs w:val="20"/>
                <w:rtl/>
              </w:rPr>
            </w:pPr>
            <w:r w:rsidRPr="009E129F">
              <w:rPr>
                <w:rFonts w:hint="cs"/>
                <w:i/>
                <w:iCs/>
                <w:sz w:val="12"/>
                <w:szCs w:val="20"/>
                <w:rtl/>
              </w:rPr>
              <w:t>نسبة النساء</w:t>
            </w:r>
          </w:p>
        </w:tc>
        <w:tc>
          <w:tcPr>
            <w:tcW w:w="1030" w:type="dxa"/>
            <w:tcBorders>
              <w:bottom w:val="single" w:sz="12" w:space="0" w:color="auto"/>
            </w:tcBorders>
            <w:shd w:val="clear" w:color="auto" w:fill="auto"/>
            <w:vAlign w:val="bottom"/>
          </w:tcPr>
          <w:p w:rsidR="00484FEE" w:rsidRPr="009E129F" w:rsidRDefault="00484FEE" w:rsidP="0011796D">
            <w:pPr>
              <w:spacing w:after="80" w:line="240" w:lineRule="exact"/>
              <w:ind w:right="144"/>
              <w:jc w:val="lowKashida"/>
              <w:rPr>
                <w:rFonts w:hint="cs"/>
                <w:i/>
                <w:iCs/>
                <w:sz w:val="12"/>
                <w:szCs w:val="20"/>
                <w:rtl/>
              </w:rPr>
            </w:pPr>
            <w:r w:rsidRPr="009E129F">
              <w:rPr>
                <w:rFonts w:hint="cs"/>
                <w:i/>
                <w:iCs/>
                <w:sz w:val="12"/>
                <w:szCs w:val="20"/>
                <w:rtl/>
              </w:rPr>
              <w:t>إجمالي عدد العاملين</w:t>
            </w:r>
          </w:p>
        </w:tc>
        <w:tc>
          <w:tcPr>
            <w:tcW w:w="927" w:type="dxa"/>
            <w:tcBorders>
              <w:bottom w:val="single" w:sz="12" w:space="0" w:color="auto"/>
            </w:tcBorders>
            <w:shd w:val="clear" w:color="auto" w:fill="auto"/>
            <w:vAlign w:val="bottom"/>
          </w:tcPr>
          <w:p w:rsidR="00484FEE" w:rsidRPr="009E129F" w:rsidRDefault="00484FEE" w:rsidP="0011796D">
            <w:pPr>
              <w:spacing w:after="80" w:line="240" w:lineRule="exact"/>
              <w:ind w:right="144"/>
              <w:jc w:val="lowKashida"/>
              <w:rPr>
                <w:rFonts w:hint="cs"/>
                <w:i/>
                <w:iCs/>
                <w:sz w:val="12"/>
                <w:szCs w:val="20"/>
                <w:rtl/>
              </w:rPr>
            </w:pPr>
            <w:r w:rsidRPr="009E129F">
              <w:rPr>
                <w:rFonts w:hint="cs"/>
                <w:i/>
                <w:iCs/>
                <w:sz w:val="12"/>
                <w:szCs w:val="20"/>
                <w:rtl/>
              </w:rPr>
              <w:t>عدد النساء</w:t>
            </w:r>
          </w:p>
        </w:tc>
        <w:tc>
          <w:tcPr>
            <w:tcW w:w="721" w:type="dxa"/>
            <w:tcBorders>
              <w:bottom w:val="single" w:sz="12" w:space="0" w:color="auto"/>
            </w:tcBorders>
            <w:shd w:val="clear" w:color="auto" w:fill="auto"/>
            <w:vAlign w:val="bottom"/>
          </w:tcPr>
          <w:p w:rsidR="00484FEE" w:rsidRPr="009E129F" w:rsidRDefault="00484FEE" w:rsidP="0011796D">
            <w:pPr>
              <w:spacing w:after="80" w:line="240" w:lineRule="exact"/>
              <w:ind w:right="144"/>
              <w:jc w:val="lowKashida"/>
              <w:rPr>
                <w:rFonts w:hint="cs"/>
                <w:i/>
                <w:iCs/>
                <w:sz w:val="12"/>
                <w:szCs w:val="20"/>
                <w:rtl/>
              </w:rPr>
            </w:pPr>
            <w:r w:rsidRPr="009E129F">
              <w:rPr>
                <w:rFonts w:hint="cs"/>
                <w:i/>
                <w:iCs/>
                <w:sz w:val="12"/>
                <w:szCs w:val="20"/>
                <w:rtl/>
              </w:rPr>
              <w:t>نسبة النساء</w:t>
            </w:r>
          </w:p>
        </w:tc>
      </w:tr>
      <w:tr w:rsidR="00484FEE" w:rsidRPr="0095283D">
        <w:tblPrEx>
          <w:tblCellMar>
            <w:top w:w="0" w:type="dxa"/>
            <w:bottom w:w="0" w:type="dxa"/>
          </w:tblCellMar>
        </w:tblPrEx>
        <w:trPr>
          <w:cantSplit/>
          <w:trHeight w:hRule="exact" w:val="115"/>
          <w:tblHeader/>
          <w:jc w:val="center"/>
        </w:trPr>
        <w:tc>
          <w:tcPr>
            <w:tcW w:w="2209" w:type="dxa"/>
            <w:tcBorders>
              <w:top w:val="single" w:sz="12" w:space="0" w:color="auto"/>
            </w:tcBorders>
            <w:shd w:val="clear" w:color="auto" w:fill="auto"/>
            <w:vAlign w:val="bottom"/>
          </w:tcPr>
          <w:p w:rsidR="00484FEE" w:rsidRPr="0095283D" w:rsidRDefault="00484FEE" w:rsidP="0011796D">
            <w:pPr>
              <w:spacing w:before="40" w:after="80" w:line="240" w:lineRule="exact"/>
              <w:jc w:val="lowKashida"/>
              <w:rPr>
                <w:rFonts w:hint="cs"/>
                <w:sz w:val="16"/>
                <w:szCs w:val="24"/>
                <w:rtl/>
              </w:rPr>
            </w:pPr>
          </w:p>
        </w:tc>
        <w:tc>
          <w:tcPr>
            <w:tcW w:w="978" w:type="dxa"/>
            <w:tcBorders>
              <w:top w:val="single" w:sz="12" w:space="0" w:color="auto"/>
            </w:tcBorders>
            <w:shd w:val="clear" w:color="auto" w:fill="auto"/>
            <w:vAlign w:val="bottom"/>
          </w:tcPr>
          <w:p w:rsidR="00484FEE" w:rsidRPr="0095283D" w:rsidRDefault="00484FEE" w:rsidP="0011796D">
            <w:pPr>
              <w:spacing w:before="40" w:after="80" w:line="240" w:lineRule="exact"/>
              <w:ind w:right="144"/>
              <w:jc w:val="lowKashida"/>
              <w:rPr>
                <w:rFonts w:hint="cs"/>
                <w:sz w:val="16"/>
                <w:szCs w:val="24"/>
                <w:rtl/>
              </w:rPr>
            </w:pPr>
          </w:p>
        </w:tc>
        <w:tc>
          <w:tcPr>
            <w:tcW w:w="900" w:type="dxa"/>
            <w:tcBorders>
              <w:top w:val="single" w:sz="12" w:space="0" w:color="auto"/>
            </w:tcBorders>
            <w:shd w:val="clear" w:color="auto" w:fill="auto"/>
            <w:vAlign w:val="bottom"/>
          </w:tcPr>
          <w:p w:rsidR="00484FEE" w:rsidRPr="0095283D" w:rsidRDefault="00484FEE" w:rsidP="0011796D">
            <w:pPr>
              <w:spacing w:before="40" w:after="80" w:line="240" w:lineRule="exact"/>
              <w:ind w:right="144"/>
              <w:jc w:val="lowKashida"/>
              <w:rPr>
                <w:rFonts w:hint="cs"/>
                <w:sz w:val="16"/>
                <w:szCs w:val="24"/>
                <w:rtl/>
              </w:rPr>
            </w:pPr>
          </w:p>
        </w:tc>
        <w:tc>
          <w:tcPr>
            <w:tcW w:w="594" w:type="dxa"/>
            <w:tcBorders>
              <w:top w:val="single" w:sz="12" w:space="0" w:color="auto"/>
            </w:tcBorders>
            <w:shd w:val="clear" w:color="auto" w:fill="auto"/>
            <w:vAlign w:val="bottom"/>
          </w:tcPr>
          <w:p w:rsidR="00484FEE" w:rsidRPr="0095283D" w:rsidRDefault="00484FEE" w:rsidP="0011796D">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484FEE" w:rsidRPr="0095283D" w:rsidRDefault="00484FEE" w:rsidP="0011796D">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484FEE" w:rsidRPr="0095283D" w:rsidRDefault="00484FEE" w:rsidP="0011796D">
            <w:pPr>
              <w:spacing w:before="40" w:after="80" w:line="240" w:lineRule="exact"/>
              <w:ind w:right="144"/>
              <w:jc w:val="lowKashida"/>
              <w:rPr>
                <w:rFonts w:hint="cs"/>
                <w:sz w:val="16"/>
                <w:szCs w:val="24"/>
                <w:rtl/>
              </w:rPr>
            </w:pPr>
          </w:p>
        </w:tc>
        <w:tc>
          <w:tcPr>
            <w:tcW w:w="618" w:type="dxa"/>
            <w:tcBorders>
              <w:top w:val="single" w:sz="12" w:space="0" w:color="auto"/>
            </w:tcBorders>
            <w:shd w:val="clear" w:color="auto" w:fill="auto"/>
            <w:vAlign w:val="bottom"/>
          </w:tcPr>
          <w:p w:rsidR="00484FEE" w:rsidRPr="0095283D" w:rsidRDefault="00484FEE" w:rsidP="0011796D">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484FEE" w:rsidRPr="0095283D" w:rsidRDefault="00484FEE" w:rsidP="0011796D">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484FEE" w:rsidRPr="0095283D" w:rsidRDefault="00484FEE" w:rsidP="0011796D">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484FEE" w:rsidRPr="0095283D" w:rsidRDefault="00484FEE" w:rsidP="0011796D">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484FEE" w:rsidRPr="0095283D" w:rsidRDefault="00484FEE" w:rsidP="0011796D">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484FEE" w:rsidRPr="0095283D" w:rsidRDefault="00484FEE" w:rsidP="0011796D">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484FEE" w:rsidRPr="0095283D" w:rsidRDefault="00484FEE" w:rsidP="0011796D">
            <w:pPr>
              <w:spacing w:before="40" w:after="80" w:line="240" w:lineRule="exact"/>
              <w:ind w:right="144"/>
              <w:jc w:val="lowKashida"/>
              <w:rPr>
                <w:rFonts w:hint="cs"/>
                <w:sz w:val="16"/>
                <w:szCs w:val="24"/>
                <w:rtl/>
              </w:rPr>
            </w:pPr>
          </w:p>
        </w:tc>
      </w:tr>
      <w:tr w:rsidR="00484FEE" w:rsidRPr="009E129F">
        <w:tblPrEx>
          <w:tblCellMar>
            <w:top w:w="0" w:type="dxa"/>
            <w:bottom w:w="0" w:type="dxa"/>
          </w:tblCellMar>
        </w:tblPrEx>
        <w:trPr>
          <w:cantSplit/>
          <w:jc w:val="center"/>
        </w:trPr>
        <w:tc>
          <w:tcPr>
            <w:tcW w:w="2209" w:type="dxa"/>
            <w:shd w:val="clear" w:color="auto" w:fill="auto"/>
            <w:vAlign w:val="bottom"/>
          </w:tcPr>
          <w:p w:rsidR="00484FEE" w:rsidRPr="009E129F" w:rsidRDefault="00484FEE" w:rsidP="0011796D">
            <w:pPr>
              <w:spacing w:before="40" w:after="40" w:line="240" w:lineRule="exact"/>
              <w:jc w:val="lowKashida"/>
              <w:rPr>
                <w:rFonts w:hint="cs"/>
                <w:b/>
                <w:bCs/>
                <w:sz w:val="14"/>
                <w:szCs w:val="22"/>
                <w:rtl/>
              </w:rPr>
            </w:pPr>
            <w:r w:rsidRPr="009E129F">
              <w:rPr>
                <w:rFonts w:hint="cs"/>
                <w:b/>
                <w:bCs/>
                <w:sz w:val="14"/>
                <w:szCs w:val="22"/>
                <w:rtl/>
              </w:rPr>
              <w:t>الجامعات</w:t>
            </w:r>
          </w:p>
        </w:tc>
        <w:tc>
          <w:tcPr>
            <w:tcW w:w="978"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90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594"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103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927"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618"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103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927"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824"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103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927"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721"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r>
      <w:tr w:rsidR="00484FEE" w:rsidRPr="009E129F">
        <w:tblPrEx>
          <w:tblCellMar>
            <w:top w:w="0" w:type="dxa"/>
            <w:bottom w:w="0" w:type="dxa"/>
          </w:tblCellMar>
        </w:tblPrEx>
        <w:trPr>
          <w:cantSplit/>
          <w:jc w:val="center"/>
        </w:trPr>
        <w:tc>
          <w:tcPr>
            <w:tcW w:w="2209" w:type="dxa"/>
            <w:shd w:val="clear" w:color="auto" w:fill="auto"/>
            <w:vAlign w:val="bottom"/>
          </w:tcPr>
          <w:p w:rsidR="00484FEE" w:rsidRPr="009E129F" w:rsidRDefault="00484FEE" w:rsidP="0011796D">
            <w:pPr>
              <w:spacing w:before="40" w:after="40" w:line="240" w:lineRule="exact"/>
              <w:jc w:val="lowKashida"/>
              <w:rPr>
                <w:rFonts w:hint="cs"/>
                <w:sz w:val="14"/>
                <w:szCs w:val="22"/>
                <w:rtl/>
              </w:rPr>
            </w:pPr>
            <w:r w:rsidRPr="009E129F">
              <w:rPr>
                <w:rFonts w:hint="cs"/>
                <w:sz w:val="14"/>
                <w:szCs w:val="22"/>
                <w:rtl/>
              </w:rPr>
              <w:t>أساتذة متفرغون</w:t>
            </w:r>
          </w:p>
        </w:tc>
        <w:tc>
          <w:tcPr>
            <w:tcW w:w="978"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627.0 1</w:t>
            </w:r>
          </w:p>
        </w:tc>
        <w:tc>
          <w:tcPr>
            <w:tcW w:w="90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100.0</w:t>
            </w:r>
          </w:p>
        </w:tc>
        <w:tc>
          <w:tcPr>
            <w:tcW w:w="594"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6.1</w:t>
            </w:r>
          </w:p>
        </w:tc>
        <w:tc>
          <w:tcPr>
            <w:tcW w:w="103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640.0 1</w:t>
            </w:r>
          </w:p>
        </w:tc>
        <w:tc>
          <w:tcPr>
            <w:tcW w:w="927"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113.0</w:t>
            </w:r>
          </w:p>
        </w:tc>
        <w:tc>
          <w:tcPr>
            <w:tcW w:w="618"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6.9</w:t>
            </w:r>
          </w:p>
        </w:tc>
        <w:tc>
          <w:tcPr>
            <w:tcW w:w="103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610.5 1</w:t>
            </w:r>
          </w:p>
        </w:tc>
        <w:tc>
          <w:tcPr>
            <w:tcW w:w="927"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109.0</w:t>
            </w:r>
          </w:p>
        </w:tc>
        <w:tc>
          <w:tcPr>
            <w:tcW w:w="824"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6.8</w:t>
            </w:r>
          </w:p>
        </w:tc>
        <w:tc>
          <w:tcPr>
            <w:tcW w:w="103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600.1 1</w:t>
            </w:r>
          </w:p>
        </w:tc>
        <w:tc>
          <w:tcPr>
            <w:tcW w:w="927"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127.5</w:t>
            </w:r>
          </w:p>
        </w:tc>
        <w:tc>
          <w:tcPr>
            <w:tcW w:w="721"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8.0</w:t>
            </w:r>
          </w:p>
        </w:tc>
      </w:tr>
      <w:tr w:rsidR="00484FEE" w:rsidRPr="009E129F">
        <w:tblPrEx>
          <w:tblCellMar>
            <w:top w:w="0" w:type="dxa"/>
            <w:bottom w:w="0" w:type="dxa"/>
          </w:tblCellMar>
        </w:tblPrEx>
        <w:trPr>
          <w:cantSplit/>
          <w:jc w:val="center"/>
        </w:trPr>
        <w:tc>
          <w:tcPr>
            <w:tcW w:w="2209" w:type="dxa"/>
            <w:shd w:val="clear" w:color="auto" w:fill="auto"/>
            <w:vAlign w:val="bottom"/>
          </w:tcPr>
          <w:p w:rsidR="00484FEE" w:rsidRPr="009E129F" w:rsidRDefault="00484FEE" w:rsidP="0011796D">
            <w:pPr>
              <w:spacing w:before="40" w:after="40" w:line="240" w:lineRule="exact"/>
              <w:jc w:val="lowKashida"/>
              <w:rPr>
                <w:rFonts w:hint="cs"/>
                <w:sz w:val="14"/>
                <w:szCs w:val="22"/>
                <w:rtl/>
              </w:rPr>
            </w:pPr>
            <w:r w:rsidRPr="009E129F">
              <w:rPr>
                <w:rFonts w:hint="cs"/>
                <w:sz w:val="14"/>
                <w:szCs w:val="22"/>
                <w:rtl/>
              </w:rPr>
              <w:t>مساعدون ومساعدون مؤقتون</w:t>
            </w:r>
          </w:p>
        </w:tc>
        <w:tc>
          <w:tcPr>
            <w:tcW w:w="978"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003.3 7</w:t>
            </w:r>
          </w:p>
        </w:tc>
        <w:tc>
          <w:tcPr>
            <w:tcW w:w="90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708.5 1</w:t>
            </w:r>
          </w:p>
        </w:tc>
        <w:tc>
          <w:tcPr>
            <w:tcW w:w="594"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24.4</w:t>
            </w:r>
          </w:p>
        </w:tc>
        <w:tc>
          <w:tcPr>
            <w:tcW w:w="103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055.6 7</w:t>
            </w:r>
          </w:p>
        </w:tc>
        <w:tc>
          <w:tcPr>
            <w:tcW w:w="927"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773.3 1</w:t>
            </w:r>
          </w:p>
        </w:tc>
        <w:tc>
          <w:tcPr>
            <w:tcW w:w="618"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25.1</w:t>
            </w:r>
          </w:p>
        </w:tc>
        <w:tc>
          <w:tcPr>
            <w:tcW w:w="103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215.8 7</w:t>
            </w:r>
          </w:p>
        </w:tc>
        <w:tc>
          <w:tcPr>
            <w:tcW w:w="927"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869.3 1</w:t>
            </w:r>
          </w:p>
        </w:tc>
        <w:tc>
          <w:tcPr>
            <w:tcW w:w="824"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25.9</w:t>
            </w:r>
          </w:p>
        </w:tc>
        <w:tc>
          <w:tcPr>
            <w:tcW w:w="103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342.3 7</w:t>
            </w:r>
          </w:p>
        </w:tc>
        <w:tc>
          <w:tcPr>
            <w:tcW w:w="927"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954.3 1</w:t>
            </w:r>
          </w:p>
        </w:tc>
        <w:tc>
          <w:tcPr>
            <w:tcW w:w="721"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26.6</w:t>
            </w:r>
          </w:p>
        </w:tc>
      </w:tr>
      <w:tr w:rsidR="00484FEE" w:rsidRPr="009E129F">
        <w:tblPrEx>
          <w:tblCellMar>
            <w:top w:w="0" w:type="dxa"/>
            <w:bottom w:w="0" w:type="dxa"/>
          </w:tblCellMar>
        </w:tblPrEx>
        <w:trPr>
          <w:cantSplit/>
          <w:jc w:val="center"/>
        </w:trPr>
        <w:tc>
          <w:tcPr>
            <w:tcW w:w="2209" w:type="dxa"/>
            <w:tcBorders>
              <w:bottom w:val="single" w:sz="4" w:space="0" w:color="auto"/>
            </w:tcBorders>
            <w:shd w:val="clear" w:color="auto" w:fill="auto"/>
            <w:vAlign w:val="bottom"/>
          </w:tcPr>
          <w:p w:rsidR="00484FEE" w:rsidRPr="009E129F" w:rsidRDefault="00484FEE" w:rsidP="0011796D">
            <w:pPr>
              <w:spacing w:before="40" w:after="40" w:line="240" w:lineRule="exact"/>
              <w:jc w:val="lowKashida"/>
              <w:rPr>
                <w:rFonts w:hint="cs"/>
                <w:sz w:val="14"/>
                <w:szCs w:val="22"/>
                <w:rtl/>
              </w:rPr>
            </w:pPr>
            <w:r w:rsidRPr="009E129F">
              <w:rPr>
                <w:rFonts w:hint="cs"/>
                <w:sz w:val="14"/>
                <w:szCs w:val="22"/>
                <w:rtl/>
              </w:rPr>
              <w:t>عاملون من الخدمة المدنية الأكاديمية ومدرسون اتحاديون ومدرسون ذوو عقود مؤقتة</w:t>
            </w:r>
          </w:p>
        </w:tc>
        <w:tc>
          <w:tcPr>
            <w:tcW w:w="978"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783.1</w:t>
            </w:r>
          </w:p>
        </w:tc>
        <w:tc>
          <w:tcPr>
            <w:tcW w:w="900"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311.0</w:t>
            </w:r>
          </w:p>
        </w:tc>
        <w:tc>
          <w:tcPr>
            <w:tcW w:w="594"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39.7</w:t>
            </w:r>
          </w:p>
        </w:tc>
        <w:tc>
          <w:tcPr>
            <w:tcW w:w="1030"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749.2</w:t>
            </w:r>
          </w:p>
        </w:tc>
        <w:tc>
          <w:tcPr>
            <w:tcW w:w="927"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303.1</w:t>
            </w:r>
          </w:p>
        </w:tc>
        <w:tc>
          <w:tcPr>
            <w:tcW w:w="618"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40.5</w:t>
            </w:r>
          </w:p>
        </w:tc>
        <w:tc>
          <w:tcPr>
            <w:tcW w:w="1030"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743.5</w:t>
            </w:r>
          </w:p>
        </w:tc>
        <w:tc>
          <w:tcPr>
            <w:tcW w:w="927"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312.3</w:t>
            </w:r>
          </w:p>
        </w:tc>
        <w:tc>
          <w:tcPr>
            <w:tcW w:w="824"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42.0</w:t>
            </w:r>
          </w:p>
        </w:tc>
        <w:tc>
          <w:tcPr>
            <w:tcW w:w="1030"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776.9</w:t>
            </w:r>
          </w:p>
        </w:tc>
        <w:tc>
          <w:tcPr>
            <w:tcW w:w="927"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332.7</w:t>
            </w:r>
          </w:p>
        </w:tc>
        <w:tc>
          <w:tcPr>
            <w:tcW w:w="721"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42.8</w:t>
            </w:r>
          </w:p>
        </w:tc>
      </w:tr>
      <w:tr w:rsidR="00484FEE" w:rsidRPr="009E129F">
        <w:tblPrEx>
          <w:tblCellMar>
            <w:top w:w="0" w:type="dxa"/>
            <w:bottom w:w="0" w:type="dxa"/>
          </w:tblCellMar>
        </w:tblPrEx>
        <w:trPr>
          <w:cantSplit/>
          <w:trHeight w:val="503"/>
          <w:jc w:val="center"/>
        </w:trPr>
        <w:tc>
          <w:tcPr>
            <w:tcW w:w="2209" w:type="dxa"/>
            <w:tcBorders>
              <w:top w:val="single" w:sz="4" w:space="0" w:color="auto"/>
            </w:tcBorders>
            <w:shd w:val="clear" w:color="auto" w:fill="auto"/>
            <w:vAlign w:val="bottom"/>
          </w:tcPr>
          <w:p w:rsidR="00484FEE" w:rsidRPr="009E129F" w:rsidRDefault="00484FEE" w:rsidP="0011796D">
            <w:pPr>
              <w:spacing w:before="40" w:after="40" w:line="240" w:lineRule="exact"/>
              <w:jc w:val="lowKashida"/>
              <w:rPr>
                <w:rFonts w:hint="cs"/>
                <w:sz w:val="14"/>
                <w:szCs w:val="22"/>
                <w:rtl/>
              </w:rPr>
            </w:pPr>
            <w:r w:rsidRPr="009E129F">
              <w:rPr>
                <w:rFonts w:hint="cs"/>
                <w:sz w:val="14"/>
                <w:szCs w:val="22"/>
                <w:rtl/>
              </w:rPr>
              <w:t>مجموع هيئة التدريس الأكاديمية (والفنية)</w:t>
            </w:r>
          </w:p>
        </w:tc>
        <w:tc>
          <w:tcPr>
            <w:tcW w:w="978"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413.4 9</w:t>
            </w:r>
          </w:p>
        </w:tc>
        <w:tc>
          <w:tcPr>
            <w:tcW w:w="900"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119.5 2</w:t>
            </w:r>
          </w:p>
        </w:tc>
        <w:tc>
          <w:tcPr>
            <w:tcW w:w="594"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22.5</w:t>
            </w:r>
          </w:p>
        </w:tc>
        <w:tc>
          <w:tcPr>
            <w:tcW w:w="1030"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444.8 9</w:t>
            </w:r>
          </w:p>
        </w:tc>
        <w:tc>
          <w:tcPr>
            <w:tcW w:w="927"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189.4 2</w:t>
            </w:r>
          </w:p>
        </w:tc>
        <w:tc>
          <w:tcPr>
            <w:tcW w:w="618"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23.2</w:t>
            </w:r>
          </w:p>
        </w:tc>
        <w:tc>
          <w:tcPr>
            <w:tcW w:w="1030"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659.8 9</w:t>
            </w:r>
          </w:p>
        </w:tc>
        <w:tc>
          <w:tcPr>
            <w:tcW w:w="927"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290.6 2</w:t>
            </w:r>
          </w:p>
        </w:tc>
        <w:tc>
          <w:tcPr>
            <w:tcW w:w="824"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23.9</w:t>
            </w:r>
          </w:p>
        </w:tc>
        <w:tc>
          <w:tcPr>
            <w:tcW w:w="1030"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719.3 9</w:t>
            </w:r>
          </w:p>
        </w:tc>
        <w:tc>
          <w:tcPr>
            <w:tcW w:w="927"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414.5 2</w:t>
            </w:r>
          </w:p>
        </w:tc>
        <w:tc>
          <w:tcPr>
            <w:tcW w:w="721"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42.8</w:t>
            </w:r>
          </w:p>
        </w:tc>
      </w:tr>
      <w:tr w:rsidR="00484FEE" w:rsidRPr="009E129F">
        <w:tblPrEx>
          <w:tblCellMar>
            <w:top w:w="0" w:type="dxa"/>
            <w:bottom w:w="0" w:type="dxa"/>
          </w:tblCellMar>
        </w:tblPrEx>
        <w:trPr>
          <w:cantSplit/>
          <w:jc w:val="center"/>
        </w:trPr>
        <w:tc>
          <w:tcPr>
            <w:tcW w:w="2209" w:type="dxa"/>
            <w:tcBorders>
              <w:bottom w:val="single" w:sz="4" w:space="0" w:color="auto"/>
            </w:tcBorders>
            <w:shd w:val="clear" w:color="auto" w:fill="auto"/>
            <w:vAlign w:val="bottom"/>
          </w:tcPr>
          <w:p w:rsidR="00484FEE" w:rsidRPr="009E129F" w:rsidRDefault="00484FEE" w:rsidP="0011796D">
            <w:pPr>
              <w:spacing w:before="40" w:after="40" w:line="240" w:lineRule="exact"/>
              <w:jc w:val="lowKashida"/>
              <w:rPr>
                <w:rFonts w:hint="cs"/>
                <w:sz w:val="14"/>
                <w:szCs w:val="22"/>
                <w:rtl/>
              </w:rPr>
            </w:pPr>
            <w:r w:rsidRPr="009E129F">
              <w:rPr>
                <w:rFonts w:hint="cs"/>
                <w:sz w:val="14"/>
                <w:szCs w:val="22"/>
                <w:rtl/>
              </w:rPr>
              <w:t>مجموع الموظفين الإداريين</w:t>
            </w:r>
          </w:p>
        </w:tc>
        <w:tc>
          <w:tcPr>
            <w:tcW w:w="978"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607.7 7</w:t>
            </w:r>
          </w:p>
        </w:tc>
        <w:tc>
          <w:tcPr>
            <w:tcW w:w="900"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693.9 4</w:t>
            </w:r>
          </w:p>
        </w:tc>
        <w:tc>
          <w:tcPr>
            <w:tcW w:w="594"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61.7</w:t>
            </w:r>
          </w:p>
        </w:tc>
        <w:tc>
          <w:tcPr>
            <w:tcW w:w="1030"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658.6 7</w:t>
            </w:r>
          </w:p>
        </w:tc>
        <w:tc>
          <w:tcPr>
            <w:tcW w:w="927"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752.2 4</w:t>
            </w:r>
          </w:p>
        </w:tc>
        <w:tc>
          <w:tcPr>
            <w:tcW w:w="618"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62.1</w:t>
            </w:r>
          </w:p>
        </w:tc>
        <w:tc>
          <w:tcPr>
            <w:tcW w:w="1030"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660.1 7</w:t>
            </w:r>
          </w:p>
        </w:tc>
        <w:tc>
          <w:tcPr>
            <w:tcW w:w="927"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757.1 4</w:t>
            </w:r>
          </w:p>
        </w:tc>
        <w:tc>
          <w:tcPr>
            <w:tcW w:w="824"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62.1</w:t>
            </w:r>
          </w:p>
        </w:tc>
        <w:tc>
          <w:tcPr>
            <w:tcW w:w="1030"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989.9 7</w:t>
            </w:r>
          </w:p>
        </w:tc>
        <w:tc>
          <w:tcPr>
            <w:tcW w:w="927"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880.3 4</w:t>
            </w:r>
          </w:p>
        </w:tc>
        <w:tc>
          <w:tcPr>
            <w:tcW w:w="721"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61.1</w:t>
            </w:r>
          </w:p>
        </w:tc>
      </w:tr>
      <w:tr w:rsidR="00484FEE" w:rsidRPr="009E129F">
        <w:tblPrEx>
          <w:tblCellMar>
            <w:top w:w="0" w:type="dxa"/>
            <w:bottom w:w="0" w:type="dxa"/>
          </w:tblCellMar>
        </w:tblPrEx>
        <w:trPr>
          <w:cantSplit/>
          <w:jc w:val="center"/>
        </w:trPr>
        <w:tc>
          <w:tcPr>
            <w:tcW w:w="2209" w:type="dxa"/>
            <w:tcBorders>
              <w:top w:val="single" w:sz="4" w:space="0" w:color="auto"/>
              <w:bottom w:val="single" w:sz="4" w:space="0" w:color="auto"/>
            </w:tcBorders>
            <w:shd w:val="clear" w:color="auto" w:fill="auto"/>
            <w:vAlign w:val="bottom"/>
          </w:tcPr>
          <w:p w:rsidR="00484FEE" w:rsidRPr="009E129F" w:rsidRDefault="00484FEE" w:rsidP="0011796D">
            <w:pPr>
              <w:spacing w:before="40" w:after="40" w:line="240" w:lineRule="exact"/>
              <w:jc w:val="lowKashida"/>
              <w:rPr>
                <w:rFonts w:hint="cs"/>
                <w:b/>
                <w:bCs/>
                <w:sz w:val="14"/>
                <w:szCs w:val="22"/>
                <w:rtl/>
              </w:rPr>
            </w:pPr>
            <w:r w:rsidRPr="009E129F">
              <w:rPr>
                <w:rFonts w:hint="cs"/>
                <w:b/>
                <w:bCs/>
                <w:sz w:val="14"/>
                <w:szCs w:val="22"/>
                <w:rtl/>
              </w:rPr>
              <w:t>المجموع في الجامعات</w:t>
            </w:r>
          </w:p>
        </w:tc>
        <w:tc>
          <w:tcPr>
            <w:tcW w:w="978" w:type="dxa"/>
            <w:tcBorders>
              <w:top w:val="single" w:sz="4" w:space="0" w:color="auto"/>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015.1 17</w:t>
            </w:r>
          </w:p>
        </w:tc>
        <w:tc>
          <w:tcPr>
            <w:tcW w:w="900" w:type="dxa"/>
            <w:tcBorders>
              <w:top w:val="single" w:sz="4" w:space="0" w:color="auto"/>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813.4 6</w:t>
            </w:r>
          </w:p>
        </w:tc>
        <w:tc>
          <w:tcPr>
            <w:tcW w:w="594" w:type="dxa"/>
            <w:tcBorders>
              <w:top w:val="single" w:sz="4" w:space="0" w:color="auto"/>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40.0</w:t>
            </w:r>
          </w:p>
        </w:tc>
        <w:tc>
          <w:tcPr>
            <w:tcW w:w="1030" w:type="dxa"/>
            <w:tcBorders>
              <w:top w:val="single" w:sz="4" w:space="0" w:color="auto"/>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103.4 17</w:t>
            </w:r>
          </w:p>
        </w:tc>
        <w:tc>
          <w:tcPr>
            <w:tcW w:w="927" w:type="dxa"/>
            <w:tcBorders>
              <w:top w:val="single" w:sz="4" w:space="0" w:color="auto"/>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941.6 6</w:t>
            </w:r>
          </w:p>
        </w:tc>
        <w:tc>
          <w:tcPr>
            <w:tcW w:w="618" w:type="dxa"/>
            <w:tcBorders>
              <w:top w:val="single" w:sz="4" w:space="0" w:color="auto"/>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40.6</w:t>
            </w:r>
          </w:p>
        </w:tc>
        <w:tc>
          <w:tcPr>
            <w:tcW w:w="1030" w:type="dxa"/>
            <w:tcBorders>
              <w:top w:val="single" w:sz="4" w:space="0" w:color="auto"/>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229.9 17</w:t>
            </w:r>
          </w:p>
        </w:tc>
        <w:tc>
          <w:tcPr>
            <w:tcW w:w="927" w:type="dxa"/>
            <w:tcBorders>
              <w:top w:val="single" w:sz="4" w:space="0" w:color="auto"/>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047.7 7</w:t>
            </w:r>
          </w:p>
        </w:tc>
        <w:tc>
          <w:tcPr>
            <w:tcW w:w="824" w:type="dxa"/>
            <w:tcBorders>
              <w:top w:val="single" w:sz="4" w:space="0" w:color="auto"/>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40.9</w:t>
            </w:r>
          </w:p>
        </w:tc>
        <w:tc>
          <w:tcPr>
            <w:tcW w:w="1030" w:type="dxa"/>
            <w:tcBorders>
              <w:top w:val="single" w:sz="4" w:space="0" w:color="auto"/>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709.2 17</w:t>
            </w:r>
          </w:p>
        </w:tc>
        <w:tc>
          <w:tcPr>
            <w:tcW w:w="927" w:type="dxa"/>
            <w:tcBorders>
              <w:top w:val="single" w:sz="4" w:space="0" w:color="auto"/>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294.8 7</w:t>
            </w:r>
          </w:p>
        </w:tc>
        <w:tc>
          <w:tcPr>
            <w:tcW w:w="721" w:type="dxa"/>
            <w:tcBorders>
              <w:top w:val="single" w:sz="4" w:space="0" w:color="auto"/>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41.2</w:t>
            </w:r>
          </w:p>
        </w:tc>
      </w:tr>
      <w:tr w:rsidR="00484FEE" w:rsidRPr="009E129F">
        <w:tblPrEx>
          <w:tblCellMar>
            <w:top w:w="0" w:type="dxa"/>
            <w:bottom w:w="0" w:type="dxa"/>
          </w:tblCellMar>
        </w:tblPrEx>
        <w:trPr>
          <w:cantSplit/>
          <w:jc w:val="center"/>
        </w:trPr>
        <w:tc>
          <w:tcPr>
            <w:tcW w:w="2209" w:type="dxa"/>
            <w:tcBorders>
              <w:top w:val="single" w:sz="4" w:space="0" w:color="auto"/>
            </w:tcBorders>
            <w:shd w:val="clear" w:color="auto" w:fill="auto"/>
            <w:vAlign w:val="bottom"/>
          </w:tcPr>
          <w:p w:rsidR="00484FEE" w:rsidRPr="009E129F" w:rsidRDefault="00484FEE" w:rsidP="0011796D">
            <w:pPr>
              <w:spacing w:before="40" w:after="40" w:line="240" w:lineRule="exact"/>
              <w:jc w:val="lowKashida"/>
              <w:rPr>
                <w:rFonts w:hint="cs"/>
                <w:b/>
                <w:bCs/>
                <w:sz w:val="14"/>
                <w:szCs w:val="22"/>
                <w:rtl/>
              </w:rPr>
            </w:pPr>
            <w:r w:rsidRPr="009E129F">
              <w:rPr>
                <w:rFonts w:hint="cs"/>
                <w:b/>
                <w:bCs/>
                <w:sz w:val="14"/>
                <w:szCs w:val="22"/>
                <w:rtl/>
              </w:rPr>
              <w:t>جامعات الفن والموسيقى</w:t>
            </w:r>
          </w:p>
        </w:tc>
        <w:tc>
          <w:tcPr>
            <w:tcW w:w="978"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900"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594"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1030"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927"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618"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1030"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927"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824"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1030"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927"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c>
          <w:tcPr>
            <w:tcW w:w="721"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p>
        </w:tc>
      </w:tr>
      <w:tr w:rsidR="00484FEE" w:rsidRPr="009E129F">
        <w:tblPrEx>
          <w:tblCellMar>
            <w:top w:w="0" w:type="dxa"/>
            <w:bottom w:w="0" w:type="dxa"/>
          </w:tblCellMar>
        </w:tblPrEx>
        <w:trPr>
          <w:cantSplit/>
          <w:jc w:val="center"/>
        </w:trPr>
        <w:tc>
          <w:tcPr>
            <w:tcW w:w="2209" w:type="dxa"/>
            <w:shd w:val="clear" w:color="auto" w:fill="auto"/>
            <w:vAlign w:val="bottom"/>
          </w:tcPr>
          <w:p w:rsidR="00484FEE" w:rsidRPr="009E129F" w:rsidRDefault="00484FEE" w:rsidP="0011796D">
            <w:pPr>
              <w:spacing w:before="40" w:after="40" w:line="240" w:lineRule="exact"/>
              <w:jc w:val="lowKashida"/>
              <w:rPr>
                <w:rFonts w:hint="cs"/>
                <w:sz w:val="14"/>
                <w:szCs w:val="22"/>
                <w:rtl/>
              </w:rPr>
            </w:pPr>
            <w:r w:rsidRPr="009E129F">
              <w:rPr>
                <w:rFonts w:hint="cs"/>
                <w:sz w:val="14"/>
                <w:szCs w:val="22"/>
                <w:rtl/>
              </w:rPr>
              <w:t>أساتذة متفرغون</w:t>
            </w:r>
          </w:p>
        </w:tc>
        <w:tc>
          <w:tcPr>
            <w:tcW w:w="978"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360.0</w:t>
            </w:r>
          </w:p>
        </w:tc>
        <w:tc>
          <w:tcPr>
            <w:tcW w:w="90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71.0</w:t>
            </w:r>
          </w:p>
        </w:tc>
        <w:tc>
          <w:tcPr>
            <w:tcW w:w="594"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19.7</w:t>
            </w:r>
          </w:p>
        </w:tc>
        <w:tc>
          <w:tcPr>
            <w:tcW w:w="103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437.6</w:t>
            </w:r>
          </w:p>
        </w:tc>
        <w:tc>
          <w:tcPr>
            <w:tcW w:w="927"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96.9</w:t>
            </w:r>
          </w:p>
        </w:tc>
        <w:tc>
          <w:tcPr>
            <w:tcW w:w="618"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22.2</w:t>
            </w:r>
          </w:p>
        </w:tc>
        <w:tc>
          <w:tcPr>
            <w:tcW w:w="103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445.1</w:t>
            </w:r>
          </w:p>
        </w:tc>
        <w:tc>
          <w:tcPr>
            <w:tcW w:w="927"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103.9</w:t>
            </w:r>
          </w:p>
        </w:tc>
        <w:tc>
          <w:tcPr>
            <w:tcW w:w="824"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23.3</w:t>
            </w:r>
          </w:p>
        </w:tc>
        <w:tc>
          <w:tcPr>
            <w:tcW w:w="103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472.6</w:t>
            </w:r>
          </w:p>
        </w:tc>
        <w:tc>
          <w:tcPr>
            <w:tcW w:w="927"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113.9</w:t>
            </w:r>
          </w:p>
        </w:tc>
        <w:tc>
          <w:tcPr>
            <w:tcW w:w="721"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24.1</w:t>
            </w:r>
          </w:p>
        </w:tc>
      </w:tr>
      <w:tr w:rsidR="00484FEE" w:rsidRPr="009E129F">
        <w:tblPrEx>
          <w:tblCellMar>
            <w:top w:w="0" w:type="dxa"/>
            <w:bottom w:w="0" w:type="dxa"/>
          </w:tblCellMar>
        </w:tblPrEx>
        <w:trPr>
          <w:cantSplit/>
          <w:jc w:val="center"/>
        </w:trPr>
        <w:tc>
          <w:tcPr>
            <w:tcW w:w="2209" w:type="dxa"/>
            <w:shd w:val="clear" w:color="auto" w:fill="auto"/>
            <w:vAlign w:val="bottom"/>
          </w:tcPr>
          <w:p w:rsidR="00484FEE" w:rsidRPr="009E129F" w:rsidRDefault="00484FEE" w:rsidP="0011796D">
            <w:pPr>
              <w:spacing w:before="40" w:after="40" w:line="240" w:lineRule="exact"/>
              <w:jc w:val="lowKashida"/>
              <w:rPr>
                <w:rFonts w:hint="cs"/>
                <w:sz w:val="14"/>
                <w:szCs w:val="22"/>
                <w:rtl/>
              </w:rPr>
            </w:pPr>
            <w:r w:rsidRPr="009E129F">
              <w:rPr>
                <w:rFonts w:hint="cs"/>
                <w:sz w:val="14"/>
                <w:szCs w:val="22"/>
                <w:rtl/>
              </w:rPr>
              <w:t>مساعدون ومساعدون مؤقتون</w:t>
            </w:r>
          </w:p>
        </w:tc>
        <w:tc>
          <w:tcPr>
            <w:tcW w:w="978"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203.5</w:t>
            </w:r>
          </w:p>
        </w:tc>
        <w:tc>
          <w:tcPr>
            <w:tcW w:w="90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75.0</w:t>
            </w:r>
          </w:p>
        </w:tc>
        <w:tc>
          <w:tcPr>
            <w:tcW w:w="594"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36.9</w:t>
            </w:r>
          </w:p>
        </w:tc>
        <w:tc>
          <w:tcPr>
            <w:tcW w:w="103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206.5</w:t>
            </w:r>
          </w:p>
        </w:tc>
        <w:tc>
          <w:tcPr>
            <w:tcW w:w="927"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77.3</w:t>
            </w:r>
          </w:p>
        </w:tc>
        <w:tc>
          <w:tcPr>
            <w:tcW w:w="618"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37.4</w:t>
            </w:r>
          </w:p>
        </w:tc>
        <w:tc>
          <w:tcPr>
            <w:tcW w:w="103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212.8</w:t>
            </w:r>
          </w:p>
        </w:tc>
        <w:tc>
          <w:tcPr>
            <w:tcW w:w="927"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77.5</w:t>
            </w:r>
          </w:p>
        </w:tc>
        <w:tc>
          <w:tcPr>
            <w:tcW w:w="824"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36.4</w:t>
            </w:r>
          </w:p>
        </w:tc>
        <w:tc>
          <w:tcPr>
            <w:tcW w:w="1030"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224.2</w:t>
            </w:r>
          </w:p>
        </w:tc>
        <w:tc>
          <w:tcPr>
            <w:tcW w:w="927"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82.5</w:t>
            </w:r>
          </w:p>
        </w:tc>
        <w:tc>
          <w:tcPr>
            <w:tcW w:w="721" w:type="dxa"/>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36.8</w:t>
            </w:r>
          </w:p>
        </w:tc>
      </w:tr>
      <w:tr w:rsidR="00484FEE" w:rsidRPr="009E129F">
        <w:tblPrEx>
          <w:tblCellMar>
            <w:top w:w="0" w:type="dxa"/>
            <w:bottom w:w="0" w:type="dxa"/>
          </w:tblCellMar>
        </w:tblPrEx>
        <w:trPr>
          <w:cantSplit/>
          <w:jc w:val="center"/>
        </w:trPr>
        <w:tc>
          <w:tcPr>
            <w:tcW w:w="2209" w:type="dxa"/>
            <w:tcBorders>
              <w:bottom w:val="single" w:sz="4" w:space="0" w:color="auto"/>
            </w:tcBorders>
            <w:shd w:val="clear" w:color="auto" w:fill="auto"/>
            <w:vAlign w:val="bottom"/>
          </w:tcPr>
          <w:p w:rsidR="00484FEE" w:rsidRPr="009E129F" w:rsidRDefault="00484FEE" w:rsidP="0011796D">
            <w:pPr>
              <w:spacing w:before="40" w:after="40" w:line="240" w:lineRule="exact"/>
              <w:jc w:val="lowKashida"/>
              <w:rPr>
                <w:rFonts w:hint="cs"/>
                <w:sz w:val="14"/>
                <w:szCs w:val="22"/>
                <w:rtl/>
              </w:rPr>
            </w:pPr>
            <w:r w:rsidRPr="009E129F">
              <w:rPr>
                <w:rFonts w:hint="cs"/>
                <w:sz w:val="14"/>
                <w:szCs w:val="22"/>
                <w:rtl/>
              </w:rPr>
              <w:t>عاملون من الخدمة المدنية الأكاديمية ومدرسون اتحاديون ومدرسون ذوو عقود مؤقتة</w:t>
            </w:r>
          </w:p>
        </w:tc>
        <w:tc>
          <w:tcPr>
            <w:tcW w:w="978"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5682.4</w:t>
            </w:r>
          </w:p>
        </w:tc>
        <w:tc>
          <w:tcPr>
            <w:tcW w:w="900"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254.1</w:t>
            </w:r>
          </w:p>
        </w:tc>
        <w:tc>
          <w:tcPr>
            <w:tcW w:w="594"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43.6</w:t>
            </w:r>
          </w:p>
        </w:tc>
        <w:tc>
          <w:tcPr>
            <w:tcW w:w="1030"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508.1</w:t>
            </w:r>
          </w:p>
        </w:tc>
        <w:tc>
          <w:tcPr>
            <w:tcW w:w="927"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230.6</w:t>
            </w:r>
          </w:p>
        </w:tc>
        <w:tc>
          <w:tcPr>
            <w:tcW w:w="618"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45.4</w:t>
            </w:r>
          </w:p>
        </w:tc>
        <w:tc>
          <w:tcPr>
            <w:tcW w:w="1030"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503.2</w:t>
            </w:r>
          </w:p>
        </w:tc>
        <w:tc>
          <w:tcPr>
            <w:tcW w:w="927"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231.7</w:t>
            </w:r>
          </w:p>
        </w:tc>
        <w:tc>
          <w:tcPr>
            <w:tcW w:w="824"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46.0</w:t>
            </w:r>
          </w:p>
        </w:tc>
        <w:tc>
          <w:tcPr>
            <w:tcW w:w="1030"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509.8</w:t>
            </w:r>
          </w:p>
        </w:tc>
        <w:tc>
          <w:tcPr>
            <w:tcW w:w="927"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235.6</w:t>
            </w:r>
          </w:p>
        </w:tc>
        <w:tc>
          <w:tcPr>
            <w:tcW w:w="721"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46.2</w:t>
            </w:r>
          </w:p>
        </w:tc>
      </w:tr>
      <w:tr w:rsidR="00484FEE" w:rsidRPr="009E129F">
        <w:tblPrEx>
          <w:tblCellMar>
            <w:top w:w="0" w:type="dxa"/>
            <w:bottom w:w="0" w:type="dxa"/>
          </w:tblCellMar>
        </w:tblPrEx>
        <w:trPr>
          <w:cantSplit/>
          <w:jc w:val="center"/>
        </w:trPr>
        <w:tc>
          <w:tcPr>
            <w:tcW w:w="2209" w:type="dxa"/>
            <w:tcBorders>
              <w:top w:val="single" w:sz="4" w:space="0" w:color="auto"/>
            </w:tcBorders>
            <w:shd w:val="clear" w:color="auto" w:fill="auto"/>
            <w:vAlign w:val="bottom"/>
          </w:tcPr>
          <w:p w:rsidR="00484FEE" w:rsidRPr="009E129F" w:rsidRDefault="00484FEE" w:rsidP="0011796D">
            <w:pPr>
              <w:spacing w:before="40" w:after="40" w:line="240" w:lineRule="exact"/>
              <w:jc w:val="lowKashida"/>
              <w:rPr>
                <w:rFonts w:hint="cs"/>
                <w:sz w:val="14"/>
                <w:szCs w:val="22"/>
                <w:rtl/>
              </w:rPr>
            </w:pPr>
            <w:r w:rsidRPr="009E129F">
              <w:rPr>
                <w:rFonts w:hint="cs"/>
                <w:sz w:val="14"/>
                <w:szCs w:val="22"/>
                <w:rtl/>
              </w:rPr>
              <w:t>مجموع هيئة التدريس الأكاديمية (والفنية)</w:t>
            </w:r>
          </w:p>
        </w:tc>
        <w:tc>
          <w:tcPr>
            <w:tcW w:w="978"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145.9 1</w:t>
            </w:r>
          </w:p>
        </w:tc>
        <w:tc>
          <w:tcPr>
            <w:tcW w:w="900"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40.1</w:t>
            </w:r>
          </w:p>
        </w:tc>
        <w:tc>
          <w:tcPr>
            <w:tcW w:w="594"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34.9</w:t>
            </w:r>
          </w:p>
        </w:tc>
        <w:tc>
          <w:tcPr>
            <w:tcW w:w="1030"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152.2 1</w:t>
            </w:r>
          </w:p>
        </w:tc>
        <w:tc>
          <w:tcPr>
            <w:tcW w:w="927"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404.8</w:t>
            </w:r>
          </w:p>
        </w:tc>
        <w:tc>
          <w:tcPr>
            <w:tcW w:w="618"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35.1</w:t>
            </w:r>
          </w:p>
        </w:tc>
        <w:tc>
          <w:tcPr>
            <w:tcW w:w="1030"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161.0 1</w:t>
            </w:r>
          </w:p>
        </w:tc>
        <w:tc>
          <w:tcPr>
            <w:tcW w:w="927"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413.1</w:t>
            </w:r>
          </w:p>
        </w:tc>
        <w:tc>
          <w:tcPr>
            <w:tcW w:w="824"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35.6</w:t>
            </w:r>
          </w:p>
        </w:tc>
        <w:tc>
          <w:tcPr>
            <w:tcW w:w="1030"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206.6 1</w:t>
            </w:r>
          </w:p>
        </w:tc>
        <w:tc>
          <w:tcPr>
            <w:tcW w:w="927"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432.0</w:t>
            </w:r>
          </w:p>
        </w:tc>
        <w:tc>
          <w:tcPr>
            <w:tcW w:w="721" w:type="dxa"/>
            <w:tcBorders>
              <w:top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35.8</w:t>
            </w:r>
          </w:p>
        </w:tc>
      </w:tr>
      <w:tr w:rsidR="00484FEE" w:rsidRPr="009E129F">
        <w:tblPrEx>
          <w:tblCellMar>
            <w:top w:w="0" w:type="dxa"/>
            <w:bottom w:w="0" w:type="dxa"/>
          </w:tblCellMar>
        </w:tblPrEx>
        <w:trPr>
          <w:cantSplit/>
          <w:jc w:val="center"/>
        </w:trPr>
        <w:tc>
          <w:tcPr>
            <w:tcW w:w="2209" w:type="dxa"/>
            <w:tcBorders>
              <w:bottom w:val="single" w:sz="4" w:space="0" w:color="auto"/>
            </w:tcBorders>
            <w:shd w:val="clear" w:color="auto" w:fill="auto"/>
            <w:vAlign w:val="bottom"/>
          </w:tcPr>
          <w:p w:rsidR="00484FEE" w:rsidRPr="009E129F" w:rsidRDefault="00484FEE" w:rsidP="0011796D">
            <w:pPr>
              <w:spacing w:before="40" w:after="40" w:line="240" w:lineRule="exact"/>
              <w:jc w:val="lowKashida"/>
              <w:rPr>
                <w:rFonts w:hint="cs"/>
                <w:sz w:val="14"/>
                <w:szCs w:val="22"/>
                <w:rtl/>
              </w:rPr>
            </w:pPr>
            <w:r w:rsidRPr="009E129F">
              <w:rPr>
                <w:rFonts w:hint="cs"/>
                <w:sz w:val="14"/>
                <w:szCs w:val="22"/>
                <w:rtl/>
              </w:rPr>
              <w:t>مجموع الموظفين الإداريين</w:t>
            </w:r>
          </w:p>
        </w:tc>
        <w:tc>
          <w:tcPr>
            <w:tcW w:w="978"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623.1</w:t>
            </w:r>
          </w:p>
        </w:tc>
        <w:tc>
          <w:tcPr>
            <w:tcW w:w="900"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323.8</w:t>
            </w:r>
          </w:p>
        </w:tc>
        <w:tc>
          <w:tcPr>
            <w:tcW w:w="594"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52.0</w:t>
            </w:r>
          </w:p>
        </w:tc>
        <w:tc>
          <w:tcPr>
            <w:tcW w:w="1030"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637.7</w:t>
            </w:r>
          </w:p>
        </w:tc>
        <w:tc>
          <w:tcPr>
            <w:tcW w:w="927"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337.8</w:t>
            </w:r>
          </w:p>
        </w:tc>
        <w:tc>
          <w:tcPr>
            <w:tcW w:w="618"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53.0</w:t>
            </w:r>
          </w:p>
        </w:tc>
        <w:tc>
          <w:tcPr>
            <w:tcW w:w="1030"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653.2</w:t>
            </w:r>
          </w:p>
        </w:tc>
        <w:tc>
          <w:tcPr>
            <w:tcW w:w="927"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346.8</w:t>
            </w:r>
          </w:p>
        </w:tc>
        <w:tc>
          <w:tcPr>
            <w:tcW w:w="824"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53.1</w:t>
            </w:r>
          </w:p>
        </w:tc>
        <w:tc>
          <w:tcPr>
            <w:tcW w:w="1030"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675.8</w:t>
            </w:r>
          </w:p>
        </w:tc>
        <w:tc>
          <w:tcPr>
            <w:tcW w:w="927"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372.7</w:t>
            </w:r>
          </w:p>
        </w:tc>
        <w:tc>
          <w:tcPr>
            <w:tcW w:w="721" w:type="dxa"/>
            <w:tcBorders>
              <w:bottom w:val="single" w:sz="4" w:space="0" w:color="auto"/>
            </w:tcBorders>
            <w:shd w:val="clear" w:color="auto" w:fill="auto"/>
            <w:vAlign w:val="bottom"/>
          </w:tcPr>
          <w:p w:rsidR="00484FEE" w:rsidRPr="009E129F" w:rsidRDefault="00484FEE" w:rsidP="0011796D">
            <w:pPr>
              <w:spacing w:before="40" w:after="40" w:line="240" w:lineRule="exact"/>
              <w:ind w:right="144"/>
              <w:jc w:val="lowKashida"/>
              <w:rPr>
                <w:rFonts w:hint="cs"/>
                <w:sz w:val="14"/>
                <w:szCs w:val="22"/>
                <w:rtl/>
              </w:rPr>
            </w:pPr>
            <w:r w:rsidRPr="009E129F">
              <w:rPr>
                <w:rFonts w:hint="cs"/>
                <w:sz w:val="14"/>
                <w:szCs w:val="22"/>
                <w:rtl/>
              </w:rPr>
              <w:t>55.1</w:t>
            </w:r>
          </w:p>
        </w:tc>
      </w:tr>
      <w:tr w:rsidR="00484FEE" w:rsidRPr="009E129F">
        <w:tblPrEx>
          <w:tblCellMar>
            <w:top w:w="0" w:type="dxa"/>
            <w:bottom w:w="0" w:type="dxa"/>
          </w:tblCellMar>
        </w:tblPrEx>
        <w:trPr>
          <w:cantSplit/>
          <w:jc w:val="center"/>
        </w:trPr>
        <w:tc>
          <w:tcPr>
            <w:tcW w:w="2209" w:type="dxa"/>
            <w:tcBorders>
              <w:top w:val="single" w:sz="4" w:space="0" w:color="auto"/>
              <w:bottom w:val="single" w:sz="2" w:space="0" w:color="auto"/>
            </w:tcBorders>
            <w:shd w:val="clear" w:color="auto" w:fill="auto"/>
            <w:vAlign w:val="bottom"/>
          </w:tcPr>
          <w:p w:rsidR="00484FEE" w:rsidRPr="009E129F" w:rsidRDefault="00484FEE" w:rsidP="0011796D">
            <w:pPr>
              <w:spacing w:before="40" w:after="40" w:line="240" w:lineRule="exact"/>
              <w:jc w:val="lowKashida"/>
              <w:rPr>
                <w:rFonts w:hint="cs"/>
                <w:b/>
                <w:bCs/>
                <w:sz w:val="14"/>
                <w:szCs w:val="22"/>
                <w:rtl/>
              </w:rPr>
            </w:pPr>
            <w:r w:rsidRPr="009E129F">
              <w:rPr>
                <w:rFonts w:hint="cs"/>
                <w:b/>
                <w:bCs/>
                <w:sz w:val="14"/>
                <w:szCs w:val="22"/>
                <w:rtl/>
              </w:rPr>
              <w:t>المجموع في جامعات الفن والموسيقى</w:t>
            </w:r>
          </w:p>
        </w:tc>
        <w:tc>
          <w:tcPr>
            <w:tcW w:w="978" w:type="dxa"/>
            <w:tcBorders>
              <w:top w:val="single" w:sz="4" w:space="0" w:color="auto"/>
              <w:bottom w:val="single" w:sz="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769.0 1</w:t>
            </w:r>
          </w:p>
        </w:tc>
        <w:tc>
          <w:tcPr>
            <w:tcW w:w="900" w:type="dxa"/>
            <w:tcBorders>
              <w:top w:val="single" w:sz="4" w:space="0" w:color="auto"/>
              <w:bottom w:val="single" w:sz="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723.9</w:t>
            </w:r>
          </w:p>
        </w:tc>
        <w:tc>
          <w:tcPr>
            <w:tcW w:w="594" w:type="dxa"/>
            <w:tcBorders>
              <w:top w:val="single" w:sz="4" w:space="0" w:color="auto"/>
              <w:bottom w:val="single" w:sz="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40.9</w:t>
            </w:r>
          </w:p>
        </w:tc>
        <w:tc>
          <w:tcPr>
            <w:tcW w:w="1030" w:type="dxa"/>
            <w:tcBorders>
              <w:top w:val="single" w:sz="4" w:space="0" w:color="auto"/>
              <w:bottom w:val="single" w:sz="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789.9 1</w:t>
            </w:r>
          </w:p>
        </w:tc>
        <w:tc>
          <w:tcPr>
            <w:tcW w:w="927" w:type="dxa"/>
            <w:tcBorders>
              <w:top w:val="single" w:sz="4" w:space="0" w:color="auto"/>
              <w:bottom w:val="single" w:sz="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742.5</w:t>
            </w:r>
          </w:p>
        </w:tc>
        <w:tc>
          <w:tcPr>
            <w:tcW w:w="618" w:type="dxa"/>
            <w:tcBorders>
              <w:top w:val="single" w:sz="4" w:space="0" w:color="auto"/>
              <w:bottom w:val="single" w:sz="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41.5</w:t>
            </w:r>
          </w:p>
        </w:tc>
        <w:tc>
          <w:tcPr>
            <w:tcW w:w="1030" w:type="dxa"/>
            <w:tcBorders>
              <w:top w:val="single" w:sz="4" w:space="0" w:color="auto"/>
              <w:bottom w:val="single" w:sz="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814.2 1</w:t>
            </w:r>
          </w:p>
        </w:tc>
        <w:tc>
          <w:tcPr>
            <w:tcW w:w="927" w:type="dxa"/>
            <w:tcBorders>
              <w:top w:val="single" w:sz="4" w:space="0" w:color="auto"/>
              <w:bottom w:val="single" w:sz="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759.9</w:t>
            </w:r>
          </w:p>
        </w:tc>
        <w:tc>
          <w:tcPr>
            <w:tcW w:w="824" w:type="dxa"/>
            <w:tcBorders>
              <w:top w:val="single" w:sz="4" w:space="0" w:color="auto"/>
              <w:bottom w:val="single" w:sz="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41.9</w:t>
            </w:r>
          </w:p>
        </w:tc>
        <w:tc>
          <w:tcPr>
            <w:tcW w:w="1030" w:type="dxa"/>
            <w:tcBorders>
              <w:top w:val="single" w:sz="4" w:space="0" w:color="auto"/>
              <w:bottom w:val="single" w:sz="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882.4 1</w:t>
            </w:r>
          </w:p>
        </w:tc>
        <w:tc>
          <w:tcPr>
            <w:tcW w:w="927" w:type="dxa"/>
            <w:tcBorders>
              <w:top w:val="single" w:sz="4" w:space="0" w:color="auto"/>
              <w:bottom w:val="single" w:sz="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804.7</w:t>
            </w:r>
          </w:p>
        </w:tc>
        <w:tc>
          <w:tcPr>
            <w:tcW w:w="721" w:type="dxa"/>
            <w:tcBorders>
              <w:top w:val="single" w:sz="4" w:space="0" w:color="auto"/>
              <w:bottom w:val="single" w:sz="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42.7</w:t>
            </w:r>
          </w:p>
        </w:tc>
      </w:tr>
      <w:tr w:rsidR="00484FEE" w:rsidRPr="009E129F">
        <w:tblPrEx>
          <w:tblCellMar>
            <w:top w:w="0" w:type="dxa"/>
            <w:bottom w:w="0" w:type="dxa"/>
          </w:tblCellMar>
        </w:tblPrEx>
        <w:trPr>
          <w:cantSplit/>
          <w:jc w:val="center"/>
        </w:trPr>
        <w:tc>
          <w:tcPr>
            <w:tcW w:w="2209" w:type="dxa"/>
            <w:tcBorders>
              <w:top w:val="single" w:sz="2" w:space="0" w:color="auto"/>
              <w:bottom w:val="single" w:sz="12" w:space="0" w:color="auto"/>
            </w:tcBorders>
            <w:shd w:val="clear" w:color="auto" w:fill="auto"/>
            <w:vAlign w:val="bottom"/>
          </w:tcPr>
          <w:p w:rsidR="00484FEE" w:rsidRPr="009E129F" w:rsidRDefault="00484FEE" w:rsidP="0011796D">
            <w:pPr>
              <w:spacing w:before="40" w:after="40" w:line="240" w:lineRule="exact"/>
              <w:jc w:val="lowKashida"/>
              <w:rPr>
                <w:rFonts w:hint="cs"/>
                <w:b/>
                <w:bCs/>
                <w:sz w:val="14"/>
                <w:szCs w:val="22"/>
                <w:rtl/>
              </w:rPr>
            </w:pPr>
            <w:r w:rsidRPr="009E129F">
              <w:rPr>
                <w:rFonts w:hint="cs"/>
                <w:b/>
                <w:bCs/>
                <w:sz w:val="14"/>
                <w:szCs w:val="22"/>
                <w:rtl/>
              </w:rPr>
              <w:t>المجموع</w:t>
            </w:r>
          </w:p>
        </w:tc>
        <w:tc>
          <w:tcPr>
            <w:tcW w:w="978" w:type="dxa"/>
            <w:tcBorders>
              <w:top w:val="single" w:sz="2" w:space="0" w:color="auto"/>
              <w:bottom w:val="single" w:sz="1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784.1 18</w:t>
            </w:r>
          </w:p>
        </w:tc>
        <w:tc>
          <w:tcPr>
            <w:tcW w:w="900" w:type="dxa"/>
            <w:tcBorders>
              <w:top w:val="single" w:sz="2" w:space="0" w:color="auto"/>
              <w:bottom w:val="single" w:sz="1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537.3 7</w:t>
            </w:r>
          </w:p>
        </w:tc>
        <w:tc>
          <w:tcPr>
            <w:tcW w:w="594" w:type="dxa"/>
            <w:tcBorders>
              <w:top w:val="single" w:sz="2" w:space="0" w:color="auto"/>
              <w:bottom w:val="single" w:sz="1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40.1</w:t>
            </w:r>
          </w:p>
        </w:tc>
        <w:tc>
          <w:tcPr>
            <w:tcW w:w="1030" w:type="dxa"/>
            <w:tcBorders>
              <w:top w:val="single" w:sz="2" w:space="0" w:color="auto"/>
              <w:bottom w:val="single" w:sz="1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893.3 18</w:t>
            </w:r>
          </w:p>
        </w:tc>
        <w:tc>
          <w:tcPr>
            <w:tcW w:w="927" w:type="dxa"/>
            <w:tcBorders>
              <w:top w:val="single" w:sz="2" w:space="0" w:color="auto"/>
              <w:bottom w:val="single" w:sz="1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684.1 7</w:t>
            </w:r>
          </w:p>
        </w:tc>
        <w:tc>
          <w:tcPr>
            <w:tcW w:w="618" w:type="dxa"/>
            <w:tcBorders>
              <w:top w:val="single" w:sz="2" w:space="0" w:color="auto"/>
              <w:bottom w:val="single" w:sz="1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40.7</w:t>
            </w:r>
          </w:p>
        </w:tc>
        <w:tc>
          <w:tcPr>
            <w:tcW w:w="1030" w:type="dxa"/>
            <w:tcBorders>
              <w:top w:val="single" w:sz="2" w:space="0" w:color="auto"/>
              <w:bottom w:val="single" w:sz="1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044.1 19</w:t>
            </w:r>
          </w:p>
        </w:tc>
        <w:tc>
          <w:tcPr>
            <w:tcW w:w="927" w:type="dxa"/>
            <w:tcBorders>
              <w:top w:val="single" w:sz="2" w:space="0" w:color="auto"/>
              <w:bottom w:val="single" w:sz="1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807.6 7</w:t>
            </w:r>
          </w:p>
        </w:tc>
        <w:tc>
          <w:tcPr>
            <w:tcW w:w="824" w:type="dxa"/>
            <w:tcBorders>
              <w:top w:val="single" w:sz="2" w:space="0" w:color="auto"/>
              <w:bottom w:val="single" w:sz="1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41.0</w:t>
            </w:r>
          </w:p>
        </w:tc>
        <w:tc>
          <w:tcPr>
            <w:tcW w:w="1030" w:type="dxa"/>
            <w:tcBorders>
              <w:top w:val="single" w:sz="2" w:space="0" w:color="auto"/>
              <w:bottom w:val="single" w:sz="1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591.6 19</w:t>
            </w:r>
          </w:p>
        </w:tc>
        <w:tc>
          <w:tcPr>
            <w:tcW w:w="927" w:type="dxa"/>
            <w:tcBorders>
              <w:top w:val="single" w:sz="2" w:space="0" w:color="auto"/>
              <w:bottom w:val="single" w:sz="1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99.5 80</w:t>
            </w:r>
          </w:p>
        </w:tc>
        <w:tc>
          <w:tcPr>
            <w:tcW w:w="721" w:type="dxa"/>
            <w:tcBorders>
              <w:top w:val="single" w:sz="2" w:space="0" w:color="auto"/>
              <w:bottom w:val="single" w:sz="12" w:space="0" w:color="auto"/>
            </w:tcBorders>
            <w:shd w:val="clear" w:color="auto" w:fill="auto"/>
            <w:vAlign w:val="bottom"/>
          </w:tcPr>
          <w:p w:rsidR="00484FEE" w:rsidRPr="009E129F" w:rsidRDefault="00484FEE" w:rsidP="0011796D">
            <w:pPr>
              <w:spacing w:before="40" w:after="40" w:line="240" w:lineRule="exact"/>
              <w:ind w:right="144"/>
              <w:jc w:val="lowKashida"/>
              <w:rPr>
                <w:rFonts w:hint="cs"/>
                <w:b/>
                <w:bCs/>
                <w:sz w:val="14"/>
                <w:szCs w:val="22"/>
                <w:rtl/>
              </w:rPr>
            </w:pPr>
            <w:r w:rsidRPr="009E129F">
              <w:rPr>
                <w:rFonts w:hint="cs"/>
                <w:b/>
                <w:bCs/>
                <w:sz w:val="14"/>
                <w:szCs w:val="22"/>
                <w:rtl/>
              </w:rPr>
              <w:t>41.3</w:t>
            </w:r>
          </w:p>
        </w:tc>
      </w:tr>
    </w:tbl>
    <w:p w:rsidR="00484FEE" w:rsidRDefault="00484FEE" w:rsidP="00484FEE">
      <w:pPr>
        <w:pStyle w:val="SingleTxt"/>
        <w:spacing w:after="0" w:line="120" w:lineRule="exact"/>
        <w:rPr>
          <w:sz w:val="10"/>
          <w:rtl/>
        </w:rPr>
      </w:pPr>
    </w:p>
    <w:p w:rsidR="00484FEE" w:rsidRDefault="00484FEE" w:rsidP="00484FEE">
      <w:pPr>
        <w:pStyle w:val="FootnoteText"/>
        <w:tabs>
          <w:tab w:val="clear" w:pos="418"/>
          <w:tab w:val="right" w:pos="1195"/>
          <w:tab w:val="left" w:pos="1267"/>
          <w:tab w:val="left" w:pos="1656"/>
          <w:tab w:val="left" w:pos="2088"/>
        </w:tabs>
        <w:spacing w:after="80"/>
        <w:ind w:left="1267" w:right="1267" w:hanging="547"/>
        <w:jc w:val="lowKashida"/>
        <w:rPr>
          <w:rFonts w:hint="cs"/>
          <w:w w:val="103"/>
          <w:rtl/>
        </w:rPr>
      </w:pPr>
      <w:r w:rsidRPr="0095283D">
        <w:rPr>
          <w:w w:val="103"/>
          <w:rtl/>
        </w:rPr>
        <w:t>(</w:t>
      </w:r>
      <w:r w:rsidR="004B1975">
        <w:rPr>
          <w:rFonts w:hint="cs"/>
          <w:w w:val="103"/>
          <w:rtl/>
        </w:rPr>
        <w:t>1</w:t>
      </w:r>
      <w:r w:rsidRPr="0095283D">
        <w:rPr>
          <w:w w:val="103"/>
          <w:rtl/>
        </w:rPr>
        <w:t>)</w:t>
      </w:r>
      <w:r w:rsidRPr="0095283D">
        <w:rPr>
          <w:w w:val="103"/>
          <w:rtl/>
        </w:rPr>
        <w:tab/>
      </w:r>
      <w:r>
        <w:rPr>
          <w:rFonts w:hint="cs"/>
          <w:w w:val="103"/>
          <w:rtl/>
        </w:rPr>
        <w:t xml:space="preserve">  عدد العاملين من حيث المناصب المشغولة في 1 كانون الثاني/يناير.</w:t>
      </w:r>
    </w:p>
    <w:p w:rsidR="00484FEE" w:rsidRPr="009E129F" w:rsidRDefault="00484FEE" w:rsidP="00484FEE">
      <w:pPr>
        <w:tabs>
          <w:tab w:val="left" w:pos="662"/>
          <w:tab w:val="left" w:pos="1267"/>
          <w:tab w:val="left" w:pos="1987"/>
          <w:tab w:val="left" w:pos="2650"/>
        </w:tabs>
        <w:jc w:val="lowKashida"/>
        <w:rPr>
          <w:rFonts w:hint="cs"/>
          <w:spacing w:val="-5"/>
          <w:sz w:val="16"/>
          <w:szCs w:val="26"/>
          <w:rtl/>
        </w:rPr>
      </w:pPr>
      <w:r w:rsidRPr="009E129F">
        <w:rPr>
          <w:rFonts w:hint="cs"/>
          <w:i/>
          <w:iCs/>
          <w:sz w:val="16"/>
          <w:szCs w:val="26"/>
          <w:rtl/>
        </w:rPr>
        <w:tab/>
        <w:t>المصدر</w:t>
      </w:r>
      <w:r w:rsidRPr="009E129F">
        <w:rPr>
          <w:rFonts w:hint="cs"/>
          <w:sz w:val="16"/>
          <w:szCs w:val="26"/>
          <w:rtl/>
        </w:rPr>
        <w:t xml:space="preserve">:  </w:t>
      </w:r>
      <w:r w:rsidRPr="009E129F">
        <w:rPr>
          <w:sz w:val="16"/>
          <w:szCs w:val="26"/>
        </w:rPr>
        <w:t>BMBWK, Personal-Datei</w:t>
      </w:r>
      <w:r w:rsidRPr="009E129F">
        <w:rPr>
          <w:rFonts w:hint="cs"/>
          <w:sz w:val="16"/>
          <w:szCs w:val="26"/>
          <w:rtl/>
        </w:rPr>
        <w:t xml:space="preserve">. </w:t>
      </w:r>
    </w:p>
    <w:p w:rsidR="00484FEE" w:rsidRDefault="00484FEE" w:rsidP="00484F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40" w:lineRule="exact"/>
        <w:ind w:left="1267" w:right="1267" w:hanging="1267"/>
        <w:jc w:val="lowKashida"/>
        <w:rPr>
          <w:rFonts w:hint="cs"/>
          <w:rtl/>
        </w:rPr>
      </w:pPr>
      <w:r>
        <w:rPr>
          <w:rFonts w:hint="cs"/>
          <w:sz w:val="10"/>
          <w:rtl/>
        </w:rPr>
        <w:t xml:space="preserve"> </w:t>
      </w:r>
      <w:r>
        <w:rPr>
          <w:sz w:val="10"/>
          <w:rtl/>
        </w:rPr>
        <w:br w:type="page"/>
      </w:r>
      <w:r>
        <w:rPr>
          <w:rFonts w:hint="cs"/>
          <w:rtl/>
        </w:rPr>
        <w:tab/>
      </w:r>
      <w:r>
        <w:rPr>
          <w:rFonts w:hint="cs"/>
          <w:rtl/>
        </w:rPr>
        <w:tab/>
        <w:t>تزايد عدد الطلاب</w:t>
      </w:r>
    </w:p>
    <w:p w:rsidR="00484FEE" w:rsidRDefault="00484FEE" w:rsidP="00484F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40" w:lineRule="exact"/>
        <w:ind w:left="1267" w:right="1267" w:hanging="1267"/>
        <w:jc w:val="lowKashida"/>
        <w:rPr>
          <w:rFonts w:hint="cs"/>
          <w:vertAlign w:val="superscript"/>
          <w:rtl/>
        </w:rPr>
      </w:pPr>
      <w:r>
        <w:rPr>
          <w:rFonts w:hint="cs"/>
          <w:rtl/>
        </w:rPr>
        <w:tab/>
      </w:r>
      <w:r>
        <w:rPr>
          <w:rFonts w:hint="cs"/>
          <w:rtl/>
        </w:rPr>
        <w:tab/>
        <w:t>في الجامعات وجامعات الفن والموسيقى وكليات التربية الفنية، في فصول الشتاء بين عامي 1998 و 2002</w:t>
      </w:r>
      <w:r w:rsidRPr="00FD0783">
        <w:rPr>
          <w:rFonts w:hint="cs"/>
          <w:vertAlign w:val="superscript"/>
          <w:rtl/>
        </w:rPr>
        <w:t>(1)</w:t>
      </w:r>
    </w:p>
    <w:tbl>
      <w:tblPr>
        <w:bidiVisual/>
        <w:tblW w:w="12301" w:type="dxa"/>
        <w:jc w:val="center"/>
        <w:tblInd w:w="-58" w:type="dxa"/>
        <w:tblLayout w:type="fixed"/>
        <w:tblCellMar>
          <w:left w:w="0" w:type="dxa"/>
          <w:right w:w="0" w:type="dxa"/>
        </w:tblCellMar>
        <w:tblLook w:val="0000" w:firstRow="0" w:lastRow="0" w:firstColumn="0" w:lastColumn="0" w:noHBand="0" w:noVBand="0"/>
      </w:tblPr>
      <w:tblGrid>
        <w:gridCol w:w="1171"/>
        <w:gridCol w:w="1113"/>
        <w:gridCol w:w="1113"/>
        <w:gridCol w:w="999"/>
        <w:gridCol w:w="1080"/>
        <w:gridCol w:w="1260"/>
        <w:gridCol w:w="1113"/>
        <w:gridCol w:w="1113"/>
        <w:gridCol w:w="1113"/>
        <w:gridCol w:w="1113"/>
        <w:gridCol w:w="1113"/>
      </w:tblGrid>
      <w:tr w:rsidR="00484FEE" w:rsidRPr="008A42D7">
        <w:tblPrEx>
          <w:tblCellMar>
            <w:top w:w="0" w:type="dxa"/>
            <w:bottom w:w="0" w:type="dxa"/>
          </w:tblCellMar>
        </w:tblPrEx>
        <w:trPr>
          <w:cantSplit/>
          <w:tblHeader/>
          <w:jc w:val="center"/>
        </w:trPr>
        <w:tc>
          <w:tcPr>
            <w:tcW w:w="1171" w:type="dxa"/>
            <w:tcBorders>
              <w:top w:val="single" w:sz="4" w:space="0" w:color="auto"/>
            </w:tcBorders>
            <w:shd w:val="clear" w:color="auto" w:fill="auto"/>
            <w:tcMar>
              <w:left w:w="0" w:type="dxa"/>
              <w:right w:w="0" w:type="dxa"/>
            </w:tcMar>
            <w:vAlign w:val="bottom"/>
          </w:tcPr>
          <w:p w:rsidR="00484FEE" w:rsidRPr="008A42D7" w:rsidRDefault="00484FEE" w:rsidP="0011796D">
            <w:pPr>
              <w:spacing w:before="80" w:after="80" w:line="180" w:lineRule="exact"/>
              <w:rPr>
                <w:rFonts w:hint="cs"/>
                <w:i/>
                <w:iCs/>
                <w:sz w:val="16"/>
                <w:szCs w:val="24"/>
                <w:rtl/>
              </w:rPr>
            </w:pPr>
            <w:r w:rsidRPr="008A42D7">
              <w:rPr>
                <w:rFonts w:hint="cs"/>
                <w:i/>
                <w:iCs/>
                <w:sz w:val="16"/>
                <w:szCs w:val="24"/>
                <w:rtl/>
              </w:rPr>
              <w:t>فصل الشتاء</w:t>
            </w:r>
          </w:p>
        </w:tc>
        <w:tc>
          <w:tcPr>
            <w:tcW w:w="5565" w:type="dxa"/>
            <w:gridSpan w:val="5"/>
            <w:tcBorders>
              <w:top w:val="single" w:sz="4" w:space="0" w:color="auto"/>
            </w:tcBorders>
            <w:shd w:val="clear" w:color="auto" w:fill="auto"/>
            <w:vAlign w:val="bottom"/>
          </w:tcPr>
          <w:p w:rsidR="00484FEE" w:rsidRPr="008A42D7" w:rsidRDefault="00484FEE" w:rsidP="0011796D">
            <w:pPr>
              <w:spacing w:before="80" w:after="80" w:line="180" w:lineRule="exact"/>
              <w:ind w:right="144"/>
              <w:jc w:val="center"/>
              <w:rPr>
                <w:rFonts w:hint="cs"/>
                <w:i/>
                <w:iCs/>
                <w:sz w:val="16"/>
                <w:szCs w:val="24"/>
                <w:rtl/>
              </w:rPr>
            </w:pPr>
            <w:r w:rsidRPr="008A42D7">
              <w:rPr>
                <w:rFonts w:hint="cs"/>
                <w:i/>
                <w:iCs/>
                <w:sz w:val="16"/>
                <w:szCs w:val="24"/>
                <w:rtl/>
              </w:rPr>
              <w:t>الطلاب الذين يدرسون للحصول على شهادة</w:t>
            </w:r>
          </w:p>
        </w:tc>
        <w:tc>
          <w:tcPr>
            <w:tcW w:w="5565" w:type="dxa"/>
            <w:gridSpan w:val="5"/>
            <w:tcBorders>
              <w:top w:val="single" w:sz="4" w:space="0" w:color="auto"/>
            </w:tcBorders>
            <w:shd w:val="clear" w:color="auto" w:fill="auto"/>
            <w:vAlign w:val="bottom"/>
          </w:tcPr>
          <w:p w:rsidR="00484FEE" w:rsidRPr="008A42D7" w:rsidRDefault="00484FEE" w:rsidP="0011796D">
            <w:pPr>
              <w:spacing w:before="80" w:after="80" w:line="180" w:lineRule="exact"/>
              <w:ind w:right="144"/>
              <w:jc w:val="center"/>
              <w:rPr>
                <w:rFonts w:hint="cs"/>
                <w:i/>
                <w:iCs/>
                <w:sz w:val="16"/>
                <w:szCs w:val="24"/>
                <w:rtl/>
              </w:rPr>
            </w:pPr>
            <w:r w:rsidRPr="008A42D7">
              <w:rPr>
                <w:rFonts w:hint="cs"/>
                <w:i/>
                <w:iCs/>
                <w:sz w:val="16"/>
                <w:szCs w:val="24"/>
                <w:rtl/>
              </w:rPr>
              <w:t>الطلاب الملتحقون الجدد</w:t>
            </w:r>
          </w:p>
        </w:tc>
      </w:tr>
      <w:tr w:rsidR="00484FEE" w:rsidRPr="008A42D7">
        <w:tblPrEx>
          <w:tblCellMar>
            <w:top w:w="0" w:type="dxa"/>
            <w:bottom w:w="0" w:type="dxa"/>
          </w:tblCellMar>
        </w:tblPrEx>
        <w:trPr>
          <w:cantSplit/>
          <w:tblHeader/>
          <w:jc w:val="center"/>
        </w:trPr>
        <w:tc>
          <w:tcPr>
            <w:tcW w:w="1171" w:type="dxa"/>
            <w:shd w:val="clear" w:color="auto" w:fill="auto"/>
            <w:vAlign w:val="bottom"/>
          </w:tcPr>
          <w:p w:rsidR="00484FEE" w:rsidRPr="008A42D7" w:rsidRDefault="00484FEE" w:rsidP="0011796D">
            <w:pPr>
              <w:spacing w:after="80" w:line="180" w:lineRule="exact"/>
              <w:rPr>
                <w:rFonts w:hint="cs"/>
                <w:i/>
                <w:iCs/>
                <w:sz w:val="16"/>
                <w:szCs w:val="24"/>
                <w:rtl/>
              </w:rPr>
            </w:pPr>
          </w:p>
        </w:tc>
        <w:tc>
          <w:tcPr>
            <w:tcW w:w="2226" w:type="dxa"/>
            <w:gridSpan w:val="2"/>
            <w:shd w:val="clear" w:color="auto" w:fill="auto"/>
            <w:vAlign w:val="bottom"/>
          </w:tcPr>
          <w:p w:rsidR="00484FEE" w:rsidRPr="008A42D7" w:rsidRDefault="00484FEE" w:rsidP="0011796D">
            <w:pPr>
              <w:spacing w:after="80" w:line="180" w:lineRule="exact"/>
              <w:ind w:right="144"/>
              <w:jc w:val="center"/>
              <w:rPr>
                <w:rFonts w:hint="cs"/>
                <w:i/>
                <w:iCs/>
                <w:sz w:val="16"/>
                <w:szCs w:val="24"/>
                <w:rtl/>
              </w:rPr>
            </w:pPr>
            <w:r w:rsidRPr="008A42D7">
              <w:rPr>
                <w:rFonts w:hint="cs"/>
                <w:i/>
                <w:iCs/>
                <w:sz w:val="16"/>
                <w:szCs w:val="24"/>
                <w:rtl/>
              </w:rPr>
              <w:t>النمساويون والأجانب</w:t>
            </w:r>
          </w:p>
        </w:tc>
        <w:tc>
          <w:tcPr>
            <w:tcW w:w="3339" w:type="dxa"/>
            <w:gridSpan w:val="3"/>
            <w:shd w:val="clear" w:color="auto" w:fill="auto"/>
            <w:vAlign w:val="bottom"/>
          </w:tcPr>
          <w:p w:rsidR="00484FEE" w:rsidRPr="008A42D7" w:rsidRDefault="00484FEE" w:rsidP="0011796D">
            <w:pPr>
              <w:spacing w:after="80" w:line="180" w:lineRule="exact"/>
              <w:ind w:right="144"/>
              <w:jc w:val="center"/>
              <w:rPr>
                <w:rFonts w:hint="cs"/>
                <w:i/>
                <w:iCs/>
                <w:sz w:val="16"/>
                <w:szCs w:val="24"/>
                <w:rtl/>
              </w:rPr>
            </w:pPr>
            <w:r w:rsidRPr="008A42D7">
              <w:rPr>
                <w:rFonts w:hint="cs"/>
                <w:i/>
                <w:iCs/>
                <w:sz w:val="16"/>
                <w:szCs w:val="24"/>
                <w:rtl/>
              </w:rPr>
              <w:t>عدد النساء</w:t>
            </w:r>
          </w:p>
        </w:tc>
        <w:tc>
          <w:tcPr>
            <w:tcW w:w="2226" w:type="dxa"/>
            <w:gridSpan w:val="2"/>
            <w:shd w:val="clear" w:color="auto" w:fill="auto"/>
            <w:vAlign w:val="bottom"/>
          </w:tcPr>
          <w:p w:rsidR="00484FEE" w:rsidRPr="008A42D7" w:rsidRDefault="00484FEE" w:rsidP="0011796D">
            <w:pPr>
              <w:spacing w:after="80" w:line="180" w:lineRule="exact"/>
              <w:ind w:right="144"/>
              <w:jc w:val="center"/>
              <w:rPr>
                <w:rFonts w:hint="cs"/>
                <w:i/>
                <w:iCs/>
                <w:sz w:val="16"/>
                <w:szCs w:val="24"/>
                <w:rtl/>
              </w:rPr>
            </w:pPr>
            <w:r w:rsidRPr="008A42D7">
              <w:rPr>
                <w:rFonts w:hint="cs"/>
                <w:i/>
                <w:iCs/>
                <w:sz w:val="16"/>
                <w:szCs w:val="24"/>
                <w:rtl/>
              </w:rPr>
              <w:t>النمساويون والأجانب</w:t>
            </w:r>
          </w:p>
        </w:tc>
        <w:tc>
          <w:tcPr>
            <w:tcW w:w="3339" w:type="dxa"/>
            <w:gridSpan w:val="3"/>
            <w:shd w:val="clear" w:color="auto" w:fill="auto"/>
            <w:vAlign w:val="bottom"/>
          </w:tcPr>
          <w:p w:rsidR="00484FEE" w:rsidRPr="008A42D7" w:rsidRDefault="00484FEE" w:rsidP="0011796D">
            <w:pPr>
              <w:spacing w:after="80" w:line="180" w:lineRule="exact"/>
              <w:ind w:right="144"/>
              <w:jc w:val="center"/>
              <w:rPr>
                <w:rFonts w:hint="cs"/>
                <w:i/>
                <w:iCs/>
                <w:sz w:val="16"/>
                <w:szCs w:val="24"/>
                <w:rtl/>
              </w:rPr>
            </w:pPr>
            <w:r w:rsidRPr="008A42D7">
              <w:rPr>
                <w:rFonts w:hint="cs"/>
                <w:i/>
                <w:iCs/>
                <w:sz w:val="16"/>
                <w:szCs w:val="24"/>
                <w:rtl/>
              </w:rPr>
              <w:t>عدد النساء</w:t>
            </w:r>
          </w:p>
        </w:tc>
      </w:tr>
      <w:tr w:rsidR="00484FEE" w:rsidRPr="008A42D7">
        <w:tblPrEx>
          <w:tblCellMar>
            <w:top w:w="0" w:type="dxa"/>
            <w:bottom w:w="0" w:type="dxa"/>
          </w:tblCellMar>
        </w:tblPrEx>
        <w:trPr>
          <w:cantSplit/>
          <w:tblHeader/>
          <w:jc w:val="center"/>
        </w:trPr>
        <w:tc>
          <w:tcPr>
            <w:tcW w:w="1171" w:type="dxa"/>
            <w:tcBorders>
              <w:bottom w:val="single" w:sz="12" w:space="0" w:color="auto"/>
            </w:tcBorders>
            <w:shd w:val="clear" w:color="auto" w:fill="auto"/>
            <w:vAlign w:val="bottom"/>
          </w:tcPr>
          <w:p w:rsidR="00484FEE" w:rsidRPr="008A42D7" w:rsidRDefault="00484FEE" w:rsidP="0011796D">
            <w:pPr>
              <w:spacing w:after="80" w:line="180" w:lineRule="exact"/>
              <w:rPr>
                <w:rFonts w:hint="cs"/>
                <w:i/>
                <w:iCs/>
                <w:sz w:val="16"/>
                <w:szCs w:val="24"/>
                <w:rtl/>
              </w:rPr>
            </w:pPr>
          </w:p>
        </w:tc>
        <w:tc>
          <w:tcPr>
            <w:tcW w:w="1113" w:type="dxa"/>
            <w:tcBorders>
              <w:bottom w:val="single" w:sz="12" w:space="0" w:color="auto"/>
            </w:tcBorders>
            <w:shd w:val="clear" w:color="auto" w:fill="auto"/>
            <w:vAlign w:val="bottom"/>
          </w:tcPr>
          <w:p w:rsidR="00484FEE" w:rsidRPr="008A42D7" w:rsidRDefault="00484FEE" w:rsidP="0011796D">
            <w:pPr>
              <w:spacing w:after="80" w:line="180" w:lineRule="exact"/>
              <w:ind w:right="144"/>
              <w:jc w:val="lowKashida"/>
              <w:rPr>
                <w:rFonts w:hint="cs"/>
                <w:i/>
                <w:iCs/>
                <w:sz w:val="16"/>
                <w:szCs w:val="24"/>
                <w:rtl/>
              </w:rPr>
            </w:pPr>
            <w:r w:rsidRPr="008A42D7">
              <w:rPr>
                <w:rFonts w:hint="cs"/>
                <w:i/>
                <w:iCs/>
                <w:sz w:val="16"/>
                <w:szCs w:val="24"/>
                <w:rtl/>
              </w:rPr>
              <w:t>العدد الإجمالي</w:t>
            </w:r>
          </w:p>
        </w:tc>
        <w:tc>
          <w:tcPr>
            <w:tcW w:w="1113" w:type="dxa"/>
            <w:tcBorders>
              <w:bottom w:val="single" w:sz="12" w:space="0" w:color="auto"/>
            </w:tcBorders>
            <w:shd w:val="clear" w:color="auto" w:fill="auto"/>
            <w:vAlign w:val="bottom"/>
          </w:tcPr>
          <w:p w:rsidR="00484FEE" w:rsidRPr="008A42D7" w:rsidRDefault="00484FEE" w:rsidP="0011796D">
            <w:pPr>
              <w:spacing w:after="80" w:line="180" w:lineRule="exact"/>
              <w:ind w:right="144"/>
              <w:jc w:val="lowKashida"/>
              <w:rPr>
                <w:rFonts w:hint="cs"/>
                <w:i/>
                <w:iCs/>
                <w:sz w:val="16"/>
                <w:szCs w:val="24"/>
                <w:rtl/>
              </w:rPr>
            </w:pPr>
            <w:r w:rsidRPr="008A42D7">
              <w:rPr>
                <w:rFonts w:hint="cs"/>
                <w:i/>
                <w:iCs/>
                <w:sz w:val="16"/>
                <w:szCs w:val="24"/>
                <w:rtl/>
              </w:rPr>
              <w:t>التفاوت في النسبة المئوية</w:t>
            </w:r>
          </w:p>
        </w:tc>
        <w:tc>
          <w:tcPr>
            <w:tcW w:w="999" w:type="dxa"/>
            <w:tcBorders>
              <w:bottom w:val="single" w:sz="12" w:space="0" w:color="auto"/>
            </w:tcBorders>
            <w:shd w:val="clear" w:color="auto" w:fill="auto"/>
            <w:vAlign w:val="bottom"/>
          </w:tcPr>
          <w:p w:rsidR="00484FEE" w:rsidRPr="008A42D7" w:rsidRDefault="00484FEE" w:rsidP="0011796D">
            <w:pPr>
              <w:spacing w:after="80" w:line="180" w:lineRule="exact"/>
              <w:ind w:right="144"/>
              <w:jc w:val="lowKashida"/>
              <w:rPr>
                <w:rFonts w:hint="cs"/>
                <w:i/>
                <w:iCs/>
                <w:sz w:val="16"/>
                <w:szCs w:val="24"/>
                <w:rtl/>
              </w:rPr>
            </w:pPr>
            <w:r w:rsidRPr="008A42D7">
              <w:rPr>
                <w:rFonts w:hint="cs"/>
                <w:i/>
                <w:iCs/>
                <w:sz w:val="16"/>
                <w:szCs w:val="24"/>
                <w:rtl/>
              </w:rPr>
              <w:t>العدد الإجمالي</w:t>
            </w:r>
          </w:p>
        </w:tc>
        <w:tc>
          <w:tcPr>
            <w:tcW w:w="1080" w:type="dxa"/>
            <w:tcBorders>
              <w:bottom w:val="single" w:sz="12" w:space="0" w:color="auto"/>
            </w:tcBorders>
            <w:shd w:val="clear" w:color="auto" w:fill="auto"/>
            <w:vAlign w:val="bottom"/>
          </w:tcPr>
          <w:p w:rsidR="00484FEE" w:rsidRPr="008A42D7" w:rsidRDefault="00484FEE" w:rsidP="0011796D">
            <w:pPr>
              <w:spacing w:after="80" w:line="180" w:lineRule="exact"/>
              <w:ind w:right="144"/>
              <w:jc w:val="lowKashida"/>
              <w:rPr>
                <w:rFonts w:hint="cs"/>
                <w:i/>
                <w:iCs/>
                <w:sz w:val="16"/>
                <w:szCs w:val="24"/>
                <w:rtl/>
              </w:rPr>
            </w:pPr>
            <w:r w:rsidRPr="008A42D7">
              <w:rPr>
                <w:rFonts w:hint="cs"/>
                <w:i/>
                <w:iCs/>
                <w:sz w:val="16"/>
                <w:szCs w:val="24"/>
                <w:rtl/>
              </w:rPr>
              <w:t>التفاوت في النسبة المئوية</w:t>
            </w:r>
          </w:p>
        </w:tc>
        <w:tc>
          <w:tcPr>
            <w:tcW w:w="1260" w:type="dxa"/>
            <w:tcBorders>
              <w:bottom w:val="single" w:sz="12" w:space="0" w:color="auto"/>
            </w:tcBorders>
            <w:shd w:val="clear" w:color="auto" w:fill="auto"/>
            <w:vAlign w:val="bottom"/>
          </w:tcPr>
          <w:p w:rsidR="00484FEE" w:rsidRPr="008A42D7" w:rsidRDefault="00484FEE" w:rsidP="0011796D">
            <w:pPr>
              <w:spacing w:after="80" w:line="180" w:lineRule="exact"/>
              <w:ind w:right="144"/>
              <w:jc w:val="lowKashida"/>
              <w:rPr>
                <w:rFonts w:hint="cs"/>
                <w:i/>
                <w:iCs/>
                <w:sz w:val="16"/>
                <w:szCs w:val="24"/>
                <w:rtl/>
              </w:rPr>
            </w:pPr>
            <w:r w:rsidRPr="008A42D7">
              <w:rPr>
                <w:rFonts w:hint="cs"/>
                <w:i/>
                <w:iCs/>
                <w:sz w:val="16"/>
                <w:szCs w:val="24"/>
                <w:rtl/>
              </w:rPr>
              <w:t>النسبة المئوية للنساء</w:t>
            </w:r>
          </w:p>
        </w:tc>
        <w:tc>
          <w:tcPr>
            <w:tcW w:w="1113" w:type="dxa"/>
            <w:tcBorders>
              <w:bottom w:val="single" w:sz="12" w:space="0" w:color="auto"/>
            </w:tcBorders>
            <w:shd w:val="clear" w:color="auto" w:fill="auto"/>
            <w:vAlign w:val="bottom"/>
          </w:tcPr>
          <w:p w:rsidR="00484FEE" w:rsidRPr="008A42D7" w:rsidRDefault="00484FEE" w:rsidP="0011796D">
            <w:pPr>
              <w:spacing w:after="80" w:line="180" w:lineRule="exact"/>
              <w:ind w:right="144"/>
              <w:jc w:val="lowKashida"/>
              <w:rPr>
                <w:rFonts w:hint="cs"/>
                <w:i/>
                <w:iCs/>
                <w:sz w:val="16"/>
                <w:szCs w:val="24"/>
                <w:rtl/>
              </w:rPr>
            </w:pPr>
            <w:r w:rsidRPr="008A42D7">
              <w:rPr>
                <w:rFonts w:hint="cs"/>
                <w:i/>
                <w:iCs/>
                <w:sz w:val="16"/>
                <w:szCs w:val="24"/>
                <w:rtl/>
              </w:rPr>
              <w:t>العدد الإجمالي</w:t>
            </w:r>
          </w:p>
        </w:tc>
        <w:tc>
          <w:tcPr>
            <w:tcW w:w="1113" w:type="dxa"/>
            <w:tcBorders>
              <w:bottom w:val="single" w:sz="12" w:space="0" w:color="auto"/>
            </w:tcBorders>
            <w:shd w:val="clear" w:color="auto" w:fill="auto"/>
            <w:vAlign w:val="bottom"/>
          </w:tcPr>
          <w:p w:rsidR="00484FEE" w:rsidRPr="008A42D7" w:rsidRDefault="00484FEE" w:rsidP="0011796D">
            <w:pPr>
              <w:spacing w:after="80" w:line="180" w:lineRule="exact"/>
              <w:ind w:right="144"/>
              <w:jc w:val="lowKashida"/>
              <w:rPr>
                <w:rFonts w:hint="cs"/>
                <w:i/>
                <w:iCs/>
                <w:sz w:val="16"/>
                <w:szCs w:val="24"/>
                <w:rtl/>
              </w:rPr>
            </w:pPr>
            <w:r w:rsidRPr="008A42D7">
              <w:rPr>
                <w:rFonts w:hint="cs"/>
                <w:i/>
                <w:iCs/>
                <w:sz w:val="16"/>
                <w:szCs w:val="24"/>
                <w:rtl/>
              </w:rPr>
              <w:t>التفاوت في النسبة المئوية</w:t>
            </w:r>
          </w:p>
        </w:tc>
        <w:tc>
          <w:tcPr>
            <w:tcW w:w="1113" w:type="dxa"/>
            <w:tcBorders>
              <w:bottom w:val="single" w:sz="12" w:space="0" w:color="auto"/>
            </w:tcBorders>
            <w:shd w:val="clear" w:color="auto" w:fill="auto"/>
            <w:vAlign w:val="bottom"/>
          </w:tcPr>
          <w:p w:rsidR="00484FEE" w:rsidRPr="008A42D7" w:rsidRDefault="00484FEE" w:rsidP="0011796D">
            <w:pPr>
              <w:spacing w:after="80" w:line="180" w:lineRule="exact"/>
              <w:ind w:right="144"/>
              <w:jc w:val="lowKashida"/>
              <w:rPr>
                <w:rFonts w:hint="cs"/>
                <w:i/>
                <w:iCs/>
                <w:sz w:val="16"/>
                <w:szCs w:val="24"/>
                <w:rtl/>
              </w:rPr>
            </w:pPr>
            <w:r w:rsidRPr="008A42D7">
              <w:rPr>
                <w:rFonts w:hint="cs"/>
                <w:i/>
                <w:iCs/>
                <w:sz w:val="16"/>
                <w:szCs w:val="24"/>
                <w:rtl/>
              </w:rPr>
              <w:t>العدد الأجمالي</w:t>
            </w:r>
          </w:p>
        </w:tc>
        <w:tc>
          <w:tcPr>
            <w:tcW w:w="1113" w:type="dxa"/>
            <w:tcBorders>
              <w:bottom w:val="single" w:sz="12" w:space="0" w:color="auto"/>
            </w:tcBorders>
            <w:shd w:val="clear" w:color="auto" w:fill="auto"/>
            <w:vAlign w:val="bottom"/>
          </w:tcPr>
          <w:p w:rsidR="00484FEE" w:rsidRPr="008A42D7" w:rsidRDefault="00484FEE" w:rsidP="0011796D">
            <w:pPr>
              <w:spacing w:after="80" w:line="180" w:lineRule="exact"/>
              <w:ind w:right="144"/>
              <w:jc w:val="lowKashida"/>
              <w:rPr>
                <w:rFonts w:hint="cs"/>
                <w:i/>
                <w:iCs/>
                <w:sz w:val="16"/>
                <w:szCs w:val="24"/>
                <w:rtl/>
              </w:rPr>
            </w:pPr>
            <w:r w:rsidRPr="008A42D7">
              <w:rPr>
                <w:rFonts w:hint="cs"/>
                <w:i/>
                <w:iCs/>
                <w:sz w:val="16"/>
                <w:szCs w:val="24"/>
                <w:rtl/>
              </w:rPr>
              <w:t>التفاوت في النسبة المئوية</w:t>
            </w:r>
          </w:p>
        </w:tc>
        <w:tc>
          <w:tcPr>
            <w:tcW w:w="1113" w:type="dxa"/>
            <w:tcBorders>
              <w:bottom w:val="single" w:sz="12" w:space="0" w:color="auto"/>
            </w:tcBorders>
            <w:shd w:val="clear" w:color="auto" w:fill="auto"/>
            <w:vAlign w:val="bottom"/>
          </w:tcPr>
          <w:p w:rsidR="00484FEE" w:rsidRPr="008A42D7" w:rsidRDefault="00484FEE" w:rsidP="0011796D">
            <w:pPr>
              <w:spacing w:after="80" w:line="180" w:lineRule="exact"/>
              <w:ind w:right="144"/>
              <w:jc w:val="lowKashida"/>
              <w:rPr>
                <w:rFonts w:hint="cs"/>
                <w:i/>
                <w:iCs/>
                <w:sz w:val="16"/>
                <w:szCs w:val="24"/>
                <w:rtl/>
              </w:rPr>
            </w:pPr>
            <w:r w:rsidRPr="008A42D7">
              <w:rPr>
                <w:rFonts w:hint="cs"/>
                <w:i/>
                <w:iCs/>
                <w:sz w:val="16"/>
                <w:szCs w:val="24"/>
                <w:rtl/>
              </w:rPr>
              <w:t>النسبة المئوية للنساء</w:t>
            </w:r>
          </w:p>
        </w:tc>
      </w:tr>
      <w:tr w:rsidR="00484FEE" w:rsidRPr="008A42D7">
        <w:tblPrEx>
          <w:tblCellMar>
            <w:top w:w="0" w:type="dxa"/>
            <w:bottom w:w="0" w:type="dxa"/>
          </w:tblCellMar>
        </w:tblPrEx>
        <w:trPr>
          <w:cantSplit/>
          <w:trHeight w:hRule="exact" w:val="115"/>
          <w:tblHeader/>
          <w:jc w:val="center"/>
        </w:trPr>
        <w:tc>
          <w:tcPr>
            <w:tcW w:w="1171" w:type="dxa"/>
            <w:tcBorders>
              <w:top w:val="single" w:sz="12" w:space="0" w:color="auto"/>
            </w:tcBorders>
            <w:shd w:val="clear" w:color="auto" w:fill="auto"/>
            <w:vAlign w:val="bottom"/>
          </w:tcPr>
          <w:p w:rsidR="00484FEE" w:rsidRPr="008A42D7" w:rsidRDefault="00484FEE" w:rsidP="0011796D">
            <w:pPr>
              <w:spacing w:before="40" w:after="80" w:line="180" w:lineRule="exact"/>
              <w:rPr>
                <w:rFonts w:hint="cs"/>
                <w:b/>
                <w:bCs/>
                <w:sz w:val="16"/>
                <w:szCs w:val="24"/>
                <w:rtl/>
              </w:rPr>
            </w:pPr>
          </w:p>
        </w:tc>
        <w:tc>
          <w:tcPr>
            <w:tcW w:w="1113" w:type="dxa"/>
            <w:tcBorders>
              <w:top w:val="single" w:sz="12" w:space="0" w:color="auto"/>
            </w:tcBorders>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c>
          <w:tcPr>
            <w:tcW w:w="1113" w:type="dxa"/>
            <w:tcBorders>
              <w:top w:val="single" w:sz="12" w:space="0" w:color="auto"/>
            </w:tcBorders>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c>
          <w:tcPr>
            <w:tcW w:w="999" w:type="dxa"/>
            <w:tcBorders>
              <w:top w:val="single" w:sz="12" w:space="0" w:color="auto"/>
            </w:tcBorders>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c>
          <w:tcPr>
            <w:tcW w:w="1080" w:type="dxa"/>
            <w:tcBorders>
              <w:top w:val="single" w:sz="12" w:space="0" w:color="auto"/>
            </w:tcBorders>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c>
          <w:tcPr>
            <w:tcW w:w="1260" w:type="dxa"/>
            <w:tcBorders>
              <w:top w:val="single" w:sz="12" w:space="0" w:color="auto"/>
            </w:tcBorders>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c>
          <w:tcPr>
            <w:tcW w:w="1113" w:type="dxa"/>
            <w:tcBorders>
              <w:top w:val="single" w:sz="12" w:space="0" w:color="auto"/>
            </w:tcBorders>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c>
          <w:tcPr>
            <w:tcW w:w="1113" w:type="dxa"/>
            <w:tcBorders>
              <w:top w:val="single" w:sz="12" w:space="0" w:color="auto"/>
            </w:tcBorders>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c>
          <w:tcPr>
            <w:tcW w:w="1113" w:type="dxa"/>
            <w:tcBorders>
              <w:top w:val="single" w:sz="12" w:space="0" w:color="auto"/>
            </w:tcBorders>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c>
          <w:tcPr>
            <w:tcW w:w="1113" w:type="dxa"/>
            <w:tcBorders>
              <w:top w:val="single" w:sz="12" w:space="0" w:color="auto"/>
            </w:tcBorders>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c>
          <w:tcPr>
            <w:tcW w:w="1113" w:type="dxa"/>
            <w:tcBorders>
              <w:top w:val="single" w:sz="12" w:space="0" w:color="auto"/>
            </w:tcBorders>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r>
      <w:tr w:rsidR="00484FEE" w:rsidRPr="008A42D7">
        <w:tblPrEx>
          <w:tblCellMar>
            <w:top w:w="0" w:type="dxa"/>
            <w:bottom w:w="0" w:type="dxa"/>
          </w:tblCellMar>
        </w:tblPrEx>
        <w:trPr>
          <w:cantSplit/>
          <w:jc w:val="center"/>
        </w:trPr>
        <w:tc>
          <w:tcPr>
            <w:tcW w:w="1171" w:type="dxa"/>
            <w:shd w:val="clear" w:color="auto" w:fill="auto"/>
            <w:vAlign w:val="bottom"/>
          </w:tcPr>
          <w:p w:rsidR="00484FEE" w:rsidRPr="008A42D7" w:rsidRDefault="00484FEE" w:rsidP="0011796D">
            <w:pPr>
              <w:spacing w:before="40" w:after="80" w:line="180" w:lineRule="exact"/>
              <w:rPr>
                <w:rFonts w:hint="cs"/>
                <w:b/>
                <w:bCs/>
                <w:sz w:val="16"/>
                <w:szCs w:val="24"/>
                <w:rtl/>
              </w:rPr>
            </w:pPr>
            <w:r w:rsidRPr="008A42D7">
              <w:rPr>
                <w:rFonts w:hint="cs"/>
                <w:b/>
                <w:bCs/>
                <w:sz w:val="16"/>
                <w:szCs w:val="24"/>
                <w:rtl/>
              </w:rPr>
              <w:t>الجامعات</w:t>
            </w:r>
          </w:p>
        </w:tc>
        <w:tc>
          <w:tcPr>
            <w:tcW w:w="1113" w:type="dxa"/>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c>
          <w:tcPr>
            <w:tcW w:w="1113" w:type="dxa"/>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c>
          <w:tcPr>
            <w:tcW w:w="999" w:type="dxa"/>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c>
          <w:tcPr>
            <w:tcW w:w="1080" w:type="dxa"/>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c>
          <w:tcPr>
            <w:tcW w:w="1260" w:type="dxa"/>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c>
          <w:tcPr>
            <w:tcW w:w="1113" w:type="dxa"/>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c>
          <w:tcPr>
            <w:tcW w:w="1113" w:type="dxa"/>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c>
          <w:tcPr>
            <w:tcW w:w="1113" w:type="dxa"/>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c>
          <w:tcPr>
            <w:tcW w:w="1113" w:type="dxa"/>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c>
          <w:tcPr>
            <w:tcW w:w="1113" w:type="dxa"/>
            <w:shd w:val="clear" w:color="auto" w:fill="auto"/>
            <w:vAlign w:val="bottom"/>
          </w:tcPr>
          <w:p w:rsidR="00484FEE" w:rsidRPr="008A42D7" w:rsidRDefault="00484FEE" w:rsidP="0011796D">
            <w:pPr>
              <w:spacing w:before="40" w:after="80" w:line="180" w:lineRule="exact"/>
              <w:ind w:right="144"/>
              <w:jc w:val="lowKashida"/>
              <w:rPr>
                <w:rFonts w:hint="cs"/>
                <w:sz w:val="16"/>
                <w:szCs w:val="24"/>
                <w:rtl/>
              </w:rPr>
            </w:pPr>
          </w:p>
        </w:tc>
      </w:tr>
      <w:tr w:rsidR="00484FEE" w:rsidRPr="008A42D7">
        <w:tblPrEx>
          <w:tblCellMar>
            <w:top w:w="0" w:type="dxa"/>
            <w:bottom w:w="0" w:type="dxa"/>
          </w:tblCellMar>
        </w:tblPrEx>
        <w:trPr>
          <w:cantSplit/>
          <w:jc w:val="center"/>
        </w:trPr>
        <w:tc>
          <w:tcPr>
            <w:tcW w:w="1171"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1999</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831 220</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2.8</w:t>
            </w:r>
          </w:p>
        </w:tc>
        <w:tc>
          <w:tcPr>
            <w:tcW w:w="999"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618 110</w:t>
            </w:r>
          </w:p>
        </w:tc>
        <w:tc>
          <w:tcPr>
            <w:tcW w:w="1080" w:type="dxa"/>
            <w:shd w:val="clear" w:color="auto" w:fill="auto"/>
            <w:vAlign w:val="bottom"/>
          </w:tcPr>
          <w:p w:rsidR="00484FEE" w:rsidRPr="008A42D7" w:rsidRDefault="00484FEE" w:rsidP="0011796D">
            <w:pPr>
              <w:spacing w:before="40" w:after="40" w:line="220" w:lineRule="exact"/>
              <w:rPr>
                <w:rFonts w:hint="cs"/>
                <w:sz w:val="16"/>
                <w:szCs w:val="24"/>
                <w:rtl/>
              </w:rPr>
            </w:pPr>
          </w:p>
        </w:tc>
        <w:tc>
          <w:tcPr>
            <w:tcW w:w="1260"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50.1</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755 28</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7.8</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612 16</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10.0</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57.8</w:t>
            </w:r>
          </w:p>
        </w:tc>
      </w:tr>
      <w:tr w:rsidR="00484FEE" w:rsidRPr="008A42D7">
        <w:tblPrEx>
          <w:tblCellMar>
            <w:top w:w="0" w:type="dxa"/>
            <w:bottom w:w="0" w:type="dxa"/>
          </w:tblCellMar>
        </w:tblPrEx>
        <w:trPr>
          <w:cantSplit/>
          <w:jc w:val="center"/>
        </w:trPr>
        <w:tc>
          <w:tcPr>
            <w:tcW w:w="1171"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2000</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505 221</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0.3</w:t>
            </w:r>
          </w:p>
        </w:tc>
        <w:tc>
          <w:tcPr>
            <w:tcW w:w="999"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224 113</w:t>
            </w:r>
          </w:p>
        </w:tc>
        <w:tc>
          <w:tcPr>
            <w:tcW w:w="1080"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2.4</w:t>
            </w:r>
          </w:p>
        </w:tc>
        <w:tc>
          <w:tcPr>
            <w:tcW w:w="1260"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51.1</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388 29</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2.2</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639 16</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0.2</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56.6</w:t>
            </w:r>
          </w:p>
        </w:tc>
      </w:tr>
      <w:tr w:rsidR="00484FEE" w:rsidRPr="008A42D7">
        <w:tblPrEx>
          <w:tblCellMar>
            <w:top w:w="0" w:type="dxa"/>
            <w:bottom w:w="0" w:type="dxa"/>
          </w:tblCellMar>
        </w:tblPrEx>
        <w:trPr>
          <w:cantSplit/>
          <w:jc w:val="center"/>
        </w:trPr>
        <w:tc>
          <w:tcPr>
            <w:tcW w:w="1171"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2001</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811 176</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-20.2</w:t>
            </w:r>
          </w:p>
        </w:tc>
        <w:tc>
          <w:tcPr>
            <w:tcW w:w="999"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208 92</w:t>
            </w:r>
          </w:p>
        </w:tc>
        <w:tc>
          <w:tcPr>
            <w:tcW w:w="1080"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-18.6</w:t>
            </w:r>
          </w:p>
        </w:tc>
        <w:tc>
          <w:tcPr>
            <w:tcW w:w="1260"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52.2</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300 25</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-13.9</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542 14</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-12.6</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57.5</w:t>
            </w:r>
          </w:p>
        </w:tc>
      </w:tr>
      <w:tr w:rsidR="00484FEE" w:rsidRPr="008A42D7">
        <w:tblPrEx>
          <w:tblCellMar>
            <w:top w:w="0" w:type="dxa"/>
            <w:bottom w:w="0" w:type="dxa"/>
          </w:tblCellMar>
        </w:tblPrEx>
        <w:trPr>
          <w:cantSplit/>
          <w:jc w:val="center"/>
        </w:trPr>
        <w:tc>
          <w:tcPr>
            <w:tcW w:w="1171"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2002</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966 179</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1.8</w:t>
            </w:r>
          </w:p>
        </w:tc>
        <w:tc>
          <w:tcPr>
            <w:tcW w:w="999"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728 94</w:t>
            </w:r>
          </w:p>
        </w:tc>
        <w:tc>
          <w:tcPr>
            <w:tcW w:w="1080"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2.7</w:t>
            </w:r>
          </w:p>
        </w:tc>
        <w:tc>
          <w:tcPr>
            <w:tcW w:w="1260"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52.6</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178 28</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11.4</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945 15</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9.6</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56.6</w:t>
            </w:r>
          </w:p>
        </w:tc>
      </w:tr>
      <w:tr w:rsidR="00484FEE" w:rsidRPr="008A42D7">
        <w:tblPrEx>
          <w:tblCellMar>
            <w:top w:w="0" w:type="dxa"/>
            <w:bottom w:w="0" w:type="dxa"/>
          </w:tblCellMar>
        </w:tblPrEx>
        <w:trPr>
          <w:cantSplit/>
          <w:jc w:val="center"/>
        </w:trPr>
        <w:tc>
          <w:tcPr>
            <w:tcW w:w="2284" w:type="dxa"/>
            <w:gridSpan w:val="2"/>
            <w:tcBorders>
              <w:top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جامعات الفن والموسيقى</w:t>
            </w:r>
          </w:p>
        </w:tc>
        <w:tc>
          <w:tcPr>
            <w:tcW w:w="1113" w:type="dxa"/>
            <w:tcBorders>
              <w:top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p>
        </w:tc>
        <w:tc>
          <w:tcPr>
            <w:tcW w:w="999" w:type="dxa"/>
            <w:tcBorders>
              <w:top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p>
        </w:tc>
        <w:tc>
          <w:tcPr>
            <w:tcW w:w="1080" w:type="dxa"/>
            <w:tcBorders>
              <w:top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p>
        </w:tc>
        <w:tc>
          <w:tcPr>
            <w:tcW w:w="1260" w:type="dxa"/>
            <w:tcBorders>
              <w:top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p>
        </w:tc>
        <w:tc>
          <w:tcPr>
            <w:tcW w:w="1113" w:type="dxa"/>
            <w:tcBorders>
              <w:top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p>
        </w:tc>
        <w:tc>
          <w:tcPr>
            <w:tcW w:w="1113" w:type="dxa"/>
            <w:tcBorders>
              <w:top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p>
        </w:tc>
        <w:tc>
          <w:tcPr>
            <w:tcW w:w="1113" w:type="dxa"/>
            <w:tcBorders>
              <w:top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p>
        </w:tc>
        <w:tc>
          <w:tcPr>
            <w:tcW w:w="1113" w:type="dxa"/>
            <w:tcBorders>
              <w:top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p>
        </w:tc>
        <w:tc>
          <w:tcPr>
            <w:tcW w:w="1113" w:type="dxa"/>
            <w:tcBorders>
              <w:top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p>
        </w:tc>
      </w:tr>
      <w:tr w:rsidR="00484FEE" w:rsidRPr="008A42D7">
        <w:tblPrEx>
          <w:tblCellMar>
            <w:top w:w="0" w:type="dxa"/>
            <w:bottom w:w="0" w:type="dxa"/>
          </w:tblCellMar>
        </w:tblPrEx>
        <w:trPr>
          <w:cantSplit/>
          <w:jc w:val="center"/>
        </w:trPr>
        <w:tc>
          <w:tcPr>
            <w:tcW w:w="1171"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1999</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746 7</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6.2</w:t>
            </w:r>
          </w:p>
        </w:tc>
        <w:tc>
          <w:tcPr>
            <w:tcW w:w="999"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346 4</w:t>
            </w:r>
          </w:p>
        </w:tc>
        <w:tc>
          <w:tcPr>
            <w:tcW w:w="1080" w:type="dxa"/>
            <w:shd w:val="clear" w:color="auto" w:fill="auto"/>
            <w:vAlign w:val="bottom"/>
          </w:tcPr>
          <w:p w:rsidR="00484FEE" w:rsidRPr="008A42D7" w:rsidRDefault="00484FEE" w:rsidP="0011796D">
            <w:pPr>
              <w:spacing w:before="40" w:after="40" w:line="220" w:lineRule="exact"/>
              <w:rPr>
                <w:rFonts w:hint="cs"/>
                <w:sz w:val="16"/>
                <w:szCs w:val="24"/>
                <w:rtl/>
              </w:rPr>
            </w:pPr>
          </w:p>
        </w:tc>
        <w:tc>
          <w:tcPr>
            <w:tcW w:w="1260"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56.1</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901</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8.0</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501</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3.3</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55.6</w:t>
            </w:r>
          </w:p>
        </w:tc>
      </w:tr>
      <w:tr w:rsidR="00484FEE" w:rsidRPr="008A42D7">
        <w:tblPrEx>
          <w:tblCellMar>
            <w:top w:w="0" w:type="dxa"/>
            <w:bottom w:w="0" w:type="dxa"/>
          </w:tblCellMar>
        </w:tblPrEx>
        <w:trPr>
          <w:cantSplit/>
          <w:jc w:val="center"/>
        </w:trPr>
        <w:tc>
          <w:tcPr>
            <w:tcW w:w="1171" w:type="dxa"/>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2000</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742 7</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-0.1</w:t>
            </w:r>
          </w:p>
        </w:tc>
        <w:tc>
          <w:tcPr>
            <w:tcW w:w="999" w:type="dxa"/>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395 4</w:t>
            </w:r>
          </w:p>
        </w:tc>
        <w:tc>
          <w:tcPr>
            <w:tcW w:w="1080" w:type="dxa"/>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1.1</w:t>
            </w:r>
          </w:p>
        </w:tc>
        <w:tc>
          <w:tcPr>
            <w:tcW w:w="1260" w:type="dxa"/>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56.8</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876</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-2.8</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486</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-3.0</w:t>
            </w:r>
          </w:p>
        </w:tc>
        <w:tc>
          <w:tcPr>
            <w:tcW w:w="1113" w:type="dxa"/>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55.5</w:t>
            </w:r>
          </w:p>
        </w:tc>
      </w:tr>
      <w:tr w:rsidR="00484FEE" w:rsidRPr="008A42D7">
        <w:tblPrEx>
          <w:tblCellMar>
            <w:top w:w="0" w:type="dxa"/>
            <w:bottom w:w="0" w:type="dxa"/>
          </w:tblCellMar>
        </w:tblPrEx>
        <w:trPr>
          <w:cantSplit/>
          <w:jc w:val="center"/>
        </w:trPr>
        <w:tc>
          <w:tcPr>
            <w:tcW w:w="1171"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sidRPr="008A42D7">
              <w:rPr>
                <w:rFonts w:hint="cs"/>
                <w:sz w:val="16"/>
                <w:szCs w:val="24"/>
                <w:rtl/>
              </w:rPr>
              <w:t>2001</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542 7</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-2.6</w:t>
            </w:r>
          </w:p>
        </w:tc>
        <w:tc>
          <w:tcPr>
            <w:tcW w:w="999"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347 4</w:t>
            </w:r>
          </w:p>
        </w:tc>
        <w:tc>
          <w:tcPr>
            <w:tcW w:w="1080"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-1.1</w:t>
            </w:r>
          </w:p>
        </w:tc>
        <w:tc>
          <w:tcPr>
            <w:tcW w:w="1260"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57.6</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869</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-0.8</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522</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7.4</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r>
              <w:rPr>
                <w:rFonts w:hint="cs"/>
                <w:sz w:val="16"/>
                <w:szCs w:val="24"/>
                <w:rtl/>
              </w:rPr>
              <w:t>60.1</w:t>
            </w:r>
          </w:p>
        </w:tc>
      </w:tr>
      <w:tr w:rsidR="00484FEE" w:rsidRPr="008A42D7">
        <w:tblPrEx>
          <w:tblCellMar>
            <w:top w:w="0" w:type="dxa"/>
            <w:bottom w:w="0" w:type="dxa"/>
          </w:tblCellMar>
        </w:tblPrEx>
        <w:trPr>
          <w:cantSplit/>
          <w:jc w:val="center"/>
        </w:trPr>
        <w:tc>
          <w:tcPr>
            <w:tcW w:w="1171"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2002</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 xml:space="preserve">593 </w:t>
            </w:r>
            <w:r>
              <w:rPr>
                <w:rFonts w:hint="cs"/>
                <w:b/>
                <w:bCs/>
                <w:sz w:val="16"/>
                <w:szCs w:val="24"/>
                <w:rtl/>
              </w:rPr>
              <w:t>7</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0.7</w:t>
            </w:r>
          </w:p>
        </w:tc>
        <w:tc>
          <w:tcPr>
            <w:tcW w:w="999"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369 4</w:t>
            </w:r>
          </w:p>
        </w:tc>
        <w:tc>
          <w:tcPr>
            <w:tcW w:w="1080"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0.5</w:t>
            </w:r>
          </w:p>
        </w:tc>
        <w:tc>
          <w:tcPr>
            <w:tcW w:w="1260"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57.5</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919</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5.8</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490</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-6.1</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53.3</w:t>
            </w:r>
          </w:p>
        </w:tc>
      </w:tr>
      <w:tr w:rsidR="00484FEE" w:rsidRPr="008A42D7">
        <w:tblPrEx>
          <w:tblCellMar>
            <w:top w:w="0" w:type="dxa"/>
            <w:bottom w:w="0" w:type="dxa"/>
          </w:tblCellMar>
        </w:tblPrEx>
        <w:trPr>
          <w:cantSplit/>
          <w:jc w:val="center"/>
        </w:trPr>
        <w:tc>
          <w:tcPr>
            <w:tcW w:w="2284" w:type="dxa"/>
            <w:gridSpan w:val="2"/>
            <w:tcBorders>
              <w:top w:val="single" w:sz="4"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كليات التربية الفنية</w:t>
            </w:r>
            <w:r w:rsidRPr="00FD0783">
              <w:rPr>
                <w:rFonts w:hint="cs"/>
                <w:b/>
                <w:bCs/>
                <w:sz w:val="16"/>
                <w:szCs w:val="24"/>
                <w:vertAlign w:val="superscript"/>
                <w:rtl/>
              </w:rPr>
              <w:t>(2)</w:t>
            </w:r>
          </w:p>
        </w:tc>
        <w:tc>
          <w:tcPr>
            <w:tcW w:w="1113" w:type="dxa"/>
            <w:tcBorders>
              <w:top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p>
        </w:tc>
        <w:tc>
          <w:tcPr>
            <w:tcW w:w="999" w:type="dxa"/>
            <w:tcBorders>
              <w:top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p>
        </w:tc>
        <w:tc>
          <w:tcPr>
            <w:tcW w:w="1080" w:type="dxa"/>
            <w:tcBorders>
              <w:top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p>
        </w:tc>
        <w:tc>
          <w:tcPr>
            <w:tcW w:w="1260" w:type="dxa"/>
            <w:tcBorders>
              <w:top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p>
        </w:tc>
        <w:tc>
          <w:tcPr>
            <w:tcW w:w="1113" w:type="dxa"/>
            <w:tcBorders>
              <w:top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p>
        </w:tc>
        <w:tc>
          <w:tcPr>
            <w:tcW w:w="1113" w:type="dxa"/>
            <w:tcBorders>
              <w:top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p>
        </w:tc>
        <w:tc>
          <w:tcPr>
            <w:tcW w:w="1113" w:type="dxa"/>
            <w:tcBorders>
              <w:top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p>
        </w:tc>
        <w:tc>
          <w:tcPr>
            <w:tcW w:w="1113" w:type="dxa"/>
            <w:tcBorders>
              <w:top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p>
        </w:tc>
        <w:tc>
          <w:tcPr>
            <w:tcW w:w="1113" w:type="dxa"/>
            <w:tcBorders>
              <w:top w:val="single" w:sz="4" w:space="0" w:color="auto"/>
            </w:tcBorders>
            <w:shd w:val="clear" w:color="auto" w:fill="auto"/>
            <w:vAlign w:val="bottom"/>
          </w:tcPr>
          <w:p w:rsidR="00484FEE" w:rsidRPr="008A42D7" w:rsidRDefault="00484FEE" w:rsidP="0011796D">
            <w:pPr>
              <w:spacing w:before="40" w:after="40" w:line="220" w:lineRule="exact"/>
              <w:rPr>
                <w:rFonts w:hint="cs"/>
                <w:sz w:val="16"/>
                <w:szCs w:val="24"/>
                <w:rtl/>
              </w:rPr>
            </w:pPr>
          </w:p>
        </w:tc>
      </w:tr>
      <w:tr w:rsidR="00484FEE" w:rsidRPr="008A42D7">
        <w:tblPrEx>
          <w:tblCellMar>
            <w:top w:w="0" w:type="dxa"/>
            <w:bottom w:w="0" w:type="dxa"/>
          </w:tblCellMar>
        </w:tblPrEx>
        <w:trPr>
          <w:cantSplit/>
          <w:jc w:val="center"/>
        </w:trPr>
        <w:tc>
          <w:tcPr>
            <w:tcW w:w="1171" w:type="dxa"/>
            <w:shd w:val="clear" w:color="auto" w:fill="auto"/>
            <w:vAlign w:val="bottom"/>
          </w:tcPr>
          <w:p w:rsidR="00484FEE" w:rsidRPr="008A42D7" w:rsidRDefault="00484FEE" w:rsidP="0011796D">
            <w:pPr>
              <w:spacing w:before="40" w:after="40" w:line="200" w:lineRule="exact"/>
              <w:rPr>
                <w:rFonts w:hint="cs"/>
                <w:sz w:val="16"/>
                <w:szCs w:val="24"/>
                <w:rtl/>
              </w:rPr>
            </w:pPr>
            <w:r w:rsidRPr="008A42D7">
              <w:rPr>
                <w:rFonts w:hint="cs"/>
                <w:sz w:val="16"/>
                <w:szCs w:val="24"/>
                <w:rtl/>
              </w:rPr>
              <w:t>1999</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970 9</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26.7</w:t>
            </w:r>
          </w:p>
        </w:tc>
        <w:tc>
          <w:tcPr>
            <w:tcW w:w="999"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911 2</w:t>
            </w:r>
          </w:p>
        </w:tc>
        <w:tc>
          <w:tcPr>
            <w:tcW w:w="1080" w:type="dxa"/>
            <w:shd w:val="clear" w:color="auto" w:fill="auto"/>
            <w:vAlign w:val="bottom"/>
          </w:tcPr>
          <w:p w:rsidR="00484FEE" w:rsidRPr="008A42D7" w:rsidRDefault="00484FEE" w:rsidP="0011796D">
            <w:pPr>
              <w:spacing w:before="40" w:after="40" w:line="200" w:lineRule="exact"/>
              <w:rPr>
                <w:rFonts w:hint="cs"/>
                <w:sz w:val="16"/>
                <w:szCs w:val="24"/>
                <w:rtl/>
              </w:rPr>
            </w:pPr>
          </w:p>
        </w:tc>
        <w:tc>
          <w:tcPr>
            <w:tcW w:w="1260"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29.2</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612 3</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20.4</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088 1</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22.0</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30.1</w:t>
            </w:r>
          </w:p>
        </w:tc>
      </w:tr>
      <w:tr w:rsidR="00484FEE" w:rsidRPr="008A42D7">
        <w:tblPrEx>
          <w:tblCellMar>
            <w:top w:w="0" w:type="dxa"/>
            <w:bottom w:w="0" w:type="dxa"/>
          </w:tblCellMar>
        </w:tblPrEx>
        <w:trPr>
          <w:cantSplit/>
          <w:jc w:val="center"/>
        </w:trPr>
        <w:tc>
          <w:tcPr>
            <w:tcW w:w="1171" w:type="dxa"/>
            <w:shd w:val="clear" w:color="auto" w:fill="auto"/>
            <w:vAlign w:val="bottom"/>
          </w:tcPr>
          <w:p w:rsidR="00484FEE" w:rsidRPr="008A42D7" w:rsidRDefault="00484FEE" w:rsidP="0011796D">
            <w:pPr>
              <w:spacing w:before="40" w:after="40" w:line="200" w:lineRule="exact"/>
              <w:rPr>
                <w:rFonts w:hint="cs"/>
                <w:sz w:val="16"/>
                <w:szCs w:val="24"/>
                <w:rtl/>
              </w:rPr>
            </w:pPr>
            <w:r w:rsidRPr="008A42D7">
              <w:rPr>
                <w:rFonts w:hint="cs"/>
                <w:sz w:val="16"/>
                <w:szCs w:val="24"/>
                <w:rtl/>
              </w:rPr>
              <w:t>2000</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743 11</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17.8</w:t>
            </w:r>
          </w:p>
        </w:tc>
        <w:tc>
          <w:tcPr>
            <w:tcW w:w="999"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612.3</w:t>
            </w:r>
          </w:p>
        </w:tc>
        <w:tc>
          <w:tcPr>
            <w:tcW w:w="1080"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24.1</w:t>
            </w:r>
          </w:p>
        </w:tc>
        <w:tc>
          <w:tcPr>
            <w:tcW w:w="1260"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30.8</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217 4</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16.7</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316 1</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21.0</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31.2</w:t>
            </w:r>
          </w:p>
        </w:tc>
      </w:tr>
      <w:tr w:rsidR="00484FEE" w:rsidRPr="008A42D7">
        <w:tblPrEx>
          <w:tblCellMar>
            <w:top w:w="0" w:type="dxa"/>
            <w:bottom w:w="0" w:type="dxa"/>
          </w:tblCellMar>
        </w:tblPrEx>
        <w:trPr>
          <w:cantSplit/>
          <w:jc w:val="center"/>
        </w:trPr>
        <w:tc>
          <w:tcPr>
            <w:tcW w:w="1171"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sidRPr="008A42D7">
              <w:rPr>
                <w:rFonts w:hint="cs"/>
                <w:sz w:val="16"/>
                <w:szCs w:val="24"/>
                <w:rtl/>
              </w:rPr>
              <w:t>2001</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338 14</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22.1</w:t>
            </w:r>
          </w:p>
        </w:tc>
        <w:tc>
          <w:tcPr>
            <w:tcW w:w="999"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803 4</w:t>
            </w:r>
          </w:p>
        </w:tc>
        <w:tc>
          <w:tcPr>
            <w:tcW w:w="1080"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33.0</w:t>
            </w:r>
          </w:p>
        </w:tc>
        <w:tc>
          <w:tcPr>
            <w:tcW w:w="1260"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33.5</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410 5</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28.3</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967 1</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49.5</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36.4</w:t>
            </w:r>
          </w:p>
        </w:tc>
      </w:tr>
      <w:tr w:rsidR="00484FEE" w:rsidRPr="008A42D7">
        <w:tblPrEx>
          <w:tblCellMar>
            <w:top w:w="0" w:type="dxa"/>
            <w:bottom w:w="0" w:type="dxa"/>
          </w:tblCellMar>
        </w:tblPrEx>
        <w:trPr>
          <w:cantSplit/>
          <w:jc w:val="center"/>
        </w:trPr>
        <w:tc>
          <w:tcPr>
            <w:tcW w:w="1171"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00" w:lineRule="exact"/>
              <w:rPr>
                <w:rFonts w:hint="cs"/>
                <w:b/>
                <w:bCs/>
                <w:sz w:val="16"/>
                <w:szCs w:val="24"/>
                <w:rtl/>
              </w:rPr>
            </w:pPr>
            <w:r w:rsidRPr="008A42D7">
              <w:rPr>
                <w:rFonts w:hint="cs"/>
                <w:b/>
                <w:bCs/>
                <w:sz w:val="16"/>
                <w:szCs w:val="24"/>
                <w:rtl/>
              </w:rPr>
              <w:t>2002</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00" w:lineRule="exact"/>
              <w:rPr>
                <w:rFonts w:hint="cs"/>
                <w:b/>
                <w:bCs/>
                <w:sz w:val="16"/>
                <w:szCs w:val="24"/>
                <w:rtl/>
              </w:rPr>
            </w:pPr>
            <w:r>
              <w:rPr>
                <w:rFonts w:hint="cs"/>
                <w:b/>
                <w:bCs/>
                <w:sz w:val="16"/>
                <w:szCs w:val="24"/>
                <w:rtl/>
              </w:rPr>
              <w:t>409 17</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00" w:lineRule="exact"/>
              <w:rPr>
                <w:rFonts w:hint="cs"/>
                <w:b/>
                <w:bCs/>
                <w:sz w:val="16"/>
                <w:szCs w:val="24"/>
                <w:rtl/>
              </w:rPr>
            </w:pPr>
            <w:r>
              <w:rPr>
                <w:rFonts w:hint="cs"/>
                <w:b/>
                <w:bCs/>
                <w:sz w:val="16"/>
                <w:szCs w:val="24"/>
                <w:rtl/>
              </w:rPr>
              <w:t>21.4</w:t>
            </w:r>
          </w:p>
        </w:tc>
        <w:tc>
          <w:tcPr>
            <w:tcW w:w="999"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00" w:lineRule="exact"/>
              <w:rPr>
                <w:rFonts w:hint="cs"/>
                <w:b/>
                <w:bCs/>
                <w:sz w:val="16"/>
                <w:szCs w:val="24"/>
                <w:rtl/>
              </w:rPr>
            </w:pPr>
            <w:r>
              <w:rPr>
                <w:rFonts w:hint="cs"/>
                <w:b/>
                <w:bCs/>
                <w:sz w:val="16"/>
                <w:szCs w:val="24"/>
                <w:rtl/>
              </w:rPr>
              <w:t>392 6</w:t>
            </w:r>
          </w:p>
        </w:tc>
        <w:tc>
          <w:tcPr>
            <w:tcW w:w="1080"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00" w:lineRule="exact"/>
              <w:rPr>
                <w:rFonts w:hint="cs"/>
                <w:b/>
                <w:bCs/>
                <w:sz w:val="16"/>
                <w:szCs w:val="24"/>
                <w:rtl/>
              </w:rPr>
            </w:pPr>
            <w:r>
              <w:rPr>
                <w:rFonts w:hint="cs"/>
                <w:b/>
                <w:bCs/>
                <w:sz w:val="16"/>
                <w:szCs w:val="24"/>
                <w:rtl/>
              </w:rPr>
              <w:t>33.1</w:t>
            </w:r>
          </w:p>
        </w:tc>
        <w:tc>
          <w:tcPr>
            <w:tcW w:w="1260"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00" w:lineRule="exact"/>
              <w:rPr>
                <w:rFonts w:hint="cs"/>
                <w:b/>
                <w:bCs/>
                <w:sz w:val="16"/>
                <w:szCs w:val="24"/>
                <w:rtl/>
              </w:rPr>
            </w:pPr>
            <w:r>
              <w:rPr>
                <w:rFonts w:hint="cs"/>
                <w:b/>
                <w:bCs/>
                <w:sz w:val="16"/>
                <w:szCs w:val="24"/>
                <w:rtl/>
              </w:rPr>
              <w:t>36.7</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00" w:lineRule="exact"/>
              <w:rPr>
                <w:rFonts w:hint="cs"/>
                <w:b/>
                <w:bCs/>
                <w:sz w:val="16"/>
                <w:szCs w:val="24"/>
                <w:rtl/>
              </w:rPr>
            </w:pPr>
            <w:r>
              <w:rPr>
                <w:rFonts w:hint="cs"/>
                <w:b/>
                <w:bCs/>
                <w:sz w:val="16"/>
                <w:szCs w:val="24"/>
                <w:rtl/>
              </w:rPr>
              <w:t>488 6</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00" w:lineRule="exact"/>
              <w:rPr>
                <w:rFonts w:hint="cs"/>
                <w:b/>
                <w:bCs/>
                <w:sz w:val="16"/>
                <w:szCs w:val="24"/>
                <w:rtl/>
              </w:rPr>
            </w:pPr>
            <w:r>
              <w:rPr>
                <w:rFonts w:hint="cs"/>
                <w:b/>
                <w:bCs/>
                <w:sz w:val="16"/>
                <w:szCs w:val="24"/>
                <w:rtl/>
              </w:rPr>
              <w:t>19.9</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00" w:lineRule="exact"/>
              <w:rPr>
                <w:rFonts w:hint="cs"/>
                <w:b/>
                <w:bCs/>
                <w:sz w:val="16"/>
                <w:szCs w:val="24"/>
                <w:rtl/>
              </w:rPr>
            </w:pPr>
            <w:r>
              <w:rPr>
                <w:rFonts w:hint="cs"/>
                <w:b/>
                <w:bCs/>
                <w:sz w:val="16"/>
                <w:szCs w:val="24"/>
                <w:rtl/>
              </w:rPr>
              <w:t>576 2</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00" w:lineRule="exact"/>
              <w:rPr>
                <w:rFonts w:hint="cs"/>
                <w:b/>
                <w:bCs/>
                <w:sz w:val="16"/>
                <w:szCs w:val="24"/>
                <w:rtl/>
              </w:rPr>
            </w:pPr>
            <w:r>
              <w:rPr>
                <w:rFonts w:hint="cs"/>
                <w:b/>
                <w:bCs/>
                <w:sz w:val="16"/>
                <w:szCs w:val="24"/>
                <w:rtl/>
              </w:rPr>
              <w:t>31.0</w:t>
            </w:r>
          </w:p>
        </w:tc>
        <w:tc>
          <w:tcPr>
            <w:tcW w:w="1113" w:type="dxa"/>
            <w:tcBorders>
              <w:top w:val="single" w:sz="4" w:space="0" w:color="auto"/>
              <w:bottom w:val="single" w:sz="4" w:space="0" w:color="auto"/>
            </w:tcBorders>
            <w:shd w:val="clear" w:color="auto" w:fill="auto"/>
            <w:vAlign w:val="bottom"/>
          </w:tcPr>
          <w:p w:rsidR="00484FEE" w:rsidRPr="008A42D7" w:rsidRDefault="00484FEE" w:rsidP="0011796D">
            <w:pPr>
              <w:spacing w:before="40" w:after="40" w:line="200" w:lineRule="exact"/>
              <w:rPr>
                <w:rFonts w:hint="cs"/>
                <w:b/>
                <w:bCs/>
                <w:sz w:val="16"/>
                <w:szCs w:val="24"/>
                <w:rtl/>
              </w:rPr>
            </w:pPr>
            <w:r>
              <w:rPr>
                <w:rFonts w:hint="cs"/>
                <w:b/>
                <w:bCs/>
                <w:sz w:val="16"/>
                <w:szCs w:val="24"/>
                <w:rtl/>
              </w:rPr>
              <w:t>39.7</w:t>
            </w:r>
          </w:p>
        </w:tc>
      </w:tr>
      <w:tr w:rsidR="00484FEE" w:rsidRPr="008A42D7">
        <w:tblPrEx>
          <w:tblCellMar>
            <w:top w:w="0" w:type="dxa"/>
            <w:bottom w:w="0" w:type="dxa"/>
          </w:tblCellMar>
        </w:tblPrEx>
        <w:trPr>
          <w:cantSplit/>
          <w:jc w:val="center"/>
        </w:trPr>
        <w:tc>
          <w:tcPr>
            <w:tcW w:w="1171" w:type="dxa"/>
            <w:tcBorders>
              <w:top w:val="single" w:sz="4" w:space="0" w:color="auto"/>
            </w:tcBorders>
            <w:shd w:val="clear" w:color="auto" w:fill="auto"/>
            <w:vAlign w:val="bottom"/>
          </w:tcPr>
          <w:p w:rsidR="00484FEE" w:rsidRPr="008A42D7" w:rsidRDefault="00484FEE" w:rsidP="0011796D">
            <w:pPr>
              <w:spacing w:before="40" w:after="40" w:line="200" w:lineRule="exact"/>
              <w:rPr>
                <w:rFonts w:hint="cs"/>
                <w:b/>
                <w:bCs/>
                <w:sz w:val="16"/>
                <w:szCs w:val="24"/>
                <w:rtl/>
              </w:rPr>
            </w:pPr>
            <w:r w:rsidRPr="008A42D7">
              <w:rPr>
                <w:rFonts w:hint="cs"/>
                <w:b/>
                <w:bCs/>
                <w:sz w:val="16"/>
                <w:szCs w:val="24"/>
                <w:rtl/>
              </w:rPr>
              <w:t>المجموع</w:t>
            </w:r>
            <w:r w:rsidRPr="00FD0783">
              <w:rPr>
                <w:rFonts w:hint="cs"/>
                <w:b/>
                <w:bCs/>
                <w:sz w:val="16"/>
                <w:szCs w:val="24"/>
                <w:vertAlign w:val="superscript"/>
                <w:rtl/>
              </w:rPr>
              <w:t>(3، 4)</w:t>
            </w:r>
          </w:p>
        </w:tc>
        <w:tc>
          <w:tcPr>
            <w:tcW w:w="1113" w:type="dxa"/>
            <w:tcBorders>
              <w:top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p>
        </w:tc>
        <w:tc>
          <w:tcPr>
            <w:tcW w:w="1113" w:type="dxa"/>
            <w:tcBorders>
              <w:top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p>
        </w:tc>
        <w:tc>
          <w:tcPr>
            <w:tcW w:w="999" w:type="dxa"/>
            <w:tcBorders>
              <w:top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p>
        </w:tc>
        <w:tc>
          <w:tcPr>
            <w:tcW w:w="1080" w:type="dxa"/>
            <w:tcBorders>
              <w:top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p>
        </w:tc>
        <w:tc>
          <w:tcPr>
            <w:tcW w:w="1260" w:type="dxa"/>
            <w:tcBorders>
              <w:top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p>
        </w:tc>
        <w:tc>
          <w:tcPr>
            <w:tcW w:w="1113" w:type="dxa"/>
            <w:tcBorders>
              <w:top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p>
        </w:tc>
        <w:tc>
          <w:tcPr>
            <w:tcW w:w="1113" w:type="dxa"/>
            <w:tcBorders>
              <w:top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p>
        </w:tc>
        <w:tc>
          <w:tcPr>
            <w:tcW w:w="1113" w:type="dxa"/>
            <w:tcBorders>
              <w:top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p>
        </w:tc>
        <w:tc>
          <w:tcPr>
            <w:tcW w:w="1113" w:type="dxa"/>
            <w:tcBorders>
              <w:top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p>
        </w:tc>
        <w:tc>
          <w:tcPr>
            <w:tcW w:w="1113" w:type="dxa"/>
            <w:tcBorders>
              <w:top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p>
        </w:tc>
      </w:tr>
      <w:tr w:rsidR="00484FEE" w:rsidRPr="008A42D7">
        <w:tblPrEx>
          <w:tblCellMar>
            <w:top w:w="0" w:type="dxa"/>
            <w:bottom w:w="0" w:type="dxa"/>
          </w:tblCellMar>
        </w:tblPrEx>
        <w:trPr>
          <w:cantSplit/>
          <w:jc w:val="center"/>
        </w:trPr>
        <w:tc>
          <w:tcPr>
            <w:tcW w:w="1171" w:type="dxa"/>
            <w:shd w:val="clear" w:color="auto" w:fill="auto"/>
            <w:vAlign w:val="bottom"/>
          </w:tcPr>
          <w:p w:rsidR="00484FEE" w:rsidRPr="008A42D7" w:rsidRDefault="00484FEE" w:rsidP="0011796D">
            <w:pPr>
              <w:spacing w:before="40" w:after="40" w:line="200" w:lineRule="exact"/>
              <w:rPr>
                <w:rFonts w:hint="cs"/>
                <w:sz w:val="16"/>
                <w:szCs w:val="24"/>
                <w:rtl/>
              </w:rPr>
            </w:pPr>
            <w:r w:rsidRPr="008A42D7">
              <w:rPr>
                <w:rFonts w:hint="cs"/>
                <w:sz w:val="16"/>
                <w:szCs w:val="24"/>
                <w:rtl/>
              </w:rPr>
              <w:t>1999</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272 237</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3.6</w:t>
            </w:r>
          </w:p>
        </w:tc>
        <w:tc>
          <w:tcPr>
            <w:tcW w:w="999"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050 117</w:t>
            </w:r>
          </w:p>
        </w:tc>
        <w:tc>
          <w:tcPr>
            <w:tcW w:w="1080" w:type="dxa"/>
            <w:shd w:val="clear" w:color="auto" w:fill="auto"/>
            <w:vAlign w:val="bottom"/>
          </w:tcPr>
          <w:p w:rsidR="00484FEE" w:rsidRPr="008A42D7" w:rsidRDefault="00484FEE" w:rsidP="0011796D">
            <w:pPr>
              <w:spacing w:before="40" w:after="40" w:line="200" w:lineRule="exact"/>
              <w:rPr>
                <w:rFonts w:hint="cs"/>
                <w:sz w:val="16"/>
                <w:szCs w:val="24"/>
                <w:rtl/>
              </w:rPr>
            </w:pPr>
          </w:p>
        </w:tc>
        <w:tc>
          <w:tcPr>
            <w:tcW w:w="1260"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49.3</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268 33</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9.0</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201 18</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10.5ذ</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54.7</w:t>
            </w:r>
          </w:p>
        </w:tc>
      </w:tr>
      <w:tr w:rsidR="00484FEE" w:rsidRPr="008A42D7">
        <w:tblPrEx>
          <w:tblCellMar>
            <w:top w:w="0" w:type="dxa"/>
            <w:bottom w:w="0" w:type="dxa"/>
          </w:tblCellMar>
        </w:tblPrEx>
        <w:trPr>
          <w:cantSplit/>
          <w:jc w:val="center"/>
        </w:trPr>
        <w:tc>
          <w:tcPr>
            <w:tcW w:w="1171" w:type="dxa"/>
            <w:shd w:val="clear" w:color="auto" w:fill="auto"/>
            <w:vAlign w:val="bottom"/>
          </w:tcPr>
          <w:p w:rsidR="00484FEE" w:rsidRPr="008A42D7" w:rsidRDefault="00484FEE" w:rsidP="0011796D">
            <w:pPr>
              <w:spacing w:before="40" w:after="40" w:line="200" w:lineRule="exact"/>
              <w:rPr>
                <w:rFonts w:hint="cs"/>
                <w:sz w:val="16"/>
                <w:szCs w:val="24"/>
                <w:rtl/>
              </w:rPr>
            </w:pPr>
            <w:r w:rsidRPr="008A42D7">
              <w:rPr>
                <w:rFonts w:hint="cs"/>
                <w:sz w:val="16"/>
                <w:szCs w:val="24"/>
                <w:rtl/>
              </w:rPr>
              <w:t>2000</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691 239</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1.0</w:t>
            </w:r>
          </w:p>
        </w:tc>
        <w:tc>
          <w:tcPr>
            <w:tcW w:w="999"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375 120</w:t>
            </w:r>
          </w:p>
        </w:tc>
        <w:tc>
          <w:tcPr>
            <w:tcW w:w="1080"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2.8</w:t>
            </w:r>
          </w:p>
        </w:tc>
        <w:tc>
          <w:tcPr>
            <w:tcW w:w="1260"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50.2</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481 34</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3.6</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441 18</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1.3</w:t>
            </w:r>
          </w:p>
        </w:tc>
        <w:tc>
          <w:tcPr>
            <w:tcW w:w="1113" w:type="dxa"/>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53.5</w:t>
            </w:r>
          </w:p>
        </w:tc>
      </w:tr>
      <w:tr w:rsidR="00484FEE" w:rsidRPr="008A42D7">
        <w:tblPrEx>
          <w:tblCellMar>
            <w:top w:w="0" w:type="dxa"/>
            <w:bottom w:w="0" w:type="dxa"/>
          </w:tblCellMar>
        </w:tblPrEx>
        <w:trPr>
          <w:cantSplit/>
          <w:jc w:val="center"/>
        </w:trPr>
        <w:tc>
          <w:tcPr>
            <w:tcW w:w="1171"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sidRPr="008A42D7">
              <w:rPr>
                <w:rFonts w:hint="cs"/>
                <w:sz w:val="16"/>
                <w:szCs w:val="24"/>
                <w:rtl/>
              </w:rPr>
              <w:t>2001</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143 197</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-17.8</w:t>
            </w:r>
          </w:p>
        </w:tc>
        <w:tc>
          <w:tcPr>
            <w:tcW w:w="999"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340 100</w:t>
            </w:r>
          </w:p>
        </w:tc>
        <w:tc>
          <w:tcPr>
            <w:tcW w:w="1080"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-16.6</w:t>
            </w:r>
          </w:p>
        </w:tc>
        <w:tc>
          <w:tcPr>
            <w:tcW w:w="1260"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50.9</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579 31</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-8.4</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031 17</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-7.6</w:t>
            </w:r>
          </w:p>
        </w:tc>
        <w:tc>
          <w:tcPr>
            <w:tcW w:w="1113" w:type="dxa"/>
            <w:tcBorders>
              <w:bottom w:val="single" w:sz="4" w:space="0" w:color="auto"/>
            </w:tcBorders>
            <w:shd w:val="clear" w:color="auto" w:fill="auto"/>
            <w:vAlign w:val="bottom"/>
          </w:tcPr>
          <w:p w:rsidR="00484FEE" w:rsidRPr="008A42D7" w:rsidRDefault="00484FEE" w:rsidP="0011796D">
            <w:pPr>
              <w:spacing w:before="40" w:after="40" w:line="200" w:lineRule="exact"/>
              <w:rPr>
                <w:rFonts w:hint="cs"/>
                <w:sz w:val="16"/>
                <w:szCs w:val="24"/>
                <w:rtl/>
              </w:rPr>
            </w:pPr>
            <w:r>
              <w:rPr>
                <w:rFonts w:hint="cs"/>
                <w:sz w:val="16"/>
                <w:szCs w:val="24"/>
                <w:rtl/>
              </w:rPr>
              <w:t>53.9</w:t>
            </w:r>
          </w:p>
        </w:tc>
      </w:tr>
      <w:tr w:rsidR="00484FEE" w:rsidRPr="008A42D7">
        <w:tblPrEx>
          <w:tblCellMar>
            <w:top w:w="0" w:type="dxa"/>
            <w:bottom w:w="0" w:type="dxa"/>
          </w:tblCellMar>
        </w:tblPrEx>
        <w:trPr>
          <w:cantSplit/>
          <w:jc w:val="center"/>
        </w:trPr>
        <w:tc>
          <w:tcPr>
            <w:tcW w:w="1171" w:type="dxa"/>
            <w:tcBorders>
              <w:top w:val="single" w:sz="4" w:space="0" w:color="auto"/>
              <w:bottom w:val="single" w:sz="12"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2002</w:t>
            </w:r>
          </w:p>
        </w:tc>
        <w:tc>
          <w:tcPr>
            <w:tcW w:w="1113" w:type="dxa"/>
            <w:tcBorders>
              <w:top w:val="single" w:sz="4" w:space="0" w:color="auto"/>
              <w:bottom w:val="single" w:sz="12"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774 203</w:t>
            </w:r>
          </w:p>
        </w:tc>
        <w:tc>
          <w:tcPr>
            <w:tcW w:w="1113" w:type="dxa"/>
            <w:tcBorders>
              <w:top w:val="single" w:sz="4" w:space="0" w:color="auto"/>
              <w:bottom w:val="single" w:sz="12"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3.4</w:t>
            </w:r>
          </w:p>
        </w:tc>
        <w:tc>
          <w:tcPr>
            <w:tcW w:w="999" w:type="dxa"/>
            <w:tcBorders>
              <w:top w:val="single" w:sz="4" w:space="0" w:color="auto"/>
              <w:bottom w:val="single" w:sz="12"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677 104</w:t>
            </w:r>
          </w:p>
        </w:tc>
        <w:tc>
          <w:tcPr>
            <w:tcW w:w="1080" w:type="dxa"/>
            <w:tcBorders>
              <w:top w:val="single" w:sz="4" w:space="0" w:color="auto"/>
              <w:bottom w:val="single" w:sz="12"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4.3</w:t>
            </w:r>
          </w:p>
        </w:tc>
        <w:tc>
          <w:tcPr>
            <w:tcW w:w="1260" w:type="dxa"/>
            <w:tcBorders>
              <w:top w:val="single" w:sz="4" w:space="0" w:color="auto"/>
              <w:bottom w:val="single" w:sz="12"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51.4</w:t>
            </w:r>
          </w:p>
        </w:tc>
        <w:tc>
          <w:tcPr>
            <w:tcW w:w="1113" w:type="dxa"/>
            <w:tcBorders>
              <w:top w:val="single" w:sz="4" w:space="0" w:color="auto"/>
              <w:bottom w:val="single" w:sz="12"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585 35</w:t>
            </w:r>
          </w:p>
        </w:tc>
        <w:tc>
          <w:tcPr>
            <w:tcW w:w="1113" w:type="dxa"/>
            <w:tcBorders>
              <w:top w:val="single" w:sz="4" w:space="0" w:color="auto"/>
              <w:bottom w:val="single" w:sz="12"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12.7</w:t>
            </w:r>
          </w:p>
        </w:tc>
        <w:tc>
          <w:tcPr>
            <w:tcW w:w="1113" w:type="dxa"/>
            <w:tcBorders>
              <w:top w:val="single" w:sz="4" w:space="0" w:color="auto"/>
              <w:bottom w:val="single" w:sz="12"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011 19</w:t>
            </w:r>
          </w:p>
        </w:tc>
        <w:tc>
          <w:tcPr>
            <w:tcW w:w="1113" w:type="dxa"/>
            <w:tcBorders>
              <w:top w:val="single" w:sz="4" w:space="0" w:color="auto"/>
              <w:bottom w:val="single" w:sz="12"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11.6</w:t>
            </w:r>
          </w:p>
        </w:tc>
        <w:tc>
          <w:tcPr>
            <w:tcW w:w="1113" w:type="dxa"/>
            <w:tcBorders>
              <w:top w:val="single" w:sz="4" w:space="0" w:color="auto"/>
              <w:bottom w:val="single" w:sz="12" w:space="0" w:color="auto"/>
            </w:tcBorders>
            <w:shd w:val="clear" w:color="auto" w:fill="auto"/>
            <w:vAlign w:val="bottom"/>
          </w:tcPr>
          <w:p w:rsidR="00484FEE" w:rsidRPr="008A42D7" w:rsidRDefault="00484FEE" w:rsidP="0011796D">
            <w:pPr>
              <w:spacing w:before="40" w:after="40" w:line="220" w:lineRule="exact"/>
              <w:rPr>
                <w:rFonts w:hint="cs"/>
                <w:b/>
                <w:bCs/>
                <w:sz w:val="16"/>
                <w:szCs w:val="24"/>
                <w:rtl/>
              </w:rPr>
            </w:pPr>
            <w:r w:rsidRPr="008A42D7">
              <w:rPr>
                <w:rFonts w:hint="cs"/>
                <w:b/>
                <w:bCs/>
                <w:sz w:val="16"/>
                <w:szCs w:val="24"/>
                <w:rtl/>
              </w:rPr>
              <w:t>53.4</w:t>
            </w:r>
          </w:p>
        </w:tc>
      </w:tr>
    </w:tbl>
    <w:p w:rsidR="00484FEE" w:rsidRPr="00ED0101" w:rsidRDefault="00484FEE" w:rsidP="00484FEE">
      <w:pPr>
        <w:pStyle w:val="SingleTxt"/>
        <w:spacing w:after="0" w:line="120" w:lineRule="exact"/>
        <w:rPr>
          <w:sz w:val="10"/>
          <w:rtl/>
        </w:rPr>
      </w:pPr>
    </w:p>
    <w:p w:rsidR="00484FEE" w:rsidRPr="00A466EE" w:rsidRDefault="00484FEE" w:rsidP="00484FEE">
      <w:pPr>
        <w:pStyle w:val="FootnoteText"/>
        <w:tabs>
          <w:tab w:val="clear" w:pos="418"/>
          <w:tab w:val="right" w:pos="1195"/>
          <w:tab w:val="left" w:pos="1267"/>
          <w:tab w:val="left" w:pos="1656"/>
          <w:tab w:val="left" w:pos="2088"/>
        </w:tabs>
        <w:spacing w:after="80" w:line="240" w:lineRule="exact"/>
        <w:ind w:left="1267" w:right="1267" w:hanging="547"/>
        <w:jc w:val="lowKashida"/>
        <w:rPr>
          <w:rFonts w:hint="cs"/>
          <w:w w:val="103"/>
          <w:sz w:val="24"/>
          <w:szCs w:val="24"/>
          <w:rtl/>
        </w:rPr>
      </w:pPr>
      <w:r w:rsidRPr="00A466EE">
        <w:rPr>
          <w:w w:val="103"/>
          <w:sz w:val="24"/>
          <w:szCs w:val="24"/>
          <w:rtl/>
        </w:rPr>
        <w:t>(</w:t>
      </w:r>
      <w:r w:rsidR="00BD38A5">
        <w:rPr>
          <w:rFonts w:hint="cs"/>
          <w:w w:val="103"/>
          <w:sz w:val="24"/>
          <w:szCs w:val="24"/>
          <w:rtl/>
        </w:rPr>
        <w:t>1</w:t>
      </w:r>
      <w:r w:rsidRPr="00A466EE">
        <w:rPr>
          <w:w w:val="103"/>
          <w:sz w:val="24"/>
          <w:szCs w:val="24"/>
          <w:rtl/>
        </w:rPr>
        <w:t>)</w:t>
      </w:r>
      <w:r>
        <w:rPr>
          <w:rFonts w:hint="cs"/>
          <w:w w:val="103"/>
          <w:sz w:val="24"/>
          <w:szCs w:val="24"/>
          <w:rtl/>
        </w:rPr>
        <w:tab/>
      </w:r>
      <w:r w:rsidRPr="00A466EE">
        <w:rPr>
          <w:w w:val="103"/>
          <w:sz w:val="24"/>
          <w:szCs w:val="24"/>
          <w:rtl/>
        </w:rPr>
        <w:tab/>
      </w:r>
      <w:r w:rsidRPr="00A466EE">
        <w:rPr>
          <w:rFonts w:hint="cs"/>
          <w:w w:val="103"/>
          <w:sz w:val="24"/>
          <w:szCs w:val="24"/>
          <w:rtl/>
        </w:rPr>
        <w:t xml:space="preserve">فصل الشتاء لعام 2002: أرقام أولية. إن انخفاض عدد الطلاب في فصل الشتاء لعام 2001 بنسبة تبلغ 20 في المائة تقريبا مرتبط بشكل رئيسي بإدخال أقساط دراسية ابتداء من هذا الفصل ويعكس هذا الانخفاض إزالة الطلاب غير المداومين على الدراسة من السجلات. </w:t>
      </w:r>
    </w:p>
    <w:p w:rsidR="00484FEE" w:rsidRPr="00A466EE" w:rsidRDefault="00484FEE" w:rsidP="00484FEE">
      <w:pPr>
        <w:pStyle w:val="FootnoteText"/>
        <w:tabs>
          <w:tab w:val="clear" w:pos="418"/>
          <w:tab w:val="right" w:pos="607"/>
          <w:tab w:val="left" w:pos="748"/>
          <w:tab w:val="left" w:pos="1656"/>
          <w:tab w:val="left" w:pos="2088"/>
        </w:tabs>
        <w:spacing w:after="80" w:line="240" w:lineRule="exact"/>
        <w:ind w:left="1267" w:right="1267" w:hanging="547"/>
        <w:jc w:val="lowKashida"/>
        <w:rPr>
          <w:rFonts w:hint="cs"/>
          <w:w w:val="103"/>
          <w:sz w:val="24"/>
          <w:szCs w:val="24"/>
          <w:rtl/>
        </w:rPr>
      </w:pPr>
      <w:r w:rsidRPr="00A466EE">
        <w:rPr>
          <w:rFonts w:hint="cs"/>
          <w:w w:val="103"/>
          <w:sz w:val="24"/>
          <w:szCs w:val="24"/>
          <w:rtl/>
        </w:rPr>
        <w:tab/>
        <w:t>(2)</w:t>
      </w:r>
      <w:r w:rsidRPr="00A466EE">
        <w:rPr>
          <w:rFonts w:hint="cs"/>
          <w:w w:val="103"/>
          <w:sz w:val="24"/>
          <w:szCs w:val="24"/>
          <w:rtl/>
        </w:rPr>
        <w:tab/>
        <w:t>تباين مقارنة بالسنة السابقة على أساس النسبة المئوية.</w:t>
      </w:r>
    </w:p>
    <w:p w:rsidR="00484FEE" w:rsidRPr="00A466EE" w:rsidRDefault="00484FEE" w:rsidP="00484FEE">
      <w:pPr>
        <w:pStyle w:val="FootnoteText"/>
        <w:tabs>
          <w:tab w:val="clear" w:pos="418"/>
          <w:tab w:val="right" w:pos="1195"/>
          <w:tab w:val="left" w:pos="1267"/>
          <w:tab w:val="left" w:pos="1656"/>
          <w:tab w:val="left" w:pos="2088"/>
        </w:tabs>
        <w:spacing w:after="80" w:line="220" w:lineRule="exact"/>
        <w:ind w:left="1267" w:right="1267" w:hanging="547"/>
        <w:jc w:val="lowKashida"/>
        <w:rPr>
          <w:rFonts w:hint="cs"/>
          <w:w w:val="103"/>
          <w:sz w:val="24"/>
          <w:szCs w:val="24"/>
          <w:rtl/>
        </w:rPr>
      </w:pPr>
      <w:r w:rsidRPr="00A466EE">
        <w:rPr>
          <w:rFonts w:hint="cs"/>
          <w:w w:val="103"/>
          <w:sz w:val="24"/>
          <w:szCs w:val="24"/>
          <w:rtl/>
        </w:rPr>
        <w:t>(3، 4)</w:t>
      </w:r>
      <w:r>
        <w:rPr>
          <w:rFonts w:hint="cs"/>
          <w:w w:val="103"/>
          <w:sz w:val="24"/>
          <w:szCs w:val="24"/>
          <w:rtl/>
        </w:rPr>
        <w:t xml:space="preserve"> </w:t>
      </w:r>
      <w:r w:rsidRPr="00A466EE">
        <w:rPr>
          <w:rFonts w:hint="cs"/>
          <w:w w:val="103"/>
          <w:sz w:val="24"/>
          <w:szCs w:val="24"/>
          <w:rtl/>
        </w:rPr>
        <w:t xml:space="preserve"> يشمل ذلك احتمال عد مزدوج.</w:t>
      </w:r>
    </w:p>
    <w:p w:rsidR="00484FEE" w:rsidRDefault="00484FEE" w:rsidP="00484F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A466EE">
        <w:rPr>
          <w:rFonts w:hint="cs"/>
          <w:rtl/>
        </w:rPr>
        <w:tab/>
      </w:r>
      <w:r w:rsidRPr="00ED0101">
        <w:rPr>
          <w:rFonts w:hint="cs"/>
          <w:sz w:val="24"/>
          <w:szCs w:val="24"/>
          <w:rtl/>
        </w:rPr>
        <w:t>مصدر كليات التعليم الفني: إحصاءات النمسا.</w:t>
      </w:r>
      <w:r>
        <w:rPr>
          <w:rFonts w:hint="cs"/>
          <w:rtl/>
        </w:rPr>
        <w:t xml:space="preserve"> </w:t>
      </w:r>
      <w:r>
        <w:rPr>
          <w:rtl/>
        </w:rPr>
        <w:br w:type="page"/>
      </w:r>
      <w:r>
        <w:rPr>
          <w:rFonts w:hint="cs"/>
          <w:rtl/>
        </w:rPr>
        <w:t>أعلى إنجاز حققه السكان الذين يبلغ عمرهم 15 سنة فما فوق في يوم تعداد السكان على أساس النسبة المئوية، تعداد عام 1971 وعام 2001</w:t>
      </w:r>
    </w:p>
    <w:p w:rsidR="00484FEE" w:rsidRPr="00327D09" w:rsidRDefault="00484FEE" w:rsidP="00484FEE">
      <w:pPr>
        <w:pStyle w:val="SingleTxt"/>
        <w:spacing w:after="0" w:line="120" w:lineRule="exact"/>
        <w:rPr>
          <w:rFonts w:hint="cs"/>
          <w:sz w:val="10"/>
          <w:rtl/>
        </w:rPr>
      </w:pPr>
    </w:p>
    <w:p w:rsidR="00484FEE" w:rsidRPr="00327D09" w:rsidRDefault="00484FEE" w:rsidP="00484FEE">
      <w:pPr>
        <w:pStyle w:val="SingleTxt"/>
        <w:rPr>
          <w:rFonts w:hint="cs"/>
          <w:b/>
          <w:bCs/>
          <w:rtl/>
        </w:rPr>
      </w:pPr>
      <w:r w:rsidRPr="00327D09">
        <w:rPr>
          <w:rFonts w:hint="cs"/>
          <w:b/>
          <w:bCs/>
          <w:rtl/>
        </w:rPr>
        <w:t xml:space="preserve">تعداد عام 2001 </w:t>
      </w:r>
    </w:p>
    <w:p w:rsidR="00484FEE" w:rsidRDefault="00484FEE" w:rsidP="00484FEE">
      <w:pPr>
        <w:pStyle w:val="SingleTxt"/>
        <w:spacing w:after="0" w:line="120" w:lineRule="exact"/>
        <w:rPr>
          <w:rFonts w:hint="cs"/>
          <w:sz w:val="10"/>
          <w:rtl/>
        </w:rPr>
      </w:pPr>
    </w:p>
    <w:p w:rsidR="00484FEE" w:rsidRPr="008165C2" w:rsidRDefault="00484FEE" w:rsidP="00484FEE">
      <w:pPr>
        <w:pStyle w:val="SingleTxt"/>
        <w:spacing w:after="0" w:line="120" w:lineRule="exact"/>
        <w:rPr>
          <w:rFonts w:hint="cs"/>
          <w:sz w:val="10"/>
          <w:rtl/>
        </w:rPr>
      </w:pPr>
    </w:p>
    <w:tbl>
      <w:tblPr>
        <w:bidiVisual/>
        <w:tblW w:w="12240" w:type="dxa"/>
        <w:jc w:val="center"/>
        <w:tblLayout w:type="fixed"/>
        <w:tblCellMar>
          <w:left w:w="0" w:type="dxa"/>
          <w:right w:w="0" w:type="dxa"/>
        </w:tblCellMar>
        <w:tblLook w:val="0000" w:firstRow="0" w:lastRow="0" w:firstColumn="0" w:lastColumn="0" w:noHBand="0" w:noVBand="0"/>
      </w:tblPr>
      <w:tblGrid>
        <w:gridCol w:w="1127"/>
        <w:gridCol w:w="1350"/>
        <w:gridCol w:w="1603"/>
        <w:gridCol w:w="1360"/>
        <w:gridCol w:w="1360"/>
        <w:gridCol w:w="1360"/>
        <w:gridCol w:w="1360"/>
        <w:gridCol w:w="1360"/>
        <w:gridCol w:w="1360"/>
      </w:tblGrid>
      <w:tr w:rsidR="00484FEE" w:rsidRPr="00327D09">
        <w:tblPrEx>
          <w:tblCellMar>
            <w:top w:w="0" w:type="dxa"/>
            <w:bottom w:w="0" w:type="dxa"/>
          </w:tblCellMar>
        </w:tblPrEx>
        <w:trPr>
          <w:cantSplit/>
          <w:tblHeader/>
          <w:jc w:val="center"/>
        </w:trPr>
        <w:tc>
          <w:tcPr>
            <w:tcW w:w="1127" w:type="dxa"/>
            <w:tcBorders>
              <w:top w:val="single" w:sz="4" w:space="0" w:color="auto"/>
              <w:bottom w:val="single" w:sz="12" w:space="0" w:color="auto"/>
            </w:tcBorders>
            <w:shd w:val="clear" w:color="auto" w:fill="auto"/>
            <w:tcMar>
              <w:left w:w="0" w:type="dxa"/>
              <w:right w:w="0" w:type="dxa"/>
            </w:tcMar>
            <w:vAlign w:val="bottom"/>
          </w:tcPr>
          <w:p w:rsidR="00484FEE" w:rsidRPr="00327D09" w:rsidRDefault="00484FEE" w:rsidP="0011796D">
            <w:pPr>
              <w:spacing w:before="80" w:after="80" w:line="240" w:lineRule="exact"/>
              <w:rPr>
                <w:rFonts w:hint="cs"/>
                <w:i/>
                <w:iCs/>
                <w:sz w:val="16"/>
                <w:szCs w:val="24"/>
                <w:rtl/>
              </w:rPr>
            </w:pPr>
          </w:p>
        </w:tc>
        <w:tc>
          <w:tcPr>
            <w:tcW w:w="1350" w:type="dxa"/>
            <w:tcBorders>
              <w:top w:val="single" w:sz="4" w:space="0" w:color="auto"/>
              <w:bottom w:val="single" w:sz="12" w:space="0" w:color="auto"/>
            </w:tcBorders>
            <w:shd w:val="clear" w:color="auto" w:fill="auto"/>
            <w:vAlign w:val="bottom"/>
          </w:tcPr>
          <w:p w:rsidR="00484FEE" w:rsidRPr="00327D09" w:rsidRDefault="00484FEE" w:rsidP="0011796D">
            <w:pPr>
              <w:spacing w:before="80" w:after="80" w:line="240" w:lineRule="exact"/>
              <w:ind w:right="144"/>
              <w:jc w:val="lowKashida"/>
              <w:rPr>
                <w:rFonts w:hint="cs"/>
                <w:i/>
                <w:iCs/>
                <w:sz w:val="16"/>
                <w:szCs w:val="24"/>
                <w:rtl/>
              </w:rPr>
            </w:pPr>
            <w:r w:rsidRPr="00327D09">
              <w:rPr>
                <w:rFonts w:hint="cs"/>
                <w:i/>
                <w:iCs/>
                <w:sz w:val="16"/>
                <w:szCs w:val="24"/>
                <w:rtl/>
              </w:rPr>
              <w:t>جامعة الكليات التطبيقية</w:t>
            </w:r>
          </w:p>
        </w:tc>
        <w:tc>
          <w:tcPr>
            <w:tcW w:w="1603" w:type="dxa"/>
            <w:tcBorders>
              <w:top w:val="single" w:sz="4" w:space="0" w:color="auto"/>
              <w:bottom w:val="single" w:sz="12" w:space="0" w:color="auto"/>
            </w:tcBorders>
            <w:shd w:val="clear" w:color="auto" w:fill="auto"/>
            <w:vAlign w:val="bottom"/>
          </w:tcPr>
          <w:p w:rsidR="00484FEE" w:rsidRPr="00327D09" w:rsidRDefault="00484FEE" w:rsidP="0011796D">
            <w:pPr>
              <w:spacing w:before="80" w:after="80" w:line="240" w:lineRule="exact"/>
              <w:ind w:right="144"/>
              <w:jc w:val="lowKashida"/>
              <w:rPr>
                <w:rFonts w:hint="cs"/>
                <w:i/>
                <w:iCs/>
                <w:sz w:val="16"/>
                <w:szCs w:val="24"/>
                <w:rtl/>
              </w:rPr>
            </w:pPr>
            <w:r w:rsidRPr="00327D09">
              <w:rPr>
                <w:rFonts w:hint="cs"/>
                <w:i/>
                <w:iCs/>
                <w:sz w:val="16"/>
                <w:szCs w:val="24"/>
                <w:rtl/>
              </w:rPr>
              <w:t>الأكاديمية التقنية و/أو أكاديمية التدريب المهني وأكاديمية تدريب المعلمين</w:t>
            </w:r>
          </w:p>
        </w:tc>
        <w:tc>
          <w:tcPr>
            <w:tcW w:w="1360" w:type="dxa"/>
            <w:tcBorders>
              <w:top w:val="single" w:sz="4" w:space="0" w:color="auto"/>
              <w:bottom w:val="single" w:sz="12" w:space="0" w:color="auto"/>
            </w:tcBorders>
            <w:shd w:val="clear" w:color="auto" w:fill="auto"/>
            <w:vAlign w:val="bottom"/>
          </w:tcPr>
          <w:p w:rsidR="00484FEE" w:rsidRPr="00327D09" w:rsidRDefault="00484FEE" w:rsidP="0011796D">
            <w:pPr>
              <w:spacing w:before="80" w:after="80" w:line="240" w:lineRule="exact"/>
              <w:ind w:right="144"/>
              <w:jc w:val="lowKashida"/>
              <w:rPr>
                <w:rFonts w:hint="cs"/>
                <w:i/>
                <w:iCs/>
                <w:sz w:val="16"/>
                <w:szCs w:val="24"/>
                <w:rtl/>
              </w:rPr>
            </w:pPr>
            <w:r w:rsidRPr="00327D09">
              <w:rPr>
                <w:rFonts w:hint="cs"/>
                <w:i/>
                <w:iCs/>
                <w:sz w:val="16"/>
                <w:szCs w:val="24"/>
                <w:rtl/>
              </w:rPr>
              <w:t>الكليات الجامعية والمواد الجامعية</w:t>
            </w:r>
          </w:p>
        </w:tc>
        <w:tc>
          <w:tcPr>
            <w:tcW w:w="1360" w:type="dxa"/>
            <w:tcBorders>
              <w:top w:val="single" w:sz="4" w:space="0" w:color="auto"/>
              <w:bottom w:val="single" w:sz="12" w:space="0" w:color="auto"/>
            </w:tcBorders>
            <w:shd w:val="clear" w:color="auto" w:fill="auto"/>
            <w:vAlign w:val="bottom"/>
          </w:tcPr>
          <w:p w:rsidR="00484FEE" w:rsidRPr="00327D09" w:rsidRDefault="00484FEE" w:rsidP="0011796D">
            <w:pPr>
              <w:spacing w:before="80" w:after="80" w:line="240" w:lineRule="exact"/>
              <w:ind w:right="144"/>
              <w:jc w:val="lowKashida"/>
              <w:rPr>
                <w:rFonts w:hint="cs"/>
                <w:i/>
                <w:iCs/>
                <w:sz w:val="16"/>
                <w:szCs w:val="24"/>
                <w:rtl/>
              </w:rPr>
            </w:pPr>
            <w:r w:rsidRPr="00327D09">
              <w:rPr>
                <w:rFonts w:hint="cs"/>
                <w:i/>
                <w:iCs/>
                <w:sz w:val="16"/>
                <w:szCs w:val="24"/>
                <w:rtl/>
              </w:rPr>
              <w:t>المدارس التقنية الثانوية و/أو مدارس التدريب المهني</w:t>
            </w:r>
          </w:p>
        </w:tc>
        <w:tc>
          <w:tcPr>
            <w:tcW w:w="1360" w:type="dxa"/>
            <w:tcBorders>
              <w:top w:val="single" w:sz="4" w:space="0" w:color="auto"/>
              <w:bottom w:val="single" w:sz="12" w:space="0" w:color="auto"/>
            </w:tcBorders>
            <w:shd w:val="clear" w:color="auto" w:fill="auto"/>
            <w:vAlign w:val="bottom"/>
          </w:tcPr>
          <w:p w:rsidR="00484FEE" w:rsidRPr="00327D09" w:rsidRDefault="00484FEE" w:rsidP="0011796D">
            <w:pPr>
              <w:spacing w:before="80" w:after="80" w:line="240" w:lineRule="exact"/>
              <w:ind w:right="144"/>
              <w:jc w:val="lowKashida"/>
              <w:rPr>
                <w:rFonts w:hint="cs"/>
                <w:i/>
                <w:iCs/>
                <w:sz w:val="16"/>
                <w:szCs w:val="24"/>
                <w:rtl/>
              </w:rPr>
            </w:pPr>
            <w:r w:rsidRPr="00327D09">
              <w:rPr>
                <w:rFonts w:hint="cs"/>
                <w:i/>
                <w:iCs/>
                <w:sz w:val="16"/>
                <w:szCs w:val="24"/>
                <w:rtl/>
              </w:rPr>
              <w:t>المدارس الثانوية الأكاديمية</w:t>
            </w:r>
          </w:p>
        </w:tc>
        <w:tc>
          <w:tcPr>
            <w:tcW w:w="1360" w:type="dxa"/>
            <w:tcBorders>
              <w:top w:val="single" w:sz="4" w:space="0" w:color="auto"/>
              <w:bottom w:val="single" w:sz="12" w:space="0" w:color="auto"/>
            </w:tcBorders>
            <w:shd w:val="clear" w:color="auto" w:fill="auto"/>
            <w:vAlign w:val="bottom"/>
          </w:tcPr>
          <w:p w:rsidR="00484FEE" w:rsidRPr="00327D09" w:rsidRDefault="00484FEE" w:rsidP="0011796D">
            <w:pPr>
              <w:spacing w:before="80" w:after="80" w:line="240" w:lineRule="exact"/>
              <w:ind w:right="144"/>
              <w:jc w:val="lowKashida"/>
              <w:rPr>
                <w:rFonts w:hint="cs"/>
                <w:i/>
                <w:iCs/>
                <w:sz w:val="16"/>
                <w:szCs w:val="24"/>
                <w:rtl/>
              </w:rPr>
            </w:pPr>
            <w:r w:rsidRPr="00327D09">
              <w:rPr>
                <w:rFonts w:hint="cs"/>
                <w:i/>
                <w:iCs/>
                <w:sz w:val="16"/>
                <w:szCs w:val="24"/>
                <w:rtl/>
              </w:rPr>
              <w:t>المدارس التقنية الإعدادية و/أو مدارس التدريب المهني</w:t>
            </w:r>
          </w:p>
        </w:tc>
        <w:tc>
          <w:tcPr>
            <w:tcW w:w="1360" w:type="dxa"/>
            <w:tcBorders>
              <w:top w:val="single" w:sz="4" w:space="0" w:color="auto"/>
              <w:bottom w:val="single" w:sz="12" w:space="0" w:color="auto"/>
            </w:tcBorders>
            <w:shd w:val="clear" w:color="auto" w:fill="auto"/>
            <w:vAlign w:val="bottom"/>
          </w:tcPr>
          <w:p w:rsidR="00484FEE" w:rsidRPr="00327D09" w:rsidRDefault="00484FEE" w:rsidP="0011796D">
            <w:pPr>
              <w:spacing w:before="80" w:after="80" w:line="240" w:lineRule="exact"/>
              <w:ind w:right="144"/>
              <w:jc w:val="lowKashida"/>
              <w:rPr>
                <w:rFonts w:hint="cs"/>
                <w:i/>
                <w:iCs/>
                <w:sz w:val="16"/>
                <w:szCs w:val="24"/>
                <w:rtl/>
              </w:rPr>
            </w:pPr>
            <w:r w:rsidRPr="00327D09">
              <w:rPr>
                <w:rFonts w:hint="cs"/>
                <w:i/>
                <w:iCs/>
                <w:sz w:val="16"/>
                <w:szCs w:val="24"/>
                <w:rtl/>
              </w:rPr>
              <w:t>التدريب الحرفي</w:t>
            </w:r>
          </w:p>
        </w:tc>
        <w:tc>
          <w:tcPr>
            <w:tcW w:w="1360" w:type="dxa"/>
            <w:tcBorders>
              <w:top w:val="single" w:sz="4" w:space="0" w:color="auto"/>
              <w:bottom w:val="single" w:sz="12" w:space="0" w:color="auto"/>
            </w:tcBorders>
            <w:shd w:val="clear" w:color="auto" w:fill="auto"/>
            <w:vAlign w:val="bottom"/>
          </w:tcPr>
          <w:p w:rsidR="00484FEE" w:rsidRPr="00327D09" w:rsidRDefault="00484FEE" w:rsidP="0011796D">
            <w:pPr>
              <w:spacing w:before="80" w:after="80" w:line="240" w:lineRule="exact"/>
              <w:ind w:right="144"/>
              <w:jc w:val="lowKashida"/>
              <w:rPr>
                <w:rFonts w:hint="cs"/>
                <w:i/>
                <w:iCs/>
                <w:sz w:val="16"/>
                <w:szCs w:val="24"/>
                <w:rtl/>
              </w:rPr>
            </w:pPr>
            <w:r w:rsidRPr="00327D09">
              <w:rPr>
                <w:rFonts w:hint="cs"/>
                <w:i/>
                <w:iCs/>
                <w:sz w:val="16"/>
                <w:szCs w:val="24"/>
                <w:rtl/>
              </w:rPr>
              <w:t>المدارس الإلزامية</w:t>
            </w:r>
          </w:p>
        </w:tc>
      </w:tr>
      <w:tr w:rsidR="00484FEE" w:rsidRPr="00327D09">
        <w:tblPrEx>
          <w:tblCellMar>
            <w:top w:w="0" w:type="dxa"/>
            <w:bottom w:w="0" w:type="dxa"/>
          </w:tblCellMar>
        </w:tblPrEx>
        <w:trPr>
          <w:cantSplit/>
          <w:trHeight w:hRule="exact" w:val="115"/>
          <w:tblHeader/>
          <w:jc w:val="center"/>
        </w:trPr>
        <w:tc>
          <w:tcPr>
            <w:tcW w:w="1127" w:type="dxa"/>
            <w:tcBorders>
              <w:top w:val="single" w:sz="12" w:space="0" w:color="auto"/>
            </w:tcBorders>
            <w:shd w:val="clear" w:color="auto" w:fill="auto"/>
            <w:vAlign w:val="bottom"/>
          </w:tcPr>
          <w:p w:rsidR="00484FEE" w:rsidRPr="00327D09" w:rsidRDefault="00484FEE" w:rsidP="0011796D">
            <w:pPr>
              <w:spacing w:before="40" w:after="80" w:line="240" w:lineRule="exact"/>
              <w:rPr>
                <w:rFonts w:hint="cs"/>
                <w:sz w:val="16"/>
                <w:szCs w:val="24"/>
                <w:rtl/>
              </w:rPr>
            </w:pPr>
          </w:p>
        </w:tc>
        <w:tc>
          <w:tcPr>
            <w:tcW w:w="1350" w:type="dxa"/>
            <w:tcBorders>
              <w:top w:val="single" w:sz="1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p>
        </w:tc>
        <w:tc>
          <w:tcPr>
            <w:tcW w:w="1603" w:type="dxa"/>
            <w:tcBorders>
              <w:top w:val="single" w:sz="1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p>
        </w:tc>
        <w:tc>
          <w:tcPr>
            <w:tcW w:w="1360" w:type="dxa"/>
            <w:tcBorders>
              <w:top w:val="single" w:sz="1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p>
        </w:tc>
        <w:tc>
          <w:tcPr>
            <w:tcW w:w="1360" w:type="dxa"/>
            <w:tcBorders>
              <w:top w:val="single" w:sz="1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p>
        </w:tc>
        <w:tc>
          <w:tcPr>
            <w:tcW w:w="1360" w:type="dxa"/>
            <w:tcBorders>
              <w:top w:val="single" w:sz="1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p>
        </w:tc>
        <w:tc>
          <w:tcPr>
            <w:tcW w:w="1360" w:type="dxa"/>
            <w:tcBorders>
              <w:top w:val="single" w:sz="1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p>
        </w:tc>
        <w:tc>
          <w:tcPr>
            <w:tcW w:w="1360" w:type="dxa"/>
            <w:tcBorders>
              <w:top w:val="single" w:sz="1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p>
        </w:tc>
        <w:tc>
          <w:tcPr>
            <w:tcW w:w="1360" w:type="dxa"/>
            <w:tcBorders>
              <w:top w:val="single" w:sz="1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p>
        </w:tc>
      </w:tr>
      <w:tr w:rsidR="00484FEE" w:rsidRPr="00327D09">
        <w:tblPrEx>
          <w:tblCellMar>
            <w:top w:w="0" w:type="dxa"/>
            <w:bottom w:w="0" w:type="dxa"/>
          </w:tblCellMar>
        </w:tblPrEx>
        <w:trPr>
          <w:cantSplit/>
          <w:jc w:val="center"/>
        </w:trPr>
        <w:tc>
          <w:tcPr>
            <w:tcW w:w="1127" w:type="dxa"/>
            <w:shd w:val="clear" w:color="auto" w:fill="auto"/>
            <w:vAlign w:val="bottom"/>
          </w:tcPr>
          <w:p w:rsidR="00484FEE" w:rsidRPr="00327D09" w:rsidRDefault="00484FEE" w:rsidP="0011796D">
            <w:pPr>
              <w:spacing w:before="40" w:after="80" w:line="240" w:lineRule="exact"/>
              <w:rPr>
                <w:rFonts w:hint="cs"/>
                <w:sz w:val="16"/>
                <w:szCs w:val="24"/>
                <w:rtl/>
              </w:rPr>
            </w:pPr>
            <w:r w:rsidRPr="00327D09">
              <w:rPr>
                <w:rFonts w:hint="cs"/>
                <w:sz w:val="16"/>
                <w:szCs w:val="24"/>
                <w:rtl/>
              </w:rPr>
              <w:t>النساء</w:t>
            </w:r>
          </w:p>
        </w:tc>
        <w:tc>
          <w:tcPr>
            <w:tcW w:w="1350" w:type="dxa"/>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4.5</w:t>
            </w:r>
          </w:p>
        </w:tc>
        <w:tc>
          <w:tcPr>
            <w:tcW w:w="1603" w:type="dxa"/>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2.5</w:t>
            </w:r>
          </w:p>
        </w:tc>
        <w:tc>
          <w:tcPr>
            <w:tcW w:w="1360" w:type="dxa"/>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0.6</w:t>
            </w:r>
          </w:p>
        </w:tc>
        <w:tc>
          <w:tcPr>
            <w:tcW w:w="1360" w:type="dxa"/>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5.0</w:t>
            </w:r>
          </w:p>
        </w:tc>
        <w:tc>
          <w:tcPr>
            <w:tcW w:w="1360" w:type="dxa"/>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5.3</w:t>
            </w:r>
          </w:p>
        </w:tc>
        <w:tc>
          <w:tcPr>
            <w:tcW w:w="1360" w:type="dxa"/>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15.8</w:t>
            </w:r>
          </w:p>
        </w:tc>
        <w:tc>
          <w:tcPr>
            <w:tcW w:w="1360" w:type="dxa"/>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22.9</w:t>
            </w:r>
          </w:p>
        </w:tc>
        <w:tc>
          <w:tcPr>
            <w:tcW w:w="1360" w:type="dxa"/>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43.6</w:t>
            </w:r>
          </w:p>
        </w:tc>
      </w:tr>
      <w:tr w:rsidR="00484FEE" w:rsidRPr="00327D09">
        <w:tblPrEx>
          <w:tblCellMar>
            <w:top w:w="0" w:type="dxa"/>
            <w:bottom w:w="0" w:type="dxa"/>
          </w:tblCellMar>
        </w:tblPrEx>
        <w:trPr>
          <w:cantSplit/>
          <w:jc w:val="center"/>
        </w:trPr>
        <w:tc>
          <w:tcPr>
            <w:tcW w:w="1127" w:type="dxa"/>
            <w:tcBorders>
              <w:bottom w:val="single" w:sz="2" w:space="0" w:color="auto"/>
            </w:tcBorders>
            <w:shd w:val="clear" w:color="auto" w:fill="auto"/>
            <w:vAlign w:val="bottom"/>
          </w:tcPr>
          <w:p w:rsidR="00484FEE" w:rsidRPr="00327D09" w:rsidRDefault="00484FEE" w:rsidP="0011796D">
            <w:pPr>
              <w:spacing w:before="40" w:after="80" w:line="240" w:lineRule="exact"/>
              <w:rPr>
                <w:rFonts w:hint="cs"/>
                <w:sz w:val="16"/>
                <w:szCs w:val="24"/>
                <w:rtl/>
              </w:rPr>
            </w:pPr>
            <w:r w:rsidRPr="00327D09">
              <w:rPr>
                <w:rFonts w:hint="cs"/>
                <w:sz w:val="16"/>
                <w:szCs w:val="24"/>
                <w:rtl/>
              </w:rPr>
              <w:t>الرجال</w:t>
            </w:r>
          </w:p>
        </w:tc>
        <w:tc>
          <w:tcPr>
            <w:tcW w:w="1350" w:type="dxa"/>
            <w:tcBorders>
              <w:bottom w:val="single" w:sz="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7.2</w:t>
            </w:r>
          </w:p>
        </w:tc>
        <w:tc>
          <w:tcPr>
            <w:tcW w:w="1603" w:type="dxa"/>
            <w:tcBorders>
              <w:bottom w:val="single" w:sz="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0.8</w:t>
            </w:r>
          </w:p>
        </w:tc>
        <w:tc>
          <w:tcPr>
            <w:tcW w:w="1360" w:type="dxa"/>
            <w:tcBorders>
              <w:bottom w:val="single" w:sz="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0.4</w:t>
            </w:r>
          </w:p>
        </w:tc>
        <w:tc>
          <w:tcPr>
            <w:tcW w:w="1360" w:type="dxa"/>
            <w:tcBorders>
              <w:bottom w:val="single" w:sz="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6.5</w:t>
            </w:r>
          </w:p>
        </w:tc>
        <w:tc>
          <w:tcPr>
            <w:tcW w:w="1360" w:type="dxa"/>
            <w:tcBorders>
              <w:bottom w:val="single" w:sz="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5.1</w:t>
            </w:r>
          </w:p>
        </w:tc>
        <w:tc>
          <w:tcPr>
            <w:tcW w:w="1360" w:type="dxa"/>
            <w:tcBorders>
              <w:bottom w:val="single" w:sz="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7.0</w:t>
            </w:r>
          </w:p>
        </w:tc>
        <w:tc>
          <w:tcPr>
            <w:tcW w:w="1360" w:type="dxa"/>
            <w:tcBorders>
              <w:bottom w:val="single" w:sz="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45.9</w:t>
            </w:r>
          </w:p>
        </w:tc>
        <w:tc>
          <w:tcPr>
            <w:tcW w:w="1360" w:type="dxa"/>
            <w:tcBorders>
              <w:bottom w:val="single" w:sz="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27.0</w:t>
            </w:r>
          </w:p>
        </w:tc>
      </w:tr>
      <w:tr w:rsidR="00484FEE" w:rsidRPr="00AC4844">
        <w:tblPrEx>
          <w:tblCellMar>
            <w:top w:w="0" w:type="dxa"/>
            <w:bottom w:w="0" w:type="dxa"/>
          </w:tblCellMar>
        </w:tblPrEx>
        <w:trPr>
          <w:cantSplit/>
          <w:jc w:val="center"/>
        </w:trPr>
        <w:tc>
          <w:tcPr>
            <w:tcW w:w="1127" w:type="dxa"/>
            <w:tcBorders>
              <w:top w:val="single" w:sz="2" w:space="0" w:color="auto"/>
              <w:bottom w:val="single" w:sz="12" w:space="0" w:color="auto"/>
            </w:tcBorders>
            <w:shd w:val="clear" w:color="auto" w:fill="auto"/>
            <w:vAlign w:val="bottom"/>
          </w:tcPr>
          <w:p w:rsidR="00484FEE" w:rsidRPr="00AC4844" w:rsidRDefault="00484FEE" w:rsidP="0011796D">
            <w:pPr>
              <w:spacing w:before="40" w:after="80" w:line="240" w:lineRule="exact"/>
              <w:rPr>
                <w:rFonts w:hint="cs"/>
                <w:b/>
                <w:bCs/>
                <w:sz w:val="16"/>
                <w:szCs w:val="24"/>
                <w:rtl/>
              </w:rPr>
            </w:pPr>
            <w:r w:rsidRPr="00AC4844">
              <w:rPr>
                <w:rFonts w:hint="cs"/>
                <w:b/>
                <w:bCs/>
                <w:sz w:val="16"/>
                <w:szCs w:val="24"/>
                <w:rtl/>
              </w:rPr>
              <w:t>المجموع</w:t>
            </w:r>
          </w:p>
        </w:tc>
        <w:tc>
          <w:tcPr>
            <w:tcW w:w="1350" w:type="dxa"/>
            <w:tcBorders>
              <w:top w:val="single" w:sz="2" w:space="0" w:color="auto"/>
              <w:bottom w:val="single" w:sz="12" w:space="0" w:color="auto"/>
            </w:tcBorders>
            <w:shd w:val="clear" w:color="auto" w:fill="auto"/>
            <w:vAlign w:val="bottom"/>
          </w:tcPr>
          <w:p w:rsidR="00484FEE" w:rsidRPr="00AC4844" w:rsidRDefault="00484FEE" w:rsidP="0011796D">
            <w:pPr>
              <w:spacing w:before="40" w:after="80" w:line="240" w:lineRule="exact"/>
              <w:ind w:right="144"/>
              <w:jc w:val="lowKashida"/>
              <w:rPr>
                <w:rFonts w:hint="cs"/>
                <w:b/>
                <w:bCs/>
                <w:sz w:val="16"/>
                <w:szCs w:val="24"/>
                <w:rtl/>
              </w:rPr>
            </w:pPr>
            <w:r w:rsidRPr="00AC4844">
              <w:rPr>
                <w:rFonts w:hint="cs"/>
                <w:b/>
                <w:bCs/>
                <w:sz w:val="16"/>
                <w:szCs w:val="24"/>
                <w:rtl/>
              </w:rPr>
              <w:t>5.8</w:t>
            </w:r>
          </w:p>
        </w:tc>
        <w:tc>
          <w:tcPr>
            <w:tcW w:w="1603" w:type="dxa"/>
            <w:tcBorders>
              <w:top w:val="single" w:sz="2" w:space="0" w:color="auto"/>
              <w:bottom w:val="single" w:sz="12" w:space="0" w:color="auto"/>
            </w:tcBorders>
            <w:shd w:val="clear" w:color="auto" w:fill="auto"/>
            <w:vAlign w:val="bottom"/>
          </w:tcPr>
          <w:p w:rsidR="00484FEE" w:rsidRPr="00AC4844" w:rsidRDefault="00484FEE" w:rsidP="0011796D">
            <w:pPr>
              <w:spacing w:before="40" w:after="80" w:line="240" w:lineRule="exact"/>
              <w:ind w:right="144"/>
              <w:jc w:val="lowKashida"/>
              <w:rPr>
                <w:rFonts w:hint="cs"/>
                <w:b/>
                <w:bCs/>
                <w:sz w:val="16"/>
                <w:szCs w:val="24"/>
                <w:rtl/>
              </w:rPr>
            </w:pPr>
            <w:r w:rsidRPr="00AC4844">
              <w:rPr>
                <w:rFonts w:hint="cs"/>
                <w:b/>
                <w:bCs/>
                <w:sz w:val="16"/>
                <w:szCs w:val="24"/>
                <w:rtl/>
              </w:rPr>
              <w:t>1.7</w:t>
            </w:r>
          </w:p>
        </w:tc>
        <w:tc>
          <w:tcPr>
            <w:tcW w:w="1360" w:type="dxa"/>
            <w:tcBorders>
              <w:top w:val="single" w:sz="2" w:space="0" w:color="auto"/>
              <w:bottom w:val="single" w:sz="12" w:space="0" w:color="auto"/>
            </w:tcBorders>
            <w:shd w:val="clear" w:color="auto" w:fill="auto"/>
            <w:vAlign w:val="bottom"/>
          </w:tcPr>
          <w:p w:rsidR="00484FEE" w:rsidRPr="00AC4844" w:rsidRDefault="00484FEE" w:rsidP="0011796D">
            <w:pPr>
              <w:spacing w:before="40" w:after="80" w:line="240" w:lineRule="exact"/>
              <w:ind w:right="144"/>
              <w:jc w:val="lowKashida"/>
              <w:rPr>
                <w:rFonts w:hint="cs"/>
                <w:b/>
                <w:bCs/>
                <w:sz w:val="16"/>
                <w:szCs w:val="24"/>
                <w:rtl/>
              </w:rPr>
            </w:pPr>
            <w:r w:rsidRPr="00AC4844">
              <w:rPr>
                <w:rFonts w:hint="cs"/>
                <w:b/>
                <w:bCs/>
                <w:sz w:val="16"/>
                <w:szCs w:val="24"/>
                <w:rtl/>
              </w:rPr>
              <w:t>0.5</w:t>
            </w:r>
          </w:p>
        </w:tc>
        <w:tc>
          <w:tcPr>
            <w:tcW w:w="1360" w:type="dxa"/>
            <w:tcBorders>
              <w:top w:val="single" w:sz="2" w:space="0" w:color="auto"/>
              <w:bottom w:val="single" w:sz="12" w:space="0" w:color="auto"/>
            </w:tcBorders>
            <w:shd w:val="clear" w:color="auto" w:fill="auto"/>
            <w:vAlign w:val="bottom"/>
          </w:tcPr>
          <w:p w:rsidR="00484FEE" w:rsidRPr="00AC4844" w:rsidRDefault="00484FEE" w:rsidP="0011796D">
            <w:pPr>
              <w:spacing w:before="40" w:after="80" w:line="240" w:lineRule="exact"/>
              <w:ind w:right="144"/>
              <w:jc w:val="lowKashida"/>
              <w:rPr>
                <w:rFonts w:hint="cs"/>
                <w:b/>
                <w:bCs/>
                <w:sz w:val="16"/>
                <w:szCs w:val="24"/>
                <w:rtl/>
              </w:rPr>
            </w:pPr>
            <w:r w:rsidRPr="00AC4844">
              <w:rPr>
                <w:rFonts w:hint="cs"/>
                <w:b/>
                <w:bCs/>
                <w:sz w:val="16"/>
                <w:szCs w:val="24"/>
                <w:rtl/>
              </w:rPr>
              <w:t>5.7</w:t>
            </w:r>
          </w:p>
        </w:tc>
        <w:tc>
          <w:tcPr>
            <w:tcW w:w="1360" w:type="dxa"/>
            <w:tcBorders>
              <w:top w:val="single" w:sz="2" w:space="0" w:color="auto"/>
              <w:bottom w:val="single" w:sz="12" w:space="0" w:color="auto"/>
            </w:tcBorders>
            <w:shd w:val="clear" w:color="auto" w:fill="auto"/>
            <w:vAlign w:val="bottom"/>
          </w:tcPr>
          <w:p w:rsidR="00484FEE" w:rsidRPr="00AC4844" w:rsidRDefault="00484FEE" w:rsidP="0011796D">
            <w:pPr>
              <w:spacing w:before="40" w:after="80" w:line="240" w:lineRule="exact"/>
              <w:ind w:right="144"/>
              <w:jc w:val="lowKashida"/>
              <w:rPr>
                <w:rFonts w:hint="cs"/>
                <w:b/>
                <w:bCs/>
                <w:sz w:val="16"/>
                <w:szCs w:val="24"/>
                <w:rtl/>
              </w:rPr>
            </w:pPr>
            <w:r w:rsidRPr="00AC4844">
              <w:rPr>
                <w:rFonts w:hint="cs"/>
                <w:b/>
                <w:bCs/>
                <w:sz w:val="16"/>
                <w:szCs w:val="24"/>
                <w:rtl/>
              </w:rPr>
              <w:t>5.2</w:t>
            </w:r>
          </w:p>
        </w:tc>
        <w:tc>
          <w:tcPr>
            <w:tcW w:w="1360" w:type="dxa"/>
            <w:tcBorders>
              <w:top w:val="single" w:sz="2" w:space="0" w:color="auto"/>
              <w:bottom w:val="single" w:sz="12" w:space="0" w:color="auto"/>
            </w:tcBorders>
            <w:shd w:val="clear" w:color="auto" w:fill="auto"/>
            <w:vAlign w:val="bottom"/>
          </w:tcPr>
          <w:p w:rsidR="00484FEE" w:rsidRPr="00AC4844" w:rsidRDefault="00484FEE" w:rsidP="0011796D">
            <w:pPr>
              <w:spacing w:before="40" w:after="80" w:line="240" w:lineRule="exact"/>
              <w:ind w:right="144"/>
              <w:jc w:val="lowKashida"/>
              <w:rPr>
                <w:rFonts w:hint="cs"/>
                <w:b/>
                <w:bCs/>
                <w:sz w:val="16"/>
                <w:szCs w:val="24"/>
                <w:rtl/>
              </w:rPr>
            </w:pPr>
            <w:r w:rsidRPr="00AC4844">
              <w:rPr>
                <w:rFonts w:hint="cs"/>
                <w:b/>
                <w:bCs/>
                <w:sz w:val="16"/>
                <w:szCs w:val="24"/>
                <w:rtl/>
              </w:rPr>
              <w:t>11.5</w:t>
            </w:r>
          </w:p>
        </w:tc>
        <w:tc>
          <w:tcPr>
            <w:tcW w:w="1360" w:type="dxa"/>
            <w:tcBorders>
              <w:top w:val="single" w:sz="2" w:space="0" w:color="auto"/>
              <w:bottom w:val="single" w:sz="12" w:space="0" w:color="auto"/>
            </w:tcBorders>
            <w:shd w:val="clear" w:color="auto" w:fill="auto"/>
            <w:vAlign w:val="bottom"/>
          </w:tcPr>
          <w:p w:rsidR="00484FEE" w:rsidRPr="00AC4844" w:rsidRDefault="00484FEE" w:rsidP="0011796D">
            <w:pPr>
              <w:spacing w:before="40" w:after="80" w:line="240" w:lineRule="exact"/>
              <w:ind w:right="144"/>
              <w:jc w:val="lowKashida"/>
              <w:rPr>
                <w:rFonts w:hint="cs"/>
                <w:b/>
                <w:bCs/>
                <w:sz w:val="16"/>
                <w:szCs w:val="24"/>
                <w:rtl/>
              </w:rPr>
            </w:pPr>
            <w:r w:rsidRPr="00AC4844">
              <w:rPr>
                <w:rFonts w:hint="cs"/>
                <w:b/>
                <w:bCs/>
                <w:sz w:val="16"/>
                <w:szCs w:val="24"/>
                <w:rtl/>
              </w:rPr>
              <w:t>33.9</w:t>
            </w:r>
          </w:p>
        </w:tc>
        <w:tc>
          <w:tcPr>
            <w:tcW w:w="1360" w:type="dxa"/>
            <w:tcBorders>
              <w:top w:val="single" w:sz="2" w:space="0" w:color="auto"/>
              <w:bottom w:val="single" w:sz="12" w:space="0" w:color="auto"/>
            </w:tcBorders>
            <w:shd w:val="clear" w:color="auto" w:fill="auto"/>
            <w:vAlign w:val="bottom"/>
          </w:tcPr>
          <w:p w:rsidR="00484FEE" w:rsidRPr="00AC4844" w:rsidRDefault="00484FEE" w:rsidP="0011796D">
            <w:pPr>
              <w:spacing w:before="40" w:after="80" w:line="240" w:lineRule="exact"/>
              <w:ind w:right="144"/>
              <w:jc w:val="lowKashida"/>
              <w:rPr>
                <w:rFonts w:hint="cs"/>
                <w:b/>
                <w:bCs/>
                <w:sz w:val="16"/>
                <w:szCs w:val="24"/>
                <w:rtl/>
              </w:rPr>
            </w:pPr>
            <w:r w:rsidRPr="00AC4844">
              <w:rPr>
                <w:rFonts w:hint="cs"/>
                <w:b/>
                <w:bCs/>
                <w:sz w:val="16"/>
                <w:szCs w:val="24"/>
                <w:rtl/>
              </w:rPr>
              <w:t>35.7</w:t>
            </w:r>
          </w:p>
        </w:tc>
      </w:tr>
    </w:tbl>
    <w:p w:rsidR="00484FEE" w:rsidRPr="008165C2" w:rsidRDefault="00484FEE" w:rsidP="00484FEE">
      <w:pPr>
        <w:pStyle w:val="SingleTxt"/>
        <w:spacing w:after="0" w:line="120" w:lineRule="exact"/>
        <w:ind w:left="0"/>
        <w:rPr>
          <w:rFonts w:hint="cs"/>
          <w:b/>
          <w:bCs/>
          <w:sz w:val="10"/>
          <w:rtl/>
          <w:lang w:bidi="ar-LB"/>
        </w:rPr>
      </w:pPr>
    </w:p>
    <w:p w:rsidR="00484FEE" w:rsidRPr="008165C2" w:rsidRDefault="00484FEE" w:rsidP="00484FEE">
      <w:pPr>
        <w:pStyle w:val="SingleTxt"/>
        <w:spacing w:after="0" w:line="120" w:lineRule="exact"/>
        <w:rPr>
          <w:rFonts w:hint="cs"/>
          <w:b/>
          <w:bCs/>
          <w:sz w:val="10"/>
          <w:rtl/>
        </w:rPr>
      </w:pPr>
    </w:p>
    <w:p w:rsidR="00484FEE" w:rsidRDefault="00484FEE" w:rsidP="00484FEE">
      <w:pPr>
        <w:pStyle w:val="SingleTxt"/>
        <w:rPr>
          <w:rFonts w:hint="cs"/>
          <w:b/>
          <w:bCs/>
          <w:rtl/>
        </w:rPr>
      </w:pPr>
    </w:p>
    <w:p w:rsidR="00484FEE" w:rsidRDefault="00484FEE" w:rsidP="00484FEE">
      <w:pPr>
        <w:pStyle w:val="SingleTxt"/>
        <w:rPr>
          <w:rFonts w:hint="cs"/>
          <w:b/>
          <w:bCs/>
          <w:rtl/>
        </w:rPr>
      </w:pPr>
      <w:r>
        <w:rPr>
          <w:rFonts w:hint="cs"/>
          <w:b/>
          <w:bCs/>
          <w:rtl/>
        </w:rPr>
        <w:t>تعداد عام 1971</w:t>
      </w:r>
    </w:p>
    <w:p w:rsidR="00484FEE" w:rsidRPr="00327D09" w:rsidRDefault="00484FEE" w:rsidP="00484FEE">
      <w:pPr>
        <w:pStyle w:val="SingleTxt"/>
        <w:spacing w:after="0" w:line="120" w:lineRule="exact"/>
        <w:rPr>
          <w:rFonts w:hint="cs"/>
          <w:b/>
          <w:bCs/>
          <w:sz w:val="10"/>
          <w:rtl/>
        </w:rPr>
      </w:pPr>
    </w:p>
    <w:tbl>
      <w:tblPr>
        <w:bidiVisual/>
        <w:tblW w:w="12240" w:type="dxa"/>
        <w:jc w:val="center"/>
        <w:tblLayout w:type="fixed"/>
        <w:tblCellMar>
          <w:left w:w="0" w:type="dxa"/>
          <w:right w:w="0" w:type="dxa"/>
        </w:tblCellMar>
        <w:tblLook w:val="0000" w:firstRow="0" w:lastRow="0" w:firstColumn="0" w:lastColumn="0" w:noHBand="0" w:noVBand="0"/>
      </w:tblPr>
      <w:tblGrid>
        <w:gridCol w:w="1127"/>
        <w:gridCol w:w="1350"/>
        <w:gridCol w:w="1603"/>
        <w:gridCol w:w="1360"/>
        <w:gridCol w:w="1360"/>
        <w:gridCol w:w="1360"/>
        <w:gridCol w:w="1360"/>
        <w:gridCol w:w="1360"/>
        <w:gridCol w:w="1360"/>
      </w:tblGrid>
      <w:tr w:rsidR="00484FEE" w:rsidRPr="00327D09">
        <w:tblPrEx>
          <w:tblCellMar>
            <w:top w:w="0" w:type="dxa"/>
            <w:bottom w:w="0" w:type="dxa"/>
          </w:tblCellMar>
        </w:tblPrEx>
        <w:trPr>
          <w:cantSplit/>
          <w:tblHeader/>
          <w:jc w:val="center"/>
        </w:trPr>
        <w:tc>
          <w:tcPr>
            <w:tcW w:w="1127" w:type="dxa"/>
            <w:tcBorders>
              <w:top w:val="single" w:sz="4" w:space="0" w:color="auto"/>
              <w:bottom w:val="single" w:sz="12" w:space="0" w:color="auto"/>
            </w:tcBorders>
            <w:shd w:val="clear" w:color="auto" w:fill="auto"/>
            <w:tcMar>
              <w:left w:w="0" w:type="dxa"/>
              <w:right w:w="0" w:type="dxa"/>
            </w:tcMar>
            <w:vAlign w:val="bottom"/>
          </w:tcPr>
          <w:p w:rsidR="00484FEE" w:rsidRPr="00327D09" w:rsidRDefault="00484FEE" w:rsidP="0011796D">
            <w:pPr>
              <w:spacing w:before="80" w:after="80" w:line="240" w:lineRule="exact"/>
              <w:rPr>
                <w:rFonts w:hint="cs"/>
                <w:i/>
                <w:iCs/>
                <w:sz w:val="16"/>
                <w:szCs w:val="24"/>
                <w:rtl/>
              </w:rPr>
            </w:pPr>
          </w:p>
        </w:tc>
        <w:tc>
          <w:tcPr>
            <w:tcW w:w="1350" w:type="dxa"/>
            <w:tcBorders>
              <w:top w:val="single" w:sz="4" w:space="0" w:color="auto"/>
              <w:bottom w:val="single" w:sz="12" w:space="0" w:color="auto"/>
            </w:tcBorders>
            <w:shd w:val="clear" w:color="auto" w:fill="auto"/>
            <w:vAlign w:val="bottom"/>
          </w:tcPr>
          <w:p w:rsidR="00484FEE" w:rsidRPr="00327D09" w:rsidRDefault="00484FEE" w:rsidP="0011796D">
            <w:pPr>
              <w:spacing w:before="80" w:after="80" w:line="240" w:lineRule="exact"/>
              <w:ind w:right="144"/>
              <w:jc w:val="lowKashida"/>
              <w:rPr>
                <w:rFonts w:hint="cs"/>
                <w:i/>
                <w:iCs/>
                <w:sz w:val="16"/>
                <w:szCs w:val="24"/>
                <w:rtl/>
              </w:rPr>
            </w:pPr>
            <w:r w:rsidRPr="00327D09">
              <w:rPr>
                <w:rFonts w:hint="cs"/>
                <w:i/>
                <w:iCs/>
                <w:sz w:val="16"/>
                <w:szCs w:val="24"/>
                <w:rtl/>
              </w:rPr>
              <w:t>جامعة الكليات التطبيقية</w:t>
            </w:r>
          </w:p>
        </w:tc>
        <w:tc>
          <w:tcPr>
            <w:tcW w:w="1603" w:type="dxa"/>
            <w:tcBorders>
              <w:top w:val="single" w:sz="4" w:space="0" w:color="auto"/>
              <w:bottom w:val="single" w:sz="12" w:space="0" w:color="auto"/>
            </w:tcBorders>
            <w:shd w:val="clear" w:color="auto" w:fill="auto"/>
            <w:vAlign w:val="bottom"/>
          </w:tcPr>
          <w:p w:rsidR="00484FEE" w:rsidRPr="00327D09" w:rsidRDefault="00484FEE" w:rsidP="0011796D">
            <w:pPr>
              <w:spacing w:before="80" w:after="80" w:line="240" w:lineRule="exact"/>
              <w:ind w:right="144"/>
              <w:jc w:val="lowKashida"/>
              <w:rPr>
                <w:rFonts w:hint="cs"/>
                <w:i/>
                <w:iCs/>
                <w:sz w:val="16"/>
                <w:szCs w:val="24"/>
                <w:rtl/>
              </w:rPr>
            </w:pPr>
            <w:r w:rsidRPr="00327D09">
              <w:rPr>
                <w:rFonts w:hint="cs"/>
                <w:i/>
                <w:iCs/>
                <w:sz w:val="16"/>
                <w:szCs w:val="24"/>
                <w:rtl/>
              </w:rPr>
              <w:t>الأكاديمية التقنية و/أو أكاديمية التدريب المهني وأكاديمية تدريب المعلمين</w:t>
            </w:r>
          </w:p>
        </w:tc>
        <w:tc>
          <w:tcPr>
            <w:tcW w:w="1360" w:type="dxa"/>
            <w:tcBorders>
              <w:top w:val="single" w:sz="4" w:space="0" w:color="auto"/>
              <w:bottom w:val="single" w:sz="12" w:space="0" w:color="auto"/>
            </w:tcBorders>
            <w:shd w:val="clear" w:color="auto" w:fill="auto"/>
            <w:vAlign w:val="bottom"/>
          </w:tcPr>
          <w:p w:rsidR="00484FEE" w:rsidRPr="00327D09" w:rsidRDefault="00484FEE" w:rsidP="0011796D">
            <w:pPr>
              <w:spacing w:before="80" w:after="80" w:line="240" w:lineRule="exact"/>
              <w:ind w:right="144"/>
              <w:jc w:val="lowKashida"/>
              <w:rPr>
                <w:rFonts w:hint="cs"/>
                <w:i/>
                <w:iCs/>
                <w:sz w:val="16"/>
                <w:szCs w:val="24"/>
                <w:rtl/>
              </w:rPr>
            </w:pPr>
            <w:r w:rsidRPr="00327D09">
              <w:rPr>
                <w:rFonts w:hint="cs"/>
                <w:i/>
                <w:iCs/>
                <w:sz w:val="16"/>
                <w:szCs w:val="24"/>
                <w:rtl/>
              </w:rPr>
              <w:t>الكليات الجامعية والمواد الجامعية</w:t>
            </w:r>
          </w:p>
        </w:tc>
        <w:tc>
          <w:tcPr>
            <w:tcW w:w="1360" w:type="dxa"/>
            <w:tcBorders>
              <w:top w:val="single" w:sz="4" w:space="0" w:color="auto"/>
              <w:bottom w:val="single" w:sz="12" w:space="0" w:color="auto"/>
            </w:tcBorders>
            <w:shd w:val="clear" w:color="auto" w:fill="auto"/>
            <w:vAlign w:val="bottom"/>
          </w:tcPr>
          <w:p w:rsidR="00484FEE" w:rsidRPr="00327D09" w:rsidRDefault="00484FEE" w:rsidP="0011796D">
            <w:pPr>
              <w:spacing w:before="80" w:after="80" w:line="240" w:lineRule="exact"/>
              <w:ind w:right="144"/>
              <w:jc w:val="lowKashida"/>
              <w:rPr>
                <w:rFonts w:hint="cs"/>
                <w:i/>
                <w:iCs/>
                <w:sz w:val="16"/>
                <w:szCs w:val="24"/>
                <w:rtl/>
              </w:rPr>
            </w:pPr>
            <w:r w:rsidRPr="00327D09">
              <w:rPr>
                <w:rFonts w:hint="cs"/>
                <w:i/>
                <w:iCs/>
                <w:sz w:val="16"/>
                <w:szCs w:val="24"/>
                <w:rtl/>
              </w:rPr>
              <w:t>المدارس التقنية الثانوية و/أو مدارس التدريب المهني</w:t>
            </w:r>
          </w:p>
        </w:tc>
        <w:tc>
          <w:tcPr>
            <w:tcW w:w="1360" w:type="dxa"/>
            <w:tcBorders>
              <w:top w:val="single" w:sz="4" w:space="0" w:color="auto"/>
              <w:bottom w:val="single" w:sz="12" w:space="0" w:color="auto"/>
            </w:tcBorders>
            <w:shd w:val="clear" w:color="auto" w:fill="auto"/>
            <w:vAlign w:val="bottom"/>
          </w:tcPr>
          <w:p w:rsidR="00484FEE" w:rsidRPr="00327D09" w:rsidRDefault="00484FEE" w:rsidP="0011796D">
            <w:pPr>
              <w:spacing w:before="80" w:after="80" w:line="240" w:lineRule="exact"/>
              <w:ind w:right="144"/>
              <w:jc w:val="lowKashida"/>
              <w:rPr>
                <w:rFonts w:hint="cs"/>
                <w:i/>
                <w:iCs/>
                <w:sz w:val="16"/>
                <w:szCs w:val="24"/>
                <w:rtl/>
              </w:rPr>
            </w:pPr>
            <w:r w:rsidRPr="00327D09">
              <w:rPr>
                <w:rFonts w:hint="cs"/>
                <w:i/>
                <w:iCs/>
                <w:sz w:val="16"/>
                <w:szCs w:val="24"/>
                <w:rtl/>
              </w:rPr>
              <w:t>المدارس الثانوية الأكاديمية</w:t>
            </w:r>
          </w:p>
        </w:tc>
        <w:tc>
          <w:tcPr>
            <w:tcW w:w="1360" w:type="dxa"/>
            <w:tcBorders>
              <w:top w:val="single" w:sz="4" w:space="0" w:color="auto"/>
              <w:bottom w:val="single" w:sz="12" w:space="0" w:color="auto"/>
            </w:tcBorders>
            <w:shd w:val="clear" w:color="auto" w:fill="auto"/>
            <w:vAlign w:val="bottom"/>
          </w:tcPr>
          <w:p w:rsidR="00484FEE" w:rsidRPr="00327D09" w:rsidRDefault="00484FEE" w:rsidP="0011796D">
            <w:pPr>
              <w:spacing w:before="80" w:after="80" w:line="240" w:lineRule="exact"/>
              <w:ind w:right="144"/>
              <w:jc w:val="lowKashida"/>
              <w:rPr>
                <w:rFonts w:hint="cs"/>
                <w:i/>
                <w:iCs/>
                <w:sz w:val="16"/>
                <w:szCs w:val="24"/>
                <w:rtl/>
              </w:rPr>
            </w:pPr>
            <w:r w:rsidRPr="00327D09">
              <w:rPr>
                <w:rFonts w:hint="cs"/>
                <w:i/>
                <w:iCs/>
                <w:sz w:val="16"/>
                <w:szCs w:val="24"/>
                <w:rtl/>
              </w:rPr>
              <w:t>المدارس التقنية الإعدادية و/أو مدارس التدريب المهني</w:t>
            </w:r>
          </w:p>
        </w:tc>
        <w:tc>
          <w:tcPr>
            <w:tcW w:w="1360" w:type="dxa"/>
            <w:tcBorders>
              <w:top w:val="single" w:sz="4" w:space="0" w:color="auto"/>
              <w:bottom w:val="single" w:sz="12" w:space="0" w:color="auto"/>
            </w:tcBorders>
            <w:shd w:val="clear" w:color="auto" w:fill="auto"/>
            <w:vAlign w:val="bottom"/>
          </w:tcPr>
          <w:p w:rsidR="00484FEE" w:rsidRPr="00327D09" w:rsidRDefault="00484FEE" w:rsidP="0011796D">
            <w:pPr>
              <w:spacing w:before="80" w:after="80" w:line="240" w:lineRule="exact"/>
              <w:ind w:right="144"/>
              <w:jc w:val="lowKashida"/>
              <w:rPr>
                <w:rFonts w:hint="cs"/>
                <w:i/>
                <w:iCs/>
                <w:sz w:val="16"/>
                <w:szCs w:val="24"/>
                <w:rtl/>
              </w:rPr>
            </w:pPr>
            <w:r w:rsidRPr="00327D09">
              <w:rPr>
                <w:rFonts w:hint="cs"/>
                <w:i/>
                <w:iCs/>
                <w:sz w:val="16"/>
                <w:szCs w:val="24"/>
                <w:rtl/>
              </w:rPr>
              <w:t>التدريب الحرفي</w:t>
            </w:r>
          </w:p>
        </w:tc>
        <w:tc>
          <w:tcPr>
            <w:tcW w:w="1360" w:type="dxa"/>
            <w:tcBorders>
              <w:top w:val="single" w:sz="4" w:space="0" w:color="auto"/>
              <w:bottom w:val="single" w:sz="12" w:space="0" w:color="auto"/>
            </w:tcBorders>
            <w:shd w:val="clear" w:color="auto" w:fill="auto"/>
            <w:vAlign w:val="bottom"/>
          </w:tcPr>
          <w:p w:rsidR="00484FEE" w:rsidRPr="00327D09" w:rsidRDefault="00484FEE" w:rsidP="0011796D">
            <w:pPr>
              <w:spacing w:before="80" w:after="80" w:line="240" w:lineRule="exact"/>
              <w:ind w:right="144"/>
              <w:jc w:val="lowKashida"/>
              <w:rPr>
                <w:rFonts w:hint="cs"/>
                <w:i/>
                <w:iCs/>
                <w:sz w:val="16"/>
                <w:szCs w:val="24"/>
                <w:rtl/>
              </w:rPr>
            </w:pPr>
            <w:r w:rsidRPr="00327D09">
              <w:rPr>
                <w:rFonts w:hint="cs"/>
                <w:i/>
                <w:iCs/>
                <w:sz w:val="16"/>
                <w:szCs w:val="24"/>
                <w:rtl/>
              </w:rPr>
              <w:t>المدارس الإلزامية</w:t>
            </w:r>
          </w:p>
        </w:tc>
      </w:tr>
      <w:tr w:rsidR="00484FEE" w:rsidRPr="00327D09">
        <w:tblPrEx>
          <w:tblCellMar>
            <w:top w:w="0" w:type="dxa"/>
            <w:bottom w:w="0" w:type="dxa"/>
          </w:tblCellMar>
        </w:tblPrEx>
        <w:trPr>
          <w:cantSplit/>
          <w:trHeight w:hRule="exact" w:val="115"/>
          <w:tblHeader/>
          <w:jc w:val="center"/>
        </w:trPr>
        <w:tc>
          <w:tcPr>
            <w:tcW w:w="1127" w:type="dxa"/>
            <w:tcBorders>
              <w:top w:val="single" w:sz="12" w:space="0" w:color="auto"/>
            </w:tcBorders>
            <w:shd w:val="clear" w:color="auto" w:fill="auto"/>
            <w:vAlign w:val="bottom"/>
          </w:tcPr>
          <w:p w:rsidR="00484FEE" w:rsidRPr="00327D09" w:rsidRDefault="00484FEE" w:rsidP="0011796D">
            <w:pPr>
              <w:spacing w:before="40" w:after="80" w:line="240" w:lineRule="exact"/>
              <w:rPr>
                <w:rFonts w:hint="cs"/>
                <w:sz w:val="16"/>
                <w:szCs w:val="24"/>
                <w:rtl/>
              </w:rPr>
            </w:pPr>
          </w:p>
        </w:tc>
        <w:tc>
          <w:tcPr>
            <w:tcW w:w="1350" w:type="dxa"/>
            <w:tcBorders>
              <w:top w:val="single" w:sz="1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p>
        </w:tc>
        <w:tc>
          <w:tcPr>
            <w:tcW w:w="1603" w:type="dxa"/>
            <w:tcBorders>
              <w:top w:val="single" w:sz="1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p>
        </w:tc>
        <w:tc>
          <w:tcPr>
            <w:tcW w:w="1360" w:type="dxa"/>
            <w:tcBorders>
              <w:top w:val="single" w:sz="1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p>
        </w:tc>
        <w:tc>
          <w:tcPr>
            <w:tcW w:w="1360" w:type="dxa"/>
            <w:tcBorders>
              <w:top w:val="single" w:sz="1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p>
        </w:tc>
        <w:tc>
          <w:tcPr>
            <w:tcW w:w="1360" w:type="dxa"/>
            <w:tcBorders>
              <w:top w:val="single" w:sz="1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p>
        </w:tc>
        <w:tc>
          <w:tcPr>
            <w:tcW w:w="1360" w:type="dxa"/>
            <w:tcBorders>
              <w:top w:val="single" w:sz="1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p>
        </w:tc>
        <w:tc>
          <w:tcPr>
            <w:tcW w:w="1360" w:type="dxa"/>
            <w:tcBorders>
              <w:top w:val="single" w:sz="1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p>
        </w:tc>
        <w:tc>
          <w:tcPr>
            <w:tcW w:w="1360" w:type="dxa"/>
            <w:tcBorders>
              <w:top w:val="single" w:sz="1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p>
        </w:tc>
      </w:tr>
      <w:tr w:rsidR="00484FEE" w:rsidRPr="00327D09">
        <w:tblPrEx>
          <w:tblCellMar>
            <w:top w:w="0" w:type="dxa"/>
            <w:bottom w:w="0" w:type="dxa"/>
          </w:tblCellMar>
        </w:tblPrEx>
        <w:trPr>
          <w:cantSplit/>
          <w:jc w:val="center"/>
        </w:trPr>
        <w:tc>
          <w:tcPr>
            <w:tcW w:w="1127" w:type="dxa"/>
            <w:shd w:val="clear" w:color="auto" w:fill="auto"/>
            <w:vAlign w:val="bottom"/>
          </w:tcPr>
          <w:p w:rsidR="00484FEE" w:rsidRPr="00327D09" w:rsidRDefault="00484FEE" w:rsidP="0011796D">
            <w:pPr>
              <w:spacing w:before="40" w:after="80" w:line="240" w:lineRule="exact"/>
              <w:rPr>
                <w:rFonts w:hint="cs"/>
                <w:sz w:val="16"/>
                <w:szCs w:val="24"/>
                <w:rtl/>
              </w:rPr>
            </w:pPr>
            <w:r w:rsidRPr="00327D09">
              <w:rPr>
                <w:rFonts w:hint="cs"/>
                <w:sz w:val="16"/>
                <w:szCs w:val="24"/>
                <w:rtl/>
              </w:rPr>
              <w:t>النساء</w:t>
            </w:r>
          </w:p>
        </w:tc>
        <w:tc>
          <w:tcPr>
            <w:tcW w:w="1350" w:type="dxa"/>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0.9</w:t>
            </w:r>
          </w:p>
        </w:tc>
        <w:tc>
          <w:tcPr>
            <w:tcW w:w="1603" w:type="dxa"/>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0.1</w:t>
            </w:r>
          </w:p>
        </w:tc>
        <w:tc>
          <w:tcPr>
            <w:tcW w:w="1360" w:type="dxa"/>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w:t>
            </w:r>
          </w:p>
        </w:tc>
        <w:tc>
          <w:tcPr>
            <w:tcW w:w="1360" w:type="dxa"/>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1.8</w:t>
            </w:r>
          </w:p>
        </w:tc>
        <w:tc>
          <w:tcPr>
            <w:tcW w:w="1360" w:type="dxa"/>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2.7</w:t>
            </w:r>
          </w:p>
        </w:tc>
        <w:tc>
          <w:tcPr>
            <w:tcW w:w="1360" w:type="dxa"/>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8.9</w:t>
            </w:r>
          </w:p>
        </w:tc>
        <w:tc>
          <w:tcPr>
            <w:tcW w:w="1360" w:type="dxa"/>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12.6</w:t>
            </w:r>
          </w:p>
        </w:tc>
        <w:tc>
          <w:tcPr>
            <w:tcW w:w="1360" w:type="dxa"/>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73.0</w:t>
            </w:r>
          </w:p>
        </w:tc>
      </w:tr>
      <w:tr w:rsidR="00484FEE" w:rsidRPr="00327D09">
        <w:tblPrEx>
          <w:tblCellMar>
            <w:top w:w="0" w:type="dxa"/>
            <w:bottom w:w="0" w:type="dxa"/>
          </w:tblCellMar>
        </w:tblPrEx>
        <w:trPr>
          <w:cantSplit/>
          <w:jc w:val="center"/>
        </w:trPr>
        <w:tc>
          <w:tcPr>
            <w:tcW w:w="1127" w:type="dxa"/>
            <w:tcBorders>
              <w:bottom w:val="single" w:sz="2" w:space="0" w:color="auto"/>
            </w:tcBorders>
            <w:shd w:val="clear" w:color="auto" w:fill="auto"/>
            <w:vAlign w:val="bottom"/>
          </w:tcPr>
          <w:p w:rsidR="00484FEE" w:rsidRPr="00327D09" w:rsidRDefault="00484FEE" w:rsidP="0011796D">
            <w:pPr>
              <w:spacing w:before="40" w:after="80" w:line="240" w:lineRule="exact"/>
              <w:rPr>
                <w:rFonts w:hint="cs"/>
                <w:sz w:val="16"/>
                <w:szCs w:val="24"/>
                <w:rtl/>
              </w:rPr>
            </w:pPr>
            <w:r w:rsidRPr="00327D09">
              <w:rPr>
                <w:rFonts w:hint="cs"/>
                <w:sz w:val="16"/>
                <w:szCs w:val="24"/>
                <w:rtl/>
              </w:rPr>
              <w:t>الرجال</w:t>
            </w:r>
          </w:p>
        </w:tc>
        <w:tc>
          <w:tcPr>
            <w:tcW w:w="1350" w:type="dxa"/>
            <w:tcBorders>
              <w:bottom w:val="single" w:sz="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3.5</w:t>
            </w:r>
          </w:p>
        </w:tc>
        <w:tc>
          <w:tcPr>
            <w:tcW w:w="1603" w:type="dxa"/>
            <w:tcBorders>
              <w:bottom w:val="single" w:sz="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0.0</w:t>
            </w:r>
          </w:p>
        </w:tc>
        <w:tc>
          <w:tcPr>
            <w:tcW w:w="1360" w:type="dxa"/>
            <w:tcBorders>
              <w:bottom w:val="single" w:sz="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w:t>
            </w:r>
          </w:p>
        </w:tc>
        <w:tc>
          <w:tcPr>
            <w:tcW w:w="1360" w:type="dxa"/>
            <w:tcBorders>
              <w:bottom w:val="single" w:sz="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3.1</w:t>
            </w:r>
          </w:p>
        </w:tc>
        <w:tc>
          <w:tcPr>
            <w:tcW w:w="1360" w:type="dxa"/>
            <w:tcBorders>
              <w:bottom w:val="single" w:sz="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4.3</w:t>
            </w:r>
          </w:p>
        </w:tc>
        <w:tc>
          <w:tcPr>
            <w:tcW w:w="1360" w:type="dxa"/>
            <w:tcBorders>
              <w:bottom w:val="single" w:sz="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4.7</w:t>
            </w:r>
          </w:p>
        </w:tc>
        <w:tc>
          <w:tcPr>
            <w:tcW w:w="1360" w:type="dxa"/>
            <w:tcBorders>
              <w:bottom w:val="single" w:sz="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35.5</w:t>
            </w:r>
          </w:p>
        </w:tc>
        <w:tc>
          <w:tcPr>
            <w:tcW w:w="1360" w:type="dxa"/>
            <w:tcBorders>
              <w:bottom w:val="single" w:sz="2" w:space="0" w:color="auto"/>
            </w:tcBorders>
            <w:shd w:val="clear" w:color="auto" w:fill="auto"/>
            <w:vAlign w:val="bottom"/>
          </w:tcPr>
          <w:p w:rsidR="00484FEE" w:rsidRPr="00327D09" w:rsidRDefault="00484FEE" w:rsidP="0011796D">
            <w:pPr>
              <w:spacing w:before="40" w:after="80" w:line="240" w:lineRule="exact"/>
              <w:ind w:right="144"/>
              <w:jc w:val="lowKashida"/>
              <w:rPr>
                <w:rFonts w:hint="cs"/>
                <w:sz w:val="16"/>
                <w:szCs w:val="24"/>
                <w:rtl/>
              </w:rPr>
            </w:pPr>
            <w:r>
              <w:rPr>
                <w:rFonts w:hint="cs"/>
                <w:sz w:val="16"/>
                <w:szCs w:val="24"/>
                <w:rtl/>
              </w:rPr>
              <w:t>48.9</w:t>
            </w:r>
          </w:p>
        </w:tc>
      </w:tr>
      <w:tr w:rsidR="00484FEE" w:rsidRPr="00AC4844">
        <w:tblPrEx>
          <w:tblCellMar>
            <w:top w:w="0" w:type="dxa"/>
            <w:bottom w:w="0" w:type="dxa"/>
          </w:tblCellMar>
        </w:tblPrEx>
        <w:trPr>
          <w:cantSplit/>
          <w:jc w:val="center"/>
        </w:trPr>
        <w:tc>
          <w:tcPr>
            <w:tcW w:w="1127" w:type="dxa"/>
            <w:tcBorders>
              <w:top w:val="single" w:sz="2" w:space="0" w:color="auto"/>
              <w:bottom w:val="single" w:sz="12" w:space="0" w:color="auto"/>
            </w:tcBorders>
            <w:shd w:val="clear" w:color="auto" w:fill="auto"/>
            <w:vAlign w:val="bottom"/>
          </w:tcPr>
          <w:p w:rsidR="00484FEE" w:rsidRPr="00AC4844" w:rsidRDefault="00484FEE" w:rsidP="0011796D">
            <w:pPr>
              <w:spacing w:before="40" w:after="80" w:line="240" w:lineRule="exact"/>
              <w:rPr>
                <w:rFonts w:hint="cs"/>
                <w:b/>
                <w:bCs/>
                <w:sz w:val="16"/>
                <w:szCs w:val="24"/>
                <w:rtl/>
              </w:rPr>
            </w:pPr>
            <w:r w:rsidRPr="00AC4844">
              <w:rPr>
                <w:rFonts w:hint="cs"/>
                <w:b/>
                <w:bCs/>
                <w:sz w:val="16"/>
                <w:szCs w:val="24"/>
                <w:rtl/>
              </w:rPr>
              <w:t>المجموع</w:t>
            </w:r>
          </w:p>
        </w:tc>
        <w:tc>
          <w:tcPr>
            <w:tcW w:w="1350" w:type="dxa"/>
            <w:tcBorders>
              <w:top w:val="single" w:sz="2" w:space="0" w:color="auto"/>
              <w:bottom w:val="single" w:sz="12" w:space="0" w:color="auto"/>
            </w:tcBorders>
            <w:shd w:val="clear" w:color="auto" w:fill="auto"/>
            <w:vAlign w:val="bottom"/>
          </w:tcPr>
          <w:p w:rsidR="00484FEE" w:rsidRPr="00AC4844" w:rsidRDefault="00484FEE" w:rsidP="0011796D">
            <w:pPr>
              <w:spacing w:before="40" w:after="80" w:line="240" w:lineRule="exact"/>
              <w:ind w:right="144"/>
              <w:jc w:val="lowKashida"/>
              <w:rPr>
                <w:rFonts w:hint="cs"/>
                <w:b/>
                <w:bCs/>
                <w:sz w:val="16"/>
                <w:szCs w:val="24"/>
                <w:rtl/>
              </w:rPr>
            </w:pPr>
            <w:r w:rsidRPr="00AC4844">
              <w:rPr>
                <w:rFonts w:hint="cs"/>
                <w:b/>
                <w:bCs/>
                <w:sz w:val="16"/>
                <w:szCs w:val="24"/>
                <w:rtl/>
              </w:rPr>
              <w:t>2.1</w:t>
            </w:r>
          </w:p>
        </w:tc>
        <w:tc>
          <w:tcPr>
            <w:tcW w:w="1603" w:type="dxa"/>
            <w:tcBorders>
              <w:top w:val="single" w:sz="2" w:space="0" w:color="auto"/>
              <w:bottom w:val="single" w:sz="12" w:space="0" w:color="auto"/>
            </w:tcBorders>
            <w:shd w:val="clear" w:color="auto" w:fill="auto"/>
            <w:vAlign w:val="bottom"/>
          </w:tcPr>
          <w:p w:rsidR="00484FEE" w:rsidRPr="00AC4844" w:rsidRDefault="00484FEE" w:rsidP="0011796D">
            <w:pPr>
              <w:spacing w:before="40" w:after="80" w:line="240" w:lineRule="exact"/>
              <w:ind w:right="144"/>
              <w:jc w:val="lowKashida"/>
              <w:rPr>
                <w:rFonts w:hint="cs"/>
                <w:b/>
                <w:bCs/>
                <w:sz w:val="16"/>
                <w:szCs w:val="24"/>
                <w:rtl/>
              </w:rPr>
            </w:pPr>
            <w:r w:rsidRPr="00AC4844">
              <w:rPr>
                <w:rFonts w:hint="cs"/>
                <w:b/>
                <w:bCs/>
                <w:sz w:val="16"/>
                <w:szCs w:val="24"/>
                <w:rtl/>
              </w:rPr>
              <w:t>0.0</w:t>
            </w:r>
          </w:p>
        </w:tc>
        <w:tc>
          <w:tcPr>
            <w:tcW w:w="1360" w:type="dxa"/>
            <w:tcBorders>
              <w:top w:val="single" w:sz="2" w:space="0" w:color="auto"/>
              <w:bottom w:val="single" w:sz="12" w:space="0" w:color="auto"/>
            </w:tcBorders>
            <w:shd w:val="clear" w:color="auto" w:fill="auto"/>
            <w:vAlign w:val="bottom"/>
          </w:tcPr>
          <w:p w:rsidR="00484FEE" w:rsidRPr="00AC4844" w:rsidRDefault="00484FEE" w:rsidP="0011796D">
            <w:pPr>
              <w:spacing w:before="40" w:after="80" w:line="240" w:lineRule="exact"/>
              <w:ind w:right="144"/>
              <w:jc w:val="lowKashida"/>
              <w:rPr>
                <w:rFonts w:hint="cs"/>
                <w:b/>
                <w:bCs/>
                <w:sz w:val="16"/>
                <w:szCs w:val="24"/>
                <w:rtl/>
              </w:rPr>
            </w:pPr>
            <w:r w:rsidRPr="00AC4844">
              <w:rPr>
                <w:rFonts w:hint="cs"/>
                <w:b/>
                <w:bCs/>
                <w:sz w:val="16"/>
                <w:szCs w:val="24"/>
                <w:rtl/>
              </w:rPr>
              <w:t>-</w:t>
            </w:r>
          </w:p>
        </w:tc>
        <w:tc>
          <w:tcPr>
            <w:tcW w:w="1360" w:type="dxa"/>
            <w:tcBorders>
              <w:top w:val="single" w:sz="2" w:space="0" w:color="auto"/>
              <w:bottom w:val="single" w:sz="12" w:space="0" w:color="auto"/>
            </w:tcBorders>
            <w:shd w:val="clear" w:color="auto" w:fill="auto"/>
            <w:vAlign w:val="bottom"/>
          </w:tcPr>
          <w:p w:rsidR="00484FEE" w:rsidRPr="00AC4844" w:rsidRDefault="00484FEE" w:rsidP="0011796D">
            <w:pPr>
              <w:spacing w:before="40" w:after="80" w:line="240" w:lineRule="exact"/>
              <w:ind w:right="144"/>
              <w:jc w:val="lowKashida"/>
              <w:rPr>
                <w:rFonts w:hint="cs"/>
                <w:b/>
                <w:bCs/>
                <w:sz w:val="16"/>
                <w:szCs w:val="24"/>
                <w:rtl/>
              </w:rPr>
            </w:pPr>
            <w:r w:rsidRPr="00AC4844">
              <w:rPr>
                <w:rFonts w:hint="cs"/>
                <w:b/>
                <w:bCs/>
                <w:sz w:val="16"/>
                <w:szCs w:val="24"/>
                <w:rtl/>
              </w:rPr>
              <w:t>2.4</w:t>
            </w:r>
          </w:p>
        </w:tc>
        <w:tc>
          <w:tcPr>
            <w:tcW w:w="1360" w:type="dxa"/>
            <w:tcBorders>
              <w:top w:val="single" w:sz="2" w:space="0" w:color="auto"/>
              <w:bottom w:val="single" w:sz="12" w:space="0" w:color="auto"/>
            </w:tcBorders>
            <w:shd w:val="clear" w:color="auto" w:fill="auto"/>
            <w:vAlign w:val="bottom"/>
          </w:tcPr>
          <w:p w:rsidR="00484FEE" w:rsidRPr="00AC4844" w:rsidRDefault="00484FEE" w:rsidP="0011796D">
            <w:pPr>
              <w:spacing w:before="40" w:after="80" w:line="240" w:lineRule="exact"/>
              <w:ind w:right="144"/>
              <w:jc w:val="lowKashida"/>
              <w:rPr>
                <w:rFonts w:hint="cs"/>
                <w:b/>
                <w:bCs/>
                <w:sz w:val="16"/>
                <w:szCs w:val="24"/>
                <w:rtl/>
              </w:rPr>
            </w:pPr>
            <w:r w:rsidRPr="00AC4844">
              <w:rPr>
                <w:rFonts w:hint="cs"/>
                <w:b/>
                <w:bCs/>
                <w:sz w:val="16"/>
                <w:szCs w:val="24"/>
                <w:rtl/>
              </w:rPr>
              <w:t>3.4</w:t>
            </w:r>
          </w:p>
        </w:tc>
        <w:tc>
          <w:tcPr>
            <w:tcW w:w="1360" w:type="dxa"/>
            <w:tcBorders>
              <w:top w:val="single" w:sz="2" w:space="0" w:color="auto"/>
              <w:bottom w:val="single" w:sz="12" w:space="0" w:color="auto"/>
            </w:tcBorders>
            <w:shd w:val="clear" w:color="auto" w:fill="auto"/>
            <w:vAlign w:val="bottom"/>
          </w:tcPr>
          <w:p w:rsidR="00484FEE" w:rsidRPr="00AC4844" w:rsidRDefault="00484FEE" w:rsidP="0011796D">
            <w:pPr>
              <w:spacing w:before="40" w:after="80" w:line="240" w:lineRule="exact"/>
              <w:ind w:right="144"/>
              <w:jc w:val="lowKashida"/>
              <w:rPr>
                <w:rFonts w:hint="cs"/>
                <w:b/>
                <w:bCs/>
                <w:sz w:val="16"/>
                <w:szCs w:val="24"/>
                <w:rtl/>
              </w:rPr>
            </w:pPr>
            <w:r w:rsidRPr="00AC4844">
              <w:rPr>
                <w:rFonts w:hint="cs"/>
                <w:b/>
                <w:bCs/>
                <w:sz w:val="16"/>
                <w:szCs w:val="24"/>
                <w:rtl/>
              </w:rPr>
              <w:t>7.0</w:t>
            </w:r>
          </w:p>
        </w:tc>
        <w:tc>
          <w:tcPr>
            <w:tcW w:w="1360" w:type="dxa"/>
            <w:tcBorders>
              <w:top w:val="single" w:sz="2" w:space="0" w:color="auto"/>
              <w:bottom w:val="single" w:sz="12" w:space="0" w:color="auto"/>
            </w:tcBorders>
            <w:shd w:val="clear" w:color="auto" w:fill="auto"/>
            <w:vAlign w:val="bottom"/>
          </w:tcPr>
          <w:p w:rsidR="00484FEE" w:rsidRPr="00AC4844" w:rsidRDefault="00484FEE" w:rsidP="0011796D">
            <w:pPr>
              <w:spacing w:before="40" w:after="80" w:line="240" w:lineRule="exact"/>
              <w:ind w:right="144"/>
              <w:jc w:val="lowKashida"/>
              <w:rPr>
                <w:rFonts w:hint="cs"/>
                <w:b/>
                <w:bCs/>
                <w:sz w:val="16"/>
                <w:szCs w:val="24"/>
                <w:rtl/>
              </w:rPr>
            </w:pPr>
            <w:r w:rsidRPr="00AC4844">
              <w:rPr>
                <w:rFonts w:hint="cs"/>
                <w:b/>
                <w:bCs/>
                <w:sz w:val="16"/>
                <w:szCs w:val="24"/>
                <w:rtl/>
              </w:rPr>
              <w:t>23.1</w:t>
            </w:r>
          </w:p>
        </w:tc>
        <w:tc>
          <w:tcPr>
            <w:tcW w:w="1360" w:type="dxa"/>
            <w:tcBorders>
              <w:top w:val="single" w:sz="2" w:space="0" w:color="auto"/>
              <w:bottom w:val="single" w:sz="12" w:space="0" w:color="auto"/>
            </w:tcBorders>
            <w:shd w:val="clear" w:color="auto" w:fill="auto"/>
            <w:vAlign w:val="bottom"/>
          </w:tcPr>
          <w:p w:rsidR="00484FEE" w:rsidRPr="00AC4844" w:rsidRDefault="00484FEE" w:rsidP="0011796D">
            <w:pPr>
              <w:spacing w:before="40" w:after="80" w:line="240" w:lineRule="exact"/>
              <w:ind w:right="144"/>
              <w:jc w:val="lowKashida"/>
              <w:rPr>
                <w:rFonts w:hint="cs"/>
                <w:b/>
                <w:bCs/>
                <w:sz w:val="16"/>
                <w:szCs w:val="24"/>
                <w:rtl/>
              </w:rPr>
            </w:pPr>
            <w:r w:rsidRPr="00AC4844">
              <w:rPr>
                <w:rFonts w:hint="cs"/>
                <w:b/>
                <w:bCs/>
                <w:sz w:val="16"/>
                <w:szCs w:val="24"/>
                <w:rtl/>
              </w:rPr>
              <w:t>62.0</w:t>
            </w:r>
          </w:p>
        </w:tc>
      </w:tr>
    </w:tbl>
    <w:p w:rsidR="00484FEE" w:rsidRPr="006B1D1F" w:rsidRDefault="00484FEE" w:rsidP="00484FEE">
      <w:pPr>
        <w:pStyle w:val="SingleTxt"/>
        <w:spacing w:after="0" w:line="120" w:lineRule="exact"/>
        <w:rPr>
          <w:rFonts w:hint="cs"/>
          <w:sz w:val="10"/>
          <w:rtl/>
        </w:rPr>
      </w:pPr>
    </w:p>
    <w:p w:rsidR="00484FEE" w:rsidRDefault="00484FEE" w:rsidP="00484FEE">
      <w:pPr>
        <w:pStyle w:val="SingleTxt"/>
        <w:rPr>
          <w:rFonts w:hint="cs"/>
          <w:rtl/>
        </w:rPr>
      </w:pPr>
      <w:r w:rsidRPr="00327D09">
        <w:rPr>
          <w:rFonts w:hint="cs"/>
          <w:rtl/>
        </w:rPr>
        <w:t>المصدر: إحصاءات النمسا</w:t>
      </w:r>
    </w:p>
    <w:p w:rsidR="00484FEE" w:rsidRDefault="00484FEE" w:rsidP="00484FEE">
      <w:pPr>
        <w:pStyle w:val="SingleTxt"/>
        <w:rPr>
          <w:rFonts w:hint="cs"/>
          <w:rtl/>
        </w:rPr>
      </w:pPr>
    </w:p>
    <w:p w:rsidR="00484FEE" w:rsidRDefault="00484FEE" w:rsidP="00484FE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المزارع التي تديرها النساء والتي يديرها الرجال</w:t>
      </w:r>
    </w:p>
    <w:p w:rsidR="00484FEE" w:rsidRPr="00EA2341" w:rsidRDefault="00484FEE" w:rsidP="00484FEE">
      <w:pPr>
        <w:pStyle w:val="SingleTxt"/>
        <w:spacing w:after="0" w:line="120" w:lineRule="exact"/>
        <w:rPr>
          <w:rFonts w:hint="cs"/>
          <w:sz w:val="10"/>
          <w:rtl/>
        </w:rPr>
      </w:pPr>
    </w:p>
    <w:p w:rsidR="00484FEE" w:rsidRDefault="00484FEE" w:rsidP="00484FEE">
      <w:pPr>
        <w:pStyle w:val="SingleTxt"/>
        <w:rPr>
          <w:rFonts w:hint="cs"/>
          <w:b/>
          <w:bCs/>
          <w:rtl/>
        </w:rPr>
      </w:pPr>
      <w:r w:rsidRPr="00EA2341">
        <w:rPr>
          <w:rFonts w:hint="cs"/>
          <w:b/>
          <w:bCs/>
          <w:rtl/>
        </w:rPr>
        <w:t>نسبة المزارع التي تديرها النساء والتي يديرها الرجال</w:t>
      </w:r>
    </w:p>
    <w:p w:rsidR="00484FEE" w:rsidRPr="00EA2341" w:rsidRDefault="00484FEE" w:rsidP="00484FEE">
      <w:pPr>
        <w:pStyle w:val="SingleTxt"/>
        <w:spacing w:after="0" w:line="120" w:lineRule="exact"/>
        <w:rPr>
          <w:rFonts w:hint="cs"/>
          <w:b/>
          <w:bCs/>
          <w:sz w:val="10"/>
          <w:rtl/>
        </w:rPr>
      </w:pPr>
    </w:p>
    <w:p w:rsidR="00484FEE" w:rsidRDefault="00484FEE" w:rsidP="00484FEE">
      <w:pPr>
        <w:pStyle w:val="SingleTxt"/>
        <w:rPr>
          <w:rFonts w:hint="cs"/>
          <w:rtl/>
        </w:rPr>
      </w:pPr>
      <w:r>
        <w:rPr>
          <w:rFonts w:hint="cs"/>
          <w:rtl/>
        </w:rPr>
        <w:t>موزعة بحسب العمر</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موزعة بحسب مساحة المزرعة </w:t>
      </w:r>
    </w:p>
    <w:p w:rsidR="00484FEE" w:rsidRPr="00EA2341" w:rsidRDefault="00484FEE" w:rsidP="00484FEE">
      <w:pPr>
        <w:pStyle w:val="SingleTxt"/>
        <w:rPr>
          <w:rFonts w:hint="cs"/>
          <w:sz w:val="28"/>
          <w:szCs w:val="28"/>
          <w:rtl/>
        </w:rPr>
      </w:pPr>
      <w:r w:rsidRPr="00EA2341">
        <w:rPr>
          <w:rFonts w:hint="cs"/>
          <w:sz w:val="28"/>
          <w:szCs w:val="28"/>
          <w:rtl/>
        </w:rPr>
        <w:t>مجموع المزارع 286 121 (=100 في المائة؛ 59 في المائة من المزارع يديرها الرجال و 41 في المائة من المزارع تديرها النساء)</w:t>
      </w:r>
    </w:p>
    <w:tbl>
      <w:tblPr>
        <w:bidiVisual/>
        <w:tblW w:w="12243" w:type="dxa"/>
        <w:jc w:val="center"/>
        <w:tblInd w:w="9" w:type="dxa"/>
        <w:tblLayout w:type="fixed"/>
        <w:tblCellMar>
          <w:left w:w="0" w:type="dxa"/>
          <w:right w:w="0" w:type="dxa"/>
        </w:tblCellMar>
        <w:tblLook w:val="0000" w:firstRow="0" w:lastRow="0" w:firstColumn="0" w:lastColumn="0" w:noHBand="0" w:noVBand="0"/>
      </w:tblPr>
      <w:tblGrid>
        <w:gridCol w:w="1749"/>
        <w:gridCol w:w="1630"/>
        <w:gridCol w:w="1868"/>
        <w:gridCol w:w="1462"/>
        <w:gridCol w:w="2160"/>
        <w:gridCol w:w="1800"/>
        <w:gridCol w:w="1574"/>
      </w:tblGrid>
      <w:tr w:rsidR="00484FEE">
        <w:tblPrEx>
          <w:tblCellMar>
            <w:top w:w="0" w:type="dxa"/>
            <w:bottom w:w="0" w:type="dxa"/>
          </w:tblCellMar>
        </w:tblPrEx>
        <w:trPr>
          <w:jc w:val="center"/>
        </w:trPr>
        <w:tc>
          <w:tcPr>
            <w:tcW w:w="1749" w:type="dxa"/>
            <w:tcBorders>
              <w:right w:val="single" w:sz="2" w:space="0" w:color="auto"/>
            </w:tcBorders>
            <w:shd w:val="clear" w:color="auto" w:fill="auto"/>
            <w:tcMar>
              <w:left w:w="0" w:type="dxa"/>
              <w:right w:w="0" w:type="dxa"/>
            </w:tcMar>
          </w:tcPr>
          <w:p w:rsidR="00484FEE" w:rsidRDefault="00484FEE" w:rsidP="0011796D">
            <w:pPr>
              <w:rPr>
                <w:rFonts w:hint="cs"/>
                <w:rtl/>
              </w:rPr>
            </w:pPr>
            <w:r>
              <w:rPr>
                <w:rFonts w:hint="cs"/>
                <w:rtl/>
              </w:rPr>
              <w:t>صفر إلى 25</w:t>
            </w:r>
          </w:p>
        </w:tc>
        <w:tc>
          <w:tcPr>
            <w:tcW w:w="1630" w:type="dxa"/>
            <w:tcBorders>
              <w:top w:val="single" w:sz="2" w:space="0" w:color="auto"/>
              <w:left w:val="single" w:sz="2" w:space="0" w:color="auto"/>
              <w:bottom w:val="single" w:sz="2" w:space="0" w:color="auto"/>
            </w:tcBorders>
            <w:shd w:val="clear" w:color="auto" w:fill="C0C0C0"/>
          </w:tcPr>
          <w:p w:rsidR="00484FEE" w:rsidRDefault="00484FEE" w:rsidP="0011796D">
            <w:pPr>
              <w:rPr>
                <w:rFonts w:hint="cs"/>
                <w:rtl/>
              </w:rPr>
            </w:pPr>
            <w:r>
              <w:rPr>
                <w:rFonts w:hint="cs"/>
                <w:rtl/>
              </w:rPr>
              <w:t>22 في المائة</w:t>
            </w:r>
          </w:p>
        </w:tc>
        <w:tc>
          <w:tcPr>
            <w:tcW w:w="1868" w:type="dxa"/>
            <w:tcBorders>
              <w:top w:val="single" w:sz="2" w:space="0" w:color="auto"/>
              <w:bottom w:val="single" w:sz="2" w:space="0" w:color="auto"/>
              <w:right w:val="single" w:sz="2" w:space="0" w:color="auto"/>
            </w:tcBorders>
            <w:shd w:val="clear" w:color="auto" w:fill="D9D9D9"/>
          </w:tcPr>
          <w:p w:rsidR="00484FEE" w:rsidRDefault="00484FEE" w:rsidP="0011796D">
            <w:pPr>
              <w:rPr>
                <w:rFonts w:hint="cs"/>
                <w:rtl/>
              </w:rPr>
            </w:pPr>
            <w:r>
              <w:rPr>
                <w:rFonts w:hint="cs"/>
                <w:rtl/>
              </w:rPr>
              <w:t>78 في المائة</w:t>
            </w:r>
          </w:p>
        </w:tc>
        <w:tc>
          <w:tcPr>
            <w:tcW w:w="1462" w:type="dxa"/>
            <w:tcBorders>
              <w:left w:val="single" w:sz="2" w:space="0" w:color="auto"/>
            </w:tcBorders>
            <w:shd w:val="clear" w:color="auto" w:fill="auto"/>
          </w:tcPr>
          <w:p w:rsidR="00484FEE" w:rsidRDefault="00484FEE" w:rsidP="0011796D">
            <w:pPr>
              <w:rPr>
                <w:rFonts w:hint="cs"/>
                <w:rtl/>
              </w:rPr>
            </w:pPr>
          </w:p>
        </w:tc>
        <w:tc>
          <w:tcPr>
            <w:tcW w:w="2160" w:type="dxa"/>
            <w:shd w:val="clear" w:color="auto" w:fill="auto"/>
          </w:tcPr>
          <w:p w:rsidR="00484FEE" w:rsidRDefault="00484FEE" w:rsidP="0011796D">
            <w:pPr>
              <w:rPr>
                <w:rFonts w:hint="cs"/>
                <w:rtl/>
              </w:rPr>
            </w:pPr>
            <w:r>
              <w:rPr>
                <w:rFonts w:hint="cs"/>
                <w:rtl/>
              </w:rPr>
              <w:t>أقل من 4 هكتارات</w:t>
            </w:r>
          </w:p>
        </w:tc>
        <w:tc>
          <w:tcPr>
            <w:tcW w:w="1800" w:type="dxa"/>
            <w:tcBorders>
              <w:top w:val="single" w:sz="2" w:space="0" w:color="auto"/>
              <w:bottom w:val="single" w:sz="2" w:space="0" w:color="auto"/>
            </w:tcBorders>
            <w:shd w:val="clear" w:color="auto" w:fill="C0C0C0"/>
          </w:tcPr>
          <w:p w:rsidR="00484FEE" w:rsidRDefault="00484FEE" w:rsidP="0011796D">
            <w:pPr>
              <w:rPr>
                <w:rFonts w:hint="cs"/>
                <w:rtl/>
              </w:rPr>
            </w:pPr>
            <w:r>
              <w:rPr>
                <w:rFonts w:hint="cs"/>
                <w:rtl/>
              </w:rPr>
              <w:t>42 في المائة</w:t>
            </w:r>
          </w:p>
        </w:tc>
        <w:tc>
          <w:tcPr>
            <w:tcW w:w="1574" w:type="dxa"/>
            <w:tcBorders>
              <w:top w:val="single" w:sz="2" w:space="0" w:color="auto"/>
              <w:bottom w:val="single" w:sz="2" w:space="0" w:color="auto"/>
              <w:right w:val="single" w:sz="2" w:space="0" w:color="auto"/>
            </w:tcBorders>
            <w:shd w:val="clear" w:color="auto" w:fill="D9D9D9"/>
          </w:tcPr>
          <w:p w:rsidR="00484FEE" w:rsidRDefault="00484FEE" w:rsidP="0011796D">
            <w:pPr>
              <w:rPr>
                <w:rFonts w:hint="cs"/>
                <w:rtl/>
              </w:rPr>
            </w:pPr>
            <w:r>
              <w:rPr>
                <w:rFonts w:hint="cs"/>
                <w:rtl/>
              </w:rPr>
              <w:t>58 في المائة</w:t>
            </w:r>
          </w:p>
        </w:tc>
      </w:tr>
      <w:tr w:rsidR="00484FEE">
        <w:tblPrEx>
          <w:tblCellMar>
            <w:top w:w="0" w:type="dxa"/>
            <w:bottom w:w="0" w:type="dxa"/>
          </w:tblCellMar>
        </w:tblPrEx>
        <w:trPr>
          <w:jc w:val="center"/>
        </w:trPr>
        <w:tc>
          <w:tcPr>
            <w:tcW w:w="1749" w:type="dxa"/>
            <w:shd w:val="clear" w:color="auto" w:fill="auto"/>
          </w:tcPr>
          <w:p w:rsidR="00484FEE" w:rsidRDefault="00484FEE" w:rsidP="0011796D">
            <w:pPr>
              <w:rPr>
                <w:rtl/>
                <w:lang w:bidi="ar-LB"/>
              </w:rPr>
            </w:pPr>
          </w:p>
        </w:tc>
        <w:tc>
          <w:tcPr>
            <w:tcW w:w="1630" w:type="dxa"/>
            <w:tcBorders>
              <w:top w:val="single" w:sz="2" w:space="0" w:color="auto"/>
              <w:bottom w:val="single" w:sz="2" w:space="0" w:color="auto"/>
            </w:tcBorders>
            <w:shd w:val="clear" w:color="auto" w:fill="auto"/>
          </w:tcPr>
          <w:p w:rsidR="00484FEE" w:rsidRDefault="00484FEE" w:rsidP="0011796D">
            <w:pPr>
              <w:rPr>
                <w:rFonts w:hint="cs"/>
                <w:rtl/>
              </w:rPr>
            </w:pPr>
          </w:p>
        </w:tc>
        <w:tc>
          <w:tcPr>
            <w:tcW w:w="1868" w:type="dxa"/>
            <w:tcBorders>
              <w:top w:val="single" w:sz="2" w:space="0" w:color="auto"/>
              <w:bottom w:val="single" w:sz="2" w:space="0" w:color="auto"/>
            </w:tcBorders>
            <w:shd w:val="clear" w:color="auto" w:fill="auto"/>
          </w:tcPr>
          <w:p w:rsidR="00484FEE" w:rsidRDefault="00484FEE" w:rsidP="0011796D">
            <w:pPr>
              <w:rPr>
                <w:rFonts w:hint="cs"/>
                <w:rtl/>
              </w:rPr>
            </w:pPr>
          </w:p>
        </w:tc>
        <w:tc>
          <w:tcPr>
            <w:tcW w:w="1462" w:type="dxa"/>
            <w:shd w:val="clear" w:color="auto" w:fill="auto"/>
          </w:tcPr>
          <w:p w:rsidR="00484FEE" w:rsidRDefault="00484FEE" w:rsidP="0011796D">
            <w:pPr>
              <w:rPr>
                <w:rFonts w:hint="cs"/>
                <w:rtl/>
              </w:rPr>
            </w:pPr>
          </w:p>
        </w:tc>
        <w:tc>
          <w:tcPr>
            <w:tcW w:w="2160" w:type="dxa"/>
            <w:shd w:val="clear" w:color="auto" w:fill="auto"/>
          </w:tcPr>
          <w:p w:rsidR="00484FEE" w:rsidRDefault="00484FEE" w:rsidP="0011796D">
            <w:pPr>
              <w:rPr>
                <w:rFonts w:hint="cs"/>
                <w:rtl/>
              </w:rPr>
            </w:pPr>
          </w:p>
        </w:tc>
        <w:tc>
          <w:tcPr>
            <w:tcW w:w="1800" w:type="dxa"/>
            <w:tcBorders>
              <w:top w:val="single" w:sz="2" w:space="0" w:color="auto"/>
              <w:bottom w:val="single" w:sz="2" w:space="0" w:color="auto"/>
            </w:tcBorders>
            <w:shd w:val="clear" w:color="auto" w:fill="auto"/>
          </w:tcPr>
          <w:p w:rsidR="00484FEE" w:rsidRDefault="00484FEE" w:rsidP="0011796D">
            <w:pPr>
              <w:rPr>
                <w:rFonts w:hint="cs"/>
                <w:rtl/>
              </w:rPr>
            </w:pPr>
          </w:p>
        </w:tc>
        <w:tc>
          <w:tcPr>
            <w:tcW w:w="1574" w:type="dxa"/>
            <w:tcBorders>
              <w:top w:val="single" w:sz="2" w:space="0" w:color="auto"/>
              <w:bottom w:val="single" w:sz="2" w:space="0" w:color="auto"/>
            </w:tcBorders>
            <w:shd w:val="clear" w:color="auto" w:fill="auto"/>
          </w:tcPr>
          <w:p w:rsidR="00484FEE" w:rsidRDefault="00484FEE" w:rsidP="0011796D">
            <w:pPr>
              <w:rPr>
                <w:rFonts w:hint="cs"/>
                <w:rtl/>
              </w:rPr>
            </w:pPr>
          </w:p>
        </w:tc>
      </w:tr>
      <w:tr w:rsidR="00484FEE">
        <w:tblPrEx>
          <w:tblCellMar>
            <w:top w:w="0" w:type="dxa"/>
            <w:bottom w:w="0" w:type="dxa"/>
          </w:tblCellMar>
        </w:tblPrEx>
        <w:trPr>
          <w:jc w:val="center"/>
        </w:trPr>
        <w:tc>
          <w:tcPr>
            <w:tcW w:w="1749" w:type="dxa"/>
            <w:shd w:val="clear" w:color="auto" w:fill="auto"/>
          </w:tcPr>
          <w:p w:rsidR="00484FEE" w:rsidRDefault="00484FEE" w:rsidP="0011796D">
            <w:pPr>
              <w:rPr>
                <w:rFonts w:hint="cs"/>
                <w:rtl/>
              </w:rPr>
            </w:pPr>
            <w:r>
              <w:rPr>
                <w:rFonts w:hint="cs"/>
                <w:rtl/>
              </w:rPr>
              <w:t>25 إلى 35</w:t>
            </w:r>
          </w:p>
        </w:tc>
        <w:tc>
          <w:tcPr>
            <w:tcW w:w="1630" w:type="dxa"/>
            <w:tcBorders>
              <w:top w:val="single" w:sz="2" w:space="0" w:color="auto"/>
              <w:bottom w:val="single" w:sz="2" w:space="0" w:color="auto"/>
              <w:right w:val="single" w:sz="2" w:space="0" w:color="auto"/>
            </w:tcBorders>
            <w:shd w:val="clear" w:color="auto" w:fill="C0C0C0"/>
          </w:tcPr>
          <w:p w:rsidR="00484FEE" w:rsidRDefault="00484FEE" w:rsidP="0011796D">
            <w:pPr>
              <w:rPr>
                <w:rFonts w:hint="cs"/>
                <w:rtl/>
              </w:rPr>
            </w:pPr>
            <w:r>
              <w:rPr>
                <w:rFonts w:hint="cs"/>
                <w:rtl/>
              </w:rPr>
              <w:t>29 في المائة</w:t>
            </w:r>
          </w:p>
        </w:tc>
        <w:tc>
          <w:tcPr>
            <w:tcW w:w="1868" w:type="dxa"/>
            <w:tcBorders>
              <w:top w:val="single" w:sz="2" w:space="0" w:color="auto"/>
              <w:left w:val="single" w:sz="2" w:space="0" w:color="auto"/>
              <w:bottom w:val="single" w:sz="2" w:space="0" w:color="auto"/>
            </w:tcBorders>
            <w:shd w:val="clear" w:color="auto" w:fill="D9D9D9"/>
          </w:tcPr>
          <w:p w:rsidR="00484FEE" w:rsidRDefault="00484FEE" w:rsidP="0011796D">
            <w:pPr>
              <w:rPr>
                <w:rFonts w:hint="cs"/>
                <w:rtl/>
              </w:rPr>
            </w:pPr>
            <w:r>
              <w:rPr>
                <w:rFonts w:hint="cs"/>
                <w:rtl/>
              </w:rPr>
              <w:t>71 في المائة</w:t>
            </w:r>
          </w:p>
        </w:tc>
        <w:tc>
          <w:tcPr>
            <w:tcW w:w="1462" w:type="dxa"/>
            <w:tcBorders>
              <w:left w:val="nil"/>
            </w:tcBorders>
            <w:shd w:val="clear" w:color="auto" w:fill="auto"/>
          </w:tcPr>
          <w:p w:rsidR="00484FEE" w:rsidRDefault="00484FEE" w:rsidP="0011796D">
            <w:pPr>
              <w:rPr>
                <w:rFonts w:hint="cs"/>
                <w:rtl/>
              </w:rPr>
            </w:pPr>
          </w:p>
        </w:tc>
        <w:tc>
          <w:tcPr>
            <w:tcW w:w="2160" w:type="dxa"/>
            <w:tcBorders>
              <w:right w:val="single" w:sz="2" w:space="0" w:color="auto"/>
            </w:tcBorders>
            <w:shd w:val="clear" w:color="auto" w:fill="auto"/>
          </w:tcPr>
          <w:p w:rsidR="00484FEE" w:rsidRDefault="00484FEE" w:rsidP="0011796D">
            <w:pPr>
              <w:rPr>
                <w:rFonts w:hint="cs"/>
                <w:rtl/>
              </w:rPr>
            </w:pPr>
            <w:r>
              <w:rPr>
                <w:rFonts w:hint="cs"/>
                <w:rtl/>
              </w:rPr>
              <w:t>5 إلى 10 هكتارات</w:t>
            </w:r>
          </w:p>
        </w:tc>
        <w:tc>
          <w:tcPr>
            <w:tcW w:w="1800" w:type="dxa"/>
            <w:tcBorders>
              <w:top w:val="single" w:sz="2" w:space="0" w:color="auto"/>
              <w:left w:val="single" w:sz="2" w:space="0" w:color="auto"/>
              <w:bottom w:val="single" w:sz="2" w:space="0" w:color="auto"/>
              <w:right w:val="single" w:sz="2" w:space="0" w:color="auto"/>
            </w:tcBorders>
            <w:shd w:val="clear" w:color="auto" w:fill="C0C0C0"/>
          </w:tcPr>
          <w:p w:rsidR="00484FEE" w:rsidRDefault="00484FEE" w:rsidP="0011796D">
            <w:pPr>
              <w:rPr>
                <w:rFonts w:hint="cs"/>
                <w:rtl/>
              </w:rPr>
            </w:pPr>
            <w:r>
              <w:rPr>
                <w:rFonts w:hint="cs"/>
                <w:rtl/>
              </w:rPr>
              <w:t>46 في المائة</w:t>
            </w:r>
          </w:p>
        </w:tc>
        <w:tc>
          <w:tcPr>
            <w:tcW w:w="1574" w:type="dxa"/>
            <w:tcBorders>
              <w:top w:val="single" w:sz="2" w:space="0" w:color="auto"/>
              <w:left w:val="single" w:sz="2" w:space="0" w:color="auto"/>
              <w:bottom w:val="single" w:sz="2" w:space="0" w:color="auto"/>
            </w:tcBorders>
            <w:shd w:val="clear" w:color="auto" w:fill="D9D9D9"/>
          </w:tcPr>
          <w:p w:rsidR="00484FEE" w:rsidRDefault="00484FEE" w:rsidP="0011796D">
            <w:pPr>
              <w:rPr>
                <w:rFonts w:hint="cs"/>
                <w:rtl/>
              </w:rPr>
            </w:pPr>
            <w:r>
              <w:rPr>
                <w:rFonts w:hint="cs"/>
                <w:rtl/>
              </w:rPr>
              <w:t>54 في المائة</w:t>
            </w:r>
          </w:p>
        </w:tc>
      </w:tr>
      <w:tr w:rsidR="00484FEE">
        <w:tblPrEx>
          <w:tblCellMar>
            <w:top w:w="0" w:type="dxa"/>
            <w:bottom w:w="0" w:type="dxa"/>
          </w:tblCellMar>
        </w:tblPrEx>
        <w:trPr>
          <w:jc w:val="center"/>
        </w:trPr>
        <w:tc>
          <w:tcPr>
            <w:tcW w:w="1749" w:type="dxa"/>
            <w:shd w:val="clear" w:color="auto" w:fill="auto"/>
          </w:tcPr>
          <w:p w:rsidR="00484FEE" w:rsidRDefault="00484FEE" w:rsidP="0011796D">
            <w:pPr>
              <w:rPr>
                <w:rFonts w:hint="cs"/>
                <w:rtl/>
              </w:rPr>
            </w:pPr>
          </w:p>
        </w:tc>
        <w:tc>
          <w:tcPr>
            <w:tcW w:w="1630" w:type="dxa"/>
            <w:tcBorders>
              <w:top w:val="single" w:sz="2" w:space="0" w:color="auto"/>
              <w:bottom w:val="single" w:sz="2" w:space="0" w:color="auto"/>
            </w:tcBorders>
            <w:shd w:val="clear" w:color="auto" w:fill="auto"/>
          </w:tcPr>
          <w:p w:rsidR="00484FEE" w:rsidRDefault="00484FEE" w:rsidP="0011796D">
            <w:pPr>
              <w:rPr>
                <w:rFonts w:hint="cs"/>
                <w:rtl/>
              </w:rPr>
            </w:pPr>
          </w:p>
        </w:tc>
        <w:tc>
          <w:tcPr>
            <w:tcW w:w="1868" w:type="dxa"/>
            <w:tcBorders>
              <w:top w:val="single" w:sz="2" w:space="0" w:color="auto"/>
              <w:bottom w:val="single" w:sz="2" w:space="0" w:color="auto"/>
            </w:tcBorders>
            <w:shd w:val="clear" w:color="auto" w:fill="auto"/>
          </w:tcPr>
          <w:p w:rsidR="00484FEE" w:rsidRDefault="00484FEE" w:rsidP="0011796D">
            <w:pPr>
              <w:rPr>
                <w:rFonts w:hint="cs"/>
                <w:rtl/>
              </w:rPr>
            </w:pPr>
          </w:p>
        </w:tc>
        <w:tc>
          <w:tcPr>
            <w:tcW w:w="1462" w:type="dxa"/>
            <w:shd w:val="clear" w:color="auto" w:fill="auto"/>
          </w:tcPr>
          <w:p w:rsidR="00484FEE" w:rsidRDefault="00484FEE" w:rsidP="0011796D">
            <w:pPr>
              <w:rPr>
                <w:rFonts w:hint="cs"/>
                <w:rtl/>
              </w:rPr>
            </w:pPr>
          </w:p>
        </w:tc>
        <w:tc>
          <w:tcPr>
            <w:tcW w:w="2160" w:type="dxa"/>
            <w:shd w:val="clear" w:color="auto" w:fill="auto"/>
          </w:tcPr>
          <w:p w:rsidR="00484FEE" w:rsidRDefault="00484FEE" w:rsidP="0011796D">
            <w:pPr>
              <w:rPr>
                <w:rFonts w:hint="cs"/>
                <w:rtl/>
              </w:rPr>
            </w:pPr>
          </w:p>
        </w:tc>
        <w:tc>
          <w:tcPr>
            <w:tcW w:w="1800" w:type="dxa"/>
            <w:tcBorders>
              <w:top w:val="single" w:sz="2" w:space="0" w:color="auto"/>
              <w:bottom w:val="single" w:sz="2" w:space="0" w:color="auto"/>
            </w:tcBorders>
            <w:shd w:val="clear" w:color="auto" w:fill="auto"/>
          </w:tcPr>
          <w:p w:rsidR="00484FEE" w:rsidRDefault="00484FEE" w:rsidP="0011796D">
            <w:pPr>
              <w:rPr>
                <w:rFonts w:hint="cs"/>
                <w:rtl/>
              </w:rPr>
            </w:pPr>
          </w:p>
        </w:tc>
        <w:tc>
          <w:tcPr>
            <w:tcW w:w="1574" w:type="dxa"/>
            <w:tcBorders>
              <w:top w:val="single" w:sz="2" w:space="0" w:color="auto"/>
              <w:bottom w:val="single" w:sz="2" w:space="0" w:color="auto"/>
            </w:tcBorders>
            <w:shd w:val="clear" w:color="auto" w:fill="auto"/>
          </w:tcPr>
          <w:p w:rsidR="00484FEE" w:rsidRDefault="00484FEE" w:rsidP="0011796D">
            <w:pPr>
              <w:rPr>
                <w:rFonts w:hint="cs"/>
                <w:rtl/>
              </w:rPr>
            </w:pPr>
          </w:p>
        </w:tc>
      </w:tr>
      <w:tr w:rsidR="00484FEE">
        <w:tblPrEx>
          <w:tblCellMar>
            <w:top w:w="0" w:type="dxa"/>
            <w:bottom w:w="0" w:type="dxa"/>
          </w:tblCellMar>
        </w:tblPrEx>
        <w:trPr>
          <w:jc w:val="center"/>
        </w:trPr>
        <w:tc>
          <w:tcPr>
            <w:tcW w:w="1749" w:type="dxa"/>
            <w:tcBorders>
              <w:right w:val="single" w:sz="2" w:space="0" w:color="auto"/>
            </w:tcBorders>
            <w:shd w:val="clear" w:color="auto" w:fill="auto"/>
          </w:tcPr>
          <w:p w:rsidR="00484FEE" w:rsidRDefault="00484FEE" w:rsidP="0011796D">
            <w:pPr>
              <w:rPr>
                <w:rFonts w:hint="cs"/>
                <w:rtl/>
              </w:rPr>
            </w:pPr>
            <w:r>
              <w:rPr>
                <w:rFonts w:hint="cs"/>
                <w:rtl/>
              </w:rPr>
              <w:t>35 إلى 45</w:t>
            </w:r>
          </w:p>
        </w:tc>
        <w:tc>
          <w:tcPr>
            <w:tcW w:w="1630" w:type="dxa"/>
            <w:tcBorders>
              <w:top w:val="single" w:sz="2" w:space="0" w:color="auto"/>
              <w:left w:val="single" w:sz="2" w:space="0" w:color="auto"/>
              <w:bottom w:val="single" w:sz="2" w:space="0" w:color="auto"/>
            </w:tcBorders>
            <w:shd w:val="clear" w:color="auto" w:fill="C0C0C0"/>
          </w:tcPr>
          <w:p w:rsidR="00484FEE" w:rsidRDefault="00484FEE" w:rsidP="0011796D">
            <w:pPr>
              <w:rPr>
                <w:rFonts w:hint="cs"/>
                <w:rtl/>
              </w:rPr>
            </w:pPr>
            <w:r>
              <w:rPr>
                <w:rFonts w:hint="cs"/>
                <w:rtl/>
              </w:rPr>
              <w:t>39 في المائة</w:t>
            </w:r>
          </w:p>
        </w:tc>
        <w:tc>
          <w:tcPr>
            <w:tcW w:w="1868" w:type="dxa"/>
            <w:tcBorders>
              <w:top w:val="single" w:sz="2" w:space="0" w:color="auto"/>
              <w:bottom w:val="single" w:sz="2" w:space="0" w:color="auto"/>
              <w:right w:val="single" w:sz="2" w:space="0" w:color="auto"/>
            </w:tcBorders>
            <w:shd w:val="clear" w:color="auto" w:fill="D9D9D9"/>
          </w:tcPr>
          <w:p w:rsidR="00484FEE" w:rsidRDefault="00484FEE" w:rsidP="0011796D">
            <w:pPr>
              <w:rPr>
                <w:rFonts w:hint="cs"/>
                <w:rtl/>
              </w:rPr>
            </w:pPr>
            <w:r>
              <w:rPr>
                <w:rFonts w:hint="cs"/>
                <w:rtl/>
              </w:rPr>
              <w:t>61 في المائة</w:t>
            </w:r>
          </w:p>
        </w:tc>
        <w:tc>
          <w:tcPr>
            <w:tcW w:w="1462" w:type="dxa"/>
            <w:tcBorders>
              <w:left w:val="single" w:sz="2" w:space="0" w:color="auto"/>
            </w:tcBorders>
            <w:shd w:val="clear" w:color="auto" w:fill="auto"/>
          </w:tcPr>
          <w:p w:rsidR="00484FEE" w:rsidRDefault="00484FEE" w:rsidP="0011796D">
            <w:pPr>
              <w:rPr>
                <w:rFonts w:hint="cs"/>
                <w:rtl/>
              </w:rPr>
            </w:pPr>
          </w:p>
        </w:tc>
        <w:tc>
          <w:tcPr>
            <w:tcW w:w="2160" w:type="dxa"/>
            <w:tcBorders>
              <w:right w:val="single" w:sz="2" w:space="0" w:color="auto"/>
            </w:tcBorders>
            <w:shd w:val="clear" w:color="auto" w:fill="auto"/>
          </w:tcPr>
          <w:p w:rsidR="00484FEE" w:rsidRDefault="00484FEE" w:rsidP="0011796D">
            <w:pPr>
              <w:rPr>
                <w:rFonts w:hint="cs"/>
                <w:rtl/>
              </w:rPr>
            </w:pPr>
            <w:r>
              <w:rPr>
                <w:rFonts w:hint="cs"/>
                <w:rtl/>
              </w:rPr>
              <w:t>10 إلى 20 هكتارا</w:t>
            </w:r>
          </w:p>
        </w:tc>
        <w:tc>
          <w:tcPr>
            <w:tcW w:w="1800" w:type="dxa"/>
            <w:tcBorders>
              <w:top w:val="single" w:sz="2" w:space="0" w:color="auto"/>
              <w:left w:val="single" w:sz="2" w:space="0" w:color="auto"/>
              <w:bottom w:val="single" w:sz="2" w:space="0" w:color="auto"/>
            </w:tcBorders>
            <w:shd w:val="clear" w:color="auto" w:fill="C0C0C0"/>
          </w:tcPr>
          <w:p w:rsidR="00484FEE" w:rsidRDefault="00484FEE" w:rsidP="0011796D">
            <w:pPr>
              <w:rPr>
                <w:rFonts w:hint="cs"/>
                <w:rtl/>
              </w:rPr>
            </w:pPr>
            <w:r>
              <w:rPr>
                <w:rFonts w:hint="cs"/>
                <w:rtl/>
              </w:rPr>
              <w:t>42 في المائة</w:t>
            </w:r>
          </w:p>
        </w:tc>
        <w:tc>
          <w:tcPr>
            <w:tcW w:w="1574" w:type="dxa"/>
            <w:tcBorders>
              <w:top w:val="single" w:sz="2" w:space="0" w:color="auto"/>
              <w:bottom w:val="single" w:sz="2" w:space="0" w:color="auto"/>
              <w:right w:val="single" w:sz="2" w:space="0" w:color="auto"/>
            </w:tcBorders>
            <w:shd w:val="clear" w:color="auto" w:fill="D9D9D9"/>
          </w:tcPr>
          <w:p w:rsidR="00484FEE" w:rsidRDefault="00484FEE" w:rsidP="0011796D">
            <w:pPr>
              <w:rPr>
                <w:rFonts w:hint="cs"/>
                <w:rtl/>
              </w:rPr>
            </w:pPr>
            <w:r>
              <w:rPr>
                <w:rFonts w:hint="cs"/>
                <w:rtl/>
              </w:rPr>
              <w:t>58 في المائة</w:t>
            </w:r>
          </w:p>
        </w:tc>
      </w:tr>
      <w:tr w:rsidR="00484FEE">
        <w:tblPrEx>
          <w:tblCellMar>
            <w:top w:w="0" w:type="dxa"/>
            <w:bottom w:w="0" w:type="dxa"/>
          </w:tblCellMar>
        </w:tblPrEx>
        <w:trPr>
          <w:jc w:val="center"/>
        </w:trPr>
        <w:tc>
          <w:tcPr>
            <w:tcW w:w="1749" w:type="dxa"/>
            <w:shd w:val="clear" w:color="auto" w:fill="auto"/>
          </w:tcPr>
          <w:p w:rsidR="00484FEE" w:rsidRDefault="00484FEE" w:rsidP="0011796D">
            <w:pPr>
              <w:rPr>
                <w:rFonts w:hint="cs"/>
                <w:rtl/>
              </w:rPr>
            </w:pPr>
          </w:p>
        </w:tc>
        <w:tc>
          <w:tcPr>
            <w:tcW w:w="1630" w:type="dxa"/>
            <w:tcBorders>
              <w:top w:val="single" w:sz="2" w:space="0" w:color="auto"/>
              <w:bottom w:val="single" w:sz="2" w:space="0" w:color="auto"/>
            </w:tcBorders>
            <w:shd w:val="clear" w:color="auto" w:fill="auto"/>
          </w:tcPr>
          <w:p w:rsidR="00484FEE" w:rsidRDefault="00484FEE" w:rsidP="0011796D">
            <w:pPr>
              <w:rPr>
                <w:rFonts w:hint="cs"/>
                <w:rtl/>
              </w:rPr>
            </w:pPr>
          </w:p>
        </w:tc>
        <w:tc>
          <w:tcPr>
            <w:tcW w:w="1868" w:type="dxa"/>
            <w:tcBorders>
              <w:top w:val="single" w:sz="2" w:space="0" w:color="auto"/>
              <w:bottom w:val="single" w:sz="2" w:space="0" w:color="auto"/>
            </w:tcBorders>
            <w:shd w:val="clear" w:color="auto" w:fill="auto"/>
          </w:tcPr>
          <w:p w:rsidR="00484FEE" w:rsidRDefault="00484FEE" w:rsidP="0011796D">
            <w:pPr>
              <w:rPr>
                <w:rFonts w:hint="cs"/>
                <w:rtl/>
              </w:rPr>
            </w:pPr>
          </w:p>
        </w:tc>
        <w:tc>
          <w:tcPr>
            <w:tcW w:w="1462" w:type="dxa"/>
            <w:shd w:val="clear" w:color="auto" w:fill="auto"/>
          </w:tcPr>
          <w:p w:rsidR="00484FEE" w:rsidRDefault="00484FEE" w:rsidP="0011796D">
            <w:pPr>
              <w:rPr>
                <w:rFonts w:hint="cs"/>
                <w:rtl/>
              </w:rPr>
            </w:pPr>
          </w:p>
        </w:tc>
        <w:tc>
          <w:tcPr>
            <w:tcW w:w="2160" w:type="dxa"/>
            <w:shd w:val="clear" w:color="auto" w:fill="auto"/>
          </w:tcPr>
          <w:p w:rsidR="00484FEE" w:rsidRDefault="00484FEE" w:rsidP="0011796D">
            <w:pPr>
              <w:rPr>
                <w:rFonts w:hint="cs"/>
                <w:rtl/>
              </w:rPr>
            </w:pPr>
          </w:p>
        </w:tc>
        <w:tc>
          <w:tcPr>
            <w:tcW w:w="1800" w:type="dxa"/>
            <w:tcBorders>
              <w:top w:val="single" w:sz="2" w:space="0" w:color="auto"/>
              <w:bottom w:val="single" w:sz="2" w:space="0" w:color="auto"/>
            </w:tcBorders>
            <w:shd w:val="clear" w:color="auto" w:fill="auto"/>
          </w:tcPr>
          <w:p w:rsidR="00484FEE" w:rsidRDefault="00484FEE" w:rsidP="0011796D">
            <w:pPr>
              <w:rPr>
                <w:rFonts w:hint="cs"/>
                <w:rtl/>
              </w:rPr>
            </w:pPr>
          </w:p>
        </w:tc>
        <w:tc>
          <w:tcPr>
            <w:tcW w:w="1574" w:type="dxa"/>
            <w:tcBorders>
              <w:top w:val="single" w:sz="2" w:space="0" w:color="auto"/>
              <w:bottom w:val="single" w:sz="2" w:space="0" w:color="auto"/>
            </w:tcBorders>
            <w:shd w:val="clear" w:color="auto" w:fill="auto"/>
          </w:tcPr>
          <w:p w:rsidR="00484FEE" w:rsidRDefault="00484FEE" w:rsidP="0011796D">
            <w:pPr>
              <w:rPr>
                <w:rFonts w:hint="cs"/>
                <w:rtl/>
              </w:rPr>
            </w:pPr>
          </w:p>
        </w:tc>
      </w:tr>
      <w:tr w:rsidR="00484FEE">
        <w:tblPrEx>
          <w:tblCellMar>
            <w:top w:w="0" w:type="dxa"/>
            <w:bottom w:w="0" w:type="dxa"/>
          </w:tblCellMar>
        </w:tblPrEx>
        <w:trPr>
          <w:jc w:val="center"/>
        </w:trPr>
        <w:tc>
          <w:tcPr>
            <w:tcW w:w="1749" w:type="dxa"/>
            <w:shd w:val="clear" w:color="auto" w:fill="auto"/>
          </w:tcPr>
          <w:p w:rsidR="00484FEE" w:rsidRDefault="00484FEE" w:rsidP="0011796D">
            <w:pPr>
              <w:rPr>
                <w:rFonts w:hint="cs"/>
                <w:rtl/>
              </w:rPr>
            </w:pPr>
            <w:r>
              <w:rPr>
                <w:rFonts w:hint="cs"/>
                <w:rtl/>
              </w:rPr>
              <w:t>45 إلى 55</w:t>
            </w:r>
          </w:p>
        </w:tc>
        <w:tc>
          <w:tcPr>
            <w:tcW w:w="1630" w:type="dxa"/>
            <w:tcBorders>
              <w:top w:val="single" w:sz="2" w:space="0" w:color="auto"/>
              <w:bottom w:val="single" w:sz="2" w:space="0" w:color="auto"/>
              <w:right w:val="single" w:sz="2" w:space="0" w:color="auto"/>
            </w:tcBorders>
            <w:shd w:val="clear" w:color="auto" w:fill="C0C0C0"/>
          </w:tcPr>
          <w:p w:rsidR="00484FEE" w:rsidRDefault="00484FEE" w:rsidP="0011796D">
            <w:pPr>
              <w:rPr>
                <w:rFonts w:hint="cs"/>
                <w:rtl/>
              </w:rPr>
            </w:pPr>
            <w:r>
              <w:rPr>
                <w:rFonts w:hint="cs"/>
                <w:rtl/>
              </w:rPr>
              <w:t>50 في المائة</w:t>
            </w:r>
          </w:p>
        </w:tc>
        <w:tc>
          <w:tcPr>
            <w:tcW w:w="1868" w:type="dxa"/>
            <w:tcBorders>
              <w:top w:val="single" w:sz="2" w:space="0" w:color="auto"/>
              <w:left w:val="single" w:sz="2" w:space="0" w:color="auto"/>
              <w:bottom w:val="single" w:sz="2" w:space="0" w:color="auto"/>
            </w:tcBorders>
            <w:shd w:val="clear" w:color="auto" w:fill="D9D9D9"/>
          </w:tcPr>
          <w:p w:rsidR="00484FEE" w:rsidRDefault="00484FEE" w:rsidP="0011796D">
            <w:pPr>
              <w:rPr>
                <w:rFonts w:hint="cs"/>
                <w:rtl/>
              </w:rPr>
            </w:pPr>
            <w:r>
              <w:rPr>
                <w:rFonts w:hint="cs"/>
                <w:rtl/>
              </w:rPr>
              <w:t>50 في المائة</w:t>
            </w:r>
          </w:p>
        </w:tc>
        <w:tc>
          <w:tcPr>
            <w:tcW w:w="1462" w:type="dxa"/>
            <w:tcBorders>
              <w:left w:val="nil"/>
            </w:tcBorders>
            <w:shd w:val="clear" w:color="auto" w:fill="auto"/>
          </w:tcPr>
          <w:p w:rsidR="00484FEE" w:rsidRDefault="00484FEE" w:rsidP="0011796D">
            <w:pPr>
              <w:rPr>
                <w:rFonts w:hint="cs"/>
                <w:rtl/>
              </w:rPr>
            </w:pPr>
          </w:p>
        </w:tc>
        <w:tc>
          <w:tcPr>
            <w:tcW w:w="2160" w:type="dxa"/>
            <w:shd w:val="clear" w:color="auto" w:fill="auto"/>
          </w:tcPr>
          <w:p w:rsidR="00484FEE" w:rsidRDefault="00484FEE" w:rsidP="0011796D">
            <w:pPr>
              <w:rPr>
                <w:rFonts w:hint="cs"/>
                <w:rtl/>
              </w:rPr>
            </w:pPr>
            <w:r>
              <w:rPr>
                <w:rFonts w:hint="cs"/>
                <w:rtl/>
              </w:rPr>
              <w:t>20 إلى 50 هكتارا</w:t>
            </w:r>
          </w:p>
        </w:tc>
        <w:tc>
          <w:tcPr>
            <w:tcW w:w="1800" w:type="dxa"/>
            <w:tcBorders>
              <w:top w:val="single" w:sz="2" w:space="0" w:color="auto"/>
              <w:bottom w:val="single" w:sz="2" w:space="0" w:color="auto"/>
              <w:right w:val="single" w:sz="2" w:space="0" w:color="auto"/>
            </w:tcBorders>
            <w:shd w:val="clear" w:color="auto" w:fill="C0C0C0"/>
          </w:tcPr>
          <w:p w:rsidR="00484FEE" w:rsidRDefault="00484FEE" w:rsidP="0011796D">
            <w:pPr>
              <w:rPr>
                <w:rFonts w:hint="cs"/>
                <w:rtl/>
              </w:rPr>
            </w:pPr>
            <w:r>
              <w:rPr>
                <w:rFonts w:hint="cs"/>
                <w:rtl/>
              </w:rPr>
              <w:t>32 في المائة</w:t>
            </w:r>
          </w:p>
        </w:tc>
        <w:tc>
          <w:tcPr>
            <w:tcW w:w="1574" w:type="dxa"/>
            <w:tcBorders>
              <w:top w:val="single" w:sz="2" w:space="0" w:color="auto"/>
              <w:left w:val="single" w:sz="2" w:space="0" w:color="auto"/>
              <w:bottom w:val="single" w:sz="2" w:space="0" w:color="auto"/>
            </w:tcBorders>
            <w:shd w:val="clear" w:color="auto" w:fill="D9D9D9"/>
          </w:tcPr>
          <w:p w:rsidR="00484FEE" w:rsidRDefault="00484FEE" w:rsidP="0011796D">
            <w:pPr>
              <w:rPr>
                <w:rFonts w:hint="cs"/>
                <w:rtl/>
              </w:rPr>
            </w:pPr>
            <w:r>
              <w:rPr>
                <w:rFonts w:hint="cs"/>
                <w:rtl/>
              </w:rPr>
              <w:t>68 في المائة</w:t>
            </w:r>
          </w:p>
        </w:tc>
      </w:tr>
      <w:tr w:rsidR="00484FEE">
        <w:tblPrEx>
          <w:tblCellMar>
            <w:top w:w="0" w:type="dxa"/>
            <w:bottom w:w="0" w:type="dxa"/>
          </w:tblCellMar>
        </w:tblPrEx>
        <w:trPr>
          <w:jc w:val="center"/>
        </w:trPr>
        <w:tc>
          <w:tcPr>
            <w:tcW w:w="1749" w:type="dxa"/>
            <w:shd w:val="clear" w:color="auto" w:fill="auto"/>
          </w:tcPr>
          <w:p w:rsidR="00484FEE" w:rsidRDefault="00484FEE" w:rsidP="0011796D">
            <w:pPr>
              <w:rPr>
                <w:rFonts w:hint="cs"/>
                <w:rtl/>
              </w:rPr>
            </w:pPr>
          </w:p>
        </w:tc>
        <w:tc>
          <w:tcPr>
            <w:tcW w:w="1630" w:type="dxa"/>
            <w:tcBorders>
              <w:top w:val="single" w:sz="2" w:space="0" w:color="auto"/>
              <w:bottom w:val="single" w:sz="2" w:space="0" w:color="auto"/>
            </w:tcBorders>
            <w:shd w:val="clear" w:color="auto" w:fill="auto"/>
          </w:tcPr>
          <w:p w:rsidR="00484FEE" w:rsidRDefault="00484FEE" w:rsidP="0011796D">
            <w:pPr>
              <w:rPr>
                <w:rFonts w:hint="cs"/>
                <w:rtl/>
              </w:rPr>
            </w:pPr>
          </w:p>
        </w:tc>
        <w:tc>
          <w:tcPr>
            <w:tcW w:w="1868" w:type="dxa"/>
            <w:tcBorders>
              <w:top w:val="single" w:sz="2" w:space="0" w:color="auto"/>
              <w:bottom w:val="single" w:sz="2" w:space="0" w:color="auto"/>
            </w:tcBorders>
            <w:shd w:val="clear" w:color="auto" w:fill="auto"/>
          </w:tcPr>
          <w:p w:rsidR="00484FEE" w:rsidRDefault="00484FEE" w:rsidP="0011796D">
            <w:pPr>
              <w:rPr>
                <w:rFonts w:hint="cs"/>
                <w:rtl/>
              </w:rPr>
            </w:pPr>
          </w:p>
        </w:tc>
        <w:tc>
          <w:tcPr>
            <w:tcW w:w="1462" w:type="dxa"/>
            <w:shd w:val="clear" w:color="auto" w:fill="auto"/>
          </w:tcPr>
          <w:p w:rsidR="00484FEE" w:rsidRDefault="00484FEE" w:rsidP="0011796D">
            <w:pPr>
              <w:rPr>
                <w:rFonts w:hint="cs"/>
                <w:rtl/>
              </w:rPr>
            </w:pPr>
          </w:p>
        </w:tc>
        <w:tc>
          <w:tcPr>
            <w:tcW w:w="2160" w:type="dxa"/>
            <w:shd w:val="clear" w:color="auto" w:fill="auto"/>
          </w:tcPr>
          <w:p w:rsidR="00484FEE" w:rsidRDefault="00484FEE" w:rsidP="0011796D">
            <w:pPr>
              <w:rPr>
                <w:rFonts w:hint="cs"/>
                <w:rtl/>
              </w:rPr>
            </w:pPr>
          </w:p>
        </w:tc>
        <w:tc>
          <w:tcPr>
            <w:tcW w:w="1800" w:type="dxa"/>
            <w:tcBorders>
              <w:top w:val="single" w:sz="2" w:space="0" w:color="auto"/>
              <w:bottom w:val="single" w:sz="2" w:space="0" w:color="auto"/>
            </w:tcBorders>
            <w:shd w:val="clear" w:color="auto" w:fill="auto"/>
          </w:tcPr>
          <w:p w:rsidR="00484FEE" w:rsidRDefault="00484FEE" w:rsidP="0011796D">
            <w:pPr>
              <w:rPr>
                <w:rFonts w:hint="cs"/>
                <w:rtl/>
              </w:rPr>
            </w:pPr>
          </w:p>
        </w:tc>
        <w:tc>
          <w:tcPr>
            <w:tcW w:w="1574" w:type="dxa"/>
            <w:tcBorders>
              <w:top w:val="single" w:sz="2" w:space="0" w:color="auto"/>
              <w:bottom w:val="single" w:sz="2" w:space="0" w:color="auto"/>
            </w:tcBorders>
            <w:shd w:val="clear" w:color="auto" w:fill="auto"/>
          </w:tcPr>
          <w:p w:rsidR="00484FEE" w:rsidRDefault="00484FEE" w:rsidP="0011796D">
            <w:pPr>
              <w:rPr>
                <w:rFonts w:hint="cs"/>
                <w:rtl/>
              </w:rPr>
            </w:pPr>
          </w:p>
        </w:tc>
      </w:tr>
      <w:tr w:rsidR="00484FEE">
        <w:tblPrEx>
          <w:tblCellMar>
            <w:top w:w="0" w:type="dxa"/>
            <w:bottom w:w="0" w:type="dxa"/>
          </w:tblCellMar>
        </w:tblPrEx>
        <w:trPr>
          <w:jc w:val="center"/>
        </w:trPr>
        <w:tc>
          <w:tcPr>
            <w:tcW w:w="1749" w:type="dxa"/>
            <w:tcBorders>
              <w:right w:val="single" w:sz="2" w:space="0" w:color="auto"/>
            </w:tcBorders>
            <w:shd w:val="clear" w:color="auto" w:fill="auto"/>
          </w:tcPr>
          <w:p w:rsidR="00484FEE" w:rsidRDefault="00484FEE" w:rsidP="0011796D">
            <w:pPr>
              <w:rPr>
                <w:rFonts w:hint="cs"/>
                <w:rtl/>
              </w:rPr>
            </w:pPr>
            <w:r>
              <w:rPr>
                <w:rFonts w:hint="cs"/>
                <w:rtl/>
              </w:rPr>
              <w:t>55 إلى 60</w:t>
            </w:r>
          </w:p>
        </w:tc>
        <w:tc>
          <w:tcPr>
            <w:tcW w:w="1630" w:type="dxa"/>
            <w:tcBorders>
              <w:top w:val="single" w:sz="2" w:space="0" w:color="auto"/>
              <w:left w:val="single" w:sz="2" w:space="0" w:color="auto"/>
              <w:bottom w:val="single" w:sz="2" w:space="0" w:color="auto"/>
            </w:tcBorders>
            <w:shd w:val="clear" w:color="auto" w:fill="C0C0C0"/>
          </w:tcPr>
          <w:p w:rsidR="00484FEE" w:rsidRDefault="00484FEE" w:rsidP="0011796D">
            <w:pPr>
              <w:rPr>
                <w:rFonts w:hint="cs"/>
                <w:rtl/>
              </w:rPr>
            </w:pPr>
            <w:r>
              <w:rPr>
                <w:rFonts w:hint="cs"/>
                <w:rtl/>
              </w:rPr>
              <w:t>46 في المائة</w:t>
            </w:r>
          </w:p>
        </w:tc>
        <w:tc>
          <w:tcPr>
            <w:tcW w:w="1868" w:type="dxa"/>
            <w:tcBorders>
              <w:top w:val="single" w:sz="2" w:space="0" w:color="auto"/>
              <w:bottom w:val="single" w:sz="2" w:space="0" w:color="auto"/>
              <w:right w:val="single" w:sz="2" w:space="0" w:color="auto"/>
            </w:tcBorders>
            <w:shd w:val="clear" w:color="auto" w:fill="D9D9D9"/>
          </w:tcPr>
          <w:p w:rsidR="00484FEE" w:rsidRDefault="00484FEE" w:rsidP="0011796D">
            <w:pPr>
              <w:rPr>
                <w:rFonts w:hint="cs"/>
                <w:rtl/>
              </w:rPr>
            </w:pPr>
            <w:r>
              <w:rPr>
                <w:rFonts w:hint="cs"/>
                <w:rtl/>
              </w:rPr>
              <w:t>54 في المائة</w:t>
            </w:r>
          </w:p>
        </w:tc>
        <w:tc>
          <w:tcPr>
            <w:tcW w:w="1462" w:type="dxa"/>
            <w:tcBorders>
              <w:left w:val="single" w:sz="2" w:space="0" w:color="auto"/>
            </w:tcBorders>
            <w:shd w:val="clear" w:color="auto" w:fill="auto"/>
          </w:tcPr>
          <w:p w:rsidR="00484FEE" w:rsidRDefault="00484FEE" w:rsidP="0011796D">
            <w:pPr>
              <w:rPr>
                <w:rFonts w:hint="cs"/>
                <w:rtl/>
              </w:rPr>
            </w:pPr>
          </w:p>
        </w:tc>
        <w:tc>
          <w:tcPr>
            <w:tcW w:w="2160" w:type="dxa"/>
            <w:tcBorders>
              <w:right w:val="single" w:sz="2" w:space="0" w:color="auto"/>
            </w:tcBorders>
            <w:shd w:val="clear" w:color="auto" w:fill="auto"/>
          </w:tcPr>
          <w:p w:rsidR="00484FEE" w:rsidRDefault="00484FEE" w:rsidP="0011796D">
            <w:pPr>
              <w:rPr>
                <w:rFonts w:hint="cs"/>
                <w:rtl/>
              </w:rPr>
            </w:pPr>
            <w:r>
              <w:rPr>
                <w:rFonts w:hint="cs"/>
                <w:rtl/>
              </w:rPr>
              <w:t>50 إلى 100 هكتار</w:t>
            </w:r>
          </w:p>
        </w:tc>
        <w:tc>
          <w:tcPr>
            <w:tcW w:w="1800" w:type="dxa"/>
            <w:tcBorders>
              <w:top w:val="single" w:sz="2" w:space="0" w:color="auto"/>
              <w:left w:val="single" w:sz="2" w:space="0" w:color="auto"/>
              <w:bottom w:val="single" w:sz="2" w:space="0" w:color="auto"/>
            </w:tcBorders>
            <w:shd w:val="clear" w:color="auto" w:fill="C0C0C0"/>
          </w:tcPr>
          <w:p w:rsidR="00484FEE" w:rsidRDefault="00484FEE" w:rsidP="0011796D">
            <w:pPr>
              <w:rPr>
                <w:rFonts w:hint="cs"/>
                <w:rtl/>
              </w:rPr>
            </w:pPr>
            <w:r>
              <w:rPr>
                <w:rFonts w:hint="cs"/>
                <w:rtl/>
              </w:rPr>
              <w:t>24 في المائة</w:t>
            </w:r>
          </w:p>
        </w:tc>
        <w:tc>
          <w:tcPr>
            <w:tcW w:w="1574" w:type="dxa"/>
            <w:tcBorders>
              <w:top w:val="single" w:sz="2" w:space="0" w:color="auto"/>
              <w:bottom w:val="single" w:sz="2" w:space="0" w:color="auto"/>
              <w:right w:val="single" w:sz="2" w:space="0" w:color="auto"/>
            </w:tcBorders>
            <w:shd w:val="clear" w:color="auto" w:fill="D9D9D9"/>
          </w:tcPr>
          <w:p w:rsidR="00484FEE" w:rsidRDefault="00484FEE" w:rsidP="0011796D">
            <w:pPr>
              <w:rPr>
                <w:rFonts w:hint="cs"/>
                <w:rtl/>
              </w:rPr>
            </w:pPr>
            <w:r>
              <w:rPr>
                <w:rFonts w:hint="cs"/>
                <w:rtl/>
              </w:rPr>
              <w:t>76 في المائة</w:t>
            </w:r>
          </w:p>
        </w:tc>
      </w:tr>
      <w:tr w:rsidR="00484FEE">
        <w:tblPrEx>
          <w:tblCellMar>
            <w:top w:w="0" w:type="dxa"/>
            <w:bottom w:w="0" w:type="dxa"/>
          </w:tblCellMar>
        </w:tblPrEx>
        <w:trPr>
          <w:jc w:val="center"/>
        </w:trPr>
        <w:tc>
          <w:tcPr>
            <w:tcW w:w="1749" w:type="dxa"/>
            <w:shd w:val="clear" w:color="auto" w:fill="auto"/>
          </w:tcPr>
          <w:p w:rsidR="00484FEE" w:rsidRDefault="00484FEE" w:rsidP="0011796D">
            <w:pPr>
              <w:rPr>
                <w:rFonts w:hint="cs"/>
                <w:rtl/>
              </w:rPr>
            </w:pPr>
          </w:p>
        </w:tc>
        <w:tc>
          <w:tcPr>
            <w:tcW w:w="1630" w:type="dxa"/>
            <w:tcBorders>
              <w:top w:val="single" w:sz="2" w:space="0" w:color="auto"/>
              <w:bottom w:val="single" w:sz="2" w:space="0" w:color="auto"/>
            </w:tcBorders>
            <w:shd w:val="clear" w:color="auto" w:fill="auto"/>
          </w:tcPr>
          <w:p w:rsidR="00484FEE" w:rsidRDefault="00484FEE" w:rsidP="0011796D">
            <w:pPr>
              <w:rPr>
                <w:rFonts w:hint="cs"/>
                <w:rtl/>
              </w:rPr>
            </w:pPr>
          </w:p>
        </w:tc>
        <w:tc>
          <w:tcPr>
            <w:tcW w:w="1868" w:type="dxa"/>
            <w:tcBorders>
              <w:top w:val="single" w:sz="2" w:space="0" w:color="auto"/>
              <w:bottom w:val="single" w:sz="2" w:space="0" w:color="auto"/>
            </w:tcBorders>
            <w:shd w:val="clear" w:color="auto" w:fill="auto"/>
          </w:tcPr>
          <w:p w:rsidR="00484FEE" w:rsidRDefault="00484FEE" w:rsidP="0011796D">
            <w:pPr>
              <w:rPr>
                <w:rFonts w:hint="cs"/>
                <w:rtl/>
              </w:rPr>
            </w:pPr>
          </w:p>
        </w:tc>
        <w:tc>
          <w:tcPr>
            <w:tcW w:w="1462" w:type="dxa"/>
            <w:shd w:val="clear" w:color="auto" w:fill="auto"/>
          </w:tcPr>
          <w:p w:rsidR="00484FEE" w:rsidRDefault="00484FEE" w:rsidP="0011796D">
            <w:pPr>
              <w:rPr>
                <w:rFonts w:hint="cs"/>
                <w:rtl/>
              </w:rPr>
            </w:pPr>
          </w:p>
        </w:tc>
        <w:tc>
          <w:tcPr>
            <w:tcW w:w="2160" w:type="dxa"/>
            <w:shd w:val="clear" w:color="auto" w:fill="auto"/>
          </w:tcPr>
          <w:p w:rsidR="00484FEE" w:rsidRDefault="00484FEE" w:rsidP="0011796D">
            <w:pPr>
              <w:rPr>
                <w:rFonts w:hint="cs"/>
                <w:rtl/>
              </w:rPr>
            </w:pPr>
          </w:p>
        </w:tc>
        <w:tc>
          <w:tcPr>
            <w:tcW w:w="1800" w:type="dxa"/>
            <w:tcBorders>
              <w:top w:val="single" w:sz="2" w:space="0" w:color="auto"/>
              <w:bottom w:val="single" w:sz="2" w:space="0" w:color="auto"/>
            </w:tcBorders>
            <w:shd w:val="clear" w:color="auto" w:fill="auto"/>
          </w:tcPr>
          <w:p w:rsidR="00484FEE" w:rsidRDefault="00484FEE" w:rsidP="0011796D">
            <w:pPr>
              <w:rPr>
                <w:rFonts w:hint="cs"/>
                <w:rtl/>
              </w:rPr>
            </w:pPr>
          </w:p>
        </w:tc>
        <w:tc>
          <w:tcPr>
            <w:tcW w:w="1574" w:type="dxa"/>
            <w:tcBorders>
              <w:top w:val="single" w:sz="2" w:space="0" w:color="auto"/>
              <w:bottom w:val="single" w:sz="2" w:space="0" w:color="auto"/>
            </w:tcBorders>
            <w:shd w:val="clear" w:color="auto" w:fill="auto"/>
          </w:tcPr>
          <w:p w:rsidR="00484FEE" w:rsidRDefault="00484FEE" w:rsidP="0011796D">
            <w:pPr>
              <w:rPr>
                <w:rFonts w:hint="cs"/>
                <w:rtl/>
              </w:rPr>
            </w:pPr>
          </w:p>
        </w:tc>
      </w:tr>
      <w:tr w:rsidR="00484FEE">
        <w:tblPrEx>
          <w:tblCellMar>
            <w:top w:w="0" w:type="dxa"/>
            <w:bottom w:w="0" w:type="dxa"/>
          </w:tblCellMar>
        </w:tblPrEx>
        <w:trPr>
          <w:jc w:val="center"/>
        </w:trPr>
        <w:tc>
          <w:tcPr>
            <w:tcW w:w="1749" w:type="dxa"/>
            <w:shd w:val="clear" w:color="auto" w:fill="auto"/>
          </w:tcPr>
          <w:p w:rsidR="00484FEE" w:rsidRDefault="00484FEE" w:rsidP="0011796D">
            <w:pPr>
              <w:rPr>
                <w:rFonts w:hint="cs"/>
                <w:rtl/>
              </w:rPr>
            </w:pPr>
            <w:r>
              <w:rPr>
                <w:rFonts w:hint="cs"/>
                <w:rtl/>
              </w:rPr>
              <w:t>60 إلى 65</w:t>
            </w:r>
          </w:p>
        </w:tc>
        <w:tc>
          <w:tcPr>
            <w:tcW w:w="1630" w:type="dxa"/>
            <w:tcBorders>
              <w:top w:val="single" w:sz="2" w:space="0" w:color="auto"/>
              <w:bottom w:val="single" w:sz="2" w:space="0" w:color="auto"/>
              <w:right w:val="single" w:sz="2" w:space="0" w:color="auto"/>
            </w:tcBorders>
            <w:shd w:val="clear" w:color="auto" w:fill="C0C0C0"/>
          </w:tcPr>
          <w:p w:rsidR="00484FEE" w:rsidRDefault="00484FEE" w:rsidP="0011796D">
            <w:pPr>
              <w:rPr>
                <w:rFonts w:hint="cs"/>
                <w:rtl/>
              </w:rPr>
            </w:pPr>
            <w:r>
              <w:rPr>
                <w:rFonts w:hint="cs"/>
                <w:rtl/>
              </w:rPr>
              <w:t>44 في المائة</w:t>
            </w:r>
          </w:p>
        </w:tc>
        <w:tc>
          <w:tcPr>
            <w:tcW w:w="1868" w:type="dxa"/>
            <w:tcBorders>
              <w:top w:val="single" w:sz="2" w:space="0" w:color="auto"/>
              <w:left w:val="single" w:sz="2" w:space="0" w:color="auto"/>
              <w:bottom w:val="single" w:sz="2" w:space="0" w:color="auto"/>
            </w:tcBorders>
            <w:shd w:val="clear" w:color="auto" w:fill="D9D9D9"/>
          </w:tcPr>
          <w:p w:rsidR="00484FEE" w:rsidRDefault="00484FEE" w:rsidP="0011796D">
            <w:pPr>
              <w:rPr>
                <w:rFonts w:hint="cs"/>
                <w:rtl/>
              </w:rPr>
            </w:pPr>
            <w:r>
              <w:rPr>
                <w:rFonts w:hint="cs"/>
                <w:rtl/>
              </w:rPr>
              <w:t>56 في المائة</w:t>
            </w:r>
          </w:p>
        </w:tc>
        <w:tc>
          <w:tcPr>
            <w:tcW w:w="1462" w:type="dxa"/>
            <w:tcBorders>
              <w:left w:val="nil"/>
            </w:tcBorders>
            <w:shd w:val="clear" w:color="auto" w:fill="auto"/>
          </w:tcPr>
          <w:p w:rsidR="00484FEE" w:rsidRDefault="00484FEE" w:rsidP="0011796D">
            <w:pPr>
              <w:rPr>
                <w:rFonts w:hint="cs"/>
                <w:rtl/>
              </w:rPr>
            </w:pPr>
          </w:p>
        </w:tc>
        <w:tc>
          <w:tcPr>
            <w:tcW w:w="2160" w:type="dxa"/>
            <w:shd w:val="clear" w:color="auto" w:fill="auto"/>
          </w:tcPr>
          <w:p w:rsidR="00484FEE" w:rsidRDefault="00484FEE" w:rsidP="0011796D">
            <w:pPr>
              <w:rPr>
                <w:rFonts w:hint="cs"/>
                <w:rtl/>
              </w:rPr>
            </w:pPr>
            <w:r>
              <w:rPr>
                <w:rFonts w:hint="cs"/>
                <w:rtl/>
              </w:rPr>
              <w:t>100 إلى 200 هكتار</w:t>
            </w:r>
          </w:p>
        </w:tc>
        <w:tc>
          <w:tcPr>
            <w:tcW w:w="1800" w:type="dxa"/>
            <w:tcBorders>
              <w:top w:val="single" w:sz="2" w:space="0" w:color="auto"/>
              <w:bottom w:val="single" w:sz="2" w:space="0" w:color="auto"/>
              <w:right w:val="single" w:sz="2" w:space="0" w:color="auto"/>
            </w:tcBorders>
            <w:shd w:val="clear" w:color="auto" w:fill="C0C0C0"/>
          </w:tcPr>
          <w:p w:rsidR="00484FEE" w:rsidRDefault="00484FEE" w:rsidP="0011796D">
            <w:pPr>
              <w:rPr>
                <w:rFonts w:hint="cs"/>
                <w:rtl/>
              </w:rPr>
            </w:pPr>
            <w:r>
              <w:rPr>
                <w:rFonts w:hint="cs"/>
                <w:rtl/>
              </w:rPr>
              <w:t>16 في المائة</w:t>
            </w:r>
          </w:p>
        </w:tc>
        <w:tc>
          <w:tcPr>
            <w:tcW w:w="1574" w:type="dxa"/>
            <w:tcBorders>
              <w:top w:val="single" w:sz="2" w:space="0" w:color="auto"/>
              <w:left w:val="single" w:sz="2" w:space="0" w:color="auto"/>
              <w:bottom w:val="single" w:sz="2" w:space="0" w:color="auto"/>
            </w:tcBorders>
            <w:shd w:val="clear" w:color="auto" w:fill="D9D9D9"/>
          </w:tcPr>
          <w:p w:rsidR="00484FEE" w:rsidRDefault="00484FEE" w:rsidP="0011796D">
            <w:pPr>
              <w:rPr>
                <w:rFonts w:hint="cs"/>
                <w:rtl/>
              </w:rPr>
            </w:pPr>
            <w:r>
              <w:rPr>
                <w:rFonts w:hint="cs"/>
                <w:rtl/>
              </w:rPr>
              <w:t>84 في المائة</w:t>
            </w:r>
          </w:p>
        </w:tc>
      </w:tr>
      <w:tr w:rsidR="00484FEE">
        <w:tblPrEx>
          <w:tblCellMar>
            <w:top w:w="0" w:type="dxa"/>
            <w:bottom w:w="0" w:type="dxa"/>
          </w:tblCellMar>
        </w:tblPrEx>
        <w:trPr>
          <w:jc w:val="center"/>
        </w:trPr>
        <w:tc>
          <w:tcPr>
            <w:tcW w:w="1749" w:type="dxa"/>
            <w:shd w:val="clear" w:color="auto" w:fill="auto"/>
          </w:tcPr>
          <w:p w:rsidR="00484FEE" w:rsidRDefault="00484FEE" w:rsidP="0011796D">
            <w:pPr>
              <w:rPr>
                <w:rFonts w:hint="cs"/>
                <w:rtl/>
              </w:rPr>
            </w:pPr>
          </w:p>
        </w:tc>
        <w:tc>
          <w:tcPr>
            <w:tcW w:w="1630" w:type="dxa"/>
            <w:tcBorders>
              <w:top w:val="single" w:sz="2" w:space="0" w:color="auto"/>
              <w:bottom w:val="single" w:sz="2" w:space="0" w:color="auto"/>
            </w:tcBorders>
            <w:shd w:val="clear" w:color="auto" w:fill="auto"/>
          </w:tcPr>
          <w:p w:rsidR="00484FEE" w:rsidRDefault="00484FEE" w:rsidP="0011796D">
            <w:pPr>
              <w:rPr>
                <w:rFonts w:hint="cs"/>
                <w:rtl/>
              </w:rPr>
            </w:pPr>
          </w:p>
        </w:tc>
        <w:tc>
          <w:tcPr>
            <w:tcW w:w="1868" w:type="dxa"/>
            <w:tcBorders>
              <w:top w:val="single" w:sz="2" w:space="0" w:color="auto"/>
              <w:bottom w:val="single" w:sz="2" w:space="0" w:color="auto"/>
            </w:tcBorders>
            <w:shd w:val="clear" w:color="auto" w:fill="auto"/>
          </w:tcPr>
          <w:p w:rsidR="00484FEE" w:rsidRDefault="00484FEE" w:rsidP="0011796D">
            <w:pPr>
              <w:rPr>
                <w:rFonts w:hint="cs"/>
                <w:rtl/>
              </w:rPr>
            </w:pPr>
          </w:p>
        </w:tc>
        <w:tc>
          <w:tcPr>
            <w:tcW w:w="1462" w:type="dxa"/>
            <w:shd w:val="clear" w:color="auto" w:fill="auto"/>
          </w:tcPr>
          <w:p w:rsidR="00484FEE" w:rsidRDefault="00484FEE" w:rsidP="0011796D">
            <w:pPr>
              <w:rPr>
                <w:rFonts w:hint="cs"/>
                <w:rtl/>
              </w:rPr>
            </w:pPr>
          </w:p>
        </w:tc>
        <w:tc>
          <w:tcPr>
            <w:tcW w:w="2160" w:type="dxa"/>
            <w:shd w:val="clear" w:color="auto" w:fill="auto"/>
          </w:tcPr>
          <w:p w:rsidR="00484FEE" w:rsidRDefault="00484FEE" w:rsidP="0011796D">
            <w:pPr>
              <w:rPr>
                <w:rFonts w:hint="cs"/>
                <w:rtl/>
              </w:rPr>
            </w:pPr>
          </w:p>
        </w:tc>
        <w:tc>
          <w:tcPr>
            <w:tcW w:w="1800" w:type="dxa"/>
            <w:tcBorders>
              <w:top w:val="single" w:sz="2" w:space="0" w:color="auto"/>
              <w:bottom w:val="single" w:sz="2" w:space="0" w:color="auto"/>
            </w:tcBorders>
            <w:shd w:val="clear" w:color="auto" w:fill="auto"/>
          </w:tcPr>
          <w:p w:rsidR="00484FEE" w:rsidRDefault="00484FEE" w:rsidP="0011796D">
            <w:pPr>
              <w:rPr>
                <w:rFonts w:hint="cs"/>
                <w:rtl/>
              </w:rPr>
            </w:pPr>
          </w:p>
        </w:tc>
        <w:tc>
          <w:tcPr>
            <w:tcW w:w="1574" w:type="dxa"/>
            <w:tcBorders>
              <w:top w:val="single" w:sz="2" w:space="0" w:color="auto"/>
              <w:bottom w:val="single" w:sz="2" w:space="0" w:color="auto"/>
            </w:tcBorders>
            <w:shd w:val="clear" w:color="auto" w:fill="auto"/>
          </w:tcPr>
          <w:p w:rsidR="00484FEE" w:rsidRDefault="00484FEE" w:rsidP="0011796D">
            <w:pPr>
              <w:rPr>
                <w:rFonts w:hint="cs"/>
                <w:rtl/>
              </w:rPr>
            </w:pPr>
          </w:p>
        </w:tc>
      </w:tr>
      <w:tr w:rsidR="00484FEE">
        <w:tblPrEx>
          <w:tblCellMar>
            <w:top w:w="0" w:type="dxa"/>
            <w:bottom w:w="0" w:type="dxa"/>
          </w:tblCellMar>
        </w:tblPrEx>
        <w:trPr>
          <w:jc w:val="center"/>
        </w:trPr>
        <w:tc>
          <w:tcPr>
            <w:tcW w:w="1749" w:type="dxa"/>
            <w:tcBorders>
              <w:right w:val="single" w:sz="2" w:space="0" w:color="auto"/>
            </w:tcBorders>
            <w:shd w:val="clear" w:color="auto" w:fill="auto"/>
          </w:tcPr>
          <w:p w:rsidR="00484FEE" w:rsidRDefault="00484FEE" w:rsidP="0011796D">
            <w:pPr>
              <w:rPr>
                <w:rFonts w:hint="cs"/>
                <w:rtl/>
              </w:rPr>
            </w:pPr>
            <w:r>
              <w:rPr>
                <w:rFonts w:hint="cs"/>
                <w:rtl/>
              </w:rPr>
              <w:t xml:space="preserve">65 </w:t>
            </w:r>
            <w:r>
              <w:rPr>
                <w:rFonts w:hint="cs"/>
                <w:rtl/>
                <w:lang w:bidi="ar-LB"/>
              </w:rPr>
              <w:t>ف</w:t>
            </w:r>
            <w:r>
              <w:rPr>
                <w:rFonts w:hint="cs"/>
                <w:rtl/>
              </w:rPr>
              <w:t>ما فوق</w:t>
            </w:r>
          </w:p>
        </w:tc>
        <w:tc>
          <w:tcPr>
            <w:tcW w:w="1630" w:type="dxa"/>
            <w:tcBorders>
              <w:top w:val="single" w:sz="2" w:space="0" w:color="auto"/>
              <w:left w:val="single" w:sz="2" w:space="0" w:color="auto"/>
              <w:bottom w:val="single" w:sz="2" w:space="0" w:color="auto"/>
            </w:tcBorders>
            <w:shd w:val="clear" w:color="auto" w:fill="C0C0C0"/>
          </w:tcPr>
          <w:p w:rsidR="00484FEE" w:rsidRDefault="00484FEE" w:rsidP="0011796D">
            <w:pPr>
              <w:rPr>
                <w:rFonts w:hint="cs"/>
                <w:rtl/>
              </w:rPr>
            </w:pPr>
            <w:r>
              <w:rPr>
                <w:rFonts w:hint="cs"/>
                <w:rtl/>
              </w:rPr>
              <w:t>37 في المائة</w:t>
            </w:r>
          </w:p>
        </w:tc>
        <w:tc>
          <w:tcPr>
            <w:tcW w:w="1868" w:type="dxa"/>
            <w:tcBorders>
              <w:top w:val="single" w:sz="2" w:space="0" w:color="auto"/>
              <w:bottom w:val="single" w:sz="2" w:space="0" w:color="auto"/>
              <w:right w:val="single" w:sz="2" w:space="0" w:color="auto"/>
            </w:tcBorders>
            <w:shd w:val="clear" w:color="auto" w:fill="D9D9D9"/>
          </w:tcPr>
          <w:p w:rsidR="00484FEE" w:rsidRDefault="00484FEE" w:rsidP="0011796D">
            <w:pPr>
              <w:rPr>
                <w:rFonts w:hint="cs"/>
                <w:rtl/>
              </w:rPr>
            </w:pPr>
            <w:r>
              <w:rPr>
                <w:rFonts w:hint="cs"/>
                <w:rtl/>
              </w:rPr>
              <w:t>63 في المائة</w:t>
            </w:r>
          </w:p>
        </w:tc>
        <w:tc>
          <w:tcPr>
            <w:tcW w:w="1462" w:type="dxa"/>
            <w:tcBorders>
              <w:left w:val="single" w:sz="2" w:space="0" w:color="auto"/>
            </w:tcBorders>
            <w:shd w:val="clear" w:color="auto" w:fill="auto"/>
          </w:tcPr>
          <w:p w:rsidR="00484FEE" w:rsidRDefault="00484FEE" w:rsidP="0011796D">
            <w:pPr>
              <w:rPr>
                <w:rFonts w:hint="cs"/>
                <w:rtl/>
              </w:rPr>
            </w:pPr>
          </w:p>
        </w:tc>
        <w:tc>
          <w:tcPr>
            <w:tcW w:w="2160" w:type="dxa"/>
            <w:tcBorders>
              <w:right w:val="single" w:sz="2" w:space="0" w:color="auto"/>
            </w:tcBorders>
            <w:shd w:val="clear" w:color="auto" w:fill="auto"/>
          </w:tcPr>
          <w:p w:rsidR="00484FEE" w:rsidRDefault="00484FEE" w:rsidP="0011796D">
            <w:pPr>
              <w:rPr>
                <w:rFonts w:hint="cs"/>
                <w:rtl/>
              </w:rPr>
            </w:pPr>
            <w:r>
              <w:rPr>
                <w:rFonts w:hint="cs"/>
                <w:rtl/>
              </w:rPr>
              <w:t>200 هكتار فما فوق</w:t>
            </w:r>
          </w:p>
        </w:tc>
        <w:tc>
          <w:tcPr>
            <w:tcW w:w="1800" w:type="dxa"/>
            <w:tcBorders>
              <w:top w:val="single" w:sz="2" w:space="0" w:color="auto"/>
              <w:left w:val="single" w:sz="2" w:space="0" w:color="auto"/>
              <w:bottom w:val="single" w:sz="2" w:space="0" w:color="auto"/>
            </w:tcBorders>
            <w:shd w:val="clear" w:color="auto" w:fill="C0C0C0"/>
          </w:tcPr>
          <w:p w:rsidR="00484FEE" w:rsidRDefault="00484FEE" w:rsidP="0011796D">
            <w:pPr>
              <w:rPr>
                <w:rFonts w:hint="cs"/>
                <w:rtl/>
              </w:rPr>
            </w:pPr>
            <w:r>
              <w:rPr>
                <w:rFonts w:hint="cs"/>
                <w:rtl/>
              </w:rPr>
              <w:t>17 في المائة</w:t>
            </w:r>
          </w:p>
        </w:tc>
        <w:tc>
          <w:tcPr>
            <w:tcW w:w="1574" w:type="dxa"/>
            <w:tcBorders>
              <w:top w:val="single" w:sz="2" w:space="0" w:color="auto"/>
              <w:bottom w:val="single" w:sz="2" w:space="0" w:color="auto"/>
              <w:right w:val="single" w:sz="2" w:space="0" w:color="auto"/>
            </w:tcBorders>
            <w:shd w:val="clear" w:color="auto" w:fill="D9D9D9"/>
          </w:tcPr>
          <w:p w:rsidR="00484FEE" w:rsidRDefault="00484FEE" w:rsidP="0011796D">
            <w:pPr>
              <w:rPr>
                <w:rFonts w:hint="cs"/>
                <w:rtl/>
              </w:rPr>
            </w:pPr>
            <w:r>
              <w:rPr>
                <w:rFonts w:hint="cs"/>
                <w:rtl/>
              </w:rPr>
              <w:t>83 في المائة</w:t>
            </w:r>
          </w:p>
        </w:tc>
      </w:tr>
      <w:tr w:rsidR="00484FEE">
        <w:tblPrEx>
          <w:tblCellMar>
            <w:top w:w="0" w:type="dxa"/>
            <w:bottom w:w="0" w:type="dxa"/>
          </w:tblCellMar>
        </w:tblPrEx>
        <w:trPr>
          <w:jc w:val="center"/>
        </w:trPr>
        <w:tc>
          <w:tcPr>
            <w:tcW w:w="1749" w:type="dxa"/>
            <w:shd w:val="clear" w:color="auto" w:fill="auto"/>
          </w:tcPr>
          <w:p w:rsidR="00484FEE" w:rsidRDefault="00484FEE" w:rsidP="0011796D">
            <w:pPr>
              <w:rPr>
                <w:rFonts w:hint="cs"/>
                <w:rtl/>
              </w:rPr>
            </w:pPr>
          </w:p>
        </w:tc>
        <w:tc>
          <w:tcPr>
            <w:tcW w:w="1630" w:type="dxa"/>
            <w:tcBorders>
              <w:top w:val="single" w:sz="2" w:space="0" w:color="auto"/>
            </w:tcBorders>
            <w:shd w:val="clear" w:color="auto" w:fill="auto"/>
          </w:tcPr>
          <w:p w:rsidR="00484FEE" w:rsidRDefault="00484FEE" w:rsidP="0011796D">
            <w:pPr>
              <w:rPr>
                <w:rFonts w:hint="cs"/>
                <w:rtl/>
              </w:rPr>
            </w:pPr>
          </w:p>
        </w:tc>
        <w:tc>
          <w:tcPr>
            <w:tcW w:w="1868" w:type="dxa"/>
            <w:tcBorders>
              <w:top w:val="single" w:sz="2" w:space="0" w:color="auto"/>
            </w:tcBorders>
            <w:shd w:val="clear" w:color="auto" w:fill="auto"/>
          </w:tcPr>
          <w:p w:rsidR="00484FEE" w:rsidRDefault="00484FEE" w:rsidP="0011796D">
            <w:pPr>
              <w:rPr>
                <w:rFonts w:hint="cs"/>
                <w:rtl/>
              </w:rPr>
            </w:pPr>
          </w:p>
        </w:tc>
        <w:tc>
          <w:tcPr>
            <w:tcW w:w="1462" w:type="dxa"/>
            <w:shd w:val="clear" w:color="auto" w:fill="auto"/>
          </w:tcPr>
          <w:p w:rsidR="00484FEE" w:rsidRDefault="00484FEE" w:rsidP="0011796D">
            <w:pPr>
              <w:rPr>
                <w:rFonts w:hint="cs"/>
                <w:rtl/>
              </w:rPr>
            </w:pPr>
          </w:p>
        </w:tc>
        <w:tc>
          <w:tcPr>
            <w:tcW w:w="2160" w:type="dxa"/>
            <w:shd w:val="clear" w:color="auto" w:fill="auto"/>
          </w:tcPr>
          <w:p w:rsidR="00484FEE" w:rsidRDefault="00484FEE" w:rsidP="0011796D">
            <w:pPr>
              <w:rPr>
                <w:rFonts w:hint="cs"/>
                <w:rtl/>
              </w:rPr>
            </w:pPr>
          </w:p>
        </w:tc>
        <w:tc>
          <w:tcPr>
            <w:tcW w:w="1800" w:type="dxa"/>
            <w:tcBorders>
              <w:top w:val="single" w:sz="2" w:space="0" w:color="auto"/>
            </w:tcBorders>
            <w:shd w:val="clear" w:color="auto" w:fill="auto"/>
          </w:tcPr>
          <w:p w:rsidR="00484FEE" w:rsidRDefault="00484FEE" w:rsidP="0011796D">
            <w:pPr>
              <w:rPr>
                <w:rFonts w:hint="cs"/>
                <w:rtl/>
              </w:rPr>
            </w:pPr>
          </w:p>
        </w:tc>
        <w:tc>
          <w:tcPr>
            <w:tcW w:w="1574" w:type="dxa"/>
            <w:tcBorders>
              <w:top w:val="single" w:sz="2" w:space="0" w:color="auto"/>
            </w:tcBorders>
            <w:shd w:val="clear" w:color="auto" w:fill="auto"/>
          </w:tcPr>
          <w:p w:rsidR="00484FEE" w:rsidRDefault="00484FEE" w:rsidP="0011796D">
            <w:pPr>
              <w:rPr>
                <w:rFonts w:hint="cs"/>
                <w:rtl/>
              </w:rPr>
            </w:pPr>
          </w:p>
        </w:tc>
      </w:tr>
    </w:tbl>
    <w:p w:rsidR="00484FEE" w:rsidRPr="00B32703" w:rsidRDefault="00484FEE" w:rsidP="00484FEE">
      <w:pPr>
        <w:pStyle w:val="SingleTxt"/>
        <w:spacing w:after="0" w:line="120" w:lineRule="exact"/>
        <w:rPr>
          <w:rFonts w:hint="cs"/>
          <w:sz w:val="10"/>
          <w:rtl/>
        </w:rPr>
      </w:pPr>
    </w:p>
    <w:p w:rsidR="00484FEE" w:rsidRDefault="00484FEE" w:rsidP="00484FEE">
      <w:pPr>
        <w:pStyle w:val="SingleTxt"/>
        <w:rPr>
          <w:rFonts w:hint="cs"/>
          <w:rtl/>
          <w:lang w:bidi="ar-LB"/>
        </w:rPr>
      </w:pPr>
      <w:r>
        <w:rPr>
          <w:noProof/>
          <w:w w:val="100"/>
          <w:rtl/>
        </w:rPr>
        <w:pict>
          <v:rect id="_x0000_s2053" style="position:absolute;left:0;text-align:left;margin-left:365.85pt;margin-top:4.15pt;width:18pt;height:18pt;z-index:4" fillcolor="silver"/>
        </w:pict>
      </w:r>
      <w:r>
        <w:rPr>
          <w:rFonts w:hint="cs"/>
          <w:noProof/>
          <w:w w:val="100"/>
          <w:rtl/>
        </w:rPr>
        <w:pict>
          <v:rect id="_x0000_s2052" style="position:absolute;left:0;text-align:left;margin-left:500.85pt;margin-top:3.15pt;width:18pt;height:18pt;z-index:3" fillcolor="gray"/>
        </w:pict>
      </w:r>
      <w:r>
        <w:rPr>
          <w:rFonts w:hint="cs"/>
          <w:rtl/>
        </w:rPr>
        <w:t>النساء</w:t>
      </w:r>
      <w:r>
        <w:rPr>
          <w:rFonts w:hint="cs"/>
          <w:rtl/>
        </w:rPr>
        <w:tab/>
      </w:r>
      <w:r>
        <w:rPr>
          <w:rFonts w:hint="cs"/>
          <w:rtl/>
        </w:rPr>
        <w:tab/>
      </w:r>
      <w:r>
        <w:rPr>
          <w:rFonts w:hint="cs"/>
          <w:rtl/>
        </w:rPr>
        <w:tab/>
      </w:r>
      <w:r>
        <w:rPr>
          <w:rFonts w:hint="cs"/>
          <w:rtl/>
        </w:rPr>
        <w:tab/>
        <w:t xml:space="preserve">الرجال   </w:t>
      </w:r>
    </w:p>
    <w:p w:rsidR="00484FEE" w:rsidRPr="00B32703" w:rsidRDefault="00484FEE" w:rsidP="00484FEE">
      <w:pPr>
        <w:pStyle w:val="SingleTxt"/>
        <w:spacing w:after="0" w:line="120" w:lineRule="exact"/>
        <w:rPr>
          <w:rFonts w:hint="cs"/>
          <w:sz w:val="10"/>
          <w:rtl/>
        </w:rPr>
      </w:pPr>
    </w:p>
    <w:p w:rsidR="00484FEE" w:rsidRDefault="00484FEE" w:rsidP="00484FEE">
      <w:pPr>
        <w:pStyle w:val="SingleTxt"/>
        <w:rPr>
          <w:rFonts w:hint="cs"/>
          <w:rtl/>
        </w:rPr>
      </w:pPr>
      <w:r>
        <w:rPr>
          <w:rFonts w:hint="cs"/>
          <w:rtl/>
        </w:rPr>
        <w:t xml:space="preserve">المصدر: </w:t>
      </w:r>
      <w:r>
        <w:t>BMLFUW</w:t>
      </w:r>
      <w:r>
        <w:rPr>
          <w:rFonts w:hint="cs"/>
          <w:rtl/>
        </w:rPr>
        <w:tab/>
      </w:r>
    </w:p>
    <w:p w:rsidR="00484FEE" w:rsidRDefault="00484FEE" w:rsidP="00484FEE">
      <w:pPr>
        <w:pStyle w:val="SingleTxt"/>
        <w:rPr>
          <w:rtl/>
        </w:rPr>
        <w:sectPr w:rsidR="00484FEE" w:rsidSect="0011796D">
          <w:headerReference w:type="even" r:id="rId33"/>
          <w:headerReference w:type="default" r:id="rId34"/>
          <w:footerReference w:type="even" r:id="rId35"/>
          <w:footerReference w:type="default" r:id="rId36"/>
          <w:endnotePr>
            <w:numFmt w:val="decimal"/>
          </w:endnotePr>
          <w:pgSz w:w="15840" w:h="12240" w:orient="landscape" w:code="1"/>
          <w:pgMar w:top="1195" w:right="1742" w:bottom="1195" w:left="1901" w:header="576" w:footer="1037" w:gutter="0"/>
          <w:cols w:space="720"/>
          <w:noEndnote/>
          <w:bidi/>
          <w:rtlGutter/>
          <w:docGrid w:linePitch="280"/>
        </w:sectPr>
      </w:pPr>
    </w:p>
    <w:p w:rsidR="00D571CD" w:rsidRPr="008178AE" w:rsidRDefault="00D571CD" w:rsidP="00D571CD">
      <w:pPr>
        <w:pStyle w:val="SingleTxt"/>
        <w:rPr>
          <w:rFonts w:hint="cs"/>
          <w:b/>
          <w:bCs/>
          <w:rtl/>
        </w:rPr>
      </w:pPr>
      <w:r>
        <w:rPr>
          <w:rFonts w:hint="cs"/>
          <w:rtl/>
        </w:rPr>
        <w:tab/>
      </w:r>
      <w:r w:rsidRPr="008178AE">
        <w:rPr>
          <w:rFonts w:hint="cs"/>
          <w:b/>
          <w:bCs/>
          <w:rtl/>
        </w:rPr>
        <w:t>المشاركة في القوى العاملة والعمالة</w:t>
      </w:r>
    </w:p>
    <w:tbl>
      <w:tblPr>
        <w:bidiVisual/>
        <w:tblW w:w="985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5840"/>
        <w:gridCol w:w="2070"/>
        <w:gridCol w:w="1940"/>
      </w:tblGrid>
      <w:tr w:rsidR="00D571CD">
        <w:tblPrEx>
          <w:tblCellMar>
            <w:top w:w="0" w:type="dxa"/>
            <w:bottom w:w="0" w:type="dxa"/>
          </w:tblCellMar>
        </w:tblPrEx>
        <w:trPr>
          <w:jc w:val="center"/>
        </w:trPr>
        <w:tc>
          <w:tcPr>
            <w:tcW w:w="5840" w:type="dxa"/>
            <w:shd w:val="clear" w:color="auto" w:fill="D9D9D9"/>
            <w:tcMar>
              <w:left w:w="0" w:type="dxa"/>
              <w:right w:w="0" w:type="dxa"/>
            </w:tcMar>
          </w:tcPr>
          <w:p w:rsidR="00D571CD" w:rsidRDefault="00D571CD" w:rsidP="0011796D">
            <w:pPr>
              <w:rPr>
                <w:rFonts w:hint="cs"/>
                <w:rtl/>
              </w:rPr>
            </w:pPr>
          </w:p>
        </w:tc>
        <w:tc>
          <w:tcPr>
            <w:tcW w:w="2070" w:type="dxa"/>
            <w:shd w:val="clear" w:color="auto" w:fill="D9D9D9"/>
          </w:tcPr>
          <w:p w:rsidR="00D571CD" w:rsidRDefault="00D571CD" w:rsidP="0011796D">
            <w:pPr>
              <w:jc w:val="lowKashida"/>
              <w:rPr>
                <w:rFonts w:hint="cs"/>
                <w:rtl/>
              </w:rPr>
            </w:pPr>
            <w:r>
              <w:rPr>
                <w:rFonts w:hint="cs"/>
                <w:rtl/>
              </w:rPr>
              <w:t>النساء</w:t>
            </w:r>
          </w:p>
        </w:tc>
        <w:tc>
          <w:tcPr>
            <w:tcW w:w="1940" w:type="dxa"/>
            <w:shd w:val="clear" w:color="auto" w:fill="D9D9D9"/>
          </w:tcPr>
          <w:p w:rsidR="00D571CD" w:rsidRDefault="00D571CD" w:rsidP="0011796D">
            <w:pPr>
              <w:jc w:val="lowKashida"/>
              <w:rPr>
                <w:rFonts w:hint="cs"/>
                <w:rtl/>
              </w:rPr>
            </w:pPr>
            <w:r>
              <w:rPr>
                <w:rFonts w:hint="cs"/>
                <w:rtl/>
              </w:rPr>
              <w:t>الرجال</w:t>
            </w:r>
          </w:p>
        </w:tc>
      </w:tr>
      <w:tr w:rsidR="00D571CD">
        <w:tblPrEx>
          <w:tblCellMar>
            <w:top w:w="0" w:type="dxa"/>
            <w:bottom w:w="0" w:type="dxa"/>
          </w:tblCellMar>
        </w:tblPrEx>
        <w:trPr>
          <w:jc w:val="center"/>
        </w:trPr>
        <w:tc>
          <w:tcPr>
            <w:tcW w:w="5840" w:type="dxa"/>
            <w:shd w:val="clear" w:color="auto" w:fill="auto"/>
          </w:tcPr>
          <w:p w:rsidR="00D571CD" w:rsidRPr="009C4DB5" w:rsidRDefault="00D571CD" w:rsidP="0011796D">
            <w:pPr>
              <w:spacing w:before="40" w:after="40" w:line="260" w:lineRule="exact"/>
              <w:ind w:right="151"/>
              <w:rPr>
                <w:rFonts w:hint="cs"/>
                <w:sz w:val="28"/>
                <w:szCs w:val="28"/>
                <w:rtl/>
              </w:rPr>
            </w:pPr>
            <w:r w:rsidRPr="009C4DB5">
              <w:rPr>
                <w:rFonts w:hint="cs"/>
                <w:sz w:val="28"/>
                <w:szCs w:val="28"/>
                <w:rtl/>
              </w:rPr>
              <w:t>معدل المشاركة في القوى العاملة في عام 2001(1)، ولا يشمل ذلك العمالة التي يمكن إهمالها</w:t>
            </w:r>
          </w:p>
        </w:tc>
        <w:tc>
          <w:tcPr>
            <w:tcW w:w="207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61.8 </w:t>
            </w:r>
            <w:r>
              <w:rPr>
                <w:rFonts w:cs="Akhbar MT" w:hint="cs"/>
                <w:sz w:val="28"/>
                <w:szCs w:val="28"/>
                <w:rtl/>
              </w:rPr>
              <w:t>٪</w:t>
            </w:r>
          </w:p>
        </w:tc>
        <w:tc>
          <w:tcPr>
            <w:tcW w:w="194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80.0 </w:t>
            </w:r>
            <w:r>
              <w:rPr>
                <w:rFonts w:cs="Akhbar MT" w:hint="cs"/>
                <w:sz w:val="28"/>
                <w:szCs w:val="28"/>
                <w:rtl/>
              </w:rPr>
              <w:t>٪</w:t>
            </w:r>
          </w:p>
        </w:tc>
      </w:tr>
      <w:tr w:rsidR="00D571CD">
        <w:tblPrEx>
          <w:tblCellMar>
            <w:top w:w="0" w:type="dxa"/>
            <w:bottom w:w="0" w:type="dxa"/>
          </w:tblCellMar>
        </w:tblPrEx>
        <w:trPr>
          <w:jc w:val="center"/>
        </w:trPr>
        <w:tc>
          <w:tcPr>
            <w:tcW w:w="5840" w:type="dxa"/>
            <w:shd w:val="clear" w:color="auto" w:fill="auto"/>
          </w:tcPr>
          <w:p w:rsidR="00D571CD" w:rsidRPr="009C4DB5" w:rsidRDefault="00D571CD" w:rsidP="0011796D">
            <w:pPr>
              <w:spacing w:before="40" w:after="40" w:line="260" w:lineRule="exact"/>
              <w:rPr>
                <w:rFonts w:hint="cs"/>
                <w:sz w:val="28"/>
                <w:szCs w:val="28"/>
                <w:rtl/>
              </w:rPr>
            </w:pPr>
            <w:r w:rsidRPr="009C4DB5">
              <w:rPr>
                <w:rFonts w:hint="cs"/>
                <w:sz w:val="28"/>
                <w:szCs w:val="28"/>
                <w:rtl/>
              </w:rPr>
              <w:t>معدل المشاركة في القوى العاملة</w:t>
            </w:r>
            <w:r w:rsidRPr="009C4DB5">
              <w:rPr>
                <w:rFonts w:hint="cs"/>
                <w:sz w:val="28"/>
                <w:szCs w:val="28"/>
                <w:vertAlign w:val="superscript"/>
                <w:rtl/>
              </w:rPr>
              <w:t>(1)</w:t>
            </w:r>
            <w:r w:rsidRPr="009C4DB5">
              <w:rPr>
                <w:rFonts w:hint="cs"/>
                <w:sz w:val="28"/>
                <w:szCs w:val="28"/>
                <w:rtl/>
              </w:rPr>
              <w:t>، ويشمل ذلك العمالة التي يمكن تجاهلها</w:t>
            </w:r>
          </w:p>
        </w:tc>
        <w:tc>
          <w:tcPr>
            <w:tcW w:w="207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65.0 </w:t>
            </w:r>
            <w:r>
              <w:rPr>
                <w:rFonts w:cs="Akhbar MT" w:hint="cs"/>
                <w:sz w:val="28"/>
                <w:szCs w:val="28"/>
                <w:rtl/>
              </w:rPr>
              <w:t>٪</w:t>
            </w:r>
          </w:p>
        </w:tc>
        <w:tc>
          <w:tcPr>
            <w:tcW w:w="194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80.9 </w:t>
            </w:r>
            <w:r>
              <w:rPr>
                <w:rFonts w:cs="Akhbar MT" w:hint="cs"/>
                <w:sz w:val="28"/>
                <w:szCs w:val="28"/>
                <w:rtl/>
              </w:rPr>
              <w:t>٪</w:t>
            </w:r>
          </w:p>
        </w:tc>
      </w:tr>
      <w:tr w:rsidR="00D571CD">
        <w:tblPrEx>
          <w:tblCellMar>
            <w:top w:w="0" w:type="dxa"/>
            <w:bottom w:w="0" w:type="dxa"/>
          </w:tblCellMar>
        </w:tblPrEx>
        <w:trPr>
          <w:jc w:val="center"/>
        </w:trPr>
        <w:tc>
          <w:tcPr>
            <w:tcW w:w="5840" w:type="dxa"/>
            <w:shd w:val="clear" w:color="auto" w:fill="auto"/>
          </w:tcPr>
          <w:p w:rsidR="00D571CD" w:rsidRPr="009C4DB5" w:rsidRDefault="00D571CD" w:rsidP="0011796D">
            <w:pPr>
              <w:spacing w:before="40" w:after="40" w:line="260" w:lineRule="exact"/>
              <w:rPr>
                <w:rFonts w:hint="cs"/>
                <w:sz w:val="28"/>
                <w:szCs w:val="28"/>
                <w:rtl/>
              </w:rPr>
            </w:pPr>
            <w:r w:rsidRPr="009C4DB5">
              <w:rPr>
                <w:rFonts w:hint="cs"/>
                <w:sz w:val="28"/>
                <w:szCs w:val="28"/>
                <w:rtl/>
              </w:rPr>
              <w:t>معدل المشاركة في القوى العاملة في عام 2002</w:t>
            </w:r>
            <w:r w:rsidRPr="009C4DB5">
              <w:rPr>
                <w:rFonts w:hint="cs"/>
                <w:sz w:val="28"/>
                <w:szCs w:val="28"/>
                <w:vertAlign w:val="superscript"/>
                <w:rtl/>
              </w:rPr>
              <w:t>(2)</w:t>
            </w:r>
          </w:p>
        </w:tc>
        <w:tc>
          <w:tcPr>
            <w:tcW w:w="207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65.3 </w:t>
            </w:r>
            <w:r>
              <w:rPr>
                <w:rFonts w:cs="Akhbar MT" w:hint="cs"/>
                <w:sz w:val="28"/>
                <w:szCs w:val="28"/>
                <w:rtl/>
              </w:rPr>
              <w:t>٪</w:t>
            </w:r>
          </w:p>
        </w:tc>
        <w:tc>
          <w:tcPr>
            <w:tcW w:w="194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80.0 </w:t>
            </w:r>
            <w:r>
              <w:rPr>
                <w:rFonts w:cs="Akhbar MT" w:hint="cs"/>
                <w:sz w:val="28"/>
                <w:szCs w:val="28"/>
                <w:rtl/>
              </w:rPr>
              <w:t>٪</w:t>
            </w:r>
          </w:p>
        </w:tc>
      </w:tr>
      <w:tr w:rsidR="00D571CD">
        <w:tblPrEx>
          <w:tblCellMar>
            <w:top w:w="0" w:type="dxa"/>
            <w:bottom w:w="0" w:type="dxa"/>
          </w:tblCellMar>
        </w:tblPrEx>
        <w:trPr>
          <w:jc w:val="center"/>
        </w:trPr>
        <w:tc>
          <w:tcPr>
            <w:tcW w:w="5840" w:type="dxa"/>
            <w:shd w:val="clear" w:color="auto" w:fill="auto"/>
          </w:tcPr>
          <w:p w:rsidR="00D571CD" w:rsidRPr="009C4DB5" w:rsidRDefault="00D571CD" w:rsidP="0011796D">
            <w:pPr>
              <w:spacing w:before="40" w:after="40" w:line="260" w:lineRule="exact"/>
              <w:rPr>
                <w:rFonts w:hint="cs"/>
                <w:sz w:val="28"/>
                <w:szCs w:val="28"/>
                <w:rtl/>
              </w:rPr>
            </w:pPr>
            <w:r w:rsidRPr="009C4DB5">
              <w:rPr>
                <w:rFonts w:hint="cs"/>
                <w:sz w:val="28"/>
                <w:szCs w:val="28"/>
                <w:rtl/>
              </w:rPr>
              <w:t>معدل المشاركة في القوى العاملة في عام 2003</w:t>
            </w:r>
            <w:r w:rsidRPr="009C4DB5">
              <w:rPr>
                <w:rFonts w:hint="cs"/>
                <w:sz w:val="28"/>
                <w:szCs w:val="28"/>
                <w:vertAlign w:val="superscript"/>
                <w:rtl/>
              </w:rPr>
              <w:t>(2)</w:t>
            </w:r>
          </w:p>
        </w:tc>
        <w:tc>
          <w:tcPr>
            <w:tcW w:w="207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65.6 </w:t>
            </w:r>
            <w:r>
              <w:rPr>
                <w:rFonts w:cs="Akhbar MT" w:hint="cs"/>
                <w:sz w:val="28"/>
                <w:szCs w:val="28"/>
                <w:rtl/>
              </w:rPr>
              <w:t>٪</w:t>
            </w:r>
          </w:p>
        </w:tc>
        <w:tc>
          <w:tcPr>
            <w:tcW w:w="194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80.0 </w:t>
            </w:r>
            <w:r>
              <w:rPr>
                <w:rFonts w:cs="Akhbar MT" w:hint="cs"/>
                <w:sz w:val="28"/>
                <w:szCs w:val="28"/>
                <w:rtl/>
              </w:rPr>
              <w:t>٪</w:t>
            </w:r>
          </w:p>
        </w:tc>
      </w:tr>
      <w:tr w:rsidR="00D571CD">
        <w:tblPrEx>
          <w:tblCellMar>
            <w:top w:w="0" w:type="dxa"/>
            <w:bottom w:w="0" w:type="dxa"/>
          </w:tblCellMar>
        </w:tblPrEx>
        <w:trPr>
          <w:jc w:val="center"/>
        </w:trPr>
        <w:tc>
          <w:tcPr>
            <w:tcW w:w="5840" w:type="dxa"/>
            <w:shd w:val="clear" w:color="auto" w:fill="auto"/>
          </w:tcPr>
          <w:p w:rsidR="00D571CD" w:rsidRPr="009C4DB5" w:rsidRDefault="00D571CD" w:rsidP="0011796D">
            <w:pPr>
              <w:spacing w:before="40" w:after="40" w:line="260" w:lineRule="exact"/>
              <w:rPr>
                <w:rFonts w:hint="cs"/>
                <w:sz w:val="28"/>
                <w:szCs w:val="28"/>
                <w:rtl/>
              </w:rPr>
            </w:pPr>
            <w:r w:rsidRPr="009C4DB5">
              <w:rPr>
                <w:rFonts w:hint="cs"/>
                <w:sz w:val="28"/>
                <w:szCs w:val="28"/>
                <w:rtl/>
              </w:rPr>
              <w:t>معدل العمالة في عام 2002(2)</w:t>
            </w:r>
          </w:p>
        </w:tc>
        <w:tc>
          <w:tcPr>
            <w:tcW w:w="207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62.5 </w:t>
            </w:r>
            <w:r>
              <w:rPr>
                <w:rFonts w:cs="Akhbar MT" w:hint="cs"/>
                <w:sz w:val="28"/>
                <w:szCs w:val="28"/>
                <w:rtl/>
              </w:rPr>
              <w:t>٪</w:t>
            </w:r>
          </w:p>
        </w:tc>
        <w:tc>
          <w:tcPr>
            <w:tcW w:w="194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75.9 </w:t>
            </w:r>
            <w:r>
              <w:rPr>
                <w:rFonts w:cs="Akhbar MT" w:hint="cs"/>
                <w:sz w:val="28"/>
                <w:szCs w:val="28"/>
                <w:rtl/>
              </w:rPr>
              <w:t>٪</w:t>
            </w:r>
          </w:p>
        </w:tc>
      </w:tr>
      <w:tr w:rsidR="00D571CD">
        <w:tblPrEx>
          <w:tblCellMar>
            <w:top w:w="0" w:type="dxa"/>
            <w:bottom w:w="0" w:type="dxa"/>
          </w:tblCellMar>
        </w:tblPrEx>
        <w:trPr>
          <w:jc w:val="center"/>
        </w:trPr>
        <w:tc>
          <w:tcPr>
            <w:tcW w:w="5840" w:type="dxa"/>
            <w:shd w:val="clear" w:color="auto" w:fill="auto"/>
          </w:tcPr>
          <w:p w:rsidR="00D571CD" w:rsidRPr="009C4DB5" w:rsidRDefault="00D571CD" w:rsidP="0011796D">
            <w:pPr>
              <w:spacing w:before="40" w:after="40" w:line="260" w:lineRule="exact"/>
              <w:rPr>
                <w:rFonts w:hint="cs"/>
                <w:sz w:val="28"/>
                <w:szCs w:val="28"/>
                <w:rtl/>
              </w:rPr>
            </w:pPr>
            <w:r w:rsidRPr="009C4DB5">
              <w:rPr>
                <w:rFonts w:hint="cs"/>
                <w:sz w:val="28"/>
                <w:szCs w:val="28"/>
                <w:rtl/>
              </w:rPr>
              <w:t>معدل العمالة في مكافئات العمل المتفرغ في عام 2002</w:t>
            </w:r>
            <w:r w:rsidRPr="009C4DB5">
              <w:rPr>
                <w:rFonts w:hint="cs"/>
                <w:sz w:val="28"/>
                <w:szCs w:val="28"/>
                <w:vertAlign w:val="superscript"/>
                <w:rtl/>
              </w:rPr>
              <w:t>(2)</w:t>
            </w:r>
          </w:p>
        </w:tc>
        <w:tc>
          <w:tcPr>
            <w:tcW w:w="207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51.4 </w:t>
            </w:r>
            <w:r>
              <w:rPr>
                <w:rFonts w:cs="Akhbar MT" w:hint="cs"/>
                <w:sz w:val="28"/>
                <w:szCs w:val="28"/>
                <w:rtl/>
              </w:rPr>
              <w:t>٪</w:t>
            </w:r>
          </w:p>
        </w:tc>
        <w:tc>
          <w:tcPr>
            <w:tcW w:w="194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74.8 </w:t>
            </w:r>
            <w:r>
              <w:rPr>
                <w:rFonts w:cs="Akhbar MT" w:hint="cs"/>
                <w:sz w:val="28"/>
                <w:szCs w:val="28"/>
                <w:rtl/>
              </w:rPr>
              <w:t>٪</w:t>
            </w:r>
          </w:p>
        </w:tc>
      </w:tr>
      <w:tr w:rsidR="00D571CD">
        <w:tblPrEx>
          <w:tblCellMar>
            <w:top w:w="0" w:type="dxa"/>
            <w:bottom w:w="0" w:type="dxa"/>
          </w:tblCellMar>
        </w:tblPrEx>
        <w:trPr>
          <w:jc w:val="center"/>
        </w:trPr>
        <w:tc>
          <w:tcPr>
            <w:tcW w:w="5840" w:type="dxa"/>
            <w:shd w:val="clear" w:color="auto" w:fill="auto"/>
          </w:tcPr>
          <w:p w:rsidR="00D571CD" w:rsidRPr="009C4DB5" w:rsidRDefault="00D571CD" w:rsidP="0011796D">
            <w:pPr>
              <w:spacing w:before="40" w:after="40" w:line="260" w:lineRule="exact"/>
              <w:rPr>
                <w:rFonts w:hint="cs"/>
                <w:sz w:val="28"/>
                <w:szCs w:val="28"/>
                <w:rtl/>
              </w:rPr>
            </w:pPr>
            <w:r w:rsidRPr="009C4DB5">
              <w:rPr>
                <w:rFonts w:hint="cs"/>
                <w:sz w:val="28"/>
                <w:szCs w:val="28"/>
                <w:rtl/>
              </w:rPr>
              <w:t>معدل العمالة في عام 2003</w:t>
            </w:r>
            <w:r w:rsidRPr="009C4DB5">
              <w:rPr>
                <w:rFonts w:hint="cs"/>
                <w:sz w:val="28"/>
                <w:szCs w:val="28"/>
                <w:vertAlign w:val="superscript"/>
                <w:rtl/>
              </w:rPr>
              <w:t>(2)</w:t>
            </w:r>
          </w:p>
        </w:tc>
        <w:tc>
          <w:tcPr>
            <w:tcW w:w="207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62.8 </w:t>
            </w:r>
            <w:r>
              <w:rPr>
                <w:rFonts w:cs="Akhbar MT" w:hint="cs"/>
                <w:sz w:val="28"/>
                <w:szCs w:val="28"/>
                <w:rtl/>
              </w:rPr>
              <w:t>٪</w:t>
            </w:r>
          </w:p>
        </w:tc>
        <w:tc>
          <w:tcPr>
            <w:tcW w:w="194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75.8 </w:t>
            </w:r>
            <w:r>
              <w:rPr>
                <w:rFonts w:cs="Akhbar MT" w:hint="cs"/>
                <w:sz w:val="28"/>
                <w:szCs w:val="28"/>
                <w:rtl/>
              </w:rPr>
              <w:t>٪</w:t>
            </w:r>
          </w:p>
        </w:tc>
      </w:tr>
      <w:tr w:rsidR="00D571CD">
        <w:tblPrEx>
          <w:tblCellMar>
            <w:top w:w="0" w:type="dxa"/>
            <w:bottom w:w="0" w:type="dxa"/>
          </w:tblCellMar>
        </w:tblPrEx>
        <w:trPr>
          <w:jc w:val="center"/>
        </w:trPr>
        <w:tc>
          <w:tcPr>
            <w:tcW w:w="5840" w:type="dxa"/>
            <w:shd w:val="clear" w:color="auto" w:fill="auto"/>
          </w:tcPr>
          <w:p w:rsidR="00D571CD" w:rsidRPr="009C4DB5" w:rsidRDefault="00D571CD" w:rsidP="0011796D">
            <w:pPr>
              <w:spacing w:before="40" w:after="40" w:line="260" w:lineRule="exact"/>
              <w:rPr>
                <w:rFonts w:hint="cs"/>
                <w:sz w:val="28"/>
                <w:szCs w:val="28"/>
                <w:rtl/>
              </w:rPr>
            </w:pPr>
            <w:r w:rsidRPr="009C4DB5">
              <w:rPr>
                <w:rFonts w:hint="cs"/>
                <w:sz w:val="28"/>
                <w:szCs w:val="28"/>
                <w:rtl/>
              </w:rPr>
              <w:t>العمالة القياسية التابعة في عام 2002</w:t>
            </w:r>
            <w:r w:rsidRPr="009C4DB5">
              <w:rPr>
                <w:rFonts w:hint="cs"/>
                <w:sz w:val="28"/>
                <w:szCs w:val="28"/>
                <w:vertAlign w:val="superscript"/>
                <w:rtl/>
              </w:rPr>
              <w:t>(3)</w:t>
            </w:r>
          </w:p>
        </w:tc>
        <w:tc>
          <w:tcPr>
            <w:tcW w:w="207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066 345 1</w:t>
            </w:r>
          </w:p>
        </w:tc>
        <w:tc>
          <w:tcPr>
            <w:tcW w:w="194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446 718 1</w:t>
            </w:r>
          </w:p>
        </w:tc>
      </w:tr>
      <w:tr w:rsidR="00D571CD">
        <w:tblPrEx>
          <w:tblCellMar>
            <w:top w:w="0" w:type="dxa"/>
            <w:bottom w:w="0" w:type="dxa"/>
          </w:tblCellMar>
        </w:tblPrEx>
        <w:trPr>
          <w:jc w:val="center"/>
        </w:trPr>
        <w:tc>
          <w:tcPr>
            <w:tcW w:w="5840" w:type="dxa"/>
            <w:shd w:val="clear" w:color="auto" w:fill="auto"/>
          </w:tcPr>
          <w:p w:rsidR="00D571CD" w:rsidRPr="009C4DB5" w:rsidRDefault="00D571CD" w:rsidP="0011796D">
            <w:pPr>
              <w:spacing w:before="40" w:after="40" w:line="260" w:lineRule="exact"/>
              <w:rPr>
                <w:rFonts w:hint="cs"/>
                <w:sz w:val="28"/>
                <w:szCs w:val="28"/>
                <w:rtl/>
              </w:rPr>
            </w:pPr>
            <w:r w:rsidRPr="009C4DB5">
              <w:rPr>
                <w:rFonts w:hint="cs"/>
                <w:sz w:val="28"/>
                <w:szCs w:val="28"/>
                <w:rtl/>
              </w:rPr>
              <w:t>العمالة القياسية التابعة في عام 2003</w:t>
            </w:r>
            <w:r w:rsidRPr="009C4DB5">
              <w:rPr>
                <w:rFonts w:hint="cs"/>
                <w:sz w:val="28"/>
                <w:szCs w:val="28"/>
                <w:vertAlign w:val="superscript"/>
                <w:rtl/>
              </w:rPr>
              <w:t>(3)</w:t>
            </w:r>
          </w:p>
        </w:tc>
        <w:tc>
          <w:tcPr>
            <w:tcW w:w="207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268 353 1</w:t>
            </w:r>
          </w:p>
        </w:tc>
        <w:tc>
          <w:tcPr>
            <w:tcW w:w="194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406 717 1</w:t>
            </w:r>
          </w:p>
        </w:tc>
      </w:tr>
      <w:tr w:rsidR="00D571CD">
        <w:tblPrEx>
          <w:tblCellMar>
            <w:top w:w="0" w:type="dxa"/>
            <w:bottom w:w="0" w:type="dxa"/>
          </w:tblCellMar>
        </w:tblPrEx>
        <w:trPr>
          <w:jc w:val="center"/>
        </w:trPr>
        <w:tc>
          <w:tcPr>
            <w:tcW w:w="5840" w:type="dxa"/>
            <w:shd w:val="clear" w:color="auto" w:fill="auto"/>
          </w:tcPr>
          <w:p w:rsidR="00D571CD" w:rsidRPr="009C4DB5" w:rsidRDefault="00D571CD" w:rsidP="0011796D">
            <w:pPr>
              <w:spacing w:before="40" w:after="40" w:line="260" w:lineRule="exact"/>
              <w:rPr>
                <w:rFonts w:hint="cs"/>
                <w:sz w:val="28"/>
                <w:szCs w:val="28"/>
                <w:rtl/>
              </w:rPr>
            </w:pPr>
            <w:r w:rsidRPr="009C4DB5">
              <w:rPr>
                <w:rFonts w:hint="cs"/>
                <w:sz w:val="28"/>
                <w:szCs w:val="28"/>
                <w:rtl/>
              </w:rPr>
              <w:t>النسبة المئوية</w:t>
            </w:r>
          </w:p>
        </w:tc>
        <w:tc>
          <w:tcPr>
            <w:tcW w:w="207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44 </w:t>
            </w:r>
            <w:r>
              <w:rPr>
                <w:rFonts w:cs="Akhbar MT" w:hint="cs"/>
                <w:sz w:val="28"/>
                <w:szCs w:val="28"/>
                <w:rtl/>
              </w:rPr>
              <w:t>٪</w:t>
            </w:r>
          </w:p>
        </w:tc>
        <w:tc>
          <w:tcPr>
            <w:tcW w:w="194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56 </w:t>
            </w:r>
            <w:r>
              <w:rPr>
                <w:rFonts w:cs="Akhbar MT" w:hint="cs"/>
                <w:sz w:val="28"/>
                <w:szCs w:val="28"/>
                <w:rtl/>
              </w:rPr>
              <w:t>٪</w:t>
            </w:r>
          </w:p>
        </w:tc>
      </w:tr>
      <w:tr w:rsidR="00D571CD">
        <w:tblPrEx>
          <w:tblCellMar>
            <w:top w:w="0" w:type="dxa"/>
            <w:bottom w:w="0" w:type="dxa"/>
          </w:tblCellMar>
        </w:tblPrEx>
        <w:trPr>
          <w:jc w:val="center"/>
        </w:trPr>
        <w:tc>
          <w:tcPr>
            <w:tcW w:w="5840" w:type="dxa"/>
            <w:shd w:val="clear" w:color="auto" w:fill="auto"/>
          </w:tcPr>
          <w:p w:rsidR="00D571CD" w:rsidRPr="009C4DB5" w:rsidRDefault="00D571CD" w:rsidP="0011796D">
            <w:pPr>
              <w:spacing w:before="40" w:after="40" w:line="260" w:lineRule="exact"/>
              <w:rPr>
                <w:rFonts w:hint="cs"/>
                <w:sz w:val="28"/>
                <w:szCs w:val="28"/>
                <w:rtl/>
              </w:rPr>
            </w:pPr>
            <w:r w:rsidRPr="009C4DB5">
              <w:rPr>
                <w:rFonts w:hint="cs"/>
                <w:sz w:val="28"/>
                <w:szCs w:val="28"/>
                <w:rtl/>
              </w:rPr>
              <w:t>معدل العمل المتفرغ في عام 2003، العاملون التابعون</w:t>
            </w:r>
            <w:r w:rsidRPr="009C4DB5">
              <w:rPr>
                <w:rFonts w:hint="cs"/>
                <w:sz w:val="28"/>
                <w:szCs w:val="28"/>
                <w:vertAlign w:val="superscript"/>
                <w:rtl/>
              </w:rPr>
              <w:t>(4)</w:t>
            </w:r>
          </w:p>
        </w:tc>
        <w:tc>
          <w:tcPr>
            <w:tcW w:w="207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lang w:bidi="ar-LB"/>
              </w:rPr>
              <w:t>64</w:t>
            </w:r>
            <w:r>
              <w:rPr>
                <w:rFonts w:hint="cs"/>
                <w:sz w:val="28"/>
                <w:szCs w:val="28"/>
                <w:rtl/>
              </w:rPr>
              <w:t>.</w:t>
            </w:r>
            <w:r>
              <w:rPr>
                <w:rFonts w:hint="cs"/>
                <w:sz w:val="28"/>
                <w:szCs w:val="28"/>
                <w:rtl/>
                <w:lang w:bidi="ar-LB"/>
              </w:rPr>
              <w:t>2</w:t>
            </w:r>
            <w:r>
              <w:rPr>
                <w:rFonts w:hint="cs"/>
                <w:sz w:val="28"/>
                <w:szCs w:val="28"/>
                <w:rtl/>
              </w:rPr>
              <w:t xml:space="preserve">  </w:t>
            </w:r>
            <w:r>
              <w:rPr>
                <w:rFonts w:cs="Akhbar MT" w:hint="cs"/>
                <w:sz w:val="28"/>
                <w:szCs w:val="28"/>
                <w:rtl/>
              </w:rPr>
              <w:t>٪</w:t>
            </w:r>
          </w:p>
        </w:tc>
        <w:tc>
          <w:tcPr>
            <w:tcW w:w="194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96.1 </w:t>
            </w:r>
            <w:r>
              <w:rPr>
                <w:rFonts w:cs="Akhbar MT" w:hint="cs"/>
                <w:sz w:val="28"/>
                <w:szCs w:val="28"/>
                <w:rtl/>
              </w:rPr>
              <w:t>٪</w:t>
            </w:r>
          </w:p>
        </w:tc>
      </w:tr>
      <w:tr w:rsidR="00D571CD">
        <w:tblPrEx>
          <w:tblCellMar>
            <w:top w:w="0" w:type="dxa"/>
            <w:bottom w:w="0" w:type="dxa"/>
          </w:tblCellMar>
        </w:tblPrEx>
        <w:trPr>
          <w:jc w:val="center"/>
        </w:trPr>
        <w:tc>
          <w:tcPr>
            <w:tcW w:w="5840" w:type="dxa"/>
            <w:shd w:val="clear" w:color="auto" w:fill="auto"/>
          </w:tcPr>
          <w:p w:rsidR="00D571CD" w:rsidRPr="009C4DB5" w:rsidRDefault="00D571CD" w:rsidP="0011796D">
            <w:pPr>
              <w:spacing w:before="40" w:after="40" w:line="260" w:lineRule="exact"/>
              <w:rPr>
                <w:rFonts w:hint="cs"/>
                <w:sz w:val="28"/>
                <w:szCs w:val="28"/>
                <w:rtl/>
              </w:rPr>
            </w:pPr>
            <w:r w:rsidRPr="009C4DB5">
              <w:rPr>
                <w:rFonts w:hint="cs"/>
                <w:sz w:val="28"/>
                <w:szCs w:val="28"/>
                <w:rtl/>
              </w:rPr>
              <w:t>معدل العمل المتفرغ في عام 2003، العاملون التابعون</w:t>
            </w:r>
            <w:r w:rsidRPr="009C4DB5">
              <w:rPr>
                <w:rFonts w:hint="cs"/>
                <w:sz w:val="28"/>
                <w:szCs w:val="28"/>
                <w:vertAlign w:val="superscript"/>
                <w:rtl/>
              </w:rPr>
              <w:t>(4)</w:t>
            </w:r>
          </w:p>
        </w:tc>
        <w:tc>
          <w:tcPr>
            <w:tcW w:w="207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63.0 </w:t>
            </w:r>
            <w:r>
              <w:rPr>
                <w:rFonts w:cs="Akhbar MT" w:hint="cs"/>
                <w:sz w:val="28"/>
                <w:szCs w:val="28"/>
                <w:rtl/>
              </w:rPr>
              <w:t>٪</w:t>
            </w:r>
          </w:p>
        </w:tc>
        <w:tc>
          <w:tcPr>
            <w:tcW w:w="194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96.2 </w:t>
            </w:r>
            <w:r>
              <w:rPr>
                <w:rFonts w:cs="Akhbar MT" w:hint="cs"/>
                <w:sz w:val="28"/>
                <w:szCs w:val="28"/>
                <w:rtl/>
              </w:rPr>
              <w:t>٪</w:t>
            </w:r>
          </w:p>
        </w:tc>
      </w:tr>
      <w:tr w:rsidR="00D571CD">
        <w:tblPrEx>
          <w:tblCellMar>
            <w:top w:w="0" w:type="dxa"/>
            <w:bottom w:w="0" w:type="dxa"/>
          </w:tblCellMar>
        </w:tblPrEx>
        <w:trPr>
          <w:jc w:val="center"/>
        </w:trPr>
        <w:tc>
          <w:tcPr>
            <w:tcW w:w="5840" w:type="dxa"/>
            <w:shd w:val="clear" w:color="auto" w:fill="auto"/>
          </w:tcPr>
          <w:p w:rsidR="00D571CD" w:rsidRPr="009C4DB5" w:rsidRDefault="00D571CD" w:rsidP="0011796D">
            <w:pPr>
              <w:spacing w:before="40" w:after="40" w:line="260" w:lineRule="exact"/>
              <w:rPr>
                <w:rFonts w:hint="cs"/>
                <w:sz w:val="28"/>
                <w:szCs w:val="28"/>
                <w:rtl/>
              </w:rPr>
            </w:pPr>
            <w:r w:rsidRPr="009C4DB5">
              <w:rPr>
                <w:rFonts w:hint="cs"/>
                <w:sz w:val="28"/>
                <w:szCs w:val="28"/>
                <w:rtl/>
              </w:rPr>
              <w:t>معدل العمل غير المتفرغ 2002</w:t>
            </w:r>
            <w:r w:rsidRPr="009C4DB5">
              <w:rPr>
                <w:rFonts w:hint="cs"/>
                <w:sz w:val="28"/>
                <w:szCs w:val="28"/>
                <w:vertAlign w:val="superscript"/>
                <w:rtl/>
              </w:rPr>
              <w:t>(5)</w:t>
            </w:r>
          </w:p>
        </w:tc>
        <w:tc>
          <w:tcPr>
            <w:tcW w:w="207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35.8 </w:t>
            </w:r>
            <w:r>
              <w:rPr>
                <w:rFonts w:cs="Akhbar MT" w:hint="cs"/>
                <w:sz w:val="28"/>
                <w:szCs w:val="28"/>
                <w:rtl/>
              </w:rPr>
              <w:t>٪</w:t>
            </w:r>
          </w:p>
        </w:tc>
        <w:tc>
          <w:tcPr>
            <w:tcW w:w="194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3.9 </w:t>
            </w:r>
            <w:r>
              <w:rPr>
                <w:rFonts w:cs="Akhbar MT" w:hint="cs"/>
                <w:sz w:val="28"/>
                <w:szCs w:val="28"/>
                <w:rtl/>
              </w:rPr>
              <w:t>٪</w:t>
            </w:r>
          </w:p>
        </w:tc>
      </w:tr>
      <w:tr w:rsidR="00D571CD">
        <w:tblPrEx>
          <w:tblCellMar>
            <w:top w:w="0" w:type="dxa"/>
            <w:bottom w:w="0" w:type="dxa"/>
          </w:tblCellMar>
        </w:tblPrEx>
        <w:trPr>
          <w:jc w:val="center"/>
        </w:trPr>
        <w:tc>
          <w:tcPr>
            <w:tcW w:w="5840" w:type="dxa"/>
            <w:shd w:val="clear" w:color="auto" w:fill="auto"/>
          </w:tcPr>
          <w:p w:rsidR="00D571CD" w:rsidRPr="009C4DB5" w:rsidRDefault="00D571CD" w:rsidP="0011796D">
            <w:pPr>
              <w:spacing w:before="40" w:after="40" w:line="260" w:lineRule="exact"/>
              <w:rPr>
                <w:rFonts w:hint="cs"/>
                <w:sz w:val="28"/>
                <w:szCs w:val="28"/>
                <w:rtl/>
              </w:rPr>
            </w:pPr>
            <w:r w:rsidRPr="009C4DB5">
              <w:rPr>
                <w:rFonts w:hint="cs"/>
                <w:sz w:val="28"/>
                <w:szCs w:val="28"/>
                <w:rtl/>
              </w:rPr>
              <w:t>معدل العمل غير المتفرغ في عام 2003</w:t>
            </w:r>
            <w:r w:rsidRPr="009C4DB5">
              <w:rPr>
                <w:rFonts w:hint="cs"/>
                <w:sz w:val="28"/>
                <w:szCs w:val="28"/>
                <w:vertAlign w:val="superscript"/>
                <w:rtl/>
              </w:rPr>
              <w:t>(5)</w:t>
            </w:r>
          </w:p>
        </w:tc>
        <w:tc>
          <w:tcPr>
            <w:tcW w:w="207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37.0 </w:t>
            </w:r>
            <w:r>
              <w:rPr>
                <w:rFonts w:cs="Akhbar MT" w:hint="cs"/>
                <w:sz w:val="28"/>
                <w:szCs w:val="28"/>
                <w:rtl/>
              </w:rPr>
              <w:t>٪</w:t>
            </w:r>
          </w:p>
        </w:tc>
        <w:tc>
          <w:tcPr>
            <w:tcW w:w="194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3.8 </w:t>
            </w:r>
            <w:r>
              <w:rPr>
                <w:rFonts w:cs="Akhbar MT" w:hint="cs"/>
                <w:sz w:val="28"/>
                <w:szCs w:val="28"/>
                <w:rtl/>
              </w:rPr>
              <w:t>٪</w:t>
            </w:r>
          </w:p>
        </w:tc>
      </w:tr>
      <w:tr w:rsidR="00D571CD">
        <w:tblPrEx>
          <w:tblCellMar>
            <w:top w:w="0" w:type="dxa"/>
            <w:bottom w:w="0" w:type="dxa"/>
          </w:tblCellMar>
        </w:tblPrEx>
        <w:trPr>
          <w:jc w:val="center"/>
        </w:trPr>
        <w:tc>
          <w:tcPr>
            <w:tcW w:w="5840" w:type="dxa"/>
            <w:shd w:val="clear" w:color="auto" w:fill="auto"/>
          </w:tcPr>
          <w:p w:rsidR="00D571CD" w:rsidRPr="009C4DB5" w:rsidRDefault="00D571CD" w:rsidP="0011796D">
            <w:pPr>
              <w:spacing w:before="40" w:after="40" w:line="260" w:lineRule="exact"/>
              <w:rPr>
                <w:rFonts w:hint="cs"/>
                <w:sz w:val="28"/>
                <w:szCs w:val="28"/>
                <w:rtl/>
              </w:rPr>
            </w:pPr>
            <w:r w:rsidRPr="009C4DB5">
              <w:rPr>
                <w:rFonts w:hint="cs"/>
                <w:sz w:val="28"/>
                <w:szCs w:val="28"/>
                <w:rtl/>
              </w:rPr>
              <w:t>البطالة في عام 2002</w:t>
            </w:r>
            <w:r w:rsidRPr="009C4DB5">
              <w:rPr>
                <w:rFonts w:hint="cs"/>
                <w:sz w:val="28"/>
                <w:szCs w:val="28"/>
                <w:vertAlign w:val="superscript"/>
                <w:rtl/>
              </w:rPr>
              <w:t>(6)</w:t>
            </w:r>
          </w:p>
        </w:tc>
        <w:tc>
          <w:tcPr>
            <w:tcW w:w="207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041 98</w:t>
            </w:r>
          </w:p>
        </w:tc>
        <w:tc>
          <w:tcPr>
            <w:tcW w:w="194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377 134</w:t>
            </w:r>
          </w:p>
        </w:tc>
      </w:tr>
      <w:tr w:rsidR="00D571CD">
        <w:tblPrEx>
          <w:tblCellMar>
            <w:top w:w="0" w:type="dxa"/>
            <w:bottom w:w="0" w:type="dxa"/>
          </w:tblCellMar>
        </w:tblPrEx>
        <w:trPr>
          <w:jc w:val="center"/>
        </w:trPr>
        <w:tc>
          <w:tcPr>
            <w:tcW w:w="5840" w:type="dxa"/>
            <w:shd w:val="clear" w:color="auto" w:fill="auto"/>
          </w:tcPr>
          <w:p w:rsidR="00D571CD" w:rsidRPr="009C4DB5" w:rsidRDefault="00D571CD" w:rsidP="0011796D">
            <w:pPr>
              <w:spacing w:before="40" w:after="40" w:line="260" w:lineRule="exact"/>
              <w:rPr>
                <w:rFonts w:hint="cs"/>
                <w:sz w:val="28"/>
                <w:szCs w:val="28"/>
                <w:rtl/>
              </w:rPr>
            </w:pPr>
            <w:r w:rsidRPr="009C4DB5">
              <w:rPr>
                <w:rFonts w:hint="cs"/>
                <w:sz w:val="28"/>
                <w:szCs w:val="28"/>
                <w:rtl/>
              </w:rPr>
              <w:t>البطالة في عام 2003</w:t>
            </w:r>
            <w:r w:rsidRPr="009C4DB5">
              <w:rPr>
                <w:rFonts w:hint="cs"/>
                <w:sz w:val="28"/>
                <w:szCs w:val="28"/>
                <w:vertAlign w:val="superscript"/>
                <w:rtl/>
              </w:rPr>
              <w:t>(6)</w:t>
            </w:r>
          </w:p>
        </w:tc>
        <w:tc>
          <w:tcPr>
            <w:tcW w:w="207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1362 100</w:t>
            </w:r>
          </w:p>
        </w:tc>
        <w:tc>
          <w:tcPr>
            <w:tcW w:w="194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717 139</w:t>
            </w:r>
          </w:p>
        </w:tc>
      </w:tr>
      <w:tr w:rsidR="00D571CD">
        <w:tblPrEx>
          <w:tblCellMar>
            <w:top w:w="0" w:type="dxa"/>
            <w:bottom w:w="0" w:type="dxa"/>
          </w:tblCellMar>
        </w:tblPrEx>
        <w:trPr>
          <w:jc w:val="center"/>
        </w:trPr>
        <w:tc>
          <w:tcPr>
            <w:tcW w:w="5840" w:type="dxa"/>
            <w:shd w:val="clear" w:color="auto" w:fill="auto"/>
          </w:tcPr>
          <w:p w:rsidR="00D571CD" w:rsidRPr="009C4DB5" w:rsidRDefault="00D571CD" w:rsidP="0011796D">
            <w:pPr>
              <w:spacing w:before="40" w:after="40" w:line="260" w:lineRule="exact"/>
              <w:rPr>
                <w:rFonts w:hint="cs"/>
                <w:sz w:val="28"/>
                <w:szCs w:val="28"/>
                <w:rtl/>
              </w:rPr>
            </w:pPr>
            <w:r w:rsidRPr="009C4DB5">
              <w:rPr>
                <w:rFonts w:hint="cs"/>
                <w:sz w:val="28"/>
                <w:szCs w:val="28"/>
                <w:rtl/>
              </w:rPr>
              <w:t>معدل البطالة في عام 2003 (بيانات السجل)</w:t>
            </w:r>
            <w:r w:rsidRPr="009C4DB5">
              <w:rPr>
                <w:rFonts w:hint="cs"/>
                <w:sz w:val="28"/>
                <w:szCs w:val="28"/>
                <w:vertAlign w:val="superscript"/>
                <w:rtl/>
              </w:rPr>
              <w:t>(7)</w:t>
            </w:r>
          </w:p>
        </w:tc>
        <w:tc>
          <w:tcPr>
            <w:tcW w:w="207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6.5 </w:t>
            </w:r>
            <w:r>
              <w:rPr>
                <w:rFonts w:cs="Akhbar MT" w:hint="cs"/>
                <w:sz w:val="28"/>
                <w:szCs w:val="28"/>
                <w:rtl/>
              </w:rPr>
              <w:t>٪</w:t>
            </w:r>
          </w:p>
        </w:tc>
        <w:tc>
          <w:tcPr>
            <w:tcW w:w="194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7.5 </w:t>
            </w:r>
            <w:r>
              <w:rPr>
                <w:rFonts w:cs="Akhbar MT" w:hint="cs"/>
                <w:sz w:val="28"/>
                <w:szCs w:val="28"/>
                <w:rtl/>
              </w:rPr>
              <w:t>٪</w:t>
            </w:r>
          </w:p>
        </w:tc>
      </w:tr>
      <w:tr w:rsidR="00D571CD">
        <w:tblPrEx>
          <w:tblCellMar>
            <w:top w:w="0" w:type="dxa"/>
            <w:bottom w:w="0" w:type="dxa"/>
          </w:tblCellMar>
        </w:tblPrEx>
        <w:trPr>
          <w:jc w:val="center"/>
        </w:trPr>
        <w:tc>
          <w:tcPr>
            <w:tcW w:w="5840" w:type="dxa"/>
            <w:shd w:val="clear" w:color="auto" w:fill="auto"/>
          </w:tcPr>
          <w:p w:rsidR="00D571CD" w:rsidRPr="009C4DB5" w:rsidRDefault="00D571CD" w:rsidP="0011796D">
            <w:pPr>
              <w:spacing w:before="40" w:after="40" w:line="260" w:lineRule="exact"/>
              <w:rPr>
                <w:rFonts w:hint="cs"/>
                <w:sz w:val="28"/>
                <w:szCs w:val="28"/>
                <w:rtl/>
              </w:rPr>
            </w:pPr>
            <w:r w:rsidRPr="009C4DB5">
              <w:rPr>
                <w:rFonts w:hint="cs"/>
                <w:sz w:val="28"/>
                <w:szCs w:val="28"/>
                <w:rtl/>
              </w:rPr>
              <w:t>معدل البطالة في عام 2003</w:t>
            </w:r>
            <w:r w:rsidRPr="009C4DB5">
              <w:rPr>
                <w:rFonts w:hint="cs"/>
                <w:sz w:val="28"/>
                <w:szCs w:val="28"/>
                <w:vertAlign w:val="superscript"/>
                <w:rtl/>
              </w:rPr>
              <w:t>(8)</w:t>
            </w:r>
          </w:p>
        </w:tc>
        <w:tc>
          <w:tcPr>
            <w:tcW w:w="207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4.6 </w:t>
            </w:r>
            <w:r>
              <w:rPr>
                <w:rFonts w:cs="Akhbar MT" w:hint="cs"/>
                <w:sz w:val="28"/>
                <w:szCs w:val="28"/>
                <w:rtl/>
              </w:rPr>
              <w:t>٪</w:t>
            </w:r>
          </w:p>
        </w:tc>
        <w:tc>
          <w:tcPr>
            <w:tcW w:w="1940" w:type="dxa"/>
            <w:shd w:val="clear" w:color="auto" w:fill="auto"/>
          </w:tcPr>
          <w:p w:rsidR="00D571CD" w:rsidRPr="009C4DB5" w:rsidRDefault="00D571CD" w:rsidP="0011796D">
            <w:pPr>
              <w:spacing w:before="40" w:after="40" w:line="260" w:lineRule="exact"/>
              <w:rPr>
                <w:rFonts w:hint="cs"/>
                <w:sz w:val="28"/>
                <w:szCs w:val="28"/>
                <w:rtl/>
              </w:rPr>
            </w:pPr>
            <w:r>
              <w:rPr>
                <w:rFonts w:hint="cs"/>
                <w:sz w:val="28"/>
                <w:szCs w:val="28"/>
                <w:rtl/>
              </w:rPr>
              <w:t xml:space="preserve">4.2 </w:t>
            </w:r>
            <w:r>
              <w:rPr>
                <w:rFonts w:cs="Akhbar MT" w:hint="cs"/>
                <w:sz w:val="28"/>
                <w:szCs w:val="28"/>
                <w:rtl/>
              </w:rPr>
              <w:t>٪</w:t>
            </w:r>
          </w:p>
        </w:tc>
      </w:tr>
    </w:tbl>
    <w:p w:rsidR="00D571CD" w:rsidRPr="00395BF6" w:rsidRDefault="00D571CD" w:rsidP="00D571CD">
      <w:pPr>
        <w:pStyle w:val="SingleTxt"/>
        <w:spacing w:after="0" w:line="120" w:lineRule="exact"/>
        <w:rPr>
          <w:sz w:val="10"/>
          <w:szCs w:val="26"/>
          <w:rtl/>
        </w:rPr>
      </w:pPr>
    </w:p>
    <w:p w:rsidR="00D571CD" w:rsidRPr="009C4DB5" w:rsidRDefault="00D571CD" w:rsidP="00297B7E">
      <w:pPr>
        <w:pStyle w:val="SingleTxt"/>
        <w:spacing w:line="240" w:lineRule="exact"/>
        <w:ind w:left="1930" w:hanging="663"/>
        <w:rPr>
          <w:rFonts w:hint="cs"/>
          <w:sz w:val="26"/>
          <w:szCs w:val="26"/>
          <w:rtl/>
        </w:rPr>
      </w:pPr>
      <w:r w:rsidRPr="009C4DB5">
        <w:rPr>
          <w:rFonts w:hint="cs"/>
          <w:sz w:val="26"/>
          <w:szCs w:val="26"/>
          <w:rtl/>
        </w:rPr>
        <w:t>(1)</w:t>
      </w:r>
      <w:r w:rsidRPr="009C4DB5">
        <w:rPr>
          <w:rFonts w:hint="cs"/>
          <w:sz w:val="26"/>
          <w:szCs w:val="26"/>
          <w:rtl/>
        </w:rPr>
        <w:tab/>
        <w:t>نتائج تعداد السكان. النساء والرجال الذين يتراوح عمرهم بين 15 و 64 سنة. إحصاءات النمسا.</w:t>
      </w:r>
    </w:p>
    <w:p w:rsidR="00D571CD" w:rsidRPr="009C4DB5" w:rsidRDefault="00D571CD" w:rsidP="00D571CD">
      <w:pPr>
        <w:pStyle w:val="SingleTxt"/>
        <w:spacing w:line="240" w:lineRule="exact"/>
        <w:rPr>
          <w:rFonts w:hint="cs"/>
          <w:sz w:val="26"/>
          <w:szCs w:val="26"/>
          <w:rtl/>
        </w:rPr>
      </w:pPr>
      <w:r w:rsidRPr="009C4DB5">
        <w:rPr>
          <w:rFonts w:hint="cs"/>
          <w:sz w:val="26"/>
          <w:szCs w:val="26"/>
          <w:rtl/>
        </w:rPr>
        <w:t>(2)</w:t>
      </w:r>
      <w:r w:rsidRPr="009C4DB5">
        <w:rPr>
          <w:rFonts w:hint="cs"/>
          <w:sz w:val="26"/>
          <w:szCs w:val="26"/>
          <w:rtl/>
        </w:rPr>
        <w:tab/>
        <w:t>الإحصاءات الأوروبية.</w:t>
      </w:r>
    </w:p>
    <w:p w:rsidR="00D571CD" w:rsidRPr="009C4DB5" w:rsidRDefault="00D571CD" w:rsidP="00297B7E">
      <w:pPr>
        <w:pStyle w:val="SingleTxt"/>
        <w:spacing w:line="280" w:lineRule="exact"/>
        <w:ind w:left="1930" w:hanging="663"/>
        <w:rPr>
          <w:rFonts w:hint="cs"/>
          <w:sz w:val="26"/>
          <w:szCs w:val="26"/>
          <w:rtl/>
        </w:rPr>
      </w:pPr>
      <w:r w:rsidRPr="009C4DB5">
        <w:rPr>
          <w:rFonts w:hint="cs"/>
          <w:sz w:val="26"/>
          <w:szCs w:val="26"/>
          <w:rtl/>
        </w:rPr>
        <w:t>(3)</w:t>
      </w:r>
      <w:r w:rsidRPr="009C4DB5">
        <w:rPr>
          <w:rFonts w:hint="cs"/>
          <w:sz w:val="26"/>
          <w:szCs w:val="26"/>
          <w:rtl/>
        </w:rPr>
        <w:tab/>
        <w:t>المتوسط السنوي، رهنا بتوفر تأمين صحي كامل إلزامي، ولا يشمل ذلك المستفيدين من استحقاقات إجازة الوالدين، واستحقاقات رعاية الأطفال والخدمة العسكرية. (رابطة مؤسسة التأمينات الاجتماعية، الخدمة المدنية العامة).</w:t>
      </w:r>
    </w:p>
    <w:p w:rsidR="00D571CD" w:rsidRPr="009C4DB5" w:rsidRDefault="00D571CD" w:rsidP="00D571CD">
      <w:pPr>
        <w:pStyle w:val="SingleTxt"/>
        <w:spacing w:line="240" w:lineRule="exact"/>
        <w:rPr>
          <w:rFonts w:hint="cs"/>
          <w:sz w:val="26"/>
          <w:szCs w:val="26"/>
          <w:rtl/>
        </w:rPr>
      </w:pPr>
      <w:r w:rsidRPr="009C4DB5">
        <w:rPr>
          <w:rFonts w:hint="cs"/>
          <w:sz w:val="26"/>
          <w:szCs w:val="26"/>
          <w:rtl/>
        </w:rPr>
        <w:t>(4)</w:t>
      </w:r>
      <w:r w:rsidRPr="009C4DB5">
        <w:rPr>
          <w:rFonts w:hint="cs"/>
          <w:sz w:val="26"/>
          <w:szCs w:val="26"/>
          <w:rtl/>
        </w:rPr>
        <w:tab/>
        <w:t>36 ساعة أو أكثر في الأسبوع. التعداد المصغر، إحصاءات النمسا.</w:t>
      </w:r>
    </w:p>
    <w:p w:rsidR="00D571CD" w:rsidRPr="009C4DB5" w:rsidRDefault="00D571CD" w:rsidP="00D571CD">
      <w:pPr>
        <w:pStyle w:val="SingleTxt"/>
        <w:spacing w:line="240" w:lineRule="exact"/>
        <w:rPr>
          <w:rFonts w:hint="cs"/>
          <w:sz w:val="26"/>
          <w:szCs w:val="26"/>
          <w:rtl/>
        </w:rPr>
      </w:pPr>
      <w:r w:rsidRPr="009C4DB5">
        <w:rPr>
          <w:rFonts w:hint="cs"/>
          <w:sz w:val="26"/>
          <w:szCs w:val="26"/>
          <w:rtl/>
        </w:rPr>
        <w:t>(5)</w:t>
      </w:r>
      <w:r w:rsidRPr="009C4DB5">
        <w:rPr>
          <w:rFonts w:hint="cs"/>
          <w:sz w:val="26"/>
          <w:szCs w:val="26"/>
          <w:rtl/>
        </w:rPr>
        <w:tab/>
        <w:t>1 إلى 35 ساعة في الأسبوع. التعداد المصغر، إحصاءات النمسا.</w:t>
      </w:r>
    </w:p>
    <w:p w:rsidR="00D571CD" w:rsidRPr="009C4DB5" w:rsidRDefault="00D571CD" w:rsidP="00D571CD">
      <w:pPr>
        <w:pStyle w:val="SingleTxt"/>
        <w:spacing w:line="240" w:lineRule="exact"/>
        <w:rPr>
          <w:rFonts w:hint="cs"/>
          <w:sz w:val="26"/>
          <w:szCs w:val="26"/>
          <w:rtl/>
        </w:rPr>
      </w:pPr>
      <w:r w:rsidRPr="009C4DB5">
        <w:rPr>
          <w:rFonts w:hint="cs"/>
          <w:sz w:val="26"/>
          <w:szCs w:val="26"/>
          <w:rtl/>
        </w:rPr>
        <w:t>(6)</w:t>
      </w:r>
      <w:r w:rsidRPr="009C4DB5">
        <w:rPr>
          <w:rFonts w:hint="cs"/>
          <w:sz w:val="26"/>
          <w:szCs w:val="26"/>
          <w:rtl/>
        </w:rPr>
        <w:tab/>
        <w:t>المتوسط السنوي، الخدمة المدنية العامة.</w:t>
      </w:r>
    </w:p>
    <w:p w:rsidR="00D571CD" w:rsidRPr="009C4DB5" w:rsidRDefault="00D571CD" w:rsidP="00D571CD">
      <w:pPr>
        <w:pStyle w:val="SingleTxt"/>
        <w:spacing w:line="240" w:lineRule="exact"/>
        <w:rPr>
          <w:rFonts w:hint="cs"/>
          <w:sz w:val="26"/>
          <w:szCs w:val="26"/>
          <w:rtl/>
        </w:rPr>
      </w:pPr>
      <w:r w:rsidRPr="009C4DB5">
        <w:rPr>
          <w:rFonts w:hint="cs"/>
          <w:sz w:val="26"/>
          <w:szCs w:val="26"/>
          <w:rtl/>
        </w:rPr>
        <w:t>(7)</w:t>
      </w:r>
      <w:r w:rsidRPr="009C4DB5">
        <w:rPr>
          <w:rFonts w:hint="cs"/>
          <w:sz w:val="26"/>
          <w:szCs w:val="26"/>
          <w:rtl/>
        </w:rPr>
        <w:tab/>
        <w:t>المتوسط السنوي. الخدمة المدنية العامة.</w:t>
      </w:r>
    </w:p>
    <w:p w:rsidR="00D571CD" w:rsidRDefault="00D571CD" w:rsidP="00D571CD">
      <w:pPr>
        <w:pStyle w:val="SingleTxt"/>
        <w:spacing w:line="240" w:lineRule="exact"/>
        <w:rPr>
          <w:sz w:val="26"/>
          <w:szCs w:val="26"/>
        </w:rPr>
      </w:pPr>
      <w:r w:rsidRPr="009C4DB5">
        <w:rPr>
          <w:rFonts w:hint="cs"/>
          <w:sz w:val="26"/>
          <w:szCs w:val="26"/>
          <w:rtl/>
        </w:rPr>
        <w:t>(8)</w:t>
      </w:r>
      <w:r w:rsidRPr="009C4DB5">
        <w:rPr>
          <w:rFonts w:hint="cs"/>
          <w:sz w:val="26"/>
          <w:szCs w:val="26"/>
          <w:rtl/>
        </w:rPr>
        <w:tab/>
        <w:t xml:space="preserve">المتوسط السنوي. الإحصاءات </w:t>
      </w:r>
      <w:r>
        <w:rPr>
          <w:rFonts w:hint="cs"/>
          <w:sz w:val="26"/>
          <w:szCs w:val="26"/>
          <w:rtl/>
        </w:rPr>
        <w:t>الأ</w:t>
      </w:r>
      <w:r w:rsidRPr="009C4DB5">
        <w:rPr>
          <w:rFonts w:hint="cs"/>
          <w:sz w:val="26"/>
          <w:szCs w:val="26"/>
          <w:rtl/>
        </w:rPr>
        <w:t>وروبية.</w:t>
      </w:r>
    </w:p>
    <w:p w:rsidR="00A778FB" w:rsidRPr="007420B0" w:rsidRDefault="007420B0" w:rsidP="007420B0">
      <w:pPr>
        <w:pStyle w:val="SingleTxt"/>
        <w:spacing w:after="0" w:line="240" w:lineRule="auto"/>
        <w:rPr>
          <w:rFonts w:hint="cs"/>
          <w:rtl/>
        </w:rPr>
      </w:pPr>
      <w:r>
        <w:rPr>
          <w:rFonts w:hint="cs"/>
          <w:noProof/>
          <w:w w:val="100"/>
          <w:rtl/>
        </w:rPr>
        <w:pict>
          <v:line id="_x0000_s2054" style="position:absolute;left:0;text-align:left;z-index:5" from="206.6pt,24pt" to="278.6pt,24pt" strokeweight=".25pt">
            <w10:wrap anchorx="page"/>
          </v:line>
        </w:pict>
      </w:r>
    </w:p>
    <w:sectPr w:rsidR="00A778FB" w:rsidRPr="007420B0" w:rsidSect="00125A02">
      <w:headerReference w:type="even" r:id="rId37"/>
      <w:headerReference w:type="default" r:id="rId38"/>
      <w:footerReference w:type="even" r:id="rId39"/>
      <w:footerReference w:type="default" r:id="rId40"/>
      <w:endnotePr>
        <w:numFmt w:val="decimal"/>
      </w:endnotePr>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3-11T15:29:00Z" w:initials="Start">
    <w:p w:rsidR="00F5765D" w:rsidRDefault="00F5765D" w:rsidP="00F5765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w:t>
      </w:r>
      <w:r w:rsidR="003F0DB9">
        <w:t>59637</w:t>
      </w:r>
      <w:r>
        <w:t>A&lt;&lt;ODS JOB NO</w:t>
      </w:r>
      <w:r>
        <w:rPr>
          <w:rtl/>
        </w:rPr>
        <w:t>&gt;&gt;</w:t>
      </w:r>
    </w:p>
    <w:p w:rsidR="00F5765D" w:rsidRDefault="00F5765D" w:rsidP="00F5765D">
      <w:pPr>
        <w:pStyle w:val="CommentText"/>
        <w:rPr>
          <w:rtl/>
        </w:rPr>
      </w:pPr>
      <w:r>
        <w:rPr>
          <w:rtl/>
        </w:rPr>
        <w:t>&lt;&lt;</w:t>
      </w:r>
      <w:r>
        <w:t>ODS DOC SYMBOL1&gt;&gt;CEDAW/C/AUT/</w:t>
      </w:r>
      <w:r w:rsidR="003F0DB9">
        <w:t>6</w:t>
      </w:r>
      <w:r>
        <w:t>&lt;&lt;ODS DOC SYMBOL1</w:t>
      </w:r>
      <w:r>
        <w:rPr>
          <w:rtl/>
        </w:rPr>
        <w:t>&gt;&gt;</w:t>
      </w:r>
    </w:p>
    <w:p w:rsidR="00F5765D" w:rsidRDefault="00F5765D" w:rsidP="00F5765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B70" w:rsidRDefault="002D3B70">
      <w:r>
        <w:separator/>
      </w:r>
    </w:p>
  </w:endnote>
  <w:endnote w:type="continuationSeparator" w:id="0">
    <w:p w:rsidR="002D3B70" w:rsidRDefault="002D3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506E3">
      <w:tblPrEx>
        <w:tblCellMar>
          <w:top w:w="0" w:type="dxa"/>
          <w:bottom w:w="0" w:type="dxa"/>
        </w:tblCellMar>
      </w:tblPrEx>
      <w:tc>
        <w:tcPr>
          <w:tcW w:w="5033" w:type="dxa"/>
          <w:shd w:val="clear" w:color="auto" w:fill="auto"/>
        </w:tcPr>
        <w:p w:rsidR="004506E3" w:rsidRPr="008677C9" w:rsidRDefault="004506E3" w:rsidP="008677C9">
          <w:pPr>
            <w:pStyle w:val="Footer"/>
            <w:jc w:val="right"/>
            <w:rPr>
              <w:w w:val="103"/>
            </w:rPr>
          </w:pPr>
          <w:r>
            <w:rPr>
              <w:w w:val="103"/>
            </w:rPr>
            <w:fldChar w:fldCharType="begin"/>
          </w:r>
          <w:r>
            <w:rPr>
              <w:w w:val="103"/>
            </w:rPr>
            <w:instrText xml:space="preserve"> PAGE  \* MERGEFORMAT </w:instrText>
          </w:r>
          <w:r>
            <w:rPr>
              <w:w w:val="103"/>
            </w:rPr>
            <w:fldChar w:fldCharType="separate"/>
          </w:r>
          <w:r w:rsidR="00BE180F">
            <w:rPr>
              <w:w w:val="103"/>
            </w:rPr>
            <w:t>2</w:t>
          </w:r>
          <w:r>
            <w:rPr>
              <w:w w:val="103"/>
            </w:rPr>
            <w:fldChar w:fldCharType="end"/>
          </w:r>
        </w:p>
      </w:tc>
      <w:tc>
        <w:tcPr>
          <w:tcW w:w="5033" w:type="dxa"/>
          <w:shd w:val="clear" w:color="auto" w:fill="auto"/>
        </w:tcPr>
        <w:p w:rsidR="004506E3" w:rsidRPr="00583617" w:rsidRDefault="004506E3" w:rsidP="008677C9">
          <w:pPr>
            <w:pStyle w:val="Footer"/>
            <w:rPr>
              <w:b w:val="0"/>
              <w:w w:val="103"/>
              <w:lang w:bidi="ar-LB"/>
            </w:rPr>
          </w:pPr>
          <w:r>
            <w:rPr>
              <w:b w:val="0"/>
              <w:w w:val="103"/>
            </w:rPr>
            <w:t>04-</w:t>
          </w:r>
          <w:r>
            <w:rPr>
              <w:b w:val="0"/>
              <w:w w:val="103"/>
              <w:lang w:bidi="ar-LB"/>
            </w:rPr>
            <w:t>59637</w:t>
          </w:r>
        </w:p>
      </w:tc>
    </w:tr>
  </w:tbl>
  <w:p w:rsidR="004506E3" w:rsidRPr="008677C9" w:rsidRDefault="004506E3" w:rsidP="008677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506E3">
      <w:tblPrEx>
        <w:tblCellMar>
          <w:top w:w="0" w:type="dxa"/>
          <w:bottom w:w="0" w:type="dxa"/>
        </w:tblCellMar>
      </w:tblPrEx>
      <w:tc>
        <w:tcPr>
          <w:tcW w:w="5033" w:type="dxa"/>
          <w:shd w:val="clear" w:color="auto" w:fill="auto"/>
        </w:tcPr>
        <w:p w:rsidR="004506E3" w:rsidRPr="008677C9" w:rsidRDefault="004506E3" w:rsidP="008677C9">
          <w:pPr>
            <w:pStyle w:val="Footer"/>
            <w:jc w:val="right"/>
            <w:rPr>
              <w:b w:val="0"/>
              <w:w w:val="103"/>
            </w:rPr>
          </w:pPr>
          <w:r>
            <w:rPr>
              <w:b w:val="0"/>
              <w:w w:val="103"/>
            </w:rPr>
            <w:t>04-59637</w:t>
          </w:r>
        </w:p>
      </w:tc>
      <w:tc>
        <w:tcPr>
          <w:tcW w:w="5033" w:type="dxa"/>
          <w:shd w:val="clear" w:color="auto" w:fill="auto"/>
        </w:tcPr>
        <w:p w:rsidR="004506E3" w:rsidRPr="008677C9" w:rsidRDefault="004506E3" w:rsidP="008677C9">
          <w:pPr>
            <w:pStyle w:val="Footer"/>
            <w:rPr>
              <w:w w:val="103"/>
            </w:rPr>
          </w:pPr>
          <w:r>
            <w:rPr>
              <w:w w:val="103"/>
            </w:rPr>
            <w:fldChar w:fldCharType="begin"/>
          </w:r>
          <w:r>
            <w:rPr>
              <w:w w:val="103"/>
            </w:rPr>
            <w:instrText xml:space="preserve"> PAGE  \* MERGEFORMAT </w:instrText>
          </w:r>
          <w:r>
            <w:rPr>
              <w:w w:val="103"/>
            </w:rPr>
            <w:fldChar w:fldCharType="separate"/>
          </w:r>
          <w:r w:rsidR="00F975D0">
            <w:rPr>
              <w:w w:val="103"/>
            </w:rPr>
            <w:t>101</w:t>
          </w:r>
          <w:r>
            <w:rPr>
              <w:w w:val="103"/>
            </w:rPr>
            <w:fldChar w:fldCharType="end"/>
          </w:r>
        </w:p>
      </w:tc>
    </w:tr>
  </w:tbl>
  <w:p w:rsidR="004506E3" w:rsidRPr="008677C9" w:rsidRDefault="004506E3" w:rsidP="008677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6E3" w:rsidRDefault="004506E3">
    <w:pPr>
      <w:pStyle w:val="Footer"/>
    </w:pPr>
  </w:p>
  <w:p w:rsidR="004506E3" w:rsidRDefault="004506E3" w:rsidP="008856AB">
    <w:pPr>
      <w:pStyle w:val="Footer"/>
      <w:jc w:val="right"/>
      <w:rPr>
        <w:rFonts w:cs="Times New Roman"/>
        <w:b w:val="0"/>
        <w:w w:val="103"/>
        <w:sz w:val="20"/>
      </w:rPr>
    </w:pPr>
    <w:r>
      <w:rPr>
        <w:rFonts w:cs="Times New Roman"/>
        <w:b w:val="0"/>
        <w:w w:val="103"/>
        <w:sz w:val="20"/>
      </w:rPr>
      <w:t>1</w:t>
    </w:r>
    <w:r w:rsidR="008856AB">
      <w:rPr>
        <w:rFonts w:cs="Times New Roman"/>
        <w:b w:val="0"/>
        <w:w w:val="103"/>
        <w:sz w:val="20"/>
      </w:rPr>
      <w:t>10305</w:t>
    </w:r>
    <w:r>
      <w:rPr>
        <w:rFonts w:cs="Times New Roman"/>
        <w:b w:val="0"/>
        <w:w w:val="103"/>
        <w:sz w:val="20"/>
      </w:rPr>
      <w:t xml:space="preserve">    </w:t>
    </w:r>
    <w:r w:rsidR="008856AB">
      <w:rPr>
        <w:rFonts w:cs="Times New Roman"/>
        <w:b w:val="0"/>
        <w:w w:val="103"/>
        <w:sz w:val="20"/>
      </w:rPr>
      <w:t>110305</w:t>
    </w:r>
    <w:r>
      <w:rPr>
        <w:rFonts w:cs="Times New Roman"/>
        <w:b w:val="0"/>
        <w:w w:val="103"/>
        <w:sz w:val="20"/>
      </w:rPr>
      <w:t xml:space="preserve">    04-59637 (A)</w:t>
    </w:r>
  </w:p>
  <w:p w:rsidR="004506E3" w:rsidRPr="008677C9" w:rsidRDefault="004506E3" w:rsidP="00740EBD">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*0459637*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A02" w:rsidRPr="00125A02" w:rsidRDefault="00125A02" w:rsidP="00125A02">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A02" w:rsidRPr="00125A02" w:rsidRDefault="00125A02" w:rsidP="00125A02">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25A02">
      <w:tblPrEx>
        <w:tblCellMar>
          <w:top w:w="0" w:type="dxa"/>
          <w:bottom w:w="0" w:type="dxa"/>
        </w:tblCellMar>
      </w:tblPrEx>
      <w:tc>
        <w:tcPr>
          <w:tcW w:w="5033" w:type="dxa"/>
          <w:shd w:val="clear" w:color="auto" w:fill="auto"/>
        </w:tcPr>
        <w:p w:rsidR="00125A02" w:rsidRPr="008677C9" w:rsidRDefault="00125A02" w:rsidP="008677C9">
          <w:pPr>
            <w:pStyle w:val="Footer"/>
            <w:jc w:val="right"/>
            <w:rPr>
              <w:w w:val="103"/>
            </w:rPr>
          </w:pPr>
          <w:r>
            <w:rPr>
              <w:w w:val="103"/>
            </w:rPr>
            <w:fldChar w:fldCharType="begin"/>
          </w:r>
          <w:r>
            <w:rPr>
              <w:w w:val="103"/>
            </w:rPr>
            <w:instrText xml:space="preserve"> PAGE  \* MERGEFORMAT </w:instrText>
          </w:r>
          <w:r>
            <w:rPr>
              <w:w w:val="103"/>
            </w:rPr>
            <w:fldChar w:fldCharType="separate"/>
          </w:r>
          <w:r w:rsidR="00401A14">
            <w:rPr>
              <w:w w:val="103"/>
            </w:rPr>
            <w:t>114</w:t>
          </w:r>
          <w:r>
            <w:rPr>
              <w:w w:val="103"/>
            </w:rPr>
            <w:fldChar w:fldCharType="end"/>
          </w:r>
        </w:p>
      </w:tc>
      <w:tc>
        <w:tcPr>
          <w:tcW w:w="5033" w:type="dxa"/>
          <w:shd w:val="clear" w:color="auto" w:fill="auto"/>
        </w:tcPr>
        <w:p w:rsidR="00125A02" w:rsidRPr="00583617" w:rsidRDefault="00125A02" w:rsidP="008677C9">
          <w:pPr>
            <w:pStyle w:val="Footer"/>
            <w:rPr>
              <w:b w:val="0"/>
              <w:w w:val="103"/>
              <w:lang w:bidi="ar-LB"/>
            </w:rPr>
          </w:pPr>
          <w:r>
            <w:rPr>
              <w:b w:val="0"/>
              <w:w w:val="103"/>
            </w:rPr>
            <w:t>04-</w:t>
          </w:r>
          <w:r>
            <w:rPr>
              <w:b w:val="0"/>
              <w:w w:val="103"/>
              <w:lang w:bidi="ar-LB"/>
            </w:rPr>
            <w:t>59637</w:t>
          </w:r>
        </w:p>
      </w:tc>
    </w:tr>
  </w:tbl>
  <w:p w:rsidR="00125A02" w:rsidRPr="008677C9" w:rsidRDefault="00125A02" w:rsidP="008677C9">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25A02">
      <w:tblPrEx>
        <w:tblCellMar>
          <w:top w:w="0" w:type="dxa"/>
          <w:bottom w:w="0" w:type="dxa"/>
        </w:tblCellMar>
      </w:tblPrEx>
      <w:tc>
        <w:tcPr>
          <w:tcW w:w="5033" w:type="dxa"/>
          <w:shd w:val="clear" w:color="auto" w:fill="auto"/>
        </w:tcPr>
        <w:p w:rsidR="00125A02" w:rsidRPr="008677C9" w:rsidRDefault="00125A02" w:rsidP="008677C9">
          <w:pPr>
            <w:pStyle w:val="Footer"/>
            <w:jc w:val="right"/>
            <w:rPr>
              <w:b w:val="0"/>
              <w:w w:val="103"/>
            </w:rPr>
          </w:pPr>
          <w:r>
            <w:rPr>
              <w:b w:val="0"/>
              <w:w w:val="103"/>
            </w:rPr>
            <w:t>04-59637</w:t>
          </w:r>
        </w:p>
      </w:tc>
      <w:tc>
        <w:tcPr>
          <w:tcW w:w="5033" w:type="dxa"/>
          <w:shd w:val="clear" w:color="auto" w:fill="auto"/>
        </w:tcPr>
        <w:p w:rsidR="00125A02" w:rsidRPr="008677C9" w:rsidRDefault="00125A02" w:rsidP="008677C9">
          <w:pPr>
            <w:pStyle w:val="Footer"/>
            <w:rPr>
              <w:w w:val="103"/>
            </w:rPr>
          </w:pPr>
          <w:r>
            <w:rPr>
              <w:w w:val="103"/>
            </w:rPr>
            <w:fldChar w:fldCharType="begin"/>
          </w:r>
          <w:r>
            <w:rPr>
              <w:w w:val="103"/>
            </w:rPr>
            <w:instrText xml:space="preserve"> PAGE  \* MERGEFORMAT </w:instrText>
          </w:r>
          <w:r>
            <w:rPr>
              <w:w w:val="103"/>
            </w:rPr>
            <w:fldChar w:fldCharType="separate"/>
          </w:r>
          <w:r w:rsidR="00F975D0">
            <w:rPr>
              <w:w w:val="103"/>
            </w:rPr>
            <w:t>113</w:t>
          </w:r>
          <w:r>
            <w:rPr>
              <w:w w:val="103"/>
            </w:rPr>
            <w:fldChar w:fldCharType="end"/>
          </w:r>
        </w:p>
      </w:tc>
    </w:tr>
  </w:tbl>
  <w:p w:rsidR="00125A02" w:rsidRPr="008677C9" w:rsidRDefault="00125A02" w:rsidP="008677C9">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EE" w:rsidRPr="00A3549C" w:rsidRDefault="00484FEE" w:rsidP="0011796D">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EE" w:rsidRPr="00A3549C" w:rsidRDefault="00484FEE" w:rsidP="0011796D">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51AD">
      <w:tblPrEx>
        <w:tblCellMar>
          <w:top w:w="0" w:type="dxa"/>
          <w:bottom w:w="0" w:type="dxa"/>
        </w:tblCellMar>
      </w:tblPrEx>
      <w:tc>
        <w:tcPr>
          <w:tcW w:w="5033" w:type="dxa"/>
          <w:shd w:val="clear" w:color="auto" w:fill="auto"/>
        </w:tcPr>
        <w:p w:rsidR="00AF51AD" w:rsidRPr="008677C9" w:rsidRDefault="00AF51AD" w:rsidP="008677C9">
          <w:pPr>
            <w:pStyle w:val="Footer"/>
            <w:jc w:val="right"/>
            <w:rPr>
              <w:w w:val="103"/>
            </w:rPr>
          </w:pPr>
          <w:r>
            <w:rPr>
              <w:w w:val="103"/>
            </w:rPr>
            <w:fldChar w:fldCharType="begin"/>
          </w:r>
          <w:r>
            <w:rPr>
              <w:w w:val="103"/>
            </w:rPr>
            <w:instrText xml:space="preserve"> PAGE  \* MERGEFORMAT </w:instrText>
          </w:r>
          <w:r>
            <w:rPr>
              <w:w w:val="103"/>
            </w:rPr>
            <w:fldChar w:fldCharType="separate"/>
          </w:r>
          <w:r w:rsidR="00F975D0">
            <w:rPr>
              <w:w w:val="103"/>
            </w:rPr>
            <w:t>120</w:t>
          </w:r>
          <w:r>
            <w:rPr>
              <w:w w:val="103"/>
            </w:rPr>
            <w:fldChar w:fldCharType="end"/>
          </w:r>
        </w:p>
      </w:tc>
      <w:tc>
        <w:tcPr>
          <w:tcW w:w="5033" w:type="dxa"/>
          <w:shd w:val="clear" w:color="auto" w:fill="auto"/>
        </w:tcPr>
        <w:p w:rsidR="00AF51AD" w:rsidRPr="00583617" w:rsidRDefault="00AF51AD" w:rsidP="008677C9">
          <w:pPr>
            <w:pStyle w:val="Footer"/>
            <w:rPr>
              <w:b w:val="0"/>
              <w:w w:val="103"/>
              <w:lang w:bidi="ar-LB"/>
            </w:rPr>
          </w:pPr>
          <w:r>
            <w:rPr>
              <w:b w:val="0"/>
              <w:w w:val="103"/>
            </w:rPr>
            <w:t>04-</w:t>
          </w:r>
          <w:r>
            <w:rPr>
              <w:b w:val="0"/>
              <w:w w:val="103"/>
              <w:lang w:bidi="ar-LB"/>
            </w:rPr>
            <w:t>59637</w:t>
          </w:r>
        </w:p>
      </w:tc>
    </w:tr>
  </w:tbl>
  <w:p w:rsidR="00AF51AD" w:rsidRPr="008677C9" w:rsidRDefault="00AF51AD" w:rsidP="008677C9">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51AD">
      <w:tblPrEx>
        <w:tblCellMar>
          <w:top w:w="0" w:type="dxa"/>
          <w:bottom w:w="0" w:type="dxa"/>
        </w:tblCellMar>
      </w:tblPrEx>
      <w:tc>
        <w:tcPr>
          <w:tcW w:w="5033" w:type="dxa"/>
          <w:shd w:val="clear" w:color="auto" w:fill="auto"/>
        </w:tcPr>
        <w:p w:rsidR="00AF51AD" w:rsidRPr="008677C9" w:rsidRDefault="00AF51AD" w:rsidP="008677C9">
          <w:pPr>
            <w:pStyle w:val="Footer"/>
            <w:jc w:val="right"/>
            <w:rPr>
              <w:b w:val="0"/>
              <w:w w:val="103"/>
            </w:rPr>
          </w:pPr>
          <w:r>
            <w:rPr>
              <w:b w:val="0"/>
              <w:w w:val="103"/>
            </w:rPr>
            <w:t>04-59637</w:t>
          </w:r>
        </w:p>
      </w:tc>
      <w:tc>
        <w:tcPr>
          <w:tcW w:w="5033" w:type="dxa"/>
          <w:shd w:val="clear" w:color="auto" w:fill="auto"/>
        </w:tcPr>
        <w:p w:rsidR="00AF51AD" w:rsidRPr="008677C9" w:rsidRDefault="00AF51AD" w:rsidP="008677C9">
          <w:pPr>
            <w:pStyle w:val="Footer"/>
            <w:rPr>
              <w:w w:val="103"/>
            </w:rPr>
          </w:pPr>
          <w:r>
            <w:rPr>
              <w:w w:val="103"/>
            </w:rPr>
            <w:fldChar w:fldCharType="begin"/>
          </w:r>
          <w:r>
            <w:rPr>
              <w:w w:val="103"/>
            </w:rPr>
            <w:instrText xml:space="preserve"> PAGE  \* MERGEFORMAT </w:instrText>
          </w:r>
          <w:r>
            <w:rPr>
              <w:w w:val="103"/>
            </w:rPr>
            <w:fldChar w:fldCharType="separate"/>
          </w:r>
          <w:r w:rsidR="00401A14">
            <w:rPr>
              <w:w w:val="103"/>
            </w:rPr>
            <w:t>121</w:t>
          </w:r>
          <w:r>
            <w:rPr>
              <w:w w:val="103"/>
            </w:rPr>
            <w:fldChar w:fldCharType="end"/>
          </w:r>
        </w:p>
      </w:tc>
    </w:tr>
  </w:tbl>
  <w:p w:rsidR="00AF51AD" w:rsidRPr="008677C9" w:rsidRDefault="00AF51AD" w:rsidP="008677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B70" w:rsidRPr="006069EF" w:rsidRDefault="002D3B70" w:rsidP="006069EF">
      <w:pPr>
        <w:pStyle w:val="Footer"/>
        <w:bidi/>
        <w:spacing w:after="80"/>
        <w:ind w:left="792"/>
        <w:rPr>
          <w:sz w:val="16"/>
        </w:rPr>
      </w:pPr>
      <w:r w:rsidRPr="006069EF">
        <w:rPr>
          <w:sz w:val="16"/>
          <w:rtl/>
        </w:rPr>
        <w:t>__________</w:t>
      </w:r>
    </w:p>
  </w:footnote>
  <w:footnote w:type="continuationSeparator" w:id="0">
    <w:p w:rsidR="002D3B70" w:rsidRPr="006069EF" w:rsidRDefault="002D3B70" w:rsidP="006069EF">
      <w:pPr>
        <w:pStyle w:val="Footer"/>
        <w:spacing w:after="80"/>
        <w:ind w:left="792"/>
        <w:rPr>
          <w:sz w:val="16"/>
        </w:rPr>
      </w:pPr>
      <w:r w:rsidRPr="006069EF">
        <w:rPr>
          <w:sz w:val="16"/>
        </w:rPr>
        <w:t>__________</w:t>
      </w:r>
    </w:p>
  </w:footnote>
  <w:footnote w:id="1">
    <w:p w:rsidR="004506E3" w:rsidRPr="006069EF" w:rsidRDefault="004506E3" w:rsidP="006069EF">
      <w:pPr>
        <w:pStyle w:val="FootnoteText"/>
        <w:tabs>
          <w:tab w:val="clear" w:pos="418"/>
          <w:tab w:val="right" w:pos="1195"/>
          <w:tab w:val="left" w:pos="1267"/>
          <w:tab w:val="left" w:pos="1656"/>
          <w:tab w:val="left" w:pos="2088"/>
        </w:tabs>
        <w:spacing w:after="80"/>
        <w:ind w:left="1267" w:right="1267" w:hanging="547"/>
        <w:jc w:val="lowKashida"/>
        <w:rPr>
          <w:rFonts w:hint="cs"/>
          <w:w w:val="103"/>
          <w:rtl/>
        </w:rPr>
      </w:pPr>
      <w:r>
        <w:rPr>
          <w:rtl/>
        </w:rPr>
        <w:tab/>
      </w:r>
      <w:r w:rsidRPr="006069EF">
        <w:rPr>
          <w:w w:val="103"/>
          <w:rtl/>
        </w:rPr>
        <w:t>(</w:t>
      </w:r>
      <w:r w:rsidRPr="006069EF">
        <w:rPr>
          <w:rStyle w:val="FootnoteReference"/>
          <w:spacing w:val="0"/>
          <w:w w:val="103"/>
          <w:vertAlign w:val="baseline"/>
          <w:rtl/>
        </w:rPr>
        <w:footnoteRef/>
      </w:r>
      <w:r w:rsidRPr="006069EF">
        <w:rPr>
          <w:w w:val="103"/>
          <w:rtl/>
        </w:rPr>
        <w:t>)</w:t>
      </w:r>
      <w:r w:rsidRPr="006069EF">
        <w:rPr>
          <w:w w:val="103"/>
          <w:rtl/>
        </w:rPr>
        <w:tab/>
      </w:r>
      <w:hyperlink r:id="rId1" w:history="1">
        <w:r w:rsidRPr="00CC5871">
          <w:rPr>
            <w:rStyle w:val="Hyperlink"/>
          </w:rPr>
          <w:t>www.bso.or.at</w:t>
        </w:r>
      </w:hyperlink>
      <w:r>
        <w:rPr>
          <w:rFonts w:hint="cs"/>
          <w:w w:val="103"/>
          <w:rtl/>
        </w:rPr>
        <w:t xml:space="preserve">. </w:t>
      </w:r>
    </w:p>
  </w:footnote>
  <w:footnote w:id="2">
    <w:p w:rsidR="004506E3" w:rsidRPr="00E84B9A" w:rsidRDefault="004506E3" w:rsidP="00D23E5B">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E84B9A">
        <w:rPr>
          <w:spacing w:val="-5"/>
          <w:w w:val="103"/>
          <w:rtl/>
        </w:rPr>
        <w:t>(</w:t>
      </w:r>
      <w:r w:rsidRPr="00E84B9A">
        <w:rPr>
          <w:rStyle w:val="FootnoteReference"/>
          <w:w w:val="103"/>
          <w:vertAlign w:val="baseline"/>
          <w:rtl/>
        </w:rPr>
        <w:footnoteRef/>
      </w:r>
      <w:r w:rsidRPr="00E84B9A">
        <w:rPr>
          <w:spacing w:val="-5"/>
          <w:w w:val="103"/>
          <w:rtl/>
        </w:rPr>
        <w:t>)</w:t>
      </w:r>
      <w:r w:rsidRPr="00E84B9A">
        <w:rPr>
          <w:spacing w:val="-5"/>
          <w:w w:val="103"/>
          <w:rtl/>
        </w:rPr>
        <w:tab/>
      </w:r>
      <w:r>
        <w:rPr>
          <w:spacing w:val="-5"/>
          <w:w w:val="103"/>
        </w:rPr>
        <w:t>http://www.stastik.at/mikrozensus/gratis.shtml</w:t>
      </w:r>
    </w:p>
  </w:footnote>
  <w:footnote w:id="3">
    <w:p w:rsidR="004506E3" w:rsidRPr="006A6014" w:rsidRDefault="004506E3" w:rsidP="00D23E5B">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6A6014">
        <w:rPr>
          <w:spacing w:val="-5"/>
          <w:w w:val="103"/>
          <w:rtl/>
        </w:rPr>
        <w:t>(</w:t>
      </w:r>
      <w:r w:rsidRPr="006A6014">
        <w:rPr>
          <w:rStyle w:val="FootnoteReference"/>
          <w:w w:val="103"/>
          <w:vertAlign w:val="baseline"/>
          <w:rtl/>
        </w:rPr>
        <w:footnoteRef/>
      </w:r>
      <w:r w:rsidRPr="006A6014">
        <w:rPr>
          <w:spacing w:val="-5"/>
          <w:w w:val="103"/>
          <w:rtl/>
        </w:rPr>
        <w:t>)</w:t>
      </w:r>
      <w:r w:rsidRPr="006A6014">
        <w:rPr>
          <w:spacing w:val="-5"/>
          <w:w w:val="103"/>
          <w:rtl/>
        </w:rPr>
        <w:tab/>
      </w:r>
      <w:r>
        <w:rPr>
          <w:spacing w:val="-5"/>
          <w:w w:val="103"/>
        </w:rPr>
        <w:t>http://www.statistik.at/neuererscheinungen/geschlechtdisparit.shtml</w:t>
      </w:r>
      <w:r>
        <w:rPr>
          <w:rFonts w:hint="cs"/>
          <w:spacing w:val="-5"/>
          <w:w w:val="103"/>
          <w:rtl/>
        </w:rPr>
        <w:t>.</w:t>
      </w:r>
    </w:p>
  </w:footnote>
  <w:footnote w:id="4">
    <w:p w:rsidR="004506E3" w:rsidRDefault="004506E3" w:rsidP="006069EF">
      <w:pPr>
        <w:pStyle w:val="FootnoteText"/>
        <w:tabs>
          <w:tab w:val="clear" w:pos="418"/>
          <w:tab w:val="right" w:pos="1195"/>
          <w:tab w:val="left" w:pos="1267"/>
          <w:tab w:val="left" w:pos="1656"/>
          <w:tab w:val="left" w:pos="2088"/>
        </w:tabs>
        <w:spacing w:after="80"/>
        <w:ind w:left="1267" w:right="1267" w:hanging="547"/>
        <w:jc w:val="lowKashida"/>
        <w:rPr>
          <w:w w:val="103"/>
        </w:rPr>
      </w:pPr>
      <w:r>
        <w:rPr>
          <w:rtl/>
        </w:rPr>
        <w:tab/>
      </w:r>
      <w:r w:rsidRPr="00D24F09">
        <w:rPr>
          <w:w w:val="103"/>
          <w:rtl/>
        </w:rPr>
        <w:t>(</w:t>
      </w:r>
      <w:r w:rsidRPr="00D24F09">
        <w:rPr>
          <w:rStyle w:val="FootnoteReference"/>
          <w:spacing w:val="0"/>
          <w:w w:val="103"/>
          <w:vertAlign w:val="baseline"/>
          <w:rtl/>
        </w:rPr>
        <w:footnoteRef/>
      </w:r>
      <w:r w:rsidRPr="00D24F09">
        <w:rPr>
          <w:w w:val="103"/>
          <w:rtl/>
        </w:rPr>
        <w:t>)</w:t>
      </w:r>
      <w:r w:rsidRPr="00D24F09">
        <w:rPr>
          <w:w w:val="103"/>
          <w:rtl/>
        </w:rPr>
        <w:tab/>
      </w:r>
      <w:hyperlink r:id="rId2" w:history="1">
        <w:r w:rsidRPr="001160E6">
          <w:rPr>
            <w:rStyle w:val="Hyperlink"/>
          </w:rPr>
          <w:t>http://www.bka.gv.at/bka/regionalpolitik/aufhau</w:t>
        </w:r>
        <w:r w:rsidRPr="001160E6">
          <w:rPr>
            <w:rStyle w:val="Hyperlink"/>
          </w:rPr>
          <w:t>s</w:t>
        </w:r>
        <w:r w:rsidRPr="001160E6">
          <w:rPr>
            <w:rStyle w:val="Hyperlink"/>
          </w:rPr>
          <w:t>er_kurzfassung.pdf</w:t>
        </w:r>
      </w:hyperlink>
    </w:p>
    <w:p w:rsidR="004506E3" w:rsidRPr="001160E6" w:rsidRDefault="004506E3" w:rsidP="00D23E5B">
      <w:pPr>
        <w:pStyle w:val="FootnoteText"/>
        <w:tabs>
          <w:tab w:val="clear" w:pos="418"/>
          <w:tab w:val="right" w:pos="1195"/>
          <w:tab w:val="left" w:pos="1267"/>
          <w:tab w:val="left" w:pos="1656"/>
          <w:tab w:val="left" w:pos="2088"/>
        </w:tabs>
        <w:spacing w:after="80"/>
        <w:ind w:left="1267" w:right="1267" w:hanging="547"/>
        <w:jc w:val="lowKashida"/>
        <w:rPr>
          <w:rFonts w:hint="cs"/>
          <w:w w:val="103"/>
          <w:rtl/>
        </w:rPr>
      </w:pPr>
      <w:r>
        <w:rPr>
          <w:rFonts w:hint="cs"/>
          <w:rtl/>
        </w:rPr>
        <w:tab/>
      </w:r>
      <w:r w:rsidRPr="001160E6">
        <w:rPr>
          <w:rtl/>
        </w:rPr>
        <w:tab/>
      </w:r>
      <w:hyperlink r:id="rId3" w:history="1">
        <w:r w:rsidRPr="001160E6">
          <w:rPr>
            <w:rStyle w:val="Hyperlink"/>
          </w:rPr>
          <w:t>http://www.bka.gv.at/bka/regionalpolitik/aufhauser_summary.pdf</w:t>
        </w:r>
      </w:hyperlink>
      <w:r w:rsidRPr="001160E6">
        <w:rPr>
          <w:rFonts w:hint="cs"/>
          <w:w w:val="103"/>
          <w:rtl/>
        </w:rPr>
        <w:t xml:space="preserve"> </w:t>
      </w:r>
    </w:p>
  </w:footnote>
  <w:footnote w:id="5">
    <w:p w:rsidR="004506E3" w:rsidRDefault="004506E3" w:rsidP="007B4C85">
      <w:pPr>
        <w:pStyle w:val="FootnoteText"/>
        <w:tabs>
          <w:tab w:val="clear" w:pos="418"/>
          <w:tab w:val="right" w:pos="1195"/>
          <w:tab w:val="left" w:pos="1267"/>
          <w:tab w:val="left" w:pos="1656"/>
          <w:tab w:val="left" w:pos="2088"/>
        </w:tabs>
        <w:spacing w:after="80"/>
        <w:ind w:left="1267" w:right="1267" w:hanging="547"/>
        <w:jc w:val="lowKashida"/>
        <w:rPr>
          <w:rFonts w:hint="cs"/>
          <w:w w:val="103"/>
          <w:rtl/>
        </w:rPr>
      </w:pPr>
      <w:r>
        <w:rPr>
          <w:rtl/>
        </w:rPr>
        <w:tab/>
      </w:r>
      <w:r w:rsidRPr="0025312C">
        <w:rPr>
          <w:w w:val="103"/>
          <w:rtl/>
        </w:rPr>
        <w:t>(</w:t>
      </w:r>
      <w:r w:rsidRPr="0025312C">
        <w:rPr>
          <w:rStyle w:val="FootnoteReference"/>
          <w:spacing w:val="0"/>
          <w:w w:val="103"/>
          <w:vertAlign w:val="baseline"/>
          <w:rtl/>
        </w:rPr>
        <w:footnoteRef/>
      </w:r>
      <w:r w:rsidRPr="0025312C">
        <w:rPr>
          <w:w w:val="103"/>
          <w:rtl/>
        </w:rPr>
        <w:t>)</w:t>
      </w:r>
      <w:r w:rsidRPr="0025312C">
        <w:rPr>
          <w:w w:val="103"/>
          <w:rtl/>
        </w:rPr>
        <w:tab/>
      </w:r>
      <w:hyperlink r:id="rId4" w:history="1">
        <w:r w:rsidRPr="001160E6">
          <w:rPr>
            <w:rStyle w:val="Hyperlink"/>
          </w:rPr>
          <w:t>http://www.statistik.at/mikrozensus/gratis.shtml</w:t>
        </w:r>
      </w:hyperlink>
      <w:r>
        <w:rPr>
          <w:rFonts w:hint="cs"/>
          <w:w w:val="103"/>
          <w:rtl/>
        </w:rPr>
        <w:t>.</w:t>
      </w:r>
    </w:p>
    <w:p w:rsidR="004506E3" w:rsidRPr="0025312C" w:rsidRDefault="004506E3" w:rsidP="007B4C85">
      <w:pPr>
        <w:pStyle w:val="FootnoteText"/>
        <w:tabs>
          <w:tab w:val="clear" w:pos="418"/>
          <w:tab w:val="right" w:pos="1195"/>
          <w:tab w:val="left" w:pos="1267"/>
          <w:tab w:val="left" w:pos="1656"/>
          <w:tab w:val="left" w:pos="2088"/>
        </w:tabs>
        <w:spacing w:after="80"/>
        <w:ind w:left="1267" w:right="1267" w:hanging="547"/>
        <w:jc w:val="lowKashida"/>
        <w:rPr>
          <w:rFonts w:hint="cs"/>
          <w:w w:val="103"/>
          <w:rtl/>
        </w:rPr>
      </w:pPr>
    </w:p>
  </w:footnote>
  <w:footnote w:id="6">
    <w:p w:rsidR="004506E3" w:rsidRPr="00206F4B" w:rsidRDefault="004506E3" w:rsidP="007B4C85">
      <w:pPr>
        <w:pStyle w:val="FootnoteText"/>
        <w:tabs>
          <w:tab w:val="clear" w:pos="418"/>
          <w:tab w:val="right" w:pos="1195"/>
          <w:tab w:val="left" w:pos="1267"/>
          <w:tab w:val="left" w:pos="1656"/>
          <w:tab w:val="left" w:pos="2088"/>
        </w:tabs>
        <w:spacing w:after="80"/>
        <w:ind w:left="1267" w:right="1267" w:hanging="547"/>
        <w:jc w:val="lowKashida"/>
        <w:rPr>
          <w:rFonts w:hint="cs"/>
          <w:w w:val="103"/>
          <w:rtl/>
        </w:rPr>
      </w:pPr>
      <w:r>
        <w:rPr>
          <w:rtl/>
        </w:rPr>
        <w:tab/>
      </w:r>
      <w:r w:rsidRPr="00E655D5">
        <w:rPr>
          <w:w w:val="103"/>
          <w:rtl/>
        </w:rPr>
        <w:t>(</w:t>
      </w:r>
      <w:r w:rsidRPr="00E655D5">
        <w:rPr>
          <w:rStyle w:val="FootnoteReference"/>
          <w:spacing w:val="0"/>
          <w:w w:val="103"/>
          <w:vertAlign w:val="baseline"/>
          <w:rtl/>
        </w:rPr>
        <w:footnoteRef/>
      </w:r>
      <w:r w:rsidRPr="00E655D5">
        <w:rPr>
          <w:w w:val="103"/>
          <w:rtl/>
        </w:rPr>
        <w:t>)</w:t>
      </w:r>
      <w:r w:rsidRPr="00E655D5">
        <w:rPr>
          <w:w w:val="103"/>
          <w:rtl/>
        </w:rPr>
        <w:tab/>
      </w:r>
      <w:r>
        <w:rPr>
          <w:w w:val="103"/>
        </w:rPr>
        <w:t>http://www.ews-online.com/en/</w:t>
      </w:r>
      <w:r>
        <w:rPr>
          <w:rFonts w:hint="cs"/>
          <w:w w:val="103"/>
          <w:rtl/>
        </w:rPr>
        <w:t>.</w:t>
      </w:r>
    </w:p>
  </w:footnote>
  <w:footnote w:id="7">
    <w:p w:rsidR="004506E3" w:rsidRPr="00206F4B" w:rsidRDefault="004506E3" w:rsidP="007B4C85">
      <w:pPr>
        <w:pStyle w:val="FootnoteText"/>
        <w:tabs>
          <w:tab w:val="clear" w:pos="418"/>
          <w:tab w:val="right" w:pos="1195"/>
          <w:tab w:val="left" w:pos="1267"/>
          <w:tab w:val="left" w:pos="1656"/>
          <w:tab w:val="left" w:pos="2088"/>
        </w:tabs>
        <w:spacing w:after="80"/>
        <w:ind w:left="1267" w:right="1267" w:hanging="547"/>
        <w:jc w:val="lowKashida"/>
        <w:rPr>
          <w:rFonts w:hint="cs"/>
          <w:w w:val="103"/>
          <w:rtl/>
        </w:rPr>
      </w:pPr>
      <w:r>
        <w:rPr>
          <w:rtl/>
        </w:rPr>
        <w:tab/>
      </w:r>
      <w:r w:rsidRPr="00206F4B">
        <w:rPr>
          <w:w w:val="103"/>
          <w:rtl/>
        </w:rPr>
        <w:t>(</w:t>
      </w:r>
      <w:r w:rsidRPr="00206F4B">
        <w:rPr>
          <w:rStyle w:val="FootnoteReference"/>
          <w:spacing w:val="0"/>
          <w:w w:val="103"/>
          <w:vertAlign w:val="baseline"/>
          <w:rtl/>
        </w:rPr>
        <w:footnoteRef/>
      </w:r>
      <w:r w:rsidRPr="00206F4B">
        <w:rPr>
          <w:w w:val="103"/>
          <w:rtl/>
        </w:rPr>
        <w:t>)</w:t>
      </w:r>
      <w:r w:rsidRPr="00206F4B">
        <w:rPr>
          <w:w w:val="103"/>
          <w:rtl/>
        </w:rPr>
        <w:tab/>
      </w:r>
      <w:r>
        <w:rPr>
          <w:w w:val="103"/>
        </w:rPr>
        <w:t>http://www.prosvjeta.hinet.hr/mips/najavljujemo/dubrovnik/index.asp</w:t>
      </w:r>
      <w:r>
        <w:rPr>
          <w:rFonts w:hint="cs"/>
          <w:w w:val="103"/>
          <w:rtl/>
        </w:rPr>
        <w:t>.</w:t>
      </w:r>
    </w:p>
  </w:footnote>
  <w:footnote w:id="8">
    <w:p w:rsidR="004506E3" w:rsidRPr="00A455C4" w:rsidRDefault="004506E3" w:rsidP="007B4C85">
      <w:pPr>
        <w:pStyle w:val="FootnoteText"/>
        <w:tabs>
          <w:tab w:val="clear" w:pos="418"/>
          <w:tab w:val="right" w:pos="1195"/>
          <w:tab w:val="left" w:pos="1267"/>
          <w:tab w:val="left" w:pos="1656"/>
          <w:tab w:val="left" w:pos="2088"/>
        </w:tabs>
        <w:spacing w:after="80"/>
        <w:ind w:left="1267" w:right="1267" w:hanging="547"/>
        <w:jc w:val="lowKashida"/>
        <w:rPr>
          <w:rFonts w:hint="cs"/>
          <w:w w:val="103"/>
        </w:rPr>
      </w:pPr>
      <w:r>
        <w:rPr>
          <w:rtl/>
        </w:rPr>
        <w:tab/>
      </w:r>
      <w:r w:rsidRPr="00A455C4">
        <w:rPr>
          <w:w w:val="103"/>
          <w:rtl/>
        </w:rPr>
        <w:t>(</w:t>
      </w:r>
      <w:r w:rsidRPr="00A455C4">
        <w:rPr>
          <w:rStyle w:val="FootnoteReference"/>
          <w:spacing w:val="0"/>
          <w:w w:val="103"/>
          <w:vertAlign w:val="baseline"/>
          <w:rtl/>
        </w:rPr>
        <w:footnoteRef/>
      </w:r>
      <w:r w:rsidRPr="00A455C4">
        <w:rPr>
          <w:w w:val="103"/>
          <w:rtl/>
        </w:rPr>
        <w:t>)</w:t>
      </w:r>
      <w:r w:rsidRPr="00A455C4">
        <w:rPr>
          <w:w w:val="103"/>
          <w:rtl/>
        </w:rPr>
        <w:tab/>
      </w:r>
      <w:r>
        <w:rPr>
          <w:rFonts w:hint="cs"/>
          <w:w w:val="103"/>
          <w:rtl/>
        </w:rPr>
        <w:t>الدراسات الشاملة لعدة قطاعات: مجموعة من طلاب الدراسات العليا</w:t>
      </w:r>
      <w:r>
        <w:rPr>
          <w:rFonts w:hint="cs"/>
          <w:w w:val="103"/>
          <w:rtl/>
          <w:lang w:bidi="ar-LB"/>
        </w:rPr>
        <w:t>،</w:t>
      </w:r>
      <w:r>
        <w:rPr>
          <w:rFonts w:hint="cs"/>
          <w:w w:val="103"/>
          <w:rtl/>
        </w:rPr>
        <w:t xml:space="preserve"> </w:t>
      </w:r>
      <w:r>
        <w:rPr>
          <w:rFonts w:hint="cs"/>
          <w:w w:val="103"/>
          <w:rtl/>
          <w:lang w:bidi="ar-LB"/>
        </w:rPr>
        <w:t xml:space="preserve"> </w:t>
      </w:r>
      <w:r>
        <w:rPr>
          <w:rFonts w:hint="cs"/>
          <w:w w:val="103"/>
          <w:rtl/>
        </w:rPr>
        <w:t>بمثابة البسط، ومجموعة من الطلاب الجامعيين</w:t>
      </w:r>
      <w:r>
        <w:rPr>
          <w:rFonts w:hint="cs"/>
          <w:w w:val="103"/>
          <w:rtl/>
          <w:lang w:bidi="ar-LB"/>
        </w:rPr>
        <w:t xml:space="preserve">، </w:t>
      </w:r>
      <w:r>
        <w:rPr>
          <w:rFonts w:hint="cs"/>
          <w:w w:val="103"/>
          <w:rtl/>
        </w:rPr>
        <w:t>بمثابة المقام تعادل معدل النجاح.</w:t>
      </w:r>
    </w:p>
  </w:footnote>
  <w:footnote w:id="9">
    <w:p w:rsidR="004506E3" w:rsidRDefault="004506E3" w:rsidP="007B4C85">
      <w:pPr>
        <w:pStyle w:val="FootnoteText"/>
        <w:tabs>
          <w:tab w:val="clear" w:pos="418"/>
          <w:tab w:val="right" w:pos="1195"/>
          <w:tab w:val="left" w:pos="1267"/>
          <w:tab w:val="left" w:pos="1656"/>
          <w:tab w:val="left" w:pos="2088"/>
        </w:tabs>
        <w:spacing w:after="80"/>
        <w:ind w:left="1267" w:right="1267" w:hanging="547"/>
        <w:jc w:val="lowKashida"/>
        <w:rPr>
          <w:rFonts w:hint="cs"/>
          <w:w w:val="103"/>
          <w:rtl/>
        </w:rPr>
      </w:pPr>
      <w:r>
        <w:rPr>
          <w:rtl/>
        </w:rPr>
        <w:tab/>
      </w:r>
      <w:r w:rsidRPr="001811D3">
        <w:rPr>
          <w:w w:val="103"/>
          <w:rtl/>
          <w:lang w:bidi="ar-SY"/>
        </w:rPr>
        <w:t>(</w:t>
      </w:r>
      <w:r w:rsidRPr="001811D3">
        <w:rPr>
          <w:rStyle w:val="FootnoteReference"/>
          <w:spacing w:val="0"/>
          <w:w w:val="103"/>
          <w:vertAlign w:val="baseline"/>
          <w:rtl/>
        </w:rPr>
        <w:footnoteRef/>
      </w:r>
      <w:r w:rsidRPr="001811D3">
        <w:rPr>
          <w:w w:val="103"/>
          <w:rtl/>
          <w:lang w:bidi="ar-SY"/>
        </w:rPr>
        <w:t>)</w:t>
      </w:r>
      <w:r w:rsidRPr="001811D3">
        <w:rPr>
          <w:w w:val="103"/>
          <w:rtl/>
        </w:rPr>
        <w:tab/>
      </w:r>
      <w:r>
        <w:rPr>
          <w:w w:val="103"/>
        </w:rPr>
        <w:t>http://wswin.nextra.at/chrha2892/main.asp?kat1=40&amp;kat2=145&amp;kat3=129&amp;vid=1</w:t>
      </w:r>
      <w:r>
        <w:rPr>
          <w:rFonts w:hint="cs"/>
          <w:w w:val="103"/>
          <w:rtl/>
        </w:rPr>
        <w:t>.</w:t>
      </w:r>
    </w:p>
    <w:p w:rsidR="004506E3" w:rsidRPr="001811D3" w:rsidRDefault="004506E3" w:rsidP="007B4C85">
      <w:pPr>
        <w:pStyle w:val="FootnoteText"/>
        <w:tabs>
          <w:tab w:val="clear" w:pos="418"/>
          <w:tab w:val="right" w:pos="1195"/>
          <w:tab w:val="left" w:pos="1267"/>
          <w:tab w:val="left" w:pos="1656"/>
          <w:tab w:val="left" w:pos="2088"/>
        </w:tabs>
        <w:spacing w:after="80"/>
        <w:ind w:left="1267" w:right="1267" w:hanging="547"/>
        <w:jc w:val="lowKashida"/>
        <w:rPr>
          <w:rFonts w:hint="cs"/>
          <w:w w:val="103"/>
        </w:rPr>
      </w:pPr>
    </w:p>
  </w:footnote>
  <w:footnote w:id="10">
    <w:p w:rsidR="002D3A4A" w:rsidRPr="002320DE" w:rsidRDefault="002D3A4A" w:rsidP="002D3A4A">
      <w:pPr>
        <w:pStyle w:val="FootnoteText"/>
        <w:tabs>
          <w:tab w:val="clear" w:pos="418"/>
          <w:tab w:val="right" w:pos="1195"/>
          <w:tab w:val="left" w:pos="1267"/>
          <w:tab w:val="left" w:pos="1656"/>
          <w:tab w:val="left" w:pos="2088"/>
        </w:tabs>
        <w:spacing w:after="80" w:line="240" w:lineRule="exact"/>
        <w:ind w:left="1264" w:right="1264" w:hanging="544"/>
        <w:rPr>
          <w:rFonts w:hint="cs"/>
          <w:spacing w:val="-5"/>
          <w:w w:val="103"/>
        </w:rPr>
      </w:pPr>
      <w:r>
        <w:rPr>
          <w:rtl/>
        </w:rPr>
        <w:tab/>
      </w:r>
      <w:r w:rsidRPr="002320DE">
        <w:rPr>
          <w:spacing w:val="-5"/>
          <w:w w:val="103"/>
          <w:rtl/>
        </w:rPr>
        <w:t>(</w:t>
      </w:r>
      <w:r w:rsidRPr="002320DE">
        <w:rPr>
          <w:rStyle w:val="FootnoteReference"/>
          <w:w w:val="103"/>
          <w:vertAlign w:val="baseline"/>
          <w:rtl/>
        </w:rPr>
        <w:footnoteRef/>
      </w:r>
      <w:r w:rsidRPr="002320DE">
        <w:rPr>
          <w:spacing w:val="-5"/>
          <w:w w:val="103"/>
          <w:rtl/>
        </w:rPr>
        <w:t>)</w:t>
      </w:r>
      <w:r w:rsidRPr="002320DE">
        <w:rPr>
          <w:spacing w:val="-5"/>
          <w:w w:val="103"/>
          <w:rtl/>
        </w:rPr>
        <w:tab/>
      </w:r>
      <w:r>
        <w:rPr>
          <w:rFonts w:hint="cs"/>
          <w:spacing w:val="-5"/>
          <w:w w:val="103"/>
          <w:rtl/>
          <w:lang w:bidi="ar-LB"/>
        </w:rPr>
        <w:t>بمن فيهم</w:t>
      </w:r>
      <w:r>
        <w:rPr>
          <w:rFonts w:hint="cs"/>
          <w:spacing w:val="-5"/>
          <w:w w:val="103"/>
          <w:rtl/>
        </w:rPr>
        <w:t xml:space="preserve"> </w:t>
      </w:r>
      <w:r>
        <w:rPr>
          <w:rFonts w:hint="cs"/>
          <w:spacing w:val="-5"/>
          <w:w w:val="103"/>
          <w:rtl/>
          <w:lang w:bidi="ar-LB"/>
        </w:rPr>
        <w:t>هؤلاء الذين</w:t>
      </w:r>
      <w:r>
        <w:rPr>
          <w:rFonts w:hint="cs"/>
          <w:spacing w:val="-5"/>
          <w:w w:val="103"/>
          <w:rtl/>
        </w:rPr>
        <w:t xml:space="preserve"> في إجازة أمومة أو في إجازة دراسية بالإضافة إلى المدرسين غير المتفرغين؛ وي</w:t>
      </w:r>
      <w:r>
        <w:rPr>
          <w:rFonts w:hint="cs"/>
          <w:spacing w:val="-5"/>
          <w:w w:val="103"/>
          <w:rtl/>
          <w:lang w:bidi="ar-LB"/>
        </w:rPr>
        <w:t>ُ</w:t>
      </w:r>
      <w:r>
        <w:rPr>
          <w:rFonts w:hint="cs"/>
          <w:spacing w:val="-5"/>
          <w:w w:val="103"/>
          <w:rtl/>
        </w:rPr>
        <w:t>ستثني المدرس</w:t>
      </w:r>
      <w:r>
        <w:rPr>
          <w:rFonts w:hint="cs"/>
          <w:spacing w:val="-5"/>
          <w:w w:val="103"/>
          <w:rtl/>
          <w:lang w:bidi="ar-LB"/>
        </w:rPr>
        <w:t>و</w:t>
      </w:r>
      <w:r>
        <w:rPr>
          <w:rFonts w:hint="cs"/>
          <w:spacing w:val="-5"/>
          <w:w w:val="103"/>
          <w:rtl/>
        </w:rPr>
        <w:t>ن الملتحق</w:t>
      </w:r>
      <w:r>
        <w:rPr>
          <w:rFonts w:hint="cs"/>
          <w:spacing w:val="-5"/>
          <w:w w:val="103"/>
          <w:rtl/>
          <w:lang w:bidi="ar-LB"/>
        </w:rPr>
        <w:t>و</w:t>
      </w:r>
      <w:r>
        <w:rPr>
          <w:rFonts w:hint="cs"/>
          <w:spacing w:val="-5"/>
          <w:w w:val="103"/>
          <w:rtl/>
        </w:rPr>
        <w:t>ن بمدارس التمريض التدريبية، والكليات الطبية المتخصصة، ومدارس تدريب المساعدين الطبيين، بالإضافة إلى مدارس تدريب مدرسي التربية البدنية والمرشدين الرياضيين، وغير ذلك من المدارس التي لديها نظمها الأساسية الخاصة بها.</w:t>
      </w:r>
    </w:p>
  </w:footnote>
  <w:footnote w:id="11">
    <w:p w:rsidR="002D3A4A" w:rsidRPr="002320DE" w:rsidRDefault="002D3A4A" w:rsidP="002D3A4A">
      <w:pPr>
        <w:pStyle w:val="FootnoteText"/>
        <w:tabs>
          <w:tab w:val="clear" w:pos="418"/>
          <w:tab w:val="right" w:pos="1195"/>
          <w:tab w:val="left" w:pos="1267"/>
          <w:tab w:val="left" w:pos="1656"/>
          <w:tab w:val="left" w:pos="2088"/>
        </w:tabs>
        <w:spacing w:after="80" w:line="240" w:lineRule="exact"/>
        <w:ind w:left="1264" w:right="1264" w:hanging="544"/>
        <w:rPr>
          <w:rFonts w:hint="cs"/>
          <w:spacing w:val="-5"/>
          <w:w w:val="103"/>
          <w:rtl/>
        </w:rPr>
      </w:pPr>
      <w:r>
        <w:rPr>
          <w:rtl/>
        </w:rPr>
        <w:tab/>
      </w:r>
      <w:r w:rsidRPr="002320DE">
        <w:rPr>
          <w:spacing w:val="-5"/>
          <w:w w:val="103"/>
          <w:rtl/>
        </w:rPr>
        <w:t>(</w:t>
      </w:r>
      <w:r w:rsidRPr="002320DE">
        <w:rPr>
          <w:rStyle w:val="FootnoteReference"/>
          <w:w w:val="103"/>
          <w:vertAlign w:val="baseline"/>
          <w:rtl/>
        </w:rPr>
        <w:footnoteRef/>
      </w:r>
      <w:r w:rsidRPr="002320DE">
        <w:rPr>
          <w:spacing w:val="-5"/>
          <w:w w:val="103"/>
          <w:rtl/>
        </w:rPr>
        <w:t>)</w:t>
      </w:r>
      <w:r w:rsidRPr="002320DE">
        <w:rPr>
          <w:spacing w:val="-5"/>
          <w:w w:val="103"/>
          <w:rtl/>
        </w:rPr>
        <w:tab/>
      </w:r>
      <w:r>
        <w:rPr>
          <w:rFonts w:hint="cs"/>
          <w:spacing w:val="-5"/>
          <w:w w:val="103"/>
          <w:rtl/>
          <w:lang w:bidi="ar-LB"/>
        </w:rPr>
        <w:t>بما في</w:t>
      </w:r>
      <w:r>
        <w:rPr>
          <w:rFonts w:hint="cs"/>
          <w:spacing w:val="-5"/>
          <w:w w:val="103"/>
          <w:rtl/>
        </w:rPr>
        <w:t xml:space="preserve"> </w:t>
      </w:r>
      <w:r>
        <w:rPr>
          <w:rFonts w:hint="cs"/>
          <w:spacing w:val="-5"/>
          <w:w w:val="103"/>
          <w:rtl/>
          <w:lang w:bidi="ar-LB"/>
        </w:rPr>
        <w:t xml:space="preserve">ذلك </w:t>
      </w:r>
      <w:r>
        <w:rPr>
          <w:rFonts w:hint="cs"/>
          <w:spacing w:val="-5"/>
          <w:w w:val="103"/>
          <w:rtl/>
        </w:rPr>
        <w:t>مدارس صناعة الملابس والفنون الصناعية.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6E3" w:rsidRPr="008677C9" w:rsidRDefault="004506E3" w:rsidP="008677C9">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4506E3">
                  <w:tblPrEx>
                    <w:tblCellMar>
                      <w:top w:w="0" w:type="dxa"/>
                      <w:bottom w:w="0" w:type="dxa"/>
                    </w:tblCellMar>
                  </w:tblPrEx>
                  <w:trPr>
                    <w:trHeight w:hRule="exact" w:val="864"/>
                    <w:jc w:val="center"/>
                  </w:trPr>
                  <w:tc>
                    <w:tcPr>
                      <w:tcW w:w="4932" w:type="dxa"/>
                      <w:shd w:val="clear" w:color="auto" w:fill="auto"/>
                      <w:vAlign w:val="bottom"/>
                    </w:tcPr>
                    <w:p w:rsidR="004506E3" w:rsidRDefault="004506E3" w:rsidP="008677C9">
                      <w:pPr>
                        <w:pStyle w:val="Header"/>
                        <w:bidi/>
                        <w:jc w:val="right"/>
                      </w:pPr>
                    </w:p>
                  </w:tc>
                  <w:tc>
                    <w:tcPr>
                      <w:tcW w:w="4933" w:type="dxa"/>
                      <w:shd w:val="clear" w:color="auto" w:fill="auto"/>
                      <w:vAlign w:val="bottom"/>
                    </w:tcPr>
                    <w:p w:rsidR="004506E3" w:rsidRPr="008677C9" w:rsidRDefault="004506E3" w:rsidP="008677C9">
                      <w:pPr>
                        <w:pStyle w:val="Header"/>
                        <w:spacing w:after="80"/>
                        <w:jc w:val="right"/>
                        <w:rPr>
                          <w:rFonts w:hint="cs"/>
                          <w:w w:val="103"/>
                          <w:rtl/>
                        </w:rPr>
                      </w:pPr>
                      <w:r>
                        <w:rPr>
                          <w:w w:val="103"/>
                        </w:rPr>
                        <w:t>CEDAW/C/AUT/6</w:t>
                      </w:r>
                    </w:p>
                  </w:tc>
                </w:tr>
              </w:tbl>
              <w:p w:rsidR="004506E3" w:rsidRDefault="004506E3" w:rsidP="008677C9">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6E3" w:rsidRPr="008677C9" w:rsidRDefault="004506E3" w:rsidP="008677C9">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4506E3">
                  <w:tblPrEx>
                    <w:tblCellMar>
                      <w:top w:w="0" w:type="dxa"/>
                      <w:bottom w:w="0" w:type="dxa"/>
                    </w:tblCellMar>
                  </w:tblPrEx>
                  <w:trPr>
                    <w:trHeight w:hRule="exact" w:val="864"/>
                    <w:jc w:val="center"/>
                  </w:trPr>
                  <w:tc>
                    <w:tcPr>
                      <w:tcW w:w="4932" w:type="dxa"/>
                      <w:shd w:val="clear" w:color="auto" w:fill="auto"/>
                      <w:vAlign w:val="bottom"/>
                    </w:tcPr>
                    <w:p w:rsidR="004506E3" w:rsidRPr="008677C9" w:rsidRDefault="004506E3" w:rsidP="006A5284">
                      <w:pPr>
                        <w:pStyle w:val="Header"/>
                        <w:spacing w:after="80"/>
                        <w:rPr>
                          <w:rFonts w:hint="cs"/>
                          <w:w w:val="103"/>
                          <w:rtl/>
                        </w:rPr>
                      </w:pPr>
                      <w:r>
                        <w:rPr>
                          <w:w w:val="103"/>
                        </w:rPr>
                        <w:t>CEDAW/C/AUT/6</w:t>
                      </w:r>
                    </w:p>
                  </w:tc>
                  <w:tc>
                    <w:tcPr>
                      <w:tcW w:w="4933" w:type="dxa"/>
                      <w:shd w:val="clear" w:color="auto" w:fill="auto"/>
                      <w:vAlign w:val="bottom"/>
                    </w:tcPr>
                    <w:p w:rsidR="004506E3" w:rsidRDefault="004506E3" w:rsidP="008677C9">
                      <w:pPr>
                        <w:pStyle w:val="Header"/>
                      </w:pPr>
                    </w:p>
                  </w:tc>
                </w:tr>
              </w:tbl>
              <w:p w:rsidR="004506E3" w:rsidRDefault="004506E3" w:rsidP="008677C9">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506E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506E3" w:rsidRDefault="004506E3" w:rsidP="008677C9">
          <w:pPr>
            <w:pStyle w:val="Header"/>
            <w:spacing w:after="120"/>
          </w:pPr>
        </w:p>
      </w:tc>
      <w:tc>
        <w:tcPr>
          <w:tcW w:w="1786" w:type="dxa"/>
          <w:tcBorders>
            <w:bottom w:val="single" w:sz="4" w:space="0" w:color="auto"/>
          </w:tcBorders>
          <w:shd w:val="clear" w:color="auto" w:fill="auto"/>
          <w:vAlign w:val="bottom"/>
        </w:tcPr>
        <w:p w:rsidR="004506E3" w:rsidRPr="008677C9" w:rsidRDefault="004506E3" w:rsidP="008677C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506E3" w:rsidRDefault="004506E3" w:rsidP="008677C9">
          <w:pPr>
            <w:pStyle w:val="Header"/>
            <w:spacing w:after="120"/>
          </w:pPr>
        </w:p>
      </w:tc>
      <w:tc>
        <w:tcPr>
          <w:tcW w:w="6523" w:type="dxa"/>
          <w:gridSpan w:val="3"/>
          <w:tcBorders>
            <w:bottom w:val="single" w:sz="4" w:space="0" w:color="auto"/>
          </w:tcBorders>
          <w:shd w:val="clear" w:color="auto" w:fill="auto"/>
          <w:vAlign w:val="bottom"/>
        </w:tcPr>
        <w:p w:rsidR="004506E3" w:rsidRPr="006A5284" w:rsidRDefault="00401A14" w:rsidP="008677C9">
          <w:pPr>
            <w:spacing w:line="380" w:lineRule="exact"/>
            <w:jc w:val="right"/>
            <w:rPr>
              <w:lang w:bidi="ar-LB"/>
            </w:rPr>
          </w:pPr>
          <w:r>
            <w:rPr>
              <w:sz w:val="40"/>
            </w:rPr>
            <w:t>CEDAW</w:t>
          </w:r>
          <w:r>
            <w:t>/C/AUT/</w:t>
          </w:r>
          <w:r>
            <w:rPr>
              <w:lang w:bidi="ar-LB"/>
            </w:rPr>
            <w:t>6</w:t>
          </w:r>
        </w:p>
      </w:tc>
    </w:tr>
    <w:tr w:rsidR="004506E3" w:rsidRPr="008677C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506E3" w:rsidRPr="008677C9" w:rsidRDefault="004506E3" w:rsidP="008677C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4506E3" w:rsidRPr="008677C9" w:rsidRDefault="004506E3" w:rsidP="008677C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506E3" w:rsidRPr="008677C9" w:rsidRDefault="004506E3" w:rsidP="008677C9">
          <w:pPr>
            <w:pStyle w:val="Header"/>
            <w:spacing w:before="109"/>
          </w:pPr>
        </w:p>
      </w:tc>
      <w:tc>
        <w:tcPr>
          <w:tcW w:w="3100" w:type="dxa"/>
          <w:gridSpan w:val="2"/>
          <w:tcBorders>
            <w:top w:val="single" w:sz="4" w:space="0" w:color="auto"/>
            <w:bottom w:val="single" w:sz="12" w:space="0" w:color="auto"/>
          </w:tcBorders>
          <w:shd w:val="clear" w:color="auto" w:fill="auto"/>
        </w:tcPr>
        <w:p w:rsidR="004506E3" w:rsidRDefault="004506E3" w:rsidP="008677C9">
          <w:pPr>
            <w:bidi w:val="0"/>
            <w:spacing w:before="240" w:line="240" w:lineRule="exact"/>
          </w:pPr>
          <w:r>
            <w:t>Distr</w:t>
          </w:r>
          <w:r>
            <w:rPr>
              <w:rtl/>
            </w:rPr>
            <w:t xml:space="preserve"> :.</w:t>
          </w:r>
          <w:r>
            <w:t>General</w:t>
          </w:r>
        </w:p>
        <w:p w:rsidR="004506E3" w:rsidRDefault="004506E3" w:rsidP="008677C9">
          <w:pPr>
            <w:bidi w:val="0"/>
            <w:spacing w:line="240" w:lineRule="exact"/>
            <w:jc w:val="left"/>
          </w:pPr>
          <w:smartTag w:uri="urn:schemas-microsoft-com:office:smarttags" w:element="date">
            <w:smartTagPr>
              <w:attr w:name="Month" w:val="11"/>
              <w:attr w:name="Day" w:val="1"/>
              <w:attr w:name="Year" w:val="2004"/>
            </w:smartTagPr>
            <w:r>
              <w:t>1 November 2004</w:t>
            </w:r>
          </w:smartTag>
        </w:p>
        <w:p w:rsidR="004506E3" w:rsidRDefault="004506E3" w:rsidP="008677C9">
          <w:pPr>
            <w:bidi w:val="0"/>
            <w:spacing w:line="240" w:lineRule="exact"/>
            <w:jc w:val="left"/>
          </w:pPr>
          <w:r>
            <w:t>Arabic</w:t>
          </w:r>
        </w:p>
        <w:p w:rsidR="004506E3" w:rsidRPr="008677C9" w:rsidRDefault="004506E3" w:rsidP="008677C9">
          <w:pPr>
            <w:bidi w:val="0"/>
            <w:spacing w:line="240" w:lineRule="exact"/>
            <w:jc w:val="left"/>
          </w:pPr>
          <w:r>
            <w:t>Original: English</w:t>
          </w:r>
        </w:p>
      </w:tc>
    </w:tr>
  </w:tbl>
  <w:p w:rsidR="004506E3" w:rsidRPr="008677C9" w:rsidRDefault="004506E3" w:rsidP="008677C9">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A02" w:rsidRPr="00125A02" w:rsidRDefault="00125A02" w:rsidP="00125A02">
    <w:pPr>
      <w:pStyle w:val="Header"/>
    </w:pPr>
    <w:r>
      <w:rPr>
        <w:w w:val="100"/>
      </w:rPr>
      <w:pict>
        <v:shapetype id="_x0000_t202" coordsize="21600,21600" o:spt="202" path="m,l,21600r21600,l21600,xe">
          <v:stroke joinstyle="miter"/>
          <v:path gradientshapeok="t" o:connecttype="rect"/>
        </v:shapetype>
        <v:shape id="_x0000_s1034" type="#_x0000_t202" style="position:absolute;margin-left:619.2pt;margin-top:28.8pt;width:21.6pt;height:492.5pt;z-index:8;mso-wrap-style:tight;mso-position-horizontal-relative:margin" stroked="f">
          <v:textbox inset="0,0,0,0">
            <w:txbxContent>
              <w:tbl>
                <w:tblPr>
                  <w:tblStyle w:val="TableGrid"/>
                  <w:bidiVisual/>
                  <w:tblW w:w="4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125A02" w:rsidRPr="00125A02">
                  <w:trPr>
                    <w:cantSplit/>
                    <w:trHeight w:val="4925"/>
                    <w:jc w:val="center"/>
                  </w:trPr>
                  <w:tc>
                    <w:tcPr>
                      <w:tcW w:w="447" w:type="dxa"/>
                      <w:shd w:val="clear" w:color="auto" w:fill="auto"/>
                      <w:textDirection w:val="btLr"/>
                    </w:tcPr>
                    <w:p w:rsidR="00125A02" w:rsidRPr="00125A02" w:rsidRDefault="00125A02" w:rsidP="00125A02">
                      <w:pPr>
                        <w:bidi w:val="0"/>
                        <w:spacing w:line="240" w:lineRule="auto"/>
                        <w:jc w:val="right"/>
                        <w:rPr>
                          <w:b/>
                          <w:sz w:val="17"/>
                          <w:rtl/>
                        </w:rPr>
                      </w:pPr>
                      <w:r>
                        <w:rPr>
                          <w:b/>
                          <w:sz w:val="17"/>
                        </w:rPr>
                        <w:fldChar w:fldCharType="begin"/>
                      </w:r>
                      <w:r>
                        <w:rPr>
                          <w:b/>
                          <w:sz w:val="17"/>
                        </w:rPr>
                        <w:instrText xml:space="preserve"> PAGE  \* MERGEFORMAT </w:instrText>
                      </w:r>
                      <w:r>
                        <w:rPr>
                          <w:b/>
                          <w:sz w:val="17"/>
                        </w:rPr>
                        <w:fldChar w:fldCharType="separate"/>
                      </w:r>
                      <w:r w:rsidR="00F975D0">
                        <w:rPr>
                          <w:b/>
                          <w:noProof/>
                          <w:sz w:val="17"/>
                        </w:rPr>
                        <w:t>112</w:t>
                      </w:r>
                      <w:r>
                        <w:rPr>
                          <w:b/>
                          <w:sz w:val="17"/>
                        </w:rPr>
                        <w:fldChar w:fldCharType="end"/>
                      </w:r>
                    </w:p>
                  </w:tc>
                </w:tr>
                <w:tr w:rsidR="00125A02" w:rsidRPr="00125A02">
                  <w:trPr>
                    <w:cantSplit/>
                    <w:trHeight w:val="4925"/>
                    <w:jc w:val="center"/>
                  </w:trPr>
                  <w:tc>
                    <w:tcPr>
                      <w:tcW w:w="447" w:type="dxa"/>
                      <w:shd w:val="clear" w:color="auto" w:fill="auto"/>
                      <w:textDirection w:val="btLr"/>
                    </w:tcPr>
                    <w:p w:rsidR="00125A02" w:rsidRPr="00125A02" w:rsidRDefault="00125A02" w:rsidP="00125A02">
                      <w:pPr>
                        <w:bidi w:val="0"/>
                        <w:spacing w:line="240" w:lineRule="auto"/>
                        <w:jc w:val="left"/>
                        <w:rPr>
                          <w:sz w:val="17"/>
                          <w:rtl/>
                        </w:rPr>
                      </w:pPr>
                      <w:r>
                        <w:rPr>
                          <w:sz w:val="17"/>
                        </w:rPr>
                        <w:t>04-a9637A</w:t>
                      </w:r>
                    </w:p>
                  </w:tc>
                </w:tr>
              </w:tbl>
              <w:p w:rsidR="00125A02" w:rsidRDefault="00125A02"/>
            </w:txbxContent>
          </v:textbox>
          <w10:wrap anchorx="page"/>
        </v:shape>
      </w:pict>
    </w:r>
    <w:r>
      <w:rPr>
        <w:w w:val="100"/>
      </w:rPr>
      <w:pict>
        <v:shape id="_x0000_s1033" type="#_x0000_t202" style="position:absolute;margin-left:-1in;margin-top:28.8pt;width:50.4pt;height:492.5pt;z-index:7;mso-wrap-style:tight;mso-position-horizontal-relative:margin" stroked="f">
          <v:textbox inset="0,0,0,0">
            <w:txbxContent>
              <w:tbl>
                <w:tblPr>
                  <w:tblStyle w:val="TableGrid"/>
                  <w:bidiVisual/>
                  <w:tblW w:w="864" w:type="dxa"/>
                  <w:jc w:val="center"/>
                  <w:tblBorders>
                    <w:top w:val="none" w:sz="0" w:space="0" w:color="auto"/>
                    <w:left w:val="single" w:sz="2"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125A02" w:rsidRPr="00125A02">
                  <w:trPr>
                    <w:cantSplit/>
                    <w:trHeight w:val="4925"/>
                    <w:jc w:val="center"/>
                  </w:trPr>
                  <w:tc>
                    <w:tcPr>
                      <w:tcW w:w="1023" w:type="dxa"/>
                      <w:shd w:val="clear" w:color="auto" w:fill="auto"/>
                      <w:textDirection w:val="btLr"/>
                      <w:vAlign w:val="bottom"/>
                    </w:tcPr>
                    <w:p w:rsidR="00125A02" w:rsidRPr="00125A02" w:rsidRDefault="00125A02" w:rsidP="00125A02">
                      <w:pPr>
                        <w:bidi w:val="0"/>
                        <w:spacing w:line="240" w:lineRule="auto"/>
                        <w:ind w:left="14" w:right="14"/>
                        <w:jc w:val="right"/>
                        <w:rPr>
                          <w:b/>
                          <w:bCs/>
                          <w:sz w:val="17"/>
                          <w:szCs w:val="26"/>
                          <w:rtl/>
                        </w:rPr>
                      </w:pPr>
                      <w:r w:rsidRPr="00125A02">
                        <w:rPr>
                          <w:b/>
                          <w:bCs/>
                          <w:sz w:val="17"/>
                          <w:szCs w:val="26"/>
                        </w:rPr>
                        <w:t>C</w:t>
                      </w:r>
                      <w:r w:rsidRPr="00125A02">
                        <w:rPr>
                          <w:b/>
                          <w:bCs/>
                          <w:sz w:val="17"/>
                          <w:szCs w:val="26"/>
                        </w:rPr>
                        <w:t>E</w:t>
                      </w:r>
                      <w:r w:rsidRPr="00125A02">
                        <w:rPr>
                          <w:b/>
                          <w:bCs/>
                          <w:sz w:val="17"/>
                          <w:szCs w:val="26"/>
                        </w:rPr>
                        <w:t>DAW/C/AUT/</w:t>
                      </w:r>
                      <w:r>
                        <w:rPr>
                          <w:b/>
                          <w:bCs/>
                          <w:sz w:val="17"/>
                          <w:szCs w:val="26"/>
                        </w:rPr>
                        <w:t>6</w:t>
                      </w:r>
                    </w:p>
                  </w:tc>
                </w:tr>
                <w:tr w:rsidR="00125A02" w:rsidRPr="00125A02">
                  <w:trPr>
                    <w:cantSplit/>
                    <w:trHeight w:val="4925"/>
                    <w:jc w:val="center"/>
                  </w:trPr>
                  <w:tc>
                    <w:tcPr>
                      <w:tcW w:w="1023" w:type="dxa"/>
                      <w:shd w:val="clear" w:color="auto" w:fill="auto"/>
                      <w:textDirection w:val="btLr"/>
                      <w:vAlign w:val="bottom"/>
                    </w:tcPr>
                    <w:p w:rsidR="00125A02" w:rsidRPr="00125A02" w:rsidRDefault="00125A02" w:rsidP="00125A02">
                      <w:pPr>
                        <w:bidi w:val="0"/>
                        <w:spacing w:line="240" w:lineRule="auto"/>
                        <w:ind w:left="14" w:right="14"/>
                        <w:jc w:val="right"/>
                        <w:rPr>
                          <w:b/>
                          <w:bCs/>
                          <w:sz w:val="17"/>
                          <w:szCs w:val="26"/>
                          <w:rtl/>
                        </w:rPr>
                      </w:pPr>
                    </w:p>
                  </w:tc>
                </w:tr>
              </w:tbl>
              <w:p w:rsidR="00125A02" w:rsidRDefault="00125A02">
                <w:pPr>
                  <w:rPr>
                    <w:rFonts w:hint="cs"/>
                  </w:rPr>
                </w:pPr>
              </w:p>
            </w:txbxContent>
          </v:textbox>
          <w10:wrap anchorx="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A02" w:rsidRPr="00125A02" w:rsidRDefault="00125A02" w:rsidP="00125A02">
    <w:pPr>
      <w:pStyle w:val="Header"/>
    </w:pPr>
    <w:r>
      <w:rPr>
        <w:w w:val="100"/>
      </w:rPr>
      <w:pict>
        <v:shapetype id="_x0000_t202" coordsize="21600,21600" o:spt="202" path="m,l,21600r21600,l21600,xe">
          <v:stroke joinstyle="miter"/>
          <v:path gradientshapeok="t" o:connecttype="rect"/>
        </v:shapetype>
        <v:shape id="_x0000_s1032" type="#_x0000_t202" style="position:absolute;margin-left:619.2pt;margin-top:28.8pt;width:21.6pt;height:492.5pt;z-index:6;mso-wrap-style:tight;mso-position-horizontal-relative:margin" stroked="f">
          <v:textbox inset="0,0,0,0">
            <w:txbxContent>
              <w:tbl>
                <w:tblPr>
                  <w:tblStyle w:val="TableGrid"/>
                  <w:bidiVisual/>
                  <w:tblW w:w="4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125A02" w:rsidRPr="00125A02">
                  <w:trPr>
                    <w:cantSplit/>
                    <w:trHeight w:val="4925"/>
                    <w:jc w:val="center"/>
                  </w:trPr>
                  <w:tc>
                    <w:tcPr>
                      <w:tcW w:w="447" w:type="dxa"/>
                      <w:shd w:val="clear" w:color="auto" w:fill="auto"/>
                      <w:textDirection w:val="btLr"/>
                    </w:tcPr>
                    <w:p w:rsidR="00125A02" w:rsidRPr="00125A02" w:rsidRDefault="00125A02" w:rsidP="00125A02">
                      <w:pPr>
                        <w:bidi w:val="0"/>
                        <w:spacing w:line="240" w:lineRule="auto"/>
                        <w:jc w:val="right"/>
                        <w:rPr>
                          <w:sz w:val="17"/>
                          <w:rtl/>
                        </w:rPr>
                      </w:pPr>
                      <w:r>
                        <w:rPr>
                          <w:sz w:val="17"/>
                        </w:rPr>
                        <w:t>04-a9637A</w:t>
                      </w:r>
                    </w:p>
                  </w:tc>
                </w:tr>
                <w:tr w:rsidR="00125A02" w:rsidRPr="00125A02">
                  <w:trPr>
                    <w:cantSplit/>
                    <w:trHeight w:val="4925"/>
                    <w:jc w:val="center"/>
                  </w:trPr>
                  <w:tc>
                    <w:tcPr>
                      <w:tcW w:w="447" w:type="dxa"/>
                      <w:shd w:val="clear" w:color="auto" w:fill="auto"/>
                      <w:textDirection w:val="btLr"/>
                    </w:tcPr>
                    <w:p w:rsidR="00125A02" w:rsidRPr="00125A02" w:rsidRDefault="00125A02" w:rsidP="00125A02">
                      <w:pPr>
                        <w:bidi w:val="0"/>
                        <w:spacing w:line="240" w:lineRule="auto"/>
                        <w:jc w:val="left"/>
                        <w:rPr>
                          <w:b/>
                          <w:sz w:val="17"/>
                          <w:rtl/>
                        </w:rPr>
                      </w:pPr>
                      <w:r>
                        <w:rPr>
                          <w:b/>
                          <w:sz w:val="17"/>
                        </w:rPr>
                        <w:fldChar w:fldCharType="begin"/>
                      </w:r>
                      <w:r>
                        <w:rPr>
                          <w:b/>
                          <w:sz w:val="17"/>
                        </w:rPr>
                        <w:instrText xml:space="preserve"> PAGE  \* MERGEFORMAT </w:instrText>
                      </w:r>
                      <w:r>
                        <w:rPr>
                          <w:b/>
                          <w:sz w:val="17"/>
                        </w:rPr>
                        <w:fldChar w:fldCharType="separate"/>
                      </w:r>
                      <w:r w:rsidR="00F975D0">
                        <w:rPr>
                          <w:b/>
                          <w:noProof/>
                          <w:sz w:val="17"/>
                        </w:rPr>
                        <w:t>111</w:t>
                      </w:r>
                      <w:r>
                        <w:rPr>
                          <w:b/>
                          <w:sz w:val="17"/>
                        </w:rPr>
                        <w:fldChar w:fldCharType="end"/>
                      </w:r>
                    </w:p>
                  </w:tc>
                </w:tr>
              </w:tbl>
              <w:p w:rsidR="00125A02" w:rsidRDefault="00125A02"/>
            </w:txbxContent>
          </v:textbox>
          <w10:wrap anchorx="page"/>
        </v:shape>
      </w:pict>
    </w:r>
    <w:r>
      <w:rPr>
        <w:w w:val="100"/>
      </w:rPr>
      <w:pict>
        <v:shape id="_x0000_s1031" type="#_x0000_t202" style="position:absolute;margin-left:-1in;margin-top:28.8pt;width:50.4pt;height:492.5pt;z-index:5;mso-wrap-style:tight;mso-position-horizontal-relative:margin" stroked="f">
          <v:textbox inset="0,0,0,0">
            <w:txbxContent>
              <w:tbl>
                <w:tblPr>
                  <w:tblStyle w:val="TableGrid"/>
                  <w:bidiVisual/>
                  <w:tblW w:w="864" w:type="dxa"/>
                  <w:jc w:val="center"/>
                  <w:tblBorders>
                    <w:top w:val="none" w:sz="0" w:space="0" w:color="auto"/>
                    <w:left w:val="single" w:sz="2"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125A02" w:rsidRPr="00125A02">
                  <w:trPr>
                    <w:cantSplit/>
                    <w:trHeight w:val="4925"/>
                    <w:jc w:val="center"/>
                  </w:trPr>
                  <w:tc>
                    <w:tcPr>
                      <w:tcW w:w="1023" w:type="dxa"/>
                      <w:shd w:val="clear" w:color="auto" w:fill="auto"/>
                      <w:textDirection w:val="btLr"/>
                      <w:vAlign w:val="bottom"/>
                    </w:tcPr>
                    <w:p w:rsidR="00125A02" w:rsidRPr="00125A02" w:rsidRDefault="00125A02" w:rsidP="00125A02">
                      <w:pPr>
                        <w:bidi w:val="0"/>
                        <w:spacing w:line="240" w:lineRule="auto"/>
                        <w:ind w:left="14" w:right="14"/>
                        <w:jc w:val="left"/>
                        <w:rPr>
                          <w:rFonts w:hint="cs"/>
                          <w:b/>
                          <w:bCs/>
                          <w:sz w:val="17"/>
                          <w:szCs w:val="26"/>
                          <w:rtl/>
                        </w:rPr>
                      </w:pPr>
                    </w:p>
                  </w:tc>
                </w:tr>
                <w:tr w:rsidR="00125A02" w:rsidRPr="00125A02">
                  <w:trPr>
                    <w:cantSplit/>
                    <w:trHeight w:val="4925"/>
                    <w:jc w:val="center"/>
                  </w:trPr>
                  <w:tc>
                    <w:tcPr>
                      <w:tcW w:w="1023" w:type="dxa"/>
                      <w:shd w:val="clear" w:color="auto" w:fill="auto"/>
                      <w:textDirection w:val="btLr"/>
                      <w:vAlign w:val="bottom"/>
                    </w:tcPr>
                    <w:p w:rsidR="00125A02" w:rsidRPr="00125A02" w:rsidRDefault="00125A02" w:rsidP="00125A02">
                      <w:pPr>
                        <w:bidi w:val="0"/>
                        <w:spacing w:line="240" w:lineRule="auto"/>
                        <w:ind w:left="14" w:right="14"/>
                        <w:jc w:val="left"/>
                        <w:rPr>
                          <w:b/>
                          <w:bCs/>
                          <w:sz w:val="17"/>
                          <w:szCs w:val="26"/>
                          <w:rtl/>
                        </w:rPr>
                      </w:pPr>
                      <w:r w:rsidRPr="00125A02">
                        <w:rPr>
                          <w:b/>
                          <w:bCs/>
                          <w:sz w:val="17"/>
                          <w:szCs w:val="26"/>
                        </w:rPr>
                        <w:t>C</w:t>
                      </w:r>
                      <w:r w:rsidRPr="00125A02">
                        <w:rPr>
                          <w:b/>
                          <w:bCs/>
                          <w:sz w:val="17"/>
                          <w:szCs w:val="26"/>
                        </w:rPr>
                        <w:t>E</w:t>
                      </w:r>
                      <w:r w:rsidRPr="00125A02">
                        <w:rPr>
                          <w:b/>
                          <w:bCs/>
                          <w:sz w:val="17"/>
                          <w:szCs w:val="26"/>
                        </w:rPr>
                        <w:t>DAW/C/AUT/</w:t>
                      </w:r>
                      <w:r>
                        <w:rPr>
                          <w:b/>
                          <w:bCs/>
                          <w:sz w:val="17"/>
                          <w:szCs w:val="26"/>
                        </w:rPr>
                        <w:t>6</w:t>
                      </w:r>
                    </w:p>
                  </w:tc>
                </w:tr>
              </w:tbl>
              <w:p w:rsidR="00125A02" w:rsidRDefault="00125A02"/>
            </w:txbxContent>
          </v:textbox>
          <w10:wrap anchorx="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A02" w:rsidRPr="008677C9" w:rsidRDefault="00125A02" w:rsidP="008677C9">
    <w:pPr>
      <w:pStyle w:val="Header"/>
    </w:pPr>
    <w:r>
      <w:rPr>
        <w:w w:val="100"/>
      </w:rPr>
      <w:pict>
        <v:shapetype id="_x0000_t202" coordsize="21600,21600" o:spt="202" path="m,l,21600r21600,l21600,xe">
          <v:stroke joinstyle="miter"/>
          <v:path gradientshapeok="t" o:connecttype="rect"/>
        </v:shapetype>
        <v:shape id="_x0000_s1030" type="#_x0000_t202" style="position:absolute;margin-left:0;margin-top:0;width:492.5pt;height:50.4pt;z-index:4;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125A02">
                  <w:tblPrEx>
                    <w:tblCellMar>
                      <w:top w:w="0" w:type="dxa"/>
                      <w:bottom w:w="0" w:type="dxa"/>
                    </w:tblCellMar>
                  </w:tblPrEx>
                  <w:trPr>
                    <w:trHeight w:hRule="exact" w:val="864"/>
                    <w:jc w:val="center"/>
                  </w:trPr>
                  <w:tc>
                    <w:tcPr>
                      <w:tcW w:w="4932" w:type="dxa"/>
                      <w:shd w:val="clear" w:color="auto" w:fill="auto"/>
                      <w:vAlign w:val="bottom"/>
                    </w:tcPr>
                    <w:p w:rsidR="00125A02" w:rsidRDefault="00125A02" w:rsidP="008677C9">
                      <w:pPr>
                        <w:pStyle w:val="Header"/>
                        <w:bidi/>
                        <w:jc w:val="right"/>
                      </w:pPr>
                    </w:p>
                  </w:tc>
                  <w:tc>
                    <w:tcPr>
                      <w:tcW w:w="4933" w:type="dxa"/>
                      <w:shd w:val="clear" w:color="auto" w:fill="auto"/>
                      <w:vAlign w:val="bottom"/>
                    </w:tcPr>
                    <w:p w:rsidR="00125A02" w:rsidRPr="008677C9" w:rsidRDefault="00125A02" w:rsidP="008677C9">
                      <w:pPr>
                        <w:pStyle w:val="Header"/>
                        <w:spacing w:after="80"/>
                        <w:jc w:val="right"/>
                        <w:rPr>
                          <w:rFonts w:hint="cs"/>
                          <w:w w:val="103"/>
                          <w:rtl/>
                        </w:rPr>
                      </w:pPr>
                      <w:r>
                        <w:rPr>
                          <w:w w:val="103"/>
                        </w:rPr>
                        <w:t>CEDAW/C/AUT/6</w:t>
                      </w:r>
                    </w:p>
                  </w:tc>
                </w:tr>
              </w:tbl>
              <w:p w:rsidR="00125A02" w:rsidRDefault="00125A02" w:rsidP="008677C9">
                <w:pPr>
                  <w:bidi w:val="0"/>
                </w:pPr>
              </w:p>
            </w:txbxContent>
          </v:textbox>
          <w10:wrap anchorx="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A02" w:rsidRPr="008677C9" w:rsidRDefault="00125A02" w:rsidP="008677C9">
    <w:pPr>
      <w:pStyle w:val="Header"/>
    </w:pPr>
    <w:r>
      <w:rPr>
        <w:w w:val="100"/>
      </w:rPr>
      <w:pict>
        <v:shapetype id="_x0000_t202" coordsize="21600,21600" o:spt="202" path="m,l,21600r21600,l21600,xe">
          <v:stroke joinstyle="miter"/>
          <v:path gradientshapeok="t" o:connecttype="rect"/>
        </v:shapetype>
        <v:shape id="_x0000_s1029" type="#_x0000_t202" style="position:absolute;margin-left:0;margin-top:0;width:492.5pt;height:50.4pt;z-index:3;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125A02">
                  <w:tblPrEx>
                    <w:tblCellMar>
                      <w:top w:w="0" w:type="dxa"/>
                      <w:bottom w:w="0" w:type="dxa"/>
                    </w:tblCellMar>
                  </w:tblPrEx>
                  <w:trPr>
                    <w:trHeight w:hRule="exact" w:val="864"/>
                    <w:jc w:val="center"/>
                  </w:trPr>
                  <w:tc>
                    <w:tcPr>
                      <w:tcW w:w="4932" w:type="dxa"/>
                      <w:shd w:val="clear" w:color="auto" w:fill="auto"/>
                      <w:vAlign w:val="bottom"/>
                    </w:tcPr>
                    <w:p w:rsidR="00125A02" w:rsidRPr="008677C9" w:rsidRDefault="00125A02" w:rsidP="006A5284">
                      <w:pPr>
                        <w:pStyle w:val="Header"/>
                        <w:spacing w:after="80"/>
                        <w:rPr>
                          <w:rFonts w:hint="cs"/>
                          <w:w w:val="103"/>
                          <w:rtl/>
                        </w:rPr>
                      </w:pPr>
                      <w:r>
                        <w:rPr>
                          <w:w w:val="103"/>
                        </w:rPr>
                        <w:t>CEDAW/C/AUT/6</w:t>
                      </w:r>
                    </w:p>
                  </w:tc>
                  <w:tc>
                    <w:tcPr>
                      <w:tcW w:w="4933" w:type="dxa"/>
                      <w:shd w:val="clear" w:color="auto" w:fill="auto"/>
                      <w:vAlign w:val="bottom"/>
                    </w:tcPr>
                    <w:p w:rsidR="00125A02" w:rsidRDefault="00125A02" w:rsidP="008677C9">
                      <w:pPr>
                        <w:pStyle w:val="Header"/>
                      </w:pPr>
                    </w:p>
                  </w:tc>
                </w:tr>
              </w:tbl>
              <w:p w:rsidR="00125A02" w:rsidRDefault="00125A02" w:rsidP="008677C9">
                <w:pPr>
                  <w:bidi w:val="0"/>
                </w:pPr>
              </w:p>
            </w:txbxContent>
          </v:textbox>
          <w10:wrap anchorx="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EE" w:rsidRPr="00A3549C" w:rsidRDefault="00484FEE" w:rsidP="0011796D">
    <w:pPr>
      <w:pStyle w:val="Header"/>
    </w:pPr>
    <w:r>
      <w:rPr>
        <w:w w:val="100"/>
      </w:rPr>
      <w:pict>
        <v:shapetype id="_x0000_t202" coordsize="21600,21600" o:spt="202" path="m,l,21600r21600,l21600,xe">
          <v:stroke joinstyle="miter"/>
          <v:path gradientshapeok="t" o:connecttype="rect"/>
        </v:shapetype>
        <v:shape id="_x0000_s1046" type="#_x0000_t202" style="position:absolute;margin-left:619.2pt;margin-top:28.8pt;width:21.6pt;height:492.5pt;z-index:14;mso-wrap-style:tight;mso-position-horizontal-relative:margin" stroked="f">
          <v:textbox inset="0,0,0,0">
            <w:txbxContent>
              <w:tbl>
                <w:tblPr>
                  <w:tblStyle w:val="TableGrid"/>
                  <w:bidiVisual/>
                  <w:tblW w:w="4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484FEE" w:rsidRPr="00A3549C">
                  <w:trPr>
                    <w:cantSplit/>
                    <w:trHeight w:val="4925"/>
                    <w:jc w:val="center"/>
                  </w:trPr>
                  <w:tc>
                    <w:tcPr>
                      <w:tcW w:w="447" w:type="dxa"/>
                      <w:shd w:val="clear" w:color="auto" w:fill="auto"/>
                      <w:textDirection w:val="btLr"/>
                    </w:tcPr>
                    <w:p w:rsidR="00484FEE" w:rsidRPr="00A3549C" w:rsidRDefault="00484FEE" w:rsidP="0011796D">
                      <w:pPr>
                        <w:bidi w:val="0"/>
                        <w:spacing w:line="240" w:lineRule="auto"/>
                        <w:jc w:val="right"/>
                        <w:rPr>
                          <w:b/>
                          <w:sz w:val="17"/>
                          <w:rtl/>
                        </w:rPr>
                      </w:pPr>
                      <w:r>
                        <w:rPr>
                          <w:b/>
                          <w:sz w:val="17"/>
                        </w:rPr>
                        <w:fldChar w:fldCharType="begin"/>
                      </w:r>
                      <w:r>
                        <w:rPr>
                          <w:b/>
                          <w:sz w:val="17"/>
                        </w:rPr>
                        <w:instrText xml:space="preserve"> PAGE  \* MERGEFORMAT </w:instrText>
                      </w:r>
                      <w:r>
                        <w:rPr>
                          <w:b/>
                          <w:sz w:val="17"/>
                        </w:rPr>
                        <w:fldChar w:fldCharType="separate"/>
                      </w:r>
                      <w:r w:rsidR="00F975D0">
                        <w:rPr>
                          <w:b/>
                          <w:noProof/>
                          <w:sz w:val="17"/>
                        </w:rPr>
                        <w:t>118</w:t>
                      </w:r>
                      <w:r>
                        <w:rPr>
                          <w:b/>
                          <w:sz w:val="17"/>
                        </w:rPr>
                        <w:fldChar w:fldCharType="end"/>
                      </w:r>
                    </w:p>
                  </w:tc>
                </w:tr>
                <w:tr w:rsidR="00484FEE" w:rsidRPr="00A3549C">
                  <w:trPr>
                    <w:cantSplit/>
                    <w:trHeight w:val="4925"/>
                    <w:jc w:val="center"/>
                  </w:trPr>
                  <w:tc>
                    <w:tcPr>
                      <w:tcW w:w="447" w:type="dxa"/>
                      <w:shd w:val="clear" w:color="auto" w:fill="auto"/>
                      <w:textDirection w:val="btLr"/>
                    </w:tcPr>
                    <w:p w:rsidR="00484FEE" w:rsidRPr="00A3549C" w:rsidRDefault="00484FEE" w:rsidP="0011796D">
                      <w:pPr>
                        <w:bidi w:val="0"/>
                        <w:spacing w:line="240" w:lineRule="auto"/>
                        <w:jc w:val="left"/>
                        <w:rPr>
                          <w:sz w:val="17"/>
                          <w:rtl/>
                        </w:rPr>
                      </w:pPr>
                      <w:r>
                        <w:rPr>
                          <w:sz w:val="17"/>
                        </w:rPr>
                        <w:t>04-59637</w:t>
                      </w:r>
                    </w:p>
                  </w:tc>
                </w:tr>
              </w:tbl>
              <w:p w:rsidR="00484FEE" w:rsidRDefault="00484FEE"/>
            </w:txbxContent>
          </v:textbox>
        </v:shape>
      </w:pict>
    </w:r>
    <w:r>
      <w:rPr>
        <w:w w:val="100"/>
      </w:rPr>
      <w:pict>
        <v:shape id="_x0000_s1045" type="#_x0000_t202" style="position:absolute;margin-left:-1in;margin-top:28.8pt;width:50.4pt;height:492.5pt;z-index:13;mso-wrap-style:tight;mso-position-horizontal-relative:margin" stroked="f">
          <v:textbox inset="0,0,0,0">
            <w:txbxContent>
              <w:tbl>
                <w:tblPr>
                  <w:tblStyle w:val="TableGrid"/>
                  <w:bidiVisual/>
                  <w:tblW w:w="864" w:type="dxa"/>
                  <w:jc w:val="center"/>
                  <w:tblBorders>
                    <w:top w:val="none" w:sz="0" w:space="0" w:color="auto"/>
                    <w:left w:val="single" w:sz="2"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484FEE" w:rsidRPr="00A3549C">
                  <w:trPr>
                    <w:cantSplit/>
                    <w:trHeight w:val="4925"/>
                    <w:jc w:val="center"/>
                  </w:trPr>
                  <w:tc>
                    <w:tcPr>
                      <w:tcW w:w="1023" w:type="dxa"/>
                      <w:shd w:val="clear" w:color="auto" w:fill="auto"/>
                      <w:textDirection w:val="btLr"/>
                      <w:vAlign w:val="bottom"/>
                    </w:tcPr>
                    <w:p w:rsidR="00484FEE" w:rsidRPr="00A3549C" w:rsidRDefault="00484FEE" w:rsidP="0011796D">
                      <w:pPr>
                        <w:bidi w:val="0"/>
                        <w:spacing w:line="240" w:lineRule="auto"/>
                        <w:ind w:left="14" w:right="14"/>
                        <w:jc w:val="right"/>
                        <w:rPr>
                          <w:b/>
                          <w:bCs/>
                          <w:sz w:val="17"/>
                          <w:szCs w:val="26"/>
                          <w:rtl/>
                        </w:rPr>
                      </w:pPr>
                      <w:r w:rsidRPr="00A3549C">
                        <w:rPr>
                          <w:b/>
                          <w:bCs/>
                          <w:sz w:val="17"/>
                          <w:szCs w:val="26"/>
                        </w:rPr>
                        <w:t>C</w:t>
                      </w:r>
                      <w:r w:rsidRPr="00A3549C">
                        <w:rPr>
                          <w:b/>
                          <w:bCs/>
                          <w:sz w:val="17"/>
                          <w:szCs w:val="26"/>
                        </w:rPr>
                        <w:t>E</w:t>
                      </w:r>
                      <w:r w:rsidRPr="00A3549C">
                        <w:rPr>
                          <w:b/>
                          <w:bCs/>
                          <w:sz w:val="17"/>
                          <w:szCs w:val="26"/>
                        </w:rPr>
                        <w:t>DAW/C/AUT/6</w:t>
                      </w:r>
                    </w:p>
                  </w:tc>
                </w:tr>
                <w:tr w:rsidR="00484FEE" w:rsidRPr="00A3549C">
                  <w:trPr>
                    <w:cantSplit/>
                    <w:trHeight w:val="4925"/>
                    <w:jc w:val="center"/>
                  </w:trPr>
                  <w:tc>
                    <w:tcPr>
                      <w:tcW w:w="1023" w:type="dxa"/>
                      <w:shd w:val="clear" w:color="auto" w:fill="auto"/>
                      <w:textDirection w:val="btLr"/>
                      <w:vAlign w:val="bottom"/>
                    </w:tcPr>
                    <w:p w:rsidR="00484FEE" w:rsidRPr="00A3549C" w:rsidRDefault="00484FEE" w:rsidP="0011796D">
                      <w:pPr>
                        <w:bidi w:val="0"/>
                        <w:spacing w:line="240" w:lineRule="auto"/>
                        <w:ind w:left="14" w:right="14"/>
                        <w:jc w:val="right"/>
                        <w:rPr>
                          <w:b/>
                          <w:bCs/>
                          <w:sz w:val="17"/>
                          <w:szCs w:val="26"/>
                          <w:rtl/>
                        </w:rPr>
                      </w:pPr>
                    </w:p>
                  </w:tc>
                </w:tr>
              </w:tbl>
              <w:p w:rsidR="00484FEE" w:rsidRDefault="00484FEE"/>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EE" w:rsidRPr="00A3549C" w:rsidRDefault="00484FEE" w:rsidP="0011796D">
    <w:pPr>
      <w:pStyle w:val="Header"/>
    </w:pPr>
    <w:r>
      <w:rPr>
        <w:w w:val="100"/>
      </w:rPr>
      <w:pict>
        <v:shapetype id="_x0000_t202" coordsize="21600,21600" o:spt="202" path="m,l,21600r21600,l21600,xe">
          <v:stroke joinstyle="miter"/>
          <v:path gradientshapeok="t" o:connecttype="rect"/>
        </v:shapetype>
        <v:shape id="_x0000_s1044" type="#_x0000_t202" style="position:absolute;margin-left:619.2pt;margin-top:28.8pt;width:21.6pt;height:492.5pt;z-index:12;mso-wrap-style:tight;mso-position-horizontal-relative:margin" stroked="f">
          <v:textbox inset="0,0,0,0">
            <w:txbxContent>
              <w:tbl>
                <w:tblPr>
                  <w:tblStyle w:val="TableGrid"/>
                  <w:bidiVisual/>
                  <w:tblW w:w="4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484FEE" w:rsidRPr="00A3549C">
                  <w:trPr>
                    <w:cantSplit/>
                    <w:trHeight w:val="4925"/>
                    <w:jc w:val="center"/>
                  </w:trPr>
                  <w:tc>
                    <w:tcPr>
                      <w:tcW w:w="447" w:type="dxa"/>
                      <w:shd w:val="clear" w:color="auto" w:fill="auto"/>
                      <w:textDirection w:val="btLr"/>
                    </w:tcPr>
                    <w:p w:rsidR="00484FEE" w:rsidRPr="00A3549C" w:rsidRDefault="00484FEE" w:rsidP="0011796D">
                      <w:pPr>
                        <w:bidi w:val="0"/>
                        <w:spacing w:line="240" w:lineRule="auto"/>
                        <w:jc w:val="right"/>
                        <w:rPr>
                          <w:sz w:val="17"/>
                          <w:rtl/>
                        </w:rPr>
                      </w:pPr>
                      <w:r>
                        <w:rPr>
                          <w:sz w:val="17"/>
                        </w:rPr>
                        <w:t>04-59637</w:t>
                      </w:r>
                    </w:p>
                  </w:tc>
                </w:tr>
                <w:tr w:rsidR="00484FEE" w:rsidRPr="00A3549C">
                  <w:trPr>
                    <w:cantSplit/>
                    <w:trHeight w:val="4925"/>
                    <w:jc w:val="center"/>
                  </w:trPr>
                  <w:tc>
                    <w:tcPr>
                      <w:tcW w:w="447" w:type="dxa"/>
                      <w:shd w:val="clear" w:color="auto" w:fill="auto"/>
                      <w:textDirection w:val="btLr"/>
                    </w:tcPr>
                    <w:p w:rsidR="00484FEE" w:rsidRPr="00A3549C" w:rsidRDefault="00484FEE" w:rsidP="0011796D">
                      <w:pPr>
                        <w:bidi w:val="0"/>
                        <w:spacing w:line="240" w:lineRule="auto"/>
                        <w:jc w:val="left"/>
                        <w:rPr>
                          <w:b/>
                          <w:sz w:val="17"/>
                          <w:rtl/>
                        </w:rPr>
                      </w:pPr>
                      <w:r>
                        <w:rPr>
                          <w:b/>
                          <w:sz w:val="17"/>
                        </w:rPr>
                        <w:fldChar w:fldCharType="begin"/>
                      </w:r>
                      <w:r>
                        <w:rPr>
                          <w:b/>
                          <w:sz w:val="17"/>
                        </w:rPr>
                        <w:instrText xml:space="preserve"> PAGE  \* MERGEFORMAT </w:instrText>
                      </w:r>
                      <w:r>
                        <w:rPr>
                          <w:b/>
                          <w:sz w:val="17"/>
                        </w:rPr>
                        <w:fldChar w:fldCharType="separate"/>
                      </w:r>
                      <w:r w:rsidR="00F975D0">
                        <w:rPr>
                          <w:b/>
                          <w:noProof/>
                          <w:sz w:val="17"/>
                        </w:rPr>
                        <w:t>119</w:t>
                      </w:r>
                      <w:r>
                        <w:rPr>
                          <w:b/>
                          <w:sz w:val="17"/>
                        </w:rPr>
                        <w:fldChar w:fldCharType="end"/>
                      </w:r>
                    </w:p>
                  </w:tc>
                </w:tr>
              </w:tbl>
              <w:p w:rsidR="00484FEE" w:rsidRDefault="00484FEE"/>
            </w:txbxContent>
          </v:textbox>
        </v:shape>
      </w:pict>
    </w:r>
    <w:r>
      <w:rPr>
        <w:w w:val="100"/>
      </w:rPr>
      <w:pict>
        <v:shape id="_x0000_s1043" type="#_x0000_t202" style="position:absolute;margin-left:-1in;margin-top:28.8pt;width:50.4pt;height:492.5pt;z-index:11;mso-wrap-style:tight;mso-position-horizontal-relative:margin" stroked="f">
          <v:textbox inset="0,0,0,0">
            <w:txbxContent>
              <w:tbl>
                <w:tblPr>
                  <w:tblStyle w:val="TableGrid"/>
                  <w:bidiVisual/>
                  <w:tblW w:w="864" w:type="dxa"/>
                  <w:jc w:val="center"/>
                  <w:tblBorders>
                    <w:top w:val="none" w:sz="0" w:space="0" w:color="auto"/>
                    <w:left w:val="single" w:sz="2"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484FEE" w:rsidRPr="00A3549C">
                  <w:trPr>
                    <w:cantSplit/>
                    <w:trHeight w:val="4925"/>
                    <w:jc w:val="center"/>
                  </w:trPr>
                  <w:tc>
                    <w:tcPr>
                      <w:tcW w:w="1023" w:type="dxa"/>
                      <w:shd w:val="clear" w:color="auto" w:fill="auto"/>
                      <w:textDirection w:val="btLr"/>
                      <w:vAlign w:val="bottom"/>
                    </w:tcPr>
                    <w:p w:rsidR="00484FEE" w:rsidRPr="00A3549C" w:rsidRDefault="00484FEE" w:rsidP="0011796D">
                      <w:pPr>
                        <w:bidi w:val="0"/>
                        <w:spacing w:line="240" w:lineRule="auto"/>
                        <w:ind w:left="14" w:right="14"/>
                        <w:jc w:val="left"/>
                        <w:rPr>
                          <w:rFonts w:hint="cs"/>
                          <w:b/>
                          <w:bCs/>
                          <w:sz w:val="17"/>
                          <w:szCs w:val="26"/>
                          <w:rtl/>
                        </w:rPr>
                      </w:pPr>
                    </w:p>
                  </w:tc>
                </w:tr>
                <w:tr w:rsidR="00484FEE" w:rsidRPr="00A3549C">
                  <w:trPr>
                    <w:cantSplit/>
                    <w:trHeight w:val="4925"/>
                    <w:jc w:val="center"/>
                  </w:trPr>
                  <w:tc>
                    <w:tcPr>
                      <w:tcW w:w="1023" w:type="dxa"/>
                      <w:shd w:val="clear" w:color="auto" w:fill="auto"/>
                      <w:textDirection w:val="btLr"/>
                      <w:vAlign w:val="bottom"/>
                    </w:tcPr>
                    <w:p w:rsidR="00484FEE" w:rsidRPr="00A3549C" w:rsidRDefault="00484FEE" w:rsidP="0011796D">
                      <w:pPr>
                        <w:bidi w:val="0"/>
                        <w:spacing w:line="240" w:lineRule="auto"/>
                        <w:ind w:left="14" w:right="14"/>
                        <w:jc w:val="left"/>
                        <w:rPr>
                          <w:b/>
                          <w:bCs/>
                          <w:sz w:val="17"/>
                          <w:szCs w:val="26"/>
                          <w:rtl/>
                        </w:rPr>
                      </w:pPr>
                      <w:r w:rsidRPr="00A3549C">
                        <w:rPr>
                          <w:b/>
                          <w:bCs/>
                          <w:sz w:val="17"/>
                          <w:szCs w:val="26"/>
                        </w:rPr>
                        <w:t>C</w:t>
                      </w:r>
                      <w:r w:rsidRPr="00A3549C">
                        <w:rPr>
                          <w:b/>
                          <w:bCs/>
                          <w:sz w:val="17"/>
                          <w:szCs w:val="26"/>
                        </w:rPr>
                        <w:t>E</w:t>
                      </w:r>
                      <w:r w:rsidRPr="00A3549C">
                        <w:rPr>
                          <w:b/>
                          <w:bCs/>
                          <w:sz w:val="17"/>
                          <w:szCs w:val="26"/>
                        </w:rPr>
                        <w:t>DAW/C/AUT/6</w:t>
                      </w:r>
                    </w:p>
                  </w:tc>
                </w:tr>
              </w:tbl>
              <w:p w:rsidR="00484FEE" w:rsidRDefault="00484FEE">
                <w:pPr>
                  <w:rPr>
                    <w:rFonts w:hint="cs"/>
                  </w:rPr>
                </w:pPr>
              </w:p>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1AD" w:rsidRPr="008677C9" w:rsidRDefault="00AF51AD" w:rsidP="008677C9">
    <w:pPr>
      <w:pStyle w:val="Header"/>
    </w:pPr>
    <w:r>
      <w:rPr>
        <w:w w:val="100"/>
      </w:rPr>
      <w:pict>
        <v:shapetype id="_x0000_t202" coordsize="21600,21600" o:spt="202" path="m,l,21600r21600,l21600,xe">
          <v:stroke joinstyle="miter"/>
          <v:path gradientshapeok="t" o:connecttype="rect"/>
        </v:shapetype>
        <v:shape id="_x0000_s1037" type="#_x0000_t202" style="position:absolute;margin-left:0;margin-top:0;width:492.5pt;height:50.4pt;z-index:9;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AF51AD">
                  <w:tblPrEx>
                    <w:tblCellMar>
                      <w:top w:w="0" w:type="dxa"/>
                      <w:bottom w:w="0" w:type="dxa"/>
                    </w:tblCellMar>
                  </w:tblPrEx>
                  <w:trPr>
                    <w:trHeight w:hRule="exact" w:val="864"/>
                    <w:jc w:val="center"/>
                  </w:trPr>
                  <w:tc>
                    <w:tcPr>
                      <w:tcW w:w="4932" w:type="dxa"/>
                      <w:shd w:val="clear" w:color="auto" w:fill="auto"/>
                      <w:vAlign w:val="bottom"/>
                    </w:tcPr>
                    <w:p w:rsidR="00AF51AD" w:rsidRDefault="00AF51AD" w:rsidP="008677C9">
                      <w:pPr>
                        <w:pStyle w:val="Header"/>
                        <w:bidi/>
                        <w:jc w:val="right"/>
                      </w:pPr>
                    </w:p>
                  </w:tc>
                  <w:tc>
                    <w:tcPr>
                      <w:tcW w:w="4933" w:type="dxa"/>
                      <w:shd w:val="clear" w:color="auto" w:fill="auto"/>
                      <w:vAlign w:val="bottom"/>
                    </w:tcPr>
                    <w:p w:rsidR="00AF51AD" w:rsidRPr="008677C9" w:rsidRDefault="00AF51AD" w:rsidP="008677C9">
                      <w:pPr>
                        <w:pStyle w:val="Header"/>
                        <w:spacing w:after="80"/>
                        <w:jc w:val="right"/>
                        <w:rPr>
                          <w:rFonts w:hint="cs"/>
                          <w:w w:val="103"/>
                          <w:rtl/>
                        </w:rPr>
                      </w:pPr>
                      <w:r>
                        <w:rPr>
                          <w:w w:val="103"/>
                        </w:rPr>
                        <w:t>CEDAW/C/AUT/6</w:t>
                      </w:r>
                    </w:p>
                  </w:tc>
                </w:tr>
              </w:tbl>
              <w:p w:rsidR="00AF51AD" w:rsidRDefault="00AF51AD" w:rsidP="008677C9">
                <w:pPr>
                  <w:bidi w:val="0"/>
                </w:pPr>
              </w:p>
            </w:txbxContent>
          </v:textbox>
          <w10:wrap anchorx="page"/>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1AD" w:rsidRPr="008677C9" w:rsidRDefault="00AF51AD" w:rsidP="008677C9">
    <w:pPr>
      <w:pStyle w:val="Header"/>
    </w:pPr>
    <w:r>
      <w:rPr>
        <w:w w:val="100"/>
      </w:rPr>
      <w:pict>
        <v:shapetype id="_x0000_t202" coordsize="21600,21600" o:spt="202" path="m,l,21600r21600,l21600,xe">
          <v:stroke joinstyle="miter"/>
          <v:path gradientshapeok="t" o:connecttype="rect"/>
        </v:shapetype>
        <v:shape id="_x0000_s1038" type="#_x0000_t202" style="position:absolute;margin-left:0;margin-top:0;width:492.5pt;height:50.4pt;z-index:10;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AF51AD">
                  <w:tblPrEx>
                    <w:tblCellMar>
                      <w:top w:w="0" w:type="dxa"/>
                      <w:bottom w:w="0" w:type="dxa"/>
                    </w:tblCellMar>
                  </w:tblPrEx>
                  <w:trPr>
                    <w:trHeight w:hRule="exact" w:val="864"/>
                    <w:jc w:val="center"/>
                  </w:trPr>
                  <w:tc>
                    <w:tcPr>
                      <w:tcW w:w="4932" w:type="dxa"/>
                      <w:shd w:val="clear" w:color="auto" w:fill="auto"/>
                      <w:vAlign w:val="bottom"/>
                    </w:tcPr>
                    <w:p w:rsidR="00AF51AD" w:rsidRPr="008677C9" w:rsidRDefault="00AF51AD" w:rsidP="006A5284">
                      <w:pPr>
                        <w:pStyle w:val="Header"/>
                        <w:spacing w:after="80"/>
                        <w:rPr>
                          <w:rFonts w:hint="cs"/>
                          <w:w w:val="103"/>
                          <w:rtl/>
                        </w:rPr>
                      </w:pPr>
                      <w:r>
                        <w:rPr>
                          <w:w w:val="103"/>
                        </w:rPr>
                        <w:t>CEDAW/C/AUT/6</w:t>
                      </w:r>
                    </w:p>
                  </w:tc>
                  <w:tc>
                    <w:tcPr>
                      <w:tcW w:w="4933" w:type="dxa"/>
                      <w:shd w:val="clear" w:color="auto" w:fill="auto"/>
                      <w:vAlign w:val="bottom"/>
                    </w:tcPr>
                    <w:p w:rsidR="00AF51AD" w:rsidRDefault="00AF51AD" w:rsidP="008677C9">
                      <w:pPr>
                        <w:pStyle w:val="Header"/>
                      </w:pPr>
                    </w:p>
                  </w:tc>
                </w:tr>
              </w:tbl>
              <w:p w:rsidR="00AF51AD" w:rsidRDefault="00AF51AD" w:rsidP="008677C9">
                <w:pPr>
                  <w:bidi w:val="0"/>
                </w:pPr>
              </w:p>
            </w:txbxContent>
          </v:textbox>
          <w10:wrap anchorx="pag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11/2004 04:190 م"/>
    <w:docVar w:name="DocCategory" w:val="Doc"/>
    <w:docVar w:name="DocType" w:val="Final"/>
    <w:docVar w:name="JobNo" w:val="0459637A"/>
    <w:docVar w:name="OandT" w:val=" "/>
    <w:docVar w:name="Symbol1" w:val="CEDAW/C/AUT/5"/>
    <w:docVar w:name="Symbol2" w:val="-"/>
  </w:docVars>
  <w:rsids>
    <w:rsidRoot w:val="00CD3849"/>
    <w:rsid w:val="0000695E"/>
    <w:rsid w:val="00012F87"/>
    <w:rsid w:val="00021501"/>
    <w:rsid w:val="000227DC"/>
    <w:rsid w:val="00032E8D"/>
    <w:rsid w:val="00042425"/>
    <w:rsid w:val="00055F15"/>
    <w:rsid w:val="000629D7"/>
    <w:rsid w:val="000745C1"/>
    <w:rsid w:val="00087310"/>
    <w:rsid w:val="00095A67"/>
    <w:rsid w:val="0009732C"/>
    <w:rsid w:val="000C01C2"/>
    <w:rsid w:val="000C43FD"/>
    <w:rsid w:val="000C4B0B"/>
    <w:rsid w:val="000D2CEC"/>
    <w:rsid w:val="00101EE8"/>
    <w:rsid w:val="001160E6"/>
    <w:rsid w:val="00116610"/>
    <w:rsid w:val="0011796D"/>
    <w:rsid w:val="001218C7"/>
    <w:rsid w:val="00124E55"/>
    <w:rsid w:val="00125A02"/>
    <w:rsid w:val="001408CC"/>
    <w:rsid w:val="001408CD"/>
    <w:rsid w:val="001479DF"/>
    <w:rsid w:val="00155650"/>
    <w:rsid w:val="00165315"/>
    <w:rsid w:val="00173C77"/>
    <w:rsid w:val="0017742B"/>
    <w:rsid w:val="00187870"/>
    <w:rsid w:val="001A0629"/>
    <w:rsid w:val="001A1EA1"/>
    <w:rsid w:val="001B7B7B"/>
    <w:rsid w:val="001C29D4"/>
    <w:rsid w:val="001C4385"/>
    <w:rsid w:val="001C623B"/>
    <w:rsid w:val="002023CB"/>
    <w:rsid w:val="002075C0"/>
    <w:rsid w:val="002217B7"/>
    <w:rsid w:val="002416C5"/>
    <w:rsid w:val="00250EBA"/>
    <w:rsid w:val="00266F59"/>
    <w:rsid w:val="002701DF"/>
    <w:rsid w:val="00272B6C"/>
    <w:rsid w:val="00290F2F"/>
    <w:rsid w:val="002937DA"/>
    <w:rsid w:val="00297B7E"/>
    <w:rsid w:val="002C2AF2"/>
    <w:rsid w:val="002C4E1B"/>
    <w:rsid w:val="002D038D"/>
    <w:rsid w:val="002D3A4A"/>
    <w:rsid w:val="002D3B70"/>
    <w:rsid w:val="002F5733"/>
    <w:rsid w:val="002F5C7E"/>
    <w:rsid w:val="00312162"/>
    <w:rsid w:val="00334E4C"/>
    <w:rsid w:val="003501D5"/>
    <w:rsid w:val="00371AC4"/>
    <w:rsid w:val="00387FDC"/>
    <w:rsid w:val="003A141B"/>
    <w:rsid w:val="003A341B"/>
    <w:rsid w:val="003A65ED"/>
    <w:rsid w:val="003C6A68"/>
    <w:rsid w:val="003D2D0B"/>
    <w:rsid w:val="003D4612"/>
    <w:rsid w:val="003D7357"/>
    <w:rsid w:val="003D7FC5"/>
    <w:rsid w:val="003E39E5"/>
    <w:rsid w:val="003F0DB9"/>
    <w:rsid w:val="003F132B"/>
    <w:rsid w:val="003F194C"/>
    <w:rsid w:val="003F4B8C"/>
    <w:rsid w:val="00401A14"/>
    <w:rsid w:val="00401BDF"/>
    <w:rsid w:val="00401F5C"/>
    <w:rsid w:val="00411BBD"/>
    <w:rsid w:val="00414DB0"/>
    <w:rsid w:val="00415922"/>
    <w:rsid w:val="0041621D"/>
    <w:rsid w:val="00423BD7"/>
    <w:rsid w:val="0042757D"/>
    <w:rsid w:val="00437C14"/>
    <w:rsid w:val="004506E3"/>
    <w:rsid w:val="004527C9"/>
    <w:rsid w:val="00453069"/>
    <w:rsid w:val="00457A98"/>
    <w:rsid w:val="00467115"/>
    <w:rsid w:val="0048303D"/>
    <w:rsid w:val="00484FEE"/>
    <w:rsid w:val="00494EE2"/>
    <w:rsid w:val="00496CD5"/>
    <w:rsid w:val="00496E83"/>
    <w:rsid w:val="004A13B4"/>
    <w:rsid w:val="004A2886"/>
    <w:rsid w:val="004A593D"/>
    <w:rsid w:val="004B14A0"/>
    <w:rsid w:val="004B1975"/>
    <w:rsid w:val="004C59C2"/>
    <w:rsid w:val="004E3A73"/>
    <w:rsid w:val="004F1402"/>
    <w:rsid w:val="004F2143"/>
    <w:rsid w:val="0050659B"/>
    <w:rsid w:val="005118B8"/>
    <w:rsid w:val="00524A2E"/>
    <w:rsid w:val="005279DE"/>
    <w:rsid w:val="00534772"/>
    <w:rsid w:val="00536C9A"/>
    <w:rsid w:val="00537FCD"/>
    <w:rsid w:val="00541B12"/>
    <w:rsid w:val="00545F76"/>
    <w:rsid w:val="0054685D"/>
    <w:rsid w:val="00556882"/>
    <w:rsid w:val="00561E43"/>
    <w:rsid w:val="00583617"/>
    <w:rsid w:val="005838F5"/>
    <w:rsid w:val="00591B45"/>
    <w:rsid w:val="005C78DC"/>
    <w:rsid w:val="005D0EFA"/>
    <w:rsid w:val="005D6BEF"/>
    <w:rsid w:val="006069EF"/>
    <w:rsid w:val="006218A3"/>
    <w:rsid w:val="00624A59"/>
    <w:rsid w:val="00627C55"/>
    <w:rsid w:val="006369AA"/>
    <w:rsid w:val="0064111A"/>
    <w:rsid w:val="006459D9"/>
    <w:rsid w:val="006564CE"/>
    <w:rsid w:val="00657CF0"/>
    <w:rsid w:val="00663F64"/>
    <w:rsid w:val="00696B7A"/>
    <w:rsid w:val="006A5284"/>
    <w:rsid w:val="006B0E2D"/>
    <w:rsid w:val="006C38EE"/>
    <w:rsid w:val="006C4B1D"/>
    <w:rsid w:val="006C7E86"/>
    <w:rsid w:val="006D6415"/>
    <w:rsid w:val="006E082D"/>
    <w:rsid w:val="007007C1"/>
    <w:rsid w:val="00710353"/>
    <w:rsid w:val="00711E31"/>
    <w:rsid w:val="00713099"/>
    <w:rsid w:val="0071531E"/>
    <w:rsid w:val="0071645B"/>
    <w:rsid w:val="00716E9D"/>
    <w:rsid w:val="007243D4"/>
    <w:rsid w:val="00724A2F"/>
    <w:rsid w:val="007258A9"/>
    <w:rsid w:val="00740EBD"/>
    <w:rsid w:val="007420B0"/>
    <w:rsid w:val="00747B9E"/>
    <w:rsid w:val="007525FA"/>
    <w:rsid w:val="00756CCB"/>
    <w:rsid w:val="00767C44"/>
    <w:rsid w:val="00774FF0"/>
    <w:rsid w:val="0077705B"/>
    <w:rsid w:val="00784E31"/>
    <w:rsid w:val="0079046D"/>
    <w:rsid w:val="0079753A"/>
    <w:rsid w:val="007A623A"/>
    <w:rsid w:val="007A6DD9"/>
    <w:rsid w:val="007B21CE"/>
    <w:rsid w:val="007B4C85"/>
    <w:rsid w:val="007E4BCD"/>
    <w:rsid w:val="0081284F"/>
    <w:rsid w:val="00814843"/>
    <w:rsid w:val="00815E30"/>
    <w:rsid w:val="00830E32"/>
    <w:rsid w:val="00835F43"/>
    <w:rsid w:val="008377BA"/>
    <w:rsid w:val="0084311F"/>
    <w:rsid w:val="008617CA"/>
    <w:rsid w:val="008677C9"/>
    <w:rsid w:val="00872332"/>
    <w:rsid w:val="00873AF9"/>
    <w:rsid w:val="00880823"/>
    <w:rsid w:val="008828EF"/>
    <w:rsid w:val="008856AB"/>
    <w:rsid w:val="008B1C7E"/>
    <w:rsid w:val="008B2F82"/>
    <w:rsid w:val="008C354A"/>
    <w:rsid w:val="008D1C04"/>
    <w:rsid w:val="008D75C2"/>
    <w:rsid w:val="008F04A0"/>
    <w:rsid w:val="008F5CD4"/>
    <w:rsid w:val="008F64A7"/>
    <w:rsid w:val="0090012B"/>
    <w:rsid w:val="00920E6E"/>
    <w:rsid w:val="00953E92"/>
    <w:rsid w:val="00962E40"/>
    <w:rsid w:val="00970BAD"/>
    <w:rsid w:val="009829B7"/>
    <w:rsid w:val="00986841"/>
    <w:rsid w:val="009873A3"/>
    <w:rsid w:val="009927C0"/>
    <w:rsid w:val="009A34CF"/>
    <w:rsid w:val="009A4829"/>
    <w:rsid w:val="009B6786"/>
    <w:rsid w:val="009C15F4"/>
    <w:rsid w:val="009C4F54"/>
    <w:rsid w:val="009C58EA"/>
    <w:rsid w:val="009C6D33"/>
    <w:rsid w:val="009D56D0"/>
    <w:rsid w:val="009D62A3"/>
    <w:rsid w:val="009E2A1F"/>
    <w:rsid w:val="009E79EC"/>
    <w:rsid w:val="009F09B3"/>
    <w:rsid w:val="00A247CE"/>
    <w:rsid w:val="00A33A6E"/>
    <w:rsid w:val="00A54CA7"/>
    <w:rsid w:val="00A60B0E"/>
    <w:rsid w:val="00A662B1"/>
    <w:rsid w:val="00A71AE5"/>
    <w:rsid w:val="00A74472"/>
    <w:rsid w:val="00A778FB"/>
    <w:rsid w:val="00A91B04"/>
    <w:rsid w:val="00AA1E16"/>
    <w:rsid w:val="00AB3F23"/>
    <w:rsid w:val="00AC002C"/>
    <w:rsid w:val="00AC2846"/>
    <w:rsid w:val="00AC6CDD"/>
    <w:rsid w:val="00AD38D0"/>
    <w:rsid w:val="00AE0BFA"/>
    <w:rsid w:val="00AE108C"/>
    <w:rsid w:val="00AF0C52"/>
    <w:rsid w:val="00AF1A53"/>
    <w:rsid w:val="00AF51AD"/>
    <w:rsid w:val="00AF7AC7"/>
    <w:rsid w:val="00B01C82"/>
    <w:rsid w:val="00B0232E"/>
    <w:rsid w:val="00B05ADC"/>
    <w:rsid w:val="00B13CC0"/>
    <w:rsid w:val="00B56B52"/>
    <w:rsid w:val="00B57B2D"/>
    <w:rsid w:val="00B95560"/>
    <w:rsid w:val="00BA7FAB"/>
    <w:rsid w:val="00BB2808"/>
    <w:rsid w:val="00BB3DAD"/>
    <w:rsid w:val="00BC2F4C"/>
    <w:rsid w:val="00BC46DC"/>
    <w:rsid w:val="00BC4A05"/>
    <w:rsid w:val="00BD38A5"/>
    <w:rsid w:val="00BE180F"/>
    <w:rsid w:val="00BF0B15"/>
    <w:rsid w:val="00C12CBB"/>
    <w:rsid w:val="00C2439E"/>
    <w:rsid w:val="00C25A2D"/>
    <w:rsid w:val="00C260F8"/>
    <w:rsid w:val="00C303FF"/>
    <w:rsid w:val="00C42B06"/>
    <w:rsid w:val="00C43FBE"/>
    <w:rsid w:val="00C449C6"/>
    <w:rsid w:val="00C509DB"/>
    <w:rsid w:val="00C50D20"/>
    <w:rsid w:val="00C564B0"/>
    <w:rsid w:val="00C814A5"/>
    <w:rsid w:val="00C96573"/>
    <w:rsid w:val="00C96D3A"/>
    <w:rsid w:val="00C97753"/>
    <w:rsid w:val="00CA45EE"/>
    <w:rsid w:val="00CC3B8A"/>
    <w:rsid w:val="00CC5871"/>
    <w:rsid w:val="00CD0BB8"/>
    <w:rsid w:val="00CD3849"/>
    <w:rsid w:val="00CD5B6D"/>
    <w:rsid w:val="00CD638E"/>
    <w:rsid w:val="00CF7384"/>
    <w:rsid w:val="00D13C3A"/>
    <w:rsid w:val="00D16B1E"/>
    <w:rsid w:val="00D2343D"/>
    <w:rsid w:val="00D23E5B"/>
    <w:rsid w:val="00D263BA"/>
    <w:rsid w:val="00D30EAE"/>
    <w:rsid w:val="00D318F1"/>
    <w:rsid w:val="00D40B0E"/>
    <w:rsid w:val="00D466E2"/>
    <w:rsid w:val="00D571CD"/>
    <w:rsid w:val="00D6772C"/>
    <w:rsid w:val="00D71234"/>
    <w:rsid w:val="00DA66B7"/>
    <w:rsid w:val="00DB0865"/>
    <w:rsid w:val="00DC2CE8"/>
    <w:rsid w:val="00DE5433"/>
    <w:rsid w:val="00DE66DC"/>
    <w:rsid w:val="00DF5F38"/>
    <w:rsid w:val="00E23336"/>
    <w:rsid w:val="00E26D48"/>
    <w:rsid w:val="00E32B52"/>
    <w:rsid w:val="00E47EB8"/>
    <w:rsid w:val="00E501BE"/>
    <w:rsid w:val="00E725ED"/>
    <w:rsid w:val="00E83EFB"/>
    <w:rsid w:val="00E9114A"/>
    <w:rsid w:val="00E94202"/>
    <w:rsid w:val="00EA489C"/>
    <w:rsid w:val="00EB0CA7"/>
    <w:rsid w:val="00EB4992"/>
    <w:rsid w:val="00EB4EE9"/>
    <w:rsid w:val="00EB7AE0"/>
    <w:rsid w:val="00ED0988"/>
    <w:rsid w:val="00ED784C"/>
    <w:rsid w:val="00EF2E52"/>
    <w:rsid w:val="00EF6275"/>
    <w:rsid w:val="00F16391"/>
    <w:rsid w:val="00F21E81"/>
    <w:rsid w:val="00F26F5D"/>
    <w:rsid w:val="00F277E0"/>
    <w:rsid w:val="00F32E4A"/>
    <w:rsid w:val="00F36D8C"/>
    <w:rsid w:val="00F56156"/>
    <w:rsid w:val="00F5765D"/>
    <w:rsid w:val="00F630BF"/>
    <w:rsid w:val="00F93545"/>
    <w:rsid w:val="00F96FBA"/>
    <w:rsid w:val="00F975D0"/>
    <w:rsid w:val="00FA20EE"/>
    <w:rsid w:val="00FB4E06"/>
    <w:rsid w:val="00FC3483"/>
    <w:rsid w:val="00FC4D68"/>
    <w:rsid w:val="00FD2ADA"/>
    <w:rsid w:val="00FF4A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677C9"/>
    <w:rPr>
      <w:szCs w:val="20"/>
    </w:rPr>
  </w:style>
  <w:style w:type="paragraph" w:styleId="CommentSubject">
    <w:name w:val="annotation subject"/>
    <w:basedOn w:val="CommentText"/>
    <w:next w:val="CommentText"/>
    <w:semiHidden/>
    <w:rsid w:val="008677C9"/>
    <w:rPr>
      <w:b/>
      <w:bCs/>
    </w:rPr>
  </w:style>
  <w:style w:type="character" w:styleId="Hyperlink">
    <w:name w:val="Hyperlink"/>
    <w:rsid w:val="00624A59"/>
    <w:rPr>
      <w:color w:val="0000FF"/>
      <w:u w:val="none"/>
    </w:rPr>
  </w:style>
  <w:style w:type="table" w:styleId="TableGrid">
    <w:name w:val="Table Grid"/>
    <w:basedOn w:val="TableNormal"/>
    <w:rsid w:val="00125A02"/>
    <w:pPr>
      <w:bidi/>
      <w:spacing w:line="40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teilzeit.cc" TargetMode="External"/><Relationship Id="rId18" Type="http://schemas.openxmlformats.org/officeDocument/2006/relationships/hyperlink" Target="http://www.bmbwk.gv.at" TargetMode="External"/><Relationship Id="rId26" Type="http://schemas.openxmlformats.org/officeDocument/2006/relationships/header" Target="header5.xml"/><Relationship Id="rId39" Type="http://schemas.openxmlformats.org/officeDocument/2006/relationships/footer" Target="footer10.xml"/><Relationship Id="rId3" Type="http://schemas.openxmlformats.org/officeDocument/2006/relationships/webSettings" Target="webSettings.xml"/><Relationship Id="rId21" Type="http://schemas.openxmlformats.org/officeDocument/2006/relationships/hyperlink" Target="http://www.bmbwk.gv.at/womenscience" TargetMode="External"/><Relationship Id="rId34" Type="http://schemas.openxmlformats.org/officeDocument/2006/relationships/header" Target="header9.xml"/><Relationship Id="rId42"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www.chancengleichheit.at" TargetMode="External"/><Relationship Id="rId25" Type="http://schemas.openxmlformats.org/officeDocument/2006/relationships/header" Target="header4.xml"/><Relationship Id="rId33" Type="http://schemas.openxmlformats.org/officeDocument/2006/relationships/header" Target="header8.xml"/><Relationship Id="rId38" Type="http://schemas.openxmlformats.org/officeDocument/2006/relationships/header" Target="header11.xml"/><Relationship Id="rId2" Type="http://schemas.openxmlformats.org/officeDocument/2006/relationships/settings" Target="settings.xml"/><Relationship Id="rId16" Type="http://schemas.openxmlformats.org/officeDocument/2006/relationships/hyperlink" Target="http://www.imag-gendermainstreaming.at" TargetMode="External"/><Relationship Id="rId20" Type="http://schemas.openxmlformats.org/officeDocument/2006/relationships/hyperlink" Target="http://www.uniced.at" TargetMode="External"/><Relationship Id="rId29" Type="http://schemas.openxmlformats.org/officeDocument/2006/relationships/header" Target="header6.xm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www.austria.gv.at" TargetMode="External"/><Relationship Id="rId32" Type="http://schemas.openxmlformats.org/officeDocument/2006/relationships/footer" Target="footer7.xml"/><Relationship Id="rId37" Type="http://schemas.openxmlformats.org/officeDocument/2006/relationships/header" Target="header10.xml"/><Relationship Id="rId40" Type="http://schemas.openxmlformats.org/officeDocument/2006/relationships/footer" Target="footer11.xml"/><Relationship Id="rId5" Type="http://schemas.openxmlformats.org/officeDocument/2006/relationships/endnotes" Target="endnotes.xml"/><Relationship Id="rId15" Type="http://schemas.openxmlformats.org/officeDocument/2006/relationships/hyperlink" Target="http://ris.bka.intra.gv.at" TargetMode="External"/><Relationship Id="rId23" Type="http://schemas.openxmlformats.org/officeDocument/2006/relationships/hyperlink" Target="http://www.gleichstellung.info" TargetMode="External"/><Relationship Id="rId28" Type="http://schemas.openxmlformats.org/officeDocument/2006/relationships/footer" Target="footer5.xml"/><Relationship Id="rId36" Type="http://schemas.openxmlformats.org/officeDocument/2006/relationships/footer" Target="footer9.xml"/><Relationship Id="rId10" Type="http://schemas.openxmlformats.org/officeDocument/2006/relationships/header" Target="header3.xml"/><Relationship Id="rId19" Type="http://schemas.openxmlformats.org/officeDocument/2006/relationships/hyperlink" Target="http://www.jobs4girls" TargetMode="External"/><Relationship Id="rId31" Type="http://schemas.openxmlformats.org/officeDocument/2006/relationships/footer" Target="footer6.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alleinerziehen.at" TargetMode="External"/><Relationship Id="rId22" Type="http://schemas.openxmlformats.org/officeDocument/2006/relationships/hyperlink" Target="http://bmwa.gv.at/BMWA/default.htm" TargetMode="External"/><Relationship Id="rId27" Type="http://schemas.openxmlformats.org/officeDocument/2006/relationships/footer" Target="footer4.xml"/><Relationship Id="rId30" Type="http://schemas.openxmlformats.org/officeDocument/2006/relationships/header" Target="header7.xml"/><Relationship Id="rId35" Type="http://schemas.openxmlformats.org/officeDocument/2006/relationships/footer" Target="footer8.xml"/></Relationships>
</file>

<file path=word/_rels/footnotes.xml.rels><?xml version="1.0" encoding="UTF-8" standalone="yes"?>
<Relationships xmlns="http://schemas.openxmlformats.org/package/2006/relationships"><Relationship Id="rId3" Type="http://schemas.openxmlformats.org/officeDocument/2006/relationships/hyperlink" Target="http://www.bka.gv.at/bka/regionalpolitik/aufhauser_summary.pdf" TargetMode="External"/><Relationship Id="rId2" Type="http://schemas.openxmlformats.org/officeDocument/2006/relationships/hyperlink" Target="http://www.bka.gv.at/bka/regionalpolitik/aufhauser_kurzfassung.pdg" TargetMode="External"/><Relationship Id="rId1" Type="http://schemas.openxmlformats.org/officeDocument/2006/relationships/hyperlink" Target="http://www.bso.or.at" TargetMode="External"/><Relationship Id="rId4" Type="http://schemas.openxmlformats.org/officeDocument/2006/relationships/hyperlink" Target="http://www.statistik.at/mikrozensus/gratis.s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33268</Words>
  <Characters>189633</Characters>
  <Application>Microsoft Office Word</Application>
  <DocSecurity>4</DocSecurity>
  <Lines>1580</Lines>
  <Paragraphs>444</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222457</CharactersWithSpaces>
  <SharedDoc>false</SharedDoc>
  <HLinks>
    <vt:vector size="96" baseType="variant">
      <vt:variant>
        <vt:i4>1507329</vt:i4>
      </vt:variant>
      <vt:variant>
        <vt:i4>33</vt:i4>
      </vt:variant>
      <vt:variant>
        <vt:i4>0</vt:i4>
      </vt:variant>
      <vt:variant>
        <vt:i4>5</vt:i4>
      </vt:variant>
      <vt:variant>
        <vt:lpwstr>http://www.austria.gv.at/</vt:lpwstr>
      </vt:variant>
      <vt:variant>
        <vt:lpwstr/>
      </vt:variant>
      <vt:variant>
        <vt:i4>7405624</vt:i4>
      </vt:variant>
      <vt:variant>
        <vt:i4>30</vt:i4>
      </vt:variant>
      <vt:variant>
        <vt:i4>0</vt:i4>
      </vt:variant>
      <vt:variant>
        <vt:i4>5</vt:i4>
      </vt:variant>
      <vt:variant>
        <vt:lpwstr>http://www.gleichstellung.info/</vt:lpwstr>
      </vt:variant>
      <vt:variant>
        <vt:lpwstr/>
      </vt:variant>
      <vt:variant>
        <vt:i4>2228272</vt:i4>
      </vt:variant>
      <vt:variant>
        <vt:i4>27</vt:i4>
      </vt:variant>
      <vt:variant>
        <vt:i4>0</vt:i4>
      </vt:variant>
      <vt:variant>
        <vt:i4>5</vt:i4>
      </vt:variant>
      <vt:variant>
        <vt:lpwstr>http://bmwa.gv.at/BMWA/default.htm</vt:lpwstr>
      </vt:variant>
      <vt:variant>
        <vt:lpwstr/>
      </vt:variant>
      <vt:variant>
        <vt:i4>7077922</vt:i4>
      </vt:variant>
      <vt:variant>
        <vt:i4>24</vt:i4>
      </vt:variant>
      <vt:variant>
        <vt:i4>0</vt:i4>
      </vt:variant>
      <vt:variant>
        <vt:i4>5</vt:i4>
      </vt:variant>
      <vt:variant>
        <vt:lpwstr>http://www.bmbwk.gv.at/womenscience</vt:lpwstr>
      </vt:variant>
      <vt:variant>
        <vt:lpwstr/>
      </vt:variant>
      <vt:variant>
        <vt:i4>524376</vt:i4>
      </vt:variant>
      <vt:variant>
        <vt:i4>21</vt:i4>
      </vt:variant>
      <vt:variant>
        <vt:i4>0</vt:i4>
      </vt:variant>
      <vt:variant>
        <vt:i4>5</vt:i4>
      </vt:variant>
      <vt:variant>
        <vt:lpwstr>http://www.uniced.at/</vt:lpwstr>
      </vt:variant>
      <vt:variant>
        <vt:lpwstr/>
      </vt:variant>
      <vt:variant>
        <vt:i4>3997738</vt:i4>
      </vt:variant>
      <vt:variant>
        <vt:i4>18</vt:i4>
      </vt:variant>
      <vt:variant>
        <vt:i4>0</vt:i4>
      </vt:variant>
      <vt:variant>
        <vt:i4>5</vt:i4>
      </vt:variant>
      <vt:variant>
        <vt:lpwstr>http://www.jobs4girls/</vt:lpwstr>
      </vt:variant>
      <vt:variant>
        <vt:lpwstr/>
      </vt:variant>
      <vt:variant>
        <vt:i4>8192115</vt:i4>
      </vt:variant>
      <vt:variant>
        <vt:i4>15</vt:i4>
      </vt:variant>
      <vt:variant>
        <vt:i4>0</vt:i4>
      </vt:variant>
      <vt:variant>
        <vt:i4>5</vt:i4>
      </vt:variant>
      <vt:variant>
        <vt:lpwstr>http://www.bmbwk.gv.at/</vt:lpwstr>
      </vt:variant>
      <vt:variant>
        <vt:lpwstr/>
      </vt:variant>
      <vt:variant>
        <vt:i4>1441801</vt:i4>
      </vt:variant>
      <vt:variant>
        <vt:i4>12</vt:i4>
      </vt:variant>
      <vt:variant>
        <vt:i4>0</vt:i4>
      </vt:variant>
      <vt:variant>
        <vt:i4>5</vt:i4>
      </vt:variant>
      <vt:variant>
        <vt:lpwstr>http://www.chancengleichheit.at/</vt:lpwstr>
      </vt:variant>
      <vt:variant>
        <vt:lpwstr/>
      </vt:variant>
      <vt:variant>
        <vt:i4>3801149</vt:i4>
      </vt:variant>
      <vt:variant>
        <vt:i4>9</vt:i4>
      </vt:variant>
      <vt:variant>
        <vt:i4>0</vt:i4>
      </vt:variant>
      <vt:variant>
        <vt:i4>5</vt:i4>
      </vt:variant>
      <vt:variant>
        <vt:lpwstr>http://www.imag-gendermainstreaming.at/</vt:lpwstr>
      </vt:variant>
      <vt:variant>
        <vt:lpwstr/>
      </vt:variant>
      <vt:variant>
        <vt:i4>6815790</vt:i4>
      </vt:variant>
      <vt:variant>
        <vt:i4>6</vt:i4>
      </vt:variant>
      <vt:variant>
        <vt:i4>0</vt:i4>
      </vt:variant>
      <vt:variant>
        <vt:i4>5</vt:i4>
      </vt:variant>
      <vt:variant>
        <vt:lpwstr>http://ris.bka.intra.gv.at/</vt:lpwstr>
      </vt:variant>
      <vt:variant>
        <vt:lpwstr/>
      </vt:variant>
      <vt:variant>
        <vt:i4>655435</vt:i4>
      </vt:variant>
      <vt:variant>
        <vt:i4>3</vt:i4>
      </vt:variant>
      <vt:variant>
        <vt:i4>0</vt:i4>
      </vt:variant>
      <vt:variant>
        <vt:i4>5</vt:i4>
      </vt:variant>
      <vt:variant>
        <vt:lpwstr>http://www.alleinerziehen.at/</vt:lpwstr>
      </vt:variant>
      <vt:variant>
        <vt:lpwstr/>
      </vt:variant>
      <vt:variant>
        <vt:i4>6815787</vt:i4>
      </vt:variant>
      <vt:variant>
        <vt:i4>0</vt:i4>
      </vt:variant>
      <vt:variant>
        <vt:i4>0</vt:i4>
      </vt:variant>
      <vt:variant>
        <vt:i4>5</vt:i4>
      </vt:variant>
      <vt:variant>
        <vt:lpwstr>http://www.teilzeit.cc/</vt:lpwstr>
      </vt:variant>
      <vt:variant>
        <vt:lpwstr/>
      </vt:variant>
      <vt:variant>
        <vt:i4>4849752</vt:i4>
      </vt:variant>
      <vt:variant>
        <vt:i4>9</vt:i4>
      </vt:variant>
      <vt:variant>
        <vt:i4>0</vt:i4>
      </vt:variant>
      <vt:variant>
        <vt:i4>5</vt:i4>
      </vt:variant>
      <vt:variant>
        <vt:lpwstr>http://www.statistik.at/mikrozensus/gratis.shtml</vt:lpwstr>
      </vt:variant>
      <vt:variant>
        <vt:lpwstr/>
      </vt:variant>
      <vt:variant>
        <vt:i4>7929941</vt:i4>
      </vt:variant>
      <vt:variant>
        <vt:i4>6</vt:i4>
      </vt:variant>
      <vt:variant>
        <vt:i4>0</vt:i4>
      </vt:variant>
      <vt:variant>
        <vt:i4>5</vt:i4>
      </vt:variant>
      <vt:variant>
        <vt:lpwstr>http://www.bka.gv.at/bka/regionalpolitik/aufhauser_summary.pdf</vt:lpwstr>
      </vt:variant>
      <vt:variant>
        <vt:lpwstr/>
      </vt:variant>
      <vt:variant>
        <vt:i4>6291532</vt:i4>
      </vt:variant>
      <vt:variant>
        <vt:i4>3</vt:i4>
      </vt:variant>
      <vt:variant>
        <vt:i4>0</vt:i4>
      </vt:variant>
      <vt:variant>
        <vt:i4>5</vt:i4>
      </vt:variant>
      <vt:variant>
        <vt:lpwstr>http://www.bka.gv.at/bka/regionalpolitik/aufhauser_kurzfassung.pdg</vt:lpwstr>
      </vt:variant>
      <vt:variant>
        <vt:lpwstr/>
      </vt:variant>
      <vt:variant>
        <vt:i4>1245214</vt:i4>
      </vt:variant>
      <vt:variant>
        <vt:i4>0</vt:i4>
      </vt:variant>
      <vt:variant>
        <vt:i4>0</vt:i4>
      </vt:variant>
      <vt:variant>
        <vt:i4>5</vt:i4>
      </vt:variant>
      <vt:variant>
        <vt:lpwstr>http://www.bso.or.at/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Kamil Jourieh</dc:creator>
  <cp:keywords/>
  <dc:description/>
  <cp:lastModifiedBy>ATPU</cp:lastModifiedBy>
  <cp:revision>3</cp:revision>
  <cp:lastPrinted>2005-02-17T19:33:00Z</cp:lastPrinted>
  <dcterms:created xsi:type="dcterms:W3CDTF">2005-03-11T14:29:00Z</dcterms:created>
  <dcterms:modified xsi:type="dcterms:W3CDTF">2005-03-11T15:38:00Z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CEDAW/C/AUT/5</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0459637A</vt:lpwstr>
  </property>
</Properties>
</file>