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73E2D177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17BEC3D" w14:textId="77777777" w:rsidR="002D5AAC" w:rsidRDefault="002D5AAC" w:rsidP="00A87AC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3A22C5D7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630C8F50" w14:textId="54B3A609" w:rsidR="002D5AAC" w:rsidRDefault="00A87AC8" w:rsidP="00A87AC8">
            <w:pPr>
              <w:jc w:val="right"/>
            </w:pPr>
            <w:r w:rsidRPr="00A87AC8">
              <w:rPr>
                <w:sz w:val="40"/>
              </w:rPr>
              <w:t>CCPR</w:t>
            </w:r>
            <w:r>
              <w:t>/C/LVA/CO/4</w:t>
            </w:r>
          </w:p>
        </w:tc>
      </w:tr>
      <w:tr w:rsidR="002D5AAC" w:rsidRPr="00A87AC8" w14:paraId="5FD27772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F8AC787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FD816C6" wp14:editId="2FEE827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A156546" w14:textId="77777777" w:rsidR="002D5AAC" w:rsidRPr="00033EE1" w:rsidRDefault="00DE32CD" w:rsidP="006B3942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1C9246D" w14:textId="77777777" w:rsidR="002D5AAC" w:rsidRPr="00A87AC8" w:rsidRDefault="00A87AC8" w:rsidP="00BC3629">
            <w:pPr>
              <w:spacing w:before="240"/>
              <w:rPr>
                <w:lang w:val="en-US"/>
              </w:rPr>
            </w:pPr>
            <w:r w:rsidRPr="00A87AC8">
              <w:rPr>
                <w:lang w:val="en-US"/>
              </w:rPr>
              <w:t>Distr.: General</w:t>
            </w:r>
          </w:p>
          <w:p w14:paraId="4259FEDB" w14:textId="77777777" w:rsidR="00A87AC8" w:rsidRPr="00A87AC8" w:rsidRDefault="00A87AC8" w:rsidP="00A87AC8">
            <w:pPr>
              <w:spacing w:line="240" w:lineRule="exact"/>
              <w:rPr>
                <w:lang w:val="en-US"/>
              </w:rPr>
            </w:pPr>
            <w:r w:rsidRPr="00A87AC8">
              <w:rPr>
                <w:lang w:val="en-US"/>
              </w:rPr>
              <w:t>3 September 2025</w:t>
            </w:r>
          </w:p>
          <w:p w14:paraId="493FFA12" w14:textId="77777777" w:rsidR="00A87AC8" w:rsidRPr="00A87AC8" w:rsidRDefault="00A87AC8" w:rsidP="00A87AC8">
            <w:pPr>
              <w:spacing w:line="240" w:lineRule="exact"/>
              <w:rPr>
                <w:lang w:val="en-US"/>
              </w:rPr>
            </w:pPr>
            <w:r w:rsidRPr="00A87AC8">
              <w:rPr>
                <w:lang w:val="en-US"/>
              </w:rPr>
              <w:t>Russian</w:t>
            </w:r>
          </w:p>
          <w:p w14:paraId="51DB2976" w14:textId="018A959B" w:rsidR="00A87AC8" w:rsidRPr="00A87AC8" w:rsidRDefault="00A87AC8" w:rsidP="00A87AC8">
            <w:pPr>
              <w:spacing w:line="240" w:lineRule="exact"/>
              <w:rPr>
                <w:lang w:val="en-US"/>
              </w:rPr>
            </w:pPr>
            <w:r w:rsidRPr="00A87AC8">
              <w:rPr>
                <w:lang w:val="en-US"/>
              </w:rPr>
              <w:t>Original: English</w:t>
            </w:r>
          </w:p>
        </w:tc>
      </w:tr>
    </w:tbl>
    <w:p w14:paraId="5E69CC7C" w14:textId="77777777" w:rsidR="00C66B57" w:rsidRPr="005809BB" w:rsidRDefault="00C66B57" w:rsidP="00C66B57">
      <w:pPr>
        <w:spacing w:before="120"/>
        <w:rPr>
          <w:b/>
          <w:bCs/>
          <w:color w:val="000000" w:themeColor="text1"/>
          <w:sz w:val="24"/>
          <w:szCs w:val="24"/>
        </w:rPr>
      </w:pPr>
      <w:r w:rsidRPr="005809BB">
        <w:rPr>
          <w:b/>
          <w:bCs/>
          <w:sz w:val="24"/>
          <w:szCs w:val="24"/>
        </w:rPr>
        <w:t>Комитет по правам человека</w:t>
      </w:r>
    </w:p>
    <w:p w14:paraId="1BD6A796" w14:textId="77777777" w:rsidR="00C66B57" w:rsidRPr="00F1133D" w:rsidRDefault="00C66B57" w:rsidP="00C66B57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четвертому периодическому докладу Латвии</w:t>
      </w:r>
      <w:r w:rsidRPr="00660509">
        <w:rPr>
          <w:b w:val="0"/>
          <w:bCs/>
          <w:sz w:val="20"/>
          <w:szCs w:val="14"/>
        </w:rPr>
        <w:footnoteReference w:customMarkFollows="1" w:id="1"/>
        <w:t>*</w:t>
      </w:r>
    </w:p>
    <w:p w14:paraId="14E7E69C" w14:textId="5B93EE8D" w:rsidR="00C66B57" w:rsidRPr="00F1133D" w:rsidRDefault="00C66B57" w:rsidP="00C66B57">
      <w:pPr>
        <w:pStyle w:val="SingleTxtG"/>
      </w:pPr>
      <w:r>
        <w:t>1.</w:t>
      </w:r>
      <w:r>
        <w:tab/>
        <w:t>Комитет рассмотрел четвертый периодический доклад Латвии</w:t>
      </w:r>
      <w:r w:rsidRPr="00660509">
        <w:rPr>
          <w:rStyle w:val="aa"/>
        </w:rPr>
        <w:footnoteReference w:id="2"/>
      </w:r>
      <w:r>
        <w:t xml:space="preserve"> на своих</w:t>
      </w:r>
      <w:r w:rsidR="005809BB" w:rsidRPr="005809BB">
        <w:br/>
      </w:r>
      <w:r>
        <w:t>4236-м и 4237-м заседаниях</w:t>
      </w:r>
      <w:r w:rsidRPr="00660509">
        <w:rPr>
          <w:rStyle w:val="aa"/>
        </w:rPr>
        <w:footnoteReference w:id="3"/>
      </w:r>
      <w:r>
        <w:t>, состоявшихся 1 и 2 июля 2025 года. На своем</w:t>
      </w:r>
      <w:r w:rsidR="005809BB" w:rsidRPr="005809BB">
        <w:br/>
      </w:r>
      <w:r>
        <w:t>4254-м заседании, состоявшемся 14 июля 2025 года, он принял настоящие заключительные замечания.</w:t>
      </w:r>
    </w:p>
    <w:p w14:paraId="1F869C3B" w14:textId="55336FDD" w:rsidR="00C66B57" w:rsidRPr="00F1133D" w:rsidRDefault="005809BB" w:rsidP="00C66B57">
      <w:pPr>
        <w:pStyle w:val="H1G"/>
      </w:pPr>
      <w:r>
        <w:rPr>
          <w:bCs/>
          <w:lang w:val="en-US"/>
        </w:rPr>
        <w:tab/>
      </w:r>
      <w:r w:rsidR="00C66B57">
        <w:rPr>
          <w:bCs/>
        </w:rPr>
        <w:t>A.</w:t>
      </w:r>
      <w:r w:rsidR="00C66B57">
        <w:tab/>
      </w:r>
      <w:r w:rsidR="00C66B57">
        <w:rPr>
          <w:bCs/>
        </w:rPr>
        <w:t>Введение</w:t>
      </w:r>
    </w:p>
    <w:p w14:paraId="0A2447B2" w14:textId="77777777" w:rsidR="00C66B57" w:rsidRPr="00F1133D" w:rsidRDefault="00C66B57" w:rsidP="00C66B57">
      <w:pPr>
        <w:pStyle w:val="SingleTxtG"/>
      </w:pPr>
      <w:r>
        <w:t>2.</w:t>
      </w:r>
      <w:r>
        <w:tab/>
        <w:t>Комитет приветствует представление четвертого периодического доклада Латвии и содержащуюся в нем информацию. Комитет выражает признательность за возможность возобновления конструктивного диалога с делегацией высокого уровня государства-участника по вопросу о мерах, принятых за отчетный период с целью осуществления положений Пакта. Комитет также выражает благодарность государству-участнику за его письменные ответы</w:t>
      </w:r>
      <w:r w:rsidRPr="00660509">
        <w:rPr>
          <w:rStyle w:val="aa"/>
        </w:rPr>
        <w:footnoteReference w:id="4"/>
      </w:r>
      <w:r>
        <w:t xml:space="preserve"> на перечень вопросов</w:t>
      </w:r>
      <w:r w:rsidRPr="00660509">
        <w:rPr>
          <w:rStyle w:val="aa"/>
        </w:rPr>
        <w:footnoteReference w:id="5"/>
      </w:r>
      <w:r>
        <w:t>, которые были дополнены устными ответами членов делегации, и за предоставленную ему в письменном виде дополнительную информацию.</w:t>
      </w:r>
    </w:p>
    <w:p w14:paraId="2CDF3D59" w14:textId="0B1DABF0" w:rsidR="00C66B57" w:rsidRPr="00F1133D" w:rsidRDefault="00192A86" w:rsidP="00C66B57">
      <w:pPr>
        <w:pStyle w:val="H1G"/>
      </w:pPr>
      <w:r>
        <w:rPr>
          <w:bCs/>
          <w:lang w:val="en-US"/>
        </w:rPr>
        <w:tab/>
      </w:r>
      <w:r w:rsidR="00C66B57">
        <w:rPr>
          <w:bCs/>
        </w:rPr>
        <w:t>B.</w:t>
      </w:r>
      <w:r w:rsidR="00C66B57">
        <w:tab/>
      </w:r>
      <w:r w:rsidR="00C66B57">
        <w:rPr>
          <w:bCs/>
        </w:rPr>
        <w:t>Позитивные аспекты</w:t>
      </w:r>
    </w:p>
    <w:p w14:paraId="0B415654" w14:textId="77777777" w:rsidR="00C66B57" w:rsidRPr="00F1133D" w:rsidRDefault="00C66B57" w:rsidP="00C66B57">
      <w:pPr>
        <w:pStyle w:val="SingleTxtG"/>
      </w:pPr>
      <w:r>
        <w:t>3.</w:t>
      </w:r>
      <w:r>
        <w:tab/>
        <w:t xml:space="preserve">Комитет приветствует принятие или разработку государством-участником следующих законодательных и политических мер: </w:t>
      </w:r>
    </w:p>
    <w:p w14:paraId="64998392" w14:textId="268B3770" w:rsidR="00C66B57" w:rsidRPr="00F1133D" w:rsidRDefault="005F1322" w:rsidP="00C66B57">
      <w:pPr>
        <w:pStyle w:val="SingleTxtG"/>
      </w:pPr>
      <w:r>
        <w:rPr>
          <w:lang w:val="en-US"/>
        </w:rPr>
        <w:tab/>
      </w:r>
      <w:r w:rsidR="00C66B57">
        <w:t>a)</w:t>
      </w:r>
      <w:r w:rsidR="00C66B57">
        <w:tab/>
        <w:t>поправки к Закону об омбудсмене, определяющей институт омбудсмена в качестве национального превентивного механизма, в 2025 году;</w:t>
      </w:r>
    </w:p>
    <w:p w14:paraId="70595493" w14:textId="45DA8F84" w:rsidR="00C66B57" w:rsidRPr="00F1133D" w:rsidRDefault="005F1322" w:rsidP="00C66B57">
      <w:pPr>
        <w:pStyle w:val="SingleTxtG"/>
      </w:pPr>
      <w:r>
        <w:rPr>
          <w:lang w:val="en-US"/>
        </w:rPr>
        <w:tab/>
      </w:r>
      <w:r w:rsidR="00C66B57">
        <w:t>b)</w:t>
      </w:r>
      <w:r w:rsidR="00C66B57">
        <w:tab/>
        <w:t xml:space="preserve">Закона об открытости представительства интересов, в 2022 году; </w:t>
      </w:r>
    </w:p>
    <w:p w14:paraId="2E0E71C1" w14:textId="734D371F" w:rsidR="00C66B57" w:rsidRPr="00F1133D" w:rsidRDefault="00A66272" w:rsidP="00C66B57">
      <w:pPr>
        <w:pStyle w:val="SingleTxtG"/>
      </w:pPr>
      <w:r>
        <w:rPr>
          <w:lang w:val="en-US"/>
        </w:rPr>
        <w:tab/>
      </w:r>
      <w:r w:rsidR="00C66B57">
        <w:t>c)</w:t>
      </w:r>
      <w:r w:rsidR="00C66B57">
        <w:tab/>
        <w:t xml:space="preserve">Закона о прекращении присвоения статуса неграждан новорожденным детям, в 2019 году; </w:t>
      </w:r>
    </w:p>
    <w:p w14:paraId="7B2ED7BF" w14:textId="4F819DBE" w:rsidR="00C66B57" w:rsidRPr="00F1133D" w:rsidRDefault="00A66272" w:rsidP="00C66B57">
      <w:pPr>
        <w:pStyle w:val="SingleTxtG"/>
      </w:pPr>
      <w:r>
        <w:rPr>
          <w:lang w:val="en-US"/>
        </w:rPr>
        <w:tab/>
      </w:r>
      <w:r w:rsidR="00C66B57">
        <w:t>d)</w:t>
      </w:r>
      <w:r w:rsidR="00C66B57">
        <w:tab/>
        <w:t>Руководящих принципов политики в области СМИ на 2024–2027 годы и плана обеспечения безопасности журналистов и других работников СМИ на</w:t>
      </w:r>
      <w:r w:rsidRPr="00A66272">
        <w:br/>
      </w:r>
      <w:r w:rsidR="00C66B57">
        <w:t xml:space="preserve">2025–2027 годы; </w:t>
      </w:r>
    </w:p>
    <w:p w14:paraId="4F17A409" w14:textId="3A8D7244" w:rsidR="00C66B57" w:rsidRPr="00F1133D" w:rsidRDefault="00A66272" w:rsidP="00C66B57">
      <w:pPr>
        <w:pStyle w:val="SingleTxtG"/>
      </w:pPr>
      <w:r>
        <w:rPr>
          <w:lang w:val="en-US"/>
        </w:rPr>
        <w:tab/>
      </w:r>
      <w:r w:rsidR="00C66B57">
        <w:t>e)</w:t>
      </w:r>
      <w:r w:rsidR="00C66B57">
        <w:tab/>
        <w:t xml:space="preserve">первого национального плана по предотвращению и пресечению насилия в отношении женщин и домашнего насилия на 2024–2029 годы; </w:t>
      </w:r>
    </w:p>
    <w:p w14:paraId="58FCCB9A" w14:textId="23E94F54" w:rsidR="00C66B57" w:rsidRPr="00F1133D" w:rsidRDefault="00254DC6" w:rsidP="00C66B57">
      <w:pPr>
        <w:pStyle w:val="SingleTxtG"/>
      </w:pPr>
      <w:r>
        <w:rPr>
          <w:lang w:val="en-US"/>
        </w:rPr>
        <w:lastRenderedPageBreak/>
        <w:tab/>
      </w:r>
      <w:r w:rsidR="00C66B57">
        <w:t>f)</w:t>
      </w:r>
      <w:r w:rsidR="00C66B57">
        <w:tab/>
        <w:t xml:space="preserve">Плана содействия обеспечению равных прав и возможностей для женщин и мужчин на 2024–2027 годы; </w:t>
      </w:r>
    </w:p>
    <w:p w14:paraId="751BC715" w14:textId="052BD113" w:rsidR="00C66B57" w:rsidRPr="00F1133D" w:rsidRDefault="00254DC6" w:rsidP="00C66B57">
      <w:pPr>
        <w:pStyle w:val="SingleTxtG"/>
      </w:pPr>
      <w:r>
        <w:rPr>
          <w:lang w:val="en-US"/>
        </w:rPr>
        <w:tab/>
      </w:r>
      <w:r w:rsidR="00C66B57">
        <w:t>g)</w:t>
      </w:r>
      <w:r w:rsidR="00C66B57">
        <w:tab/>
        <w:t>Плана действий по предупреждению и пресечению коррупции на</w:t>
      </w:r>
      <w:r w:rsidRPr="00254DC6">
        <w:br/>
      </w:r>
      <w:r w:rsidR="00C66B57">
        <w:t>2023–2025 годы;</w:t>
      </w:r>
    </w:p>
    <w:p w14:paraId="45B15F4C" w14:textId="7D006B23" w:rsidR="00C66B57" w:rsidRPr="00F1133D" w:rsidRDefault="00254DC6" w:rsidP="00C66B57">
      <w:pPr>
        <w:pStyle w:val="SingleTxtG"/>
      </w:pPr>
      <w:r>
        <w:rPr>
          <w:lang w:val="en-US"/>
        </w:rPr>
        <w:tab/>
      </w:r>
      <w:r w:rsidR="00C66B57">
        <w:t>h)</w:t>
      </w:r>
      <w:r w:rsidR="00C66B57">
        <w:tab/>
        <w:t xml:space="preserve">Плана реализации мер Стратегической рамочной программы в отношении рома на 2022–2023 годы, продленного на период 2024–2027 годов; </w:t>
      </w:r>
    </w:p>
    <w:p w14:paraId="40A1CB63" w14:textId="141B287C" w:rsidR="00C66B57" w:rsidRPr="00F1133D" w:rsidRDefault="00254DC6" w:rsidP="00C66B57">
      <w:pPr>
        <w:pStyle w:val="SingleTxtG"/>
      </w:pPr>
      <w:r>
        <w:rPr>
          <w:lang w:val="en-US"/>
        </w:rPr>
        <w:tab/>
      </w:r>
      <w:r w:rsidR="00C66B57">
        <w:t>i)</w:t>
      </w:r>
      <w:r w:rsidR="00C66B57">
        <w:tab/>
        <w:t xml:space="preserve">Плана по предотвращению торговли людьми на 2021–2023 годы. </w:t>
      </w:r>
    </w:p>
    <w:p w14:paraId="1A047A92" w14:textId="4A52DBF8" w:rsidR="00C66B57" w:rsidRPr="00F1133D" w:rsidRDefault="00C66B57" w:rsidP="00C66B57">
      <w:pPr>
        <w:pStyle w:val="SingleTxtG"/>
      </w:pPr>
      <w:r>
        <w:t>4.</w:t>
      </w:r>
      <w:r>
        <w:tab/>
        <w:t>Комитет также приветствует присоединение государства-участника к Факультативному протоколу к Конвенции против пыток и других жестоких, бесчеловечных или унижающих достоинство видов обращения и наказания</w:t>
      </w:r>
      <w:r w:rsidR="00254DC6" w:rsidRPr="00254DC6">
        <w:br/>
      </w:r>
      <w:r>
        <w:t>в 2021 году.</w:t>
      </w:r>
    </w:p>
    <w:p w14:paraId="38DEF234" w14:textId="4AE55A61" w:rsidR="00C66B57" w:rsidRPr="00F1133D" w:rsidRDefault="00254DC6" w:rsidP="00C66B57">
      <w:pPr>
        <w:pStyle w:val="H1G"/>
      </w:pPr>
      <w:r>
        <w:rPr>
          <w:bCs/>
          <w:lang w:val="en-US"/>
        </w:rPr>
        <w:tab/>
      </w:r>
      <w:r w:rsidR="00C66B57">
        <w:rPr>
          <w:bCs/>
        </w:rPr>
        <w:t>C.</w:t>
      </w:r>
      <w:r w:rsidR="00C66B57">
        <w:tab/>
      </w:r>
      <w:r w:rsidR="00C66B57">
        <w:rPr>
          <w:bCs/>
        </w:rPr>
        <w:t>Основные вопросы, вызывающие обеспокоенность, и</w:t>
      </w:r>
      <w:r>
        <w:rPr>
          <w:bCs/>
          <w:lang w:val="en-US"/>
        </w:rPr>
        <w:t> </w:t>
      </w:r>
      <w:r w:rsidR="00C66B57">
        <w:rPr>
          <w:bCs/>
        </w:rPr>
        <w:t>рекомендации</w:t>
      </w:r>
    </w:p>
    <w:p w14:paraId="5BFE9373" w14:textId="77777777" w:rsidR="00C66B57" w:rsidRPr="00F1133D" w:rsidRDefault="00C66B57" w:rsidP="00C66B57">
      <w:pPr>
        <w:pStyle w:val="H23G"/>
      </w:pPr>
      <w:r>
        <w:tab/>
      </w:r>
      <w:r>
        <w:tab/>
      </w:r>
      <w:r>
        <w:rPr>
          <w:bCs/>
        </w:rPr>
        <w:t>Конституционная и правовая основа применения Пакта</w:t>
      </w:r>
    </w:p>
    <w:p w14:paraId="506B8575" w14:textId="77777777" w:rsidR="00C66B57" w:rsidRPr="00F1133D" w:rsidRDefault="00C66B57" w:rsidP="00C66B57">
      <w:pPr>
        <w:pStyle w:val="SingleTxtG"/>
      </w:pPr>
      <w:r>
        <w:t>5.</w:t>
      </w:r>
      <w:r>
        <w:tab/>
        <w:t>Комитет отмечает, что национальные суды во многих случаях ссылаются на положения Пакта и что Академия юстиции, созданная в 2024 году, проводит подготовку судей, прокуроров и следователей по вопросам прав человека, однако он обеспокоен отсутствием институциональных механизмов и процедур, необходимых для полного выполнения рекомендаций Комитета и его Соображений по индивидуальным сообщениям (статья 2).</w:t>
      </w:r>
    </w:p>
    <w:p w14:paraId="47EBBBCF" w14:textId="77777777" w:rsidR="00C66B57" w:rsidRPr="00660509" w:rsidRDefault="00C66B57" w:rsidP="00C66B57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Государству-участнику следует и впредь стремиться к полному выполнению рекомендаций, содержащихся в заключительных замечаниях и Соображениях Комитета.</w:t>
      </w:r>
      <w:r>
        <w:t xml:space="preserve"> </w:t>
      </w:r>
      <w:r>
        <w:rPr>
          <w:b/>
          <w:bCs/>
        </w:rPr>
        <w:t>Ей следует рассмотреть возможность совершенствования законодательства, с тем чтобы авторы сообщений, которым Комитет предоставил меры возмещения, могли добиваться исполнения таких мер в национальных судах.</w:t>
      </w:r>
      <w:r>
        <w:t xml:space="preserve"> </w:t>
      </w:r>
    </w:p>
    <w:p w14:paraId="3990DA07" w14:textId="77777777" w:rsidR="00C66B57" w:rsidRPr="00660509" w:rsidRDefault="00C66B57" w:rsidP="00C66B57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0509129E" w14:textId="369DB051" w:rsidR="00C66B57" w:rsidRPr="00660509" w:rsidRDefault="00C66B57" w:rsidP="00C66B57">
      <w:pPr>
        <w:pStyle w:val="SingleTxtG"/>
      </w:pPr>
      <w:r>
        <w:t>7.</w:t>
      </w:r>
      <w:r>
        <w:tab/>
        <w:t xml:space="preserve">Комитет приветствует повторную аккредитацию со статусом «А» Бюро омбудсмена. Хотя Комитет принимает к сведению усилия, предпринятые для укрепления этого института, в том числе путем внесения законодательных поправок в Закон об омбудсмене, он обеспокоен тем, что некоторые рекомендации Глобального альянса национальных правозащитных учреждений, например о необходимости укрепления функционального иммунитета омбудсмена, не были учтены. Комитет с обеспокоенностью отмечает, что, хотя государство-участник назначило Бюро омбудсмена в качестве национального превентивного механизма, оно не создало структурно независимое подразделение в рамках этого института с собственным штатом и бюджетом (статья 2). </w:t>
      </w:r>
      <w:bookmarkStart w:id="0" w:name="_Hlk202811455"/>
      <w:bookmarkEnd w:id="0"/>
    </w:p>
    <w:p w14:paraId="481BE33B" w14:textId="77777777" w:rsidR="00C66B57" w:rsidRPr="00660509" w:rsidRDefault="00C66B57" w:rsidP="00C66B57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Государству-участнику следует продолжать обеспечивать полное соответствие Бюро омбудсмена принципам, касающимся статуса национальных учреждений, занимающихся поощрением и защитой прав человека (Парижские принципы), и его способность эффективно и независимо выполнять свои полномочия.</w:t>
      </w:r>
      <w:r>
        <w:t xml:space="preserve"> </w:t>
      </w:r>
      <w:r>
        <w:rPr>
          <w:b/>
          <w:bCs/>
        </w:rPr>
        <w:t>Государству-участнику следует также:</w:t>
      </w:r>
      <w:r>
        <w:t xml:space="preserve"> </w:t>
      </w:r>
    </w:p>
    <w:p w14:paraId="70E9323C" w14:textId="46C86C3E" w:rsidR="00C66B57" w:rsidRPr="00660509" w:rsidRDefault="00254DC6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254DC6">
        <w:rPr>
          <w:b/>
          <w:bCs/>
        </w:rPr>
        <w:t>a)</w:t>
      </w:r>
      <w:r w:rsidR="00C66B57">
        <w:tab/>
      </w:r>
      <w:r w:rsidR="00FE0505">
        <w:rPr>
          <w:b/>
          <w:bCs/>
        </w:rPr>
        <w:t>н</w:t>
      </w:r>
      <w:r w:rsidR="00C66B57">
        <w:rPr>
          <w:b/>
          <w:bCs/>
        </w:rPr>
        <w:t>езамедлительно выполнить рекомендации Глобального альянса национальных правозащитных учреждений, в том числе путем обеспечения функционального иммунитета омбудсмена, установления ограничений по срокам пребывания омбудсмена в должности и внедрения процедуры освобождения от должности на основе принципов независимости и объективности;</w:t>
      </w:r>
      <w:r w:rsidR="00C66B57">
        <w:t xml:space="preserve"> </w:t>
      </w:r>
    </w:p>
    <w:p w14:paraId="3D3925E7" w14:textId="5D00A5A7" w:rsidR="00C66B57" w:rsidRPr="00660509" w:rsidRDefault="00254DC6" w:rsidP="00C66B57">
      <w:pPr>
        <w:pStyle w:val="SingleTxtG"/>
        <w:rPr>
          <w:b/>
          <w:bCs/>
        </w:rPr>
      </w:pPr>
      <w:r w:rsidRPr="00FE0505">
        <w:rPr>
          <w:b/>
          <w:bCs/>
        </w:rPr>
        <w:lastRenderedPageBreak/>
        <w:tab/>
      </w:r>
      <w:r w:rsidR="00C66B57" w:rsidRPr="00254DC6">
        <w:rPr>
          <w:b/>
          <w:bCs/>
        </w:rPr>
        <w:t>b)</w:t>
      </w:r>
      <w:r w:rsidR="00C66B57">
        <w:tab/>
      </w:r>
      <w:r w:rsidR="00FE0505">
        <w:rPr>
          <w:b/>
          <w:bCs/>
        </w:rPr>
        <w:t>о</w:t>
      </w:r>
      <w:r w:rsidR="00C66B57">
        <w:rPr>
          <w:b/>
          <w:bCs/>
        </w:rPr>
        <w:t>беспечить независимое функционирование национального превентивного механизма и предоставить ему собственные финансовые и людские ресурсы.</w:t>
      </w:r>
      <w:r w:rsidR="00C66B57">
        <w:t xml:space="preserve"> </w:t>
      </w:r>
    </w:p>
    <w:p w14:paraId="546FDD5E" w14:textId="77777777" w:rsidR="00C66B57" w:rsidRPr="00660509" w:rsidRDefault="00C66B57" w:rsidP="00C66B57">
      <w:pPr>
        <w:pStyle w:val="H23G"/>
      </w:pPr>
      <w:r>
        <w:tab/>
      </w:r>
      <w:r>
        <w:tab/>
      </w:r>
      <w:r>
        <w:rPr>
          <w:bCs/>
        </w:rPr>
        <w:t>Меры по борьбе с коррупцией</w:t>
      </w:r>
      <w:r>
        <w:t xml:space="preserve"> </w:t>
      </w:r>
    </w:p>
    <w:p w14:paraId="628C3FCE" w14:textId="77777777" w:rsidR="00C66B57" w:rsidRPr="00660509" w:rsidRDefault="00C66B57" w:rsidP="00C66B57">
      <w:pPr>
        <w:pStyle w:val="SingleTxtG"/>
      </w:pPr>
      <w:r>
        <w:t>9.</w:t>
      </w:r>
      <w:r>
        <w:tab/>
        <w:t xml:space="preserve">Отмечая меры, принятые в целях борьбы с коррупцией, включая большое количество расследований по фактам коррупции и разработку Плана действий по предупреждению и пресечению коррупции на 2023–2025 годы, Комитет, тем не менее, обеспокоен сообщениями о том, что коррупция сохраняется, особенно в государственном секторе. Комитет также обеспокоен значительным дублированием мандатов существующих антикоррупционных органов в государстве-участнике, а также тем, что введение в действие реестра представительства интересов и систем декларирования в соответствии с Законом об открытости представительства интересов (закон о лоббировании) было перенесено с 2025 на 2028 год (статьи 2 и 25). </w:t>
      </w:r>
    </w:p>
    <w:p w14:paraId="3978A7D0" w14:textId="77777777" w:rsidR="00C66B57" w:rsidRPr="00660509" w:rsidRDefault="00C66B57" w:rsidP="00C66B57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Государству-участнику следует активизировать свои усилия по предупреждению и искоренению коррупции на всех уровнях, в том числе в правительстве и судебной системе.</w:t>
      </w:r>
      <w:r>
        <w:t xml:space="preserve"> </w:t>
      </w:r>
      <w:r>
        <w:rPr>
          <w:b/>
          <w:bCs/>
        </w:rPr>
        <w:t>Ему следует также удвоить усилия по оперативному, тщательному, независимому и беспристрастному расследованию всех обвинений в коррупции и обеспечить, чтобы виновные были привлечены к ответственности и, в случае осуждения, понесли наказание, соразмерное тяжести преступления, а жертвы получили адекватное возмещение ущерба.</w:t>
      </w:r>
      <w:r>
        <w:t xml:space="preserve"> </w:t>
      </w:r>
      <w:r>
        <w:rPr>
          <w:b/>
          <w:bCs/>
        </w:rPr>
        <w:t>Государству-участнику следует также:</w:t>
      </w:r>
    </w:p>
    <w:p w14:paraId="64CAB891" w14:textId="5BB197C3" w:rsidR="00C66B57" w:rsidRPr="00660509" w:rsidRDefault="00254DC6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254DC6">
        <w:rPr>
          <w:b/>
          <w:bCs/>
        </w:rPr>
        <w:t>a)</w:t>
      </w:r>
      <w:r w:rsidR="00C66B57">
        <w:tab/>
      </w:r>
      <w:r w:rsidR="00C66B57">
        <w:rPr>
          <w:b/>
          <w:bCs/>
        </w:rPr>
        <w:t>продолжать консолидацию антикоррупционной деятельности в рамках Бюро по предотвращению и пресечению коррупции, чтобы избежать дублирования в национальной системе противодействия коррупции и ее фрагментации;</w:t>
      </w:r>
      <w:r w:rsidR="00C66B57">
        <w:t xml:space="preserve"> </w:t>
      </w:r>
    </w:p>
    <w:p w14:paraId="501782FE" w14:textId="471800EF" w:rsidR="00C66B57" w:rsidRPr="00660509" w:rsidRDefault="00254DC6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254DC6">
        <w:rPr>
          <w:b/>
          <w:bCs/>
        </w:rPr>
        <w:t>b)</w:t>
      </w:r>
      <w:r w:rsidR="00C66B57" w:rsidRPr="00254DC6">
        <w:rPr>
          <w:b/>
          <w:bCs/>
        </w:rPr>
        <w:tab/>
      </w:r>
      <w:r w:rsidR="00C66B57">
        <w:rPr>
          <w:b/>
          <w:bCs/>
        </w:rPr>
        <w:t>ускорить введение в действие реестра представительства интересов и систем декларирования.</w:t>
      </w:r>
    </w:p>
    <w:p w14:paraId="31092ED4" w14:textId="77777777" w:rsidR="00C66B57" w:rsidRPr="00660509" w:rsidRDefault="00C66B57" w:rsidP="00C66B57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48564BB7" w14:textId="77777777" w:rsidR="00C66B57" w:rsidRPr="00660509" w:rsidRDefault="00C66B57" w:rsidP="00C66B57">
      <w:pPr>
        <w:pStyle w:val="SingleTxtG"/>
      </w:pPr>
      <w:r>
        <w:t>11.</w:t>
      </w:r>
      <w:r>
        <w:tab/>
        <w:t>Комитет обеспокоен сообщениями о дискриминации членов общины рома, которые продолжают сталкиваться с дискриминацией в сфере занятости и с неравенством в доступе к образованию, здравоохранению и жилью, а также подвергаются более высокому риску нищеты и социальной изоляции. Комитет признает усилия государства-участника по поддержке населения рома, в том числе посредством культурных инициатив и назначения посредников, однако для реализации этих инициатив не хватает долгосрочных ресурсов (статьи 2 и 26).</w:t>
      </w:r>
    </w:p>
    <w:p w14:paraId="31A37702" w14:textId="77777777" w:rsidR="00C66B57" w:rsidRPr="00660509" w:rsidRDefault="00C66B57" w:rsidP="00C66B57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Государству-участнику следует активизировать свои усилия по борьбе с дискриминацией рома и обеспечить равный доступ к образованию, здравоохранению и жилью, а также выделить достаточные ресурсы для реализации стратегий сокращения масштабов нищеты, ориентированных на общину рома.</w:t>
      </w:r>
      <w:r>
        <w:t xml:space="preserve"> </w:t>
      </w:r>
      <w:r>
        <w:rPr>
          <w:b/>
          <w:bCs/>
        </w:rPr>
        <w:t>Ему следует также принять меры по эффективному предотвращению актов дискриминации со стороны государственных и частных субъектов, активизировать усилия по борьбе со стереотипами, предрассудками, нетерпимостью и системной дискриминацией в отношении рома и обеспечить расследование всех жалоб на дискриминацию, привлечение к ответственности подозреваемых лиц и в случае признания их виновными назначение соответствующих мер наказания, а также доступ жертв к полному возмещению ущерба.</w:t>
      </w:r>
      <w:r>
        <w:t xml:space="preserve"> </w:t>
      </w:r>
    </w:p>
    <w:p w14:paraId="67196529" w14:textId="77777777" w:rsidR="00C66B57" w:rsidRPr="00660509" w:rsidRDefault="00C66B57" w:rsidP="00C66B57">
      <w:pPr>
        <w:pStyle w:val="H23G"/>
      </w:pPr>
      <w:r>
        <w:tab/>
      </w:r>
      <w:r>
        <w:tab/>
      </w:r>
      <w:r>
        <w:rPr>
          <w:bCs/>
        </w:rPr>
        <w:t>Преступления на почве ненависти и ненавистнические высказывания</w:t>
      </w:r>
    </w:p>
    <w:p w14:paraId="544AC324" w14:textId="77777777" w:rsidR="00C66B57" w:rsidRPr="00660509" w:rsidRDefault="00C66B57" w:rsidP="00C66B57">
      <w:pPr>
        <w:pStyle w:val="SingleTxtG"/>
      </w:pPr>
      <w:r>
        <w:t>13.</w:t>
      </w:r>
      <w:r>
        <w:tab/>
        <w:t xml:space="preserve">Комитет приветствует меры, принятые государством-участником для борьбы с преступлениями на почве ненависти и ненавистническими высказываниями, включая создание специализированного подразделения для расследования преступлений на почве ненависти, проведение информационно-просветительских кампаний, организацию подготовки сотрудников правоохранительных органов, прокуроров и </w:t>
      </w:r>
      <w:r>
        <w:lastRenderedPageBreak/>
        <w:t>судей по вопросам эффективного расследования преступлений на почве ненависти и привлечения к ответственности за них, а также внесение поправок в Уголовный закон, расширяющих перечень отягчающих обстоятельств путем включения в него мотивов, основанных на «социальной ненависти». Вместе с тем Комитет обеспокоен сообщениями об увеличении числа ненавистнических высказываний, в том числе со стороны членов парламента, низким уровнем уголовного преследования за преступления на почве ненависти и ненавистнические высказывания, а также неполным учетом преступлений на расовой почве (статьи 2, 3, 19, 22 и 26).</w:t>
      </w:r>
    </w:p>
    <w:p w14:paraId="532D0F79" w14:textId="4199EE64" w:rsidR="00C66B57" w:rsidRPr="00660509" w:rsidRDefault="00C66B57" w:rsidP="00C66B57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Государству-участнику следует активизировать усилия по борьбе с ненавистническими высказываниями и преступлениями на почве ненависти.</w:t>
      </w:r>
      <w:r>
        <w:t xml:space="preserve"> </w:t>
      </w:r>
      <w:r>
        <w:rPr>
          <w:b/>
          <w:bCs/>
        </w:rPr>
        <w:t>В</w:t>
      </w:r>
      <w:r w:rsidR="00254DC6">
        <w:rPr>
          <w:b/>
          <w:bCs/>
          <w:lang w:val="en-US"/>
        </w:rPr>
        <w:t> </w:t>
      </w:r>
      <w:r>
        <w:rPr>
          <w:b/>
          <w:bCs/>
        </w:rPr>
        <w:t>частности, ему следует:</w:t>
      </w:r>
    </w:p>
    <w:p w14:paraId="02B7752B" w14:textId="7333F70A" w:rsidR="00C66B57" w:rsidRPr="00F1133D" w:rsidRDefault="00254DC6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254DC6">
        <w:rPr>
          <w:b/>
          <w:bCs/>
        </w:rPr>
        <w:t>a)</w:t>
      </w:r>
      <w:r w:rsidR="00C66B57">
        <w:tab/>
      </w:r>
      <w:r w:rsidR="00C66B57">
        <w:rPr>
          <w:b/>
          <w:bCs/>
        </w:rPr>
        <w:t>обеспечить оперативное и эффективное расследование всех ненавистнических высказываний и преступлений на почве ненависти, привлечение к ответственности подозреваемых и, в случае осуждения, назначение им соответствующих мер наказания, а также предоставление жертвам полного возмещения ущерба</w:t>
      </w:r>
      <w:r w:rsidR="008B75DD">
        <w:rPr>
          <w:b/>
          <w:bCs/>
        </w:rPr>
        <w:t>;</w:t>
      </w:r>
    </w:p>
    <w:p w14:paraId="5316AECA" w14:textId="4FBC5153" w:rsidR="00C66B57" w:rsidRPr="00660509" w:rsidRDefault="00254DC6" w:rsidP="00C66B57">
      <w:pPr>
        <w:pStyle w:val="SingleTxtG"/>
        <w:rPr>
          <w:b/>
          <w:bCs/>
        </w:rPr>
      </w:pPr>
      <w:r w:rsidRPr="008B75DD">
        <w:rPr>
          <w:b/>
          <w:bCs/>
        </w:rPr>
        <w:tab/>
      </w:r>
      <w:r w:rsidR="00C66B57" w:rsidRPr="00254DC6">
        <w:rPr>
          <w:b/>
          <w:bCs/>
        </w:rPr>
        <w:t>b)</w:t>
      </w:r>
      <w:r w:rsidR="00C66B57" w:rsidRPr="00254DC6">
        <w:rPr>
          <w:b/>
          <w:bCs/>
        </w:rPr>
        <w:tab/>
      </w:r>
      <w:r w:rsidR="00C66B57">
        <w:rPr>
          <w:b/>
          <w:bCs/>
        </w:rPr>
        <w:t>укреплять национальный потенциал в целях искоренения ненавистнических высказываний и преступлений на почве ненависти, в том числе путем организации надлежащей подготовки сотрудников правоохранительных органов, судей и прокуроров, выделения необходимых ресурсов органам для эффективного противодействия преступлениям на почве ненависти и совершенствования сбора данных о преступлениях на почве ненависти;</w:t>
      </w:r>
      <w:r w:rsidR="00C66B57">
        <w:t xml:space="preserve"> </w:t>
      </w:r>
    </w:p>
    <w:p w14:paraId="283C4FC2" w14:textId="0688C5D5" w:rsidR="00C66B57" w:rsidRPr="00660509" w:rsidRDefault="00254DC6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254DC6">
        <w:rPr>
          <w:b/>
          <w:bCs/>
        </w:rPr>
        <w:t>c)</w:t>
      </w:r>
      <w:r w:rsidR="00C66B57">
        <w:tab/>
      </w:r>
      <w:r w:rsidR="00C66B57">
        <w:rPr>
          <w:b/>
          <w:bCs/>
        </w:rPr>
        <w:t>принимать эффективные меры по публичному осуждению ненавистнических высказываний и наказанию за них, в частности ненавистнических высказываний со стороны политиков и высокопоставленных должностных лиц;</w:t>
      </w:r>
    </w:p>
    <w:p w14:paraId="2CCC7DD3" w14:textId="2B993B10" w:rsidR="00C66B57" w:rsidRPr="00660509" w:rsidRDefault="00254DC6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254DC6">
        <w:rPr>
          <w:b/>
          <w:bCs/>
        </w:rPr>
        <w:t>d)</w:t>
      </w:r>
      <w:r w:rsidR="00C66B57">
        <w:tab/>
      </w:r>
      <w:r w:rsidR="00C66B57">
        <w:rPr>
          <w:b/>
          <w:bCs/>
        </w:rPr>
        <w:t>повышать осведомленность общественности о запрете ненавистнических высказываний и преступлений на почве ненависти, а также о каналах для сообщения о таких преступлениях и принимать все необходимые меры для поощрения и облегчения подачи таких сообщений.</w:t>
      </w:r>
      <w:r w:rsidR="00C66B57">
        <w:t xml:space="preserve"> </w:t>
      </w:r>
    </w:p>
    <w:p w14:paraId="3C03D1E8" w14:textId="77777777" w:rsidR="00C66B57" w:rsidRPr="00660509" w:rsidRDefault="00C66B57" w:rsidP="00C66B57">
      <w:pPr>
        <w:pStyle w:val="H23G"/>
      </w:pPr>
      <w:r>
        <w:tab/>
      </w:r>
      <w:r>
        <w:tab/>
      </w:r>
      <w:r>
        <w:rPr>
          <w:bCs/>
        </w:rPr>
        <w:t>Чрезвычайное положение</w:t>
      </w:r>
    </w:p>
    <w:p w14:paraId="79988B58" w14:textId="77777777" w:rsidR="00C66B57" w:rsidRPr="00F1133D" w:rsidRDefault="00C66B57" w:rsidP="00C66B57">
      <w:pPr>
        <w:pStyle w:val="SingleTxtG"/>
      </w:pPr>
      <w:r>
        <w:t>15.</w:t>
      </w:r>
      <w:r>
        <w:tab/>
        <w:t xml:space="preserve">Комитет обеспокоен тем, что ограничения, которые были установлены в связи с чрезвычайным положением на границе с Беларусью в период 2021–2023 годов и которые, согласно сообщениям, были несоразмерными и могли привести к фактическому отступлению от обязательств, возможно, не соответствовали требованиям Пакта (статья 4). </w:t>
      </w:r>
    </w:p>
    <w:p w14:paraId="6C26958B" w14:textId="77777777" w:rsidR="00C66B57" w:rsidRPr="00660509" w:rsidRDefault="00C66B57" w:rsidP="00C66B57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В свете замечания общего порядка № 29 (2001) Комитета об отступлениях от обязательств по Пакту во время чрезвычайного положения государству-участнику следует в полной мере соблюдать все условия, изложенные в статье 4 Пакта.</w:t>
      </w:r>
      <w:r>
        <w:t xml:space="preserve"> </w:t>
      </w:r>
      <w:r>
        <w:rPr>
          <w:b/>
          <w:bCs/>
        </w:rPr>
        <w:t>Государству-участнику следует также гарантировать, чтобы любые меры, ограничивающие права человека в условиях чрезвычайного положения, носили исключительный и временный характер, были строго необходимыми, соразмерными, недискриминационными и подлежали независимому судебному надзору.</w:t>
      </w:r>
    </w:p>
    <w:p w14:paraId="1F43E8F7" w14:textId="77777777" w:rsidR="00C66B57" w:rsidRPr="00660509" w:rsidRDefault="00C66B57" w:rsidP="00C66B57">
      <w:pPr>
        <w:pStyle w:val="H23G"/>
      </w:pPr>
      <w:r>
        <w:tab/>
      </w:r>
      <w:r>
        <w:tab/>
      </w:r>
      <w:r>
        <w:rPr>
          <w:bCs/>
        </w:rPr>
        <w:t>Гендерное равенство</w:t>
      </w:r>
    </w:p>
    <w:p w14:paraId="0B4CFBC3" w14:textId="77777777" w:rsidR="00C66B57" w:rsidRPr="00660509" w:rsidRDefault="00C66B57" w:rsidP="00C66B57">
      <w:pPr>
        <w:pStyle w:val="SingleTxtG"/>
      </w:pPr>
      <w:r>
        <w:t>17.</w:t>
      </w:r>
      <w:r>
        <w:tab/>
        <w:t xml:space="preserve">Хотя Комитет приветствует предпринимаемые государством-участником усилия по поощрению гендерного равенства, он обеспокоен сохраняющимся разрывом в оплате труда мужчин и женщин (статьи 3 и 26). </w:t>
      </w:r>
    </w:p>
    <w:p w14:paraId="23632BE0" w14:textId="77777777" w:rsidR="00C66B57" w:rsidRPr="00660509" w:rsidRDefault="00C66B57" w:rsidP="00C66B57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Государству-участнику следует активизировать свои усилия по обеспечению гендерного равенства во всех сферах жизни.</w:t>
      </w:r>
      <w:r>
        <w:t xml:space="preserve"> </w:t>
      </w:r>
      <w:r>
        <w:rPr>
          <w:b/>
          <w:bCs/>
        </w:rPr>
        <w:t>В частности, ему следует:</w:t>
      </w:r>
      <w:r>
        <w:t xml:space="preserve"> </w:t>
      </w:r>
    </w:p>
    <w:p w14:paraId="2E970785" w14:textId="2E3DA6A8" w:rsidR="00C66B57" w:rsidRPr="00660509" w:rsidRDefault="00254DC6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lastRenderedPageBreak/>
        <w:tab/>
      </w:r>
      <w:r w:rsidR="00C66B57" w:rsidRPr="00254DC6">
        <w:rPr>
          <w:b/>
          <w:bCs/>
        </w:rPr>
        <w:t>a)</w:t>
      </w:r>
      <w:r w:rsidR="00C66B57">
        <w:tab/>
      </w:r>
      <w:r w:rsidR="00C66B57">
        <w:rPr>
          <w:b/>
          <w:bCs/>
        </w:rPr>
        <w:t>удвоить усилия по сокращению гендерного разрыва в оплате труда, обеспечив эффективную реализацию принципа равной оплаты труда равной ценности;</w:t>
      </w:r>
      <w:r w:rsidR="00C66B57">
        <w:t xml:space="preserve"> </w:t>
      </w:r>
    </w:p>
    <w:p w14:paraId="7308364E" w14:textId="0E2F46B6" w:rsidR="00C66B57" w:rsidRPr="00660509" w:rsidRDefault="00254DC6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254DC6">
        <w:rPr>
          <w:b/>
          <w:bCs/>
        </w:rPr>
        <w:t>b)</w:t>
      </w:r>
      <w:r w:rsidR="00C66B57">
        <w:tab/>
      </w:r>
      <w:r w:rsidR="00C66B57">
        <w:rPr>
          <w:b/>
          <w:bCs/>
        </w:rPr>
        <w:t>продолжать бороться с дискриминационными настроениями и гендерными стереотипами в обществе.</w:t>
      </w:r>
      <w:r w:rsidR="00C66B57">
        <w:t xml:space="preserve"> </w:t>
      </w:r>
    </w:p>
    <w:p w14:paraId="1D1848FF" w14:textId="77777777" w:rsidR="00C66B57" w:rsidRPr="00660509" w:rsidRDefault="00C66B57" w:rsidP="00C66B57">
      <w:pPr>
        <w:pStyle w:val="H23G"/>
      </w:pPr>
      <w:r>
        <w:tab/>
      </w:r>
      <w:r>
        <w:tab/>
      </w:r>
      <w:r>
        <w:rPr>
          <w:bCs/>
        </w:rPr>
        <w:t>Насилие в отношении женщин</w:t>
      </w:r>
      <w:r>
        <w:t xml:space="preserve"> </w:t>
      </w:r>
    </w:p>
    <w:p w14:paraId="47B51F73" w14:textId="77777777" w:rsidR="00C66B57" w:rsidRPr="00660509" w:rsidRDefault="00C66B57" w:rsidP="00C66B57">
      <w:pPr>
        <w:pStyle w:val="SingleTxtG"/>
      </w:pPr>
      <w:r>
        <w:t>19.</w:t>
      </w:r>
      <w:r>
        <w:tab/>
        <w:t>Комитет приветствует меры, принятые государством-участником для предотвращения и пресечения насилия в отношении женщин, включая реформу уголовного законодательства и процессуальных норм, а также разработку первого национального плана по предотвращению и пресечению насилия в отношении женщин и домашнего насилия на 2024–2029 годы. Однако Комитет обеспокоен тем, что ни домашнее насилие, ни насилие со стороны интимного партнера не признаются в качестве отдельного уголовного преступления, что затрудняет эффективный сбор данных, мониторинг и применение механизмов реагирования (статьи 2, 3, 6, 7 и 26).</w:t>
      </w:r>
    </w:p>
    <w:p w14:paraId="0A845D31" w14:textId="77777777" w:rsidR="00C66B57" w:rsidRPr="00660509" w:rsidRDefault="00C66B57" w:rsidP="00C66B57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Государству-участнику следует удвоить усилия по искоренению насилия в отношении женщин и девочек.</w:t>
      </w:r>
      <w:r>
        <w:t xml:space="preserve"> </w:t>
      </w:r>
      <w:r>
        <w:rPr>
          <w:b/>
          <w:bCs/>
        </w:rPr>
        <w:t>В частности, ему следует:</w:t>
      </w:r>
    </w:p>
    <w:p w14:paraId="12F7CF2F" w14:textId="46B87920" w:rsidR="00C66B57" w:rsidRPr="00660509" w:rsidRDefault="00254DC6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254DC6">
        <w:rPr>
          <w:b/>
          <w:bCs/>
        </w:rPr>
        <w:t>a)</w:t>
      </w:r>
      <w:r w:rsidR="00C66B57">
        <w:tab/>
      </w:r>
      <w:r w:rsidR="00C66B57">
        <w:rPr>
          <w:b/>
          <w:bCs/>
        </w:rPr>
        <w:t>укрепить правовую базу для защиты женщин от всех форм гендерного насилия, включая домашнее насилие и насилие со стороны интимного партнера, квалифицировав их в качестве отдельных уголовных преступлений;</w:t>
      </w:r>
    </w:p>
    <w:p w14:paraId="47D40242" w14:textId="2E0BA5A1" w:rsidR="00C66B57" w:rsidRPr="00660509" w:rsidRDefault="00254DC6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254DC6">
        <w:rPr>
          <w:b/>
          <w:bCs/>
        </w:rPr>
        <w:t>b)</w:t>
      </w:r>
      <w:r w:rsidR="00C66B57">
        <w:tab/>
      </w:r>
      <w:r w:rsidR="00C66B57">
        <w:rPr>
          <w:b/>
          <w:bCs/>
        </w:rPr>
        <w:t>усовершенствовать сбор данных об убийствах по гендерному признаку, или фемицидах, с тем чтобы лучше изучить мотивы и типологию таких преступлений;</w:t>
      </w:r>
    </w:p>
    <w:p w14:paraId="2B67830E" w14:textId="0FDDE5A3" w:rsidR="00C66B57" w:rsidRPr="00660509" w:rsidRDefault="00254DC6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254DC6">
        <w:rPr>
          <w:b/>
          <w:bCs/>
        </w:rPr>
        <w:t>c)</w:t>
      </w:r>
      <w:r w:rsidR="00C66B57">
        <w:tab/>
      </w:r>
      <w:r w:rsidR="00C66B57">
        <w:rPr>
          <w:b/>
          <w:bCs/>
        </w:rPr>
        <w:t>бороться с общественными установками, которые способствуют укоренению гендерных стереотипов, посредством программ просвещения общественности и мер на местах, направленных на повышение осведомленности о том, что гендерное насилие является преступлением, и на борьбу со стереотипами, которые нормализуют насилие в отношении женщин.</w:t>
      </w:r>
    </w:p>
    <w:p w14:paraId="3D1B8B33" w14:textId="77777777" w:rsidR="00C66B57" w:rsidRPr="00660509" w:rsidRDefault="00C66B57" w:rsidP="00C66B57">
      <w:pPr>
        <w:pStyle w:val="SingleTxtG"/>
      </w:pPr>
      <w:r>
        <w:t>21.</w:t>
      </w:r>
      <w:r>
        <w:tab/>
        <w:t>Комитет обеспокоен высокими показателями фемицида и домашнего насилия и насилия со стороны интимного партнера, а также неполным учетом случаев гендерного насилия и недостаточным объемом услуг по оказанию поддержки жертвам, в том числе отсутствием специализированных центров для жертв изнасилования или иного сексуального насилия (статьи 2, 3, 6, 7 и 26).</w:t>
      </w:r>
    </w:p>
    <w:p w14:paraId="64B7F892" w14:textId="77777777" w:rsidR="00C66B57" w:rsidRPr="00660509" w:rsidRDefault="00C66B57" w:rsidP="00C66B57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Государству-участнику следует:</w:t>
      </w:r>
    </w:p>
    <w:p w14:paraId="00C7D91A" w14:textId="4EBF5104" w:rsidR="00C66B57" w:rsidRPr="00660509" w:rsidRDefault="00254DC6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254DC6">
        <w:rPr>
          <w:b/>
          <w:bCs/>
        </w:rPr>
        <w:t>a)</w:t>
      </w:r>
      <w:r w:rsidR="00C66B57">
        <w:tab/>
      </w:r>
      <w:r w:rsidR="00C66B57">
        <w:rPr>
          <w:b/>
          <w:bCs/>
        </w:rPr>
        <w:t>создать эффективные механизмы и принять все необходимые меры для облегчения и поощрения подачи заявлений о гендерном насилии, в том числе путем предоставления всем женщинам и девочкам доступа к информации об их правах, мерах защиты и средствах правовой защиты, а также избегать социальной стигматизации и повторной виктимизации любого лица, обратившегося за помощью;</w:t>
      </w:r>
    </w:p>
    <w:p w14:paraId="0DE068AE" w14:textId="1C93E624" w:rsidR="00C66B57" w:rsidRPr="00660509" w:rsidRDefault="00254DC6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254DC6">
        <w:rPr>
          <w:b/>
          <w:bCs/>
        </w:rPr>
        <w:t>b)</w:t>
      </w:r>
      <w:r w:rsidR="00C66B57">
        <w:tab/>
      </w:r>
      <w:r w:rsidR="00C66B57">
        <w:rPr>
          <w:b/>
          <w:bCs/>
        </w:rPr>
        <w:t>обеспечить проведение тщательного и оперативного расследования всех случаев насилия в отношении женщин и девочек, судебное преследование подозреваемых и в случае их осуждения назначение им наказания, соразмерного тяжести совершенного преступления;</w:t>
      </w:r>
    </w:p>
    <w:p w14:paraId="751C9175" w14:textId="70F0A4D4" w:rsidR="00C66B57" w:rsidRPr="00660509" w:rsidRDefault="00254DC6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254DC6">
        <w:rPr>
          <w:b/>
          <w:bCs/>
        </w:rPr>
        <w:t>c)</w:t>
      </w:r>
      <w:r w:rsidR="00C66B57" w:rsidRPr="00254DC6">
        <w:rPr>
          <w:b/>
          <w:bCs/>
        </w:rPr>
        <w:tab/>
      </w:r>
      <w:r w:rsidR="00C66B57">
        <w:rPr>
          <w:b/>
          <w:bCs/>
        </w:rPr>
        <w:t>обеспечивать, чтобы жертвы получали эффективные средства правовой защиты и меры защиты и помощи, включая доступ к специализированным центрам приема и приютам по всей стране, и повышать осведомленность о существовании этих средств правовой защиты и мер;</w:t>
      </w:r>
    </w:p>
    <w:p w14:paraId="64052E53" w14:textId="5AF04A3B" w:rsidR="00C66B57" w:rsidRPr="00660509" w:rsidRDefault="00254DC6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254DC6">
        <w:rPr>
          <w:b/>
          <w:bCs/>
        </w:rPr>
        <w:t>d)</w:t>
      </w:r>
      <w:r w:rsidR="00C66B57">
        <w:tab/>
      </w:r>
      <w:r w:rsidR="00C66B57">
        <w:rPr>
          <w:b/>
          <w:bCs/>
        </w:rPr>
        <w:t xml:space="preserve">укреплять следственный и судебный потенциал путем подготовки судей, прокуроров, сотрудников правоохранительных органов и медицинского персонала для эффективного реагирования на заявления о случаях гендерного </w:t>
      </w:r>
      <w:r w:rsidR="00C66B57">
        <w:rPr>
          <w:b/>
          <w:bCs/>
        </w:rPr>
        <w:lastRenderedPageBreak/>
        <w:t>насилия с учетом гендерных аспектов и увеличивать число прокуроров и сотрудников полиции из числа женщин.</w:t>
      </w:r>
    </w:p>
    <w:p w14:paraId="35CF0F47" w14:textId="77777777" w:rsidR="00C66B57" w:rsidRPr="00660509" w:rsidRDefault="00C66B57" w:rsidP="00C66B57">
      <w:pPr>
        <w:pStyle w:val="H23G"/>
      </w:pPr>
      <w:r>
        <w:tab/>
      </w:r>
      <w:r>
        <w:tab/>
      </w:r>
      <w:r>
        <w:rPr>
          <w:bCs/>
        </w:rPr>
        <w:t>Право на жизнь</w:t>
      </w:r>
    </w:p>
    <w:p w14:paraId="6389EA90" w14:textId="77777777" w:rsidR="00C66B57" w:rsidRPr="00660509" w:rsidRDefault="00C66B57" w:rsidP="00C66B57">
      <w:pPr>
        <w:pStyle w:val="SingleTxtG"/>
      </w:pPr>
      <w:r>
        <w:t>23.</w:t>
      </w:r>
      <w:r>
        <w:tab/>
        <w:t xml:space="preserve">Комитет обеспокоен большим числом смертей в местах содержания под стражей по отношению к численности заключенных, что отчасти объясняется плохими условиями содержания. Он выражает сожаление по поводу отсутствия информации о результатах уголовных разбирательств, возбужденных в связи с некоторыми из этих смертей. Комитет также обеспокоен сообщениями о широко распространенной модели иерархического самоуправления в тюремной системе, при которой одни заключенные эксплуатируют или подвергают жестокому обращению других уязвимых заключенных (статьи 2, 6 и 26). </w:t>
      </w:r>
    </w:p>
    <w:p w14:paraId="3CF87300" w14:textId="77777777" w:rsidR="00C66B57" w:rsidRPr="00660509" w:rsidRDefault="00C66B57" w:rsidP="00C66B57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Государству-участнику следует обеспечить, чтобы условия содержания под стражей полностью соответствовали соответствующим международным стандартам в области прав человека, включая Минимальные стандартные правила Организации Объединенных Наций в отношении обращения с заключенными (Правила Нельсона Манделы).</w:t>
      </w:r>
      <w:r>
        <w:t xml:space="preserve"> </w:t>
      </w:r>
      <w:r>
        <w:rPr>
          <w:b/>
          <w:bCs/>
        </w:rPr>
        <w:t>Ему, в частности, следует:</w:t>
      </w:r>
      <w:r>
        <w:t xml:space="preserve"> </w:t>
      </w:r>
    </w:p>
    <w:p w14:paraId="226094ED" w14:textId="4F5CA4F5" w:rsidR="00C66B57" w:rsidRPr="00660509" w:rsidRDefault="00254DC6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254DC6">
        <w:rPr>
          <w:b/>
          <w:bCs/>
        </w:rPr>
        <w:t>a)</w:t>
      </w:r>
      <w:r w:rsidR="00C66B57" w:rsidRPr="00254DC6">
        <w:rPr>
          <w:b/>
          <w:bCs/>
        </w:rPr>
        <w:tab/>
      </w:r>
      <w:r w:rsidR="00C66B57">
        <w:rPr>
          <w:b/>
          <w:bCs/>
        </w:rPr>
        <w:t>активизировать усилия по предотвращению смертей и самоубийств в тюрьмах и обеспечению права на жизнь всех лиц, находящихся под стражей, в частности путем укрепления медицинского обслуживания, оказания поддержки в области психического здоровья и введения ограничений в отношении одиночного заключения;</w:t>
      </w:r>
    </w:p>
    <w:p w14:paraId="6E3E1E56" w14:textId="30311795" w:rsidR="00C66B57" w:rsidRPr="00660509" w:rsidRDefault="00254DC6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254DC6">
        <w:rPr>
          <w:b/>
          <w:bCs/>
        </w:rPr>
        <w:t>b)</w:t>
      </w:r>
      <w:r w:rsidR="00C66B57">
        <w:tab/>
      </w:r>
      <w:r w:rsidR="00C66B57">
        <w:rPr>
          <w:b/>
          <w:bCs/>
        </w:rPr>
        <w:t>проводить оперативные, эффективные и независимые расследования всех случаев смерти заключенных;</w:t>
      </w:r>
    </w:p>
    <w:p w14:paraId="601ECC11" w14:textId="66627B07" w:rsidR="00C66B57" w:rsidRPr="00660509" w:rsidRDefault="00254DC6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254DC6">
        <w:rPr>
          <w:b/>
          <w:bCs/>
        </w:rPr>
        <w:t>c)</w:t>
      </w:r>
      <w:r w:rsidR="00C66B57">
        <w:tab/>
      </w:r>
      <w:r w:rsidR="00C66B57">
        <w:rPr>
          <w:b/>
          <w:bCs/>
        </w:rPr>
        <w:t>содействовать независимому, эффективному и регулярному мониторингу всех мест содержания под стражей без предварительного уведомления и без надзора, а также обеспечить обязательное обучение сотрудников правоохранительных органов, судей, прокуроров и других специалистов в области права по вопросам предотвращения смертей в местах содержания под стражей;</w:t>
      </w:r>
    </w:p>
    <w:p w14:paraId="188787B6" w14:textId="6B16BBD1" w:rsidR="00C66B57" w:rsidRPr="00660509" w:rsidRDefault="00254DC6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254DC6">
        <w:rPr>
          <w:b/>
          <w:bCs/>
        </w:rPr>
        <w:t>d)</w:t>
      </w:r>
      <w:r w:rsidR="00C66B57">
        <w:tab/>
      </w:r>
      <w:r w:rsidR="00C66B57">
        <w:rPr>
          <w:b/>
          <w:bCs/>
        </w:rPr>
        <w:t>ликвидировать тюремные иерархии самоуправления, которые способствуют эксплуатации уязвимых заключенных или жестокому обращению с ними, в том числе путем создания системы классификации лиц, лишенных свободы, на основе индивидуального уровня риска, и продолжать усилия по полному внедрению в тюрьмах подхода, основанного на реабилитации.</w:t>
      </w:r>
      <w:r w:rsidR="00C66B57">
        <w:t xml:space="preserve"> </w:t>
      </w:r>
    </w:p>
    <w:p w14:paraId="226E1B4C" w14:textId="77777777" w:rsidR="00C66B57" w:rsidRPr="00660509" w:rsidRDefault="00C66B57" w:rsidP="00C66B57">
      <w:pPr>
        <w:pStyle w:val="H23G"/>
      </w:pPr>
      <w:r>
        <w:tab/>
      </w:r>
      <w:r>
        <w:tab/>
      </w:r>
      <w:r>
        <w:rPr>
          <w:bCs/>
        </w:rPr>
        <w:t>Запрещение пыток и других жестоких, бесчеловечных или унижающих достоинство видов обращения и наказания и обращение с лицами, лишенными свободы</w:t>
      </w:r>
      <w:bookmarkStart w:id="1" w:name="_Hlk203484559"/>
      <w:bookmarkEnd w:id="1"/>
    </w:p>
    <w:p w14:paraId="751A05B4" w14:textId="77777777" w:rsidR="00C66B57" w:rsidRPr="00660509" w:rsidRDefault="00C66B57" w:rsidP="00C66B57">
      <w:pPr>
        <w:pStyle w:val="SingleTxtG"/>
      </w:pPr>
      <w:r>
        <w:t>25.</w:t>
      </w:r>
      <w:r>
        <w:tab/>
        <w:t xml:space="preserve">Признавая усилия государства-участника по выделению пыток в отдельную категорию уголовных преступлений, Комитет обеспокоен тем, что определение в национальном законодательстве по-прежнему не полностью соответствует положениям Пакта и другим международным стандартам, а наказания за пытки не соразмерны тяжести преступления. Комитет выражает обеспокоенность в связи с утверждениями о запугивании и превышении полномочий со стороны сотрудников тюрем и чрезмерном применении силы со стороны сотрудников полиции при задержании, включая избиения, якобы применяемые для получения признательных показаний (статьи 2, 7, 9, 10 и 14). </w:t>
      </w:r>
    </w:p>
    <w:p w14:paraId="0259B518" w14:textId="77777777" w:rsidR="00C66B57" w:rsidRPr="00660509" w:rsidRDefault="00C66B57" w:rsidP="00C66B57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Государству-участнику следует принять все необходимые меры для предотвращения и искоренения пыток и других жестоких, бесчеловечных или унижающих достоинство видов обращения или наказания.</w:t>
      </w:r>
      <w:r>
        <w:t xml:space="preserve"> </w:t>
      </w:r>
      <w:r>
        <w:rPr>
          <w:b/>
          <w:bCs/>
        </w:rPr>
        <w:t>В частности, ему следует:</w:t>
      </w:r>
    </w:p>
    <w:p w14:paraId="46850002" w14:textId="734D84B4" w:rsidR="00C66B57" w:rsidRPr="00660509" w:rsidRDefault="00254DC6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254DC6">
        <w:rPr>
          <w:b/>
          <w:bCs/>
        </w:rPr>
        <w:t>a)</w:t>
      </w:r>
      <w:r w:rsidR="00C66B57">
        <w:tab/>
      </w:r>
      <w:r w:rsidR="00C66B57">
        <w:rPr>
          <w:b/>
          <w:bCs/>
        </w:rPr>
        <w:t xml:space="preserve">пересмотреть свое законодательство, с тем чтобы обеспечить наличие в нем определения пытки, полностью соответствующего статье 7 Пакта статье 1 Конвенции против пыток и других жестоких, бесчеловечных или </w:t>
      </w:r>
      <w:r w:rsidR="00C66B57">
        <w:rPr>
          <w:b/>
          <w:bCs/>
        </w:rPr>
        <w:lastRenderedPageBreak/>
        <w:t>унижающих достоинство видов обращения и наказания;</w:t>
      </w:r>
      <w:r w:rsidR="00C66B57">
        <w:t xml:space="preserve"> </w:t>
      </w:r>
      <w:r w:rsidR="00C66B57">
        <w:rPr>
          <w:b/>
          <w:bCs/>
        </w:rPr>
        <w:t>и чтобы наказания в Уголовном законе были соразмерны тяжести преступления;</w:t>
      </w:r>
      <w:r w:rsidR="00C66B57">
        <w:t xml:space="preserve"> </w:t>
      </w:r>
    </w:p>
    <w:p w14:paraId="775E1F99" w14:textId="701162CD" w:rsidR="00C66B57" w:rsidRPr="00660509" w:rsidRDefault="00254DC6" w:rsidP="00C66B57">
      <w:pPr>
        <w:pStyle w:val="SingleTxtG"/>
        <w:rPr>
          <w:b/>
          <w:bCs/>
        </w:rPr>
      </w:pPr>
      <w:r w:rsidRPr="00A6030F">
        <w:rPr>
          <w:b/>
          <w:bCs/>
        </w:rPr>
        <w:tab/>
      </w:r>
      <w:r w:rsidR="00C66B57" w:rsidRPr="00254DC6">
        <w:rPr>
          <w:b/>
          <w:bCs/>
        </w:rPr>
        <w:t>b)</w:t>
      </w:r>
      <w:r w:rsidR="00C66B57">
        <w:tab/>
      </w:r>
      <w:r w:rsidR="00C66B57">
        <w:rPr>
          <w:b/>
          <w:bCs/>
        </w:rPr>
        <w:t>проводить тщательные, независимые и беспристрастные расследования всех утверждений о жестоком обращении в местах содержания под стражей и всех утверждений о чрезмерном применении силы сотрудниками правоохранительных органов в соответствии с Руководством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протокол), преследовать подозреваемых в судебном порядке, включая сотрудников правоохранительных органов, и в случае их осуждения назначать им наказание, соразмерное тяжести преступления, и предоставлять жертвам в полном объеме средства правовой защиты и возмещение ущерба, включая реабилитацию;</w:t>
      </w:r>
    </w:p>
    <w:p w14:paraId="70EF1D60" w14:textId="66084E67" w:rsidR="00C66B57" w:rsidRPr="00660509" w:rsidRDefault="00254DC6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254DC6">
        <w:rPr>
          <w:b/>
          <w:bCs/>
        </w:rPr>
        <w:t>c)</w:t>
      </w:r>
      <w:r w:rsidR="00C66B57">
        <w:tab/>
      </w:r>
      <w:r w:rsidR="00C66B57">
        <w:rPr>
          <w:b/>
          <w:bCs/>
        </w:rPr>
        <w:t>усилить механизмы надзора для предотвращения случаев чрезмерного применения силы сотрудниками правоохранительных органов и применения к ним мер наказания;</w:t>
      </w:r>
    </w:p>
    <w:p w14:paraId="2046E230" w14:textId="67B4B00A" w:rsidR="00C66B57" w:rsidRPr="00660509" w:rsidRDefault="00254DC6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254DC6">
        <w:rPr>
          <w:b/>
          <w:bCs/>
        </w:rPr>
        <w:t>d)</w:t>
      </w:r>
      <w:r w:rsidR="00C66B57">
        <w:tab/>
      </w:r>
      <w:r w:rsidR="00C66B57">
        <w:rPr>
          <w:b/>
          <w:bCs/>
        </w:rPr>
        <w:t>расширить подготовку судей, прокуроров, сотрудников правоохранительных органов, а также сотрудников судебно-медицинских и медицинских учреждений, включая подготовку по международным стандартам в области прав человека, таким как Принципы эффективного ведения опроса в ходе расследования и сбора информации (Принципы Мендеса);</w:t>
      </w:r>
    </w:p>
    <w:p w14:paraId="5A601E15" w14:textId="19D25BAF" w:rsidR="00C66B57" w:rsidRPr="00660509" w:rsidRDefault="00254DC6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254DC6">
        <w:rPr>
          <w:b/>
          <w:bCs/>
        </w:rPr>
        <w:t>e)</w:t>
      </w:r>
      <w:r w:rsidR="00C66B57">
        <w:tab/>
      </w:r>
      <w:r w:rsidR="00C66B57">
        <w:rPr>
          <w:b/>
          <w:bCs/>
        </w:rPr>
        <w:t>обеспечить всем лицам, лишенным свободы, доступ к независимому, надежному и дееспособному механизму подачи жалоб для расследования заявлений о пытках и жестоком обращении и гарантировать защиту лиц, подающих жалобы.</w:t>
      </w:r>
    </w:p>
    <w:p w14:paraId="346EF2E2" w14:textId="77777777" w:rsidR="00C66B57" w:rsidRPr="00660509" w:rsidRDefault="00C66B57" w:rsidP="00C66B57">
      <w:pPr>
        <w:pStyle w:val="H23G"/>
      </w:pPr>
      <w:r>
        <w:tab/>
      </w:r>
      <w:r>
        <w:tab/>
      </w:r>
      <w:r>
        <w:rPr>
          <w:bCs/>
        </w:rPr>
        <w:t>Условия в психиатрических учреждениях</w:t>
      </w:r>
    </w:p>
    <w:p w14:paraId="1F68871E" w14:textId="77777777" w:rsidR="00C66B57" w:rsidRPr="00660509" w:rsidRDefault="00C66B57" w:rsidP="00C66B57">
      <w:pPr>
        <w:pStyle w:val="SingleTxtG"/>
      </w:pPr>
      <w:r>
        <w:t>27.</w:t>
      </w:r>
      <w:r>
        <w:tab/>
        <w:t xml:space="preserve">Комитет приветствует меры, принятые для содействия оказанию психиатрической и социальной помощи на базе общин, однако выражает озабоченность в связи с утверждениями о жестоком обращении, включая применение холодного душа и нанесение побоев персоналом, в некоторых психиатрических учреждениях, а также сообщениями об ограничении доступа к прогулкам и занятиям на свежем воздухе. Комитет также обеспокоен сообщениями о том, что некоторые пациенты подросткового возраста помещаются в больницы или палаты для совершеннолетних и что в некоторых учреждениях существует острая нехватка специалистов в области психического здоровья, в частности психиатров (статьи 2, 7, 9 и 10). </w:t>
      </w:r>
    </w:p>
    <w:p w14:paraId="08145A86" w14:textId="77777777" w:rsidR="00C66B57" w:rsidRPr="00660509" w:rsidRDefault="00C66B57" w:rsidP="00C66B57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Государству-участнику следует обеспечить, чтобы обращение с лицами, находящимися в психиатрических учреждениях, полностью соответствовало положениям Пакта.</w:t>
      </w:r>
      <w:r>
        <w:t xml:space="preserve"> </w:t>
      </w:r>
      <w:r>
        <w:rPr>
          <w:b/>
          <w:bCs/>
        </w:rPr>
        <w:t>В частности, государству-участнику следует:</w:t>
      </w:r>
      <w:r>
        <w:t xml:space="preserve"> </w:t>
      </w:r>
    </w:p>
    <w:p w14:paraId="0FE18B3E" w14:textId="3613F934" w:rsidR="00C66B57" w:rsidRPr="00660509" w:rsidRDefault="00254DC6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254DC6">
        <w:rPr>
          <w:b/>
          <w:bCs/>
        </w:rPr>
        <w:t>a)</w:t>
      </w:r>
      <w:r w:rsidR="00C66B57">
        <w:tab/>
      </w:r>
      <w:r w:rsidR="00C66B57">
        <w:rPr>
          <w:b/>
          <w:bCs/>
        </w:rPr>
        <w:t>обеспечить эффективную и независимую систему мониторинга и отчетности для психиатрических учреждений и учреждений социальной помощи, направленную на эффективное расследование и наказание злоупотреблений, а также на возмещение ущерба пострадавшим и их семьям;</w:t>
      </w:r>
    </w:p>
    <w:p w14:paraId="5AA784B7" w14:textId="374C154F" w:rsidR="00C66B57" w:rsidRPr="00660509" w:rsidRDefault="00254DC6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254DC6">
        <w:rPr>
          <w:b/>
          <w:bCs/>
        </w:rPr>
        <w:t>b)</w:t>
      </w:r>
      <w:r w:rsidR="00C66B57" w:rsidRPr="00254DC6">
        <w:rPr>
          <w:b/>
          <w:bCs/>
        </w:rPr>
        <w:tab/>
      </w:r>
      <w:r w:rsidR="00C66B57">
        <w:rPr>
          <w:b/>
          <w:bCs/>
        </w:rPr>
        <w:t>улучшить условия содержания, в том числе путем обеспечения доступа к прогулкам и занятиям на свежем воздухе;</w:t>
      </w:r>
    </w:p>
    <w:p w14:paraId="679B4D59" w14:textId="7CDA543B" w:rsidR="00C66B57" w:rsidRPr="00660509" w:rsidRDefault="00254DC6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254DC6">
        <w:rPr>
          <w:b/>
          <w:bCs/>
        </w:rPr>
        <w:t>c)</w:t>
      </w:r>
      <w:r w:rsidR="00C66B57">
        <w:tab/>
      </w:r>
      <w:r w:rsidR="00C66B57">
        <w:rPr>
          <w:b/>
          <w:bCs/>
        </w:rPr>
        <w:t>обеспечить, чтобы несовершеннолетние не помещались в больницы или палаты для взрослых, чтобы защитить их от насилия, жестокого обращения и вреда;</w:t>
      </w:r>
    </w:p>
    <w:p w14:paraId="4BF34C9D" w14:textId="5EDE6826" w:rsidR="00C66B57" w:rsidRPr="00660509" w:rsidRDefault="00254DC6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254DC6">
        <w:rPr>
          <w:b/>
          <w:bCs/>
        </w:rPr>
        <w:t>d)</w:t>
      </w:r>
      <w:r w:rsidR="00C66B57">
        <w:tab/>
      </w:r>
      <w:r w:rsidR="00C66B57">
        <w:rPr>
          <w:b/>
          <w:bCs/>
        </w:rPr>
        <w:t>укрепить потенциал психиатрических учреждений путем увеличения числа специалистов и сотрудников, особенно психиатров, для решения проблемы низкого показателя соотношения врачей и пациентов в некоторых учреждениях и обеспечить применение междисциплинарных подходов к лечению в целях защиты достоинства и благополучия пациентов.</w:t>
      </w:r>
      <w:r w:rsidR="00C66B57">
        <w:t xml:space="preserve"> </w:t>
      </w:r>
    </w:p>
    <w:p w14:paraId="4FCEF17C" w14:textId="77777777" w:rsidR="00C66B57" w:rsidRPr="00660509" w:rsidRDefault="00C66B57" w:rsidP="00C66B57">
      <w:pPr>
        <w:pStyle w:val="H23G"/>
      </w:pPr>
      <w:r>
        <w:lastRenderedPageBreak/>
        <w:tab/>
      </w:r>
      <w:r>
        <w:tab/>
      </w:r>
      <w:r>
        <w:rPr>
          <w:bCs/>
        </w:rPr>
        <w:t>Свобода и личная неприкосновенность</w:t>
      </w:r>
    </w:p>
    <w:p w14:paraId="511302B4" w14:textId="16CA836E" w:rsidR="00C66B57" w:rsidRPr="00BE7E6C" w:rsidRDefault="00C66B57" w:rsidP="00C66B57">
      <w:pPr>
        <w:pStyle w:val="SingleTxtG"/>
      </w:pPr>
      <w:r w:rsidRPr="00BE7E6C">
        <w:t>29.</w:t>
      </w:r>
      <w:r w:rsidR="00254DC6">
        <w:rPr>
          <w:lang w:val="en-US"/>
        </w:rPr>
        <w:tab/>
      </w:r>
      <w:r w:rsidRPr="00BE7E6C">
        <w:t>Комитет выражает сожаление в связи с отсутствием обновленных дезагрегированных данных о числе лиц, лишенных свободы, и продолжительности их содержания под стражей. Комитет обеспокоен сообщениями о том, что содержащиеся под стражей лица не информируются на систематической основе о своих правах по прибытии в полицейские участки и не обеспечиваются юридическим представительством ex officio с момента заключения под стражу. Комитет обеспокоен также отсутствием альтернатив содержанию под стражей и сообщениями о плохих условиях содержания под стражей, включая несоответствие требованиям в отношении вентиляции, естественного освещения, гигиены и питания (статьи 9, 10 и 14).</w:t>
      </w:r>
    </w:p>
    <w:p w14:paraId="615B995E" w14:textId="5614AC5E" w:rsidR="00C66B57" w:rsidRPr="004C3C32" w:rsidRDefault="00C66B57" w:rsidP="00254DC6">
      <w:pPr>
        <w:pStyle w:val="SingleTxtG"/>
        <w:rPr>
          <w:rFonts w:eastAsia="SimSun"/>
          <w:lang w:eastAsia="zh-CN"/>
        </w:rPr>
      </w:pPr>
      <w:r w:rsidRPr="00254DC6">
        <w:rPr>
          <w:rFonts w:eastAsia="SimSun"/>
          <w:lang w:eastAsia="zh-CN"/>
        </w:rPr>
        <w:t>30.</w:t>
      </w:r>
      <w:r w:rsidR="00254DC6" w:rsidRPr="00254DC6">
        <w:rPr>
          <w:rFonts w:eastAsia="SimSun"/>
          <w:lang w:eastAsia="zh-CN"/>
        </w:rPr>
        <w:tab/>
      </w:r>
      <w:r w:rsidRPr="00A6030F">
        <w:rPr>
          <w:b/>
          <w:bCs/>
        </w:rPr>
        <w:t>Государству</w:t>
      </w:r>
      <w:r w:rsidRPr="00A6030F">
        <w:rPr>
          <w:rFonts w:eastAsia="SimSun"/>
          <w:b/>
          <w:bCs/>
          <w:lang w:eastAsia="zh-CN"/>
        </w:rPr>
        <w:t>-участнику следует обеспечить, чтобы все правовые гарантии предоставлялись на практике всем задержанным лицам в соответствии с замечанием общего порядка № 35 (2014) Комитета о свободе и безопасности личности, включая право содержащихся под стражей лиц на помощь адвоката с момента заключения под стражу. В частности, ему следует:</w:t>
      </w:r>
    </w:p>
    <w:p w14:paraId="12178D28" w14:textId="026A6C2B" w:rsidR="00C66B57" w:rsidRPr="00254DC6" w:rsidRDefault="00254DC6" w:rsidP="00254DC6">
      <w:pPr>
        <w:pStyle w:val="SingleTxtG"/>
        <w:rPr>
          <w:rFonts w:eastAsia="SimSun"/>
          <w:b/>
          <w:bCs/>
          <w:lang w:eastAsia="zh-CN"/>
        </w:rPr>
      </w:pPr>
      <w:r>
        <w:rPr>
          <w:rFonts w:eastAsia="SimSun"/>
          <w:b/>
          <w:bCs/>
          <w:lang w:val="en-US" w:eastAsia="zh-CN"/>
        </w:rPr>
        <w:tab/>
      </w:r>
      <w:r w:rsidR="00C66B57" w:rsidRPr="00254DC6">
        <w:rPr>
          <w:rFonts w:eastAsia="SimSun"/>
          <w:b/>
          <w:bCs/>
          <w:lang w:eastAsia="zh-CN"/>
        </w:rPr>
        <w:t>a)</w:t>
      </w:r>
      <w:r w:rsidRPr="00254DC6">
        <w:rPr>
          <w:rFonts w:eastAsia="SimSun"/>
          <w:b/>
          <w:bCs/>
          <w:lang w:eastAsia="zh-CN"/>
        </w:rPr>
        <w:tab/>
      </w:r>
      <w:r w:rsidR="00C66B57" w:rsidRPr="00254DC6">
        <w:rPr>
          <w:rFonts w:eastAsia="SimSun"/>
          <w:b/>
          <w:bCs/>
          <w:lang w:eastAsia="zh-CN"/>
        </w:rPr>
        <w:t>повысить доступность и расширить масштабы применения мер, альтернативных досудебному заключению под стражу, как это предусмотрено Минимальными стандартными правилами Организации Объединенных Нации в отношении мер, не связанных с тюремным заключением (Токийские правила), и Правилами Организации Объединенных Наций, касающимися обращения с женщинами-заключенными и мер наказания для женщин-правонарушителей, не связанных с лишением свободы (Бангкокские правила), в том числе путем обеспечения эффективного доступа к освобождению под залог;</w:t>
      </w:r>
    </w:p>
    <w:p w14:paraId="2C8F017D" w14:textId="2EBEB7B9" w:rsidR="00C66B57" w:rsidRPr="00254DC6" w:rsidRDefault="00254DC6" w:rsidP="00254DC6">
      <w:pPr>
        <w:pStyle w:val="SingleTxtG"/>
        <w:rPr>
          <w:rFonts w:eastAsia="SimSun"/>
          <w:b/>
          <w:bCs/>
          <w:lang w:eastAsia="zh-CN"/>
        </w:rPr>
      </w:pPr>
      <w:r>
        <w:rPr>
          <w:rFonts w:eastAsia="SimSun"/>
          <w:b/>
          <w:bCs/>
          <w:lang w:val="en-US" w:eastAsia="zh-CN"/>
        </w:rPr>
        <w:tab/>
      </w:r>
      <w:r w:rsidR="00C66B57" w:rsidRPr="00254DC6">
        <w:rPr>
          <w:rFonts w:eastAsia="SimSun"/>
          <w:b/>
          <w:bCs/>
          <w:lang w:eastAsia="zh-CN"/>
        </w:rPr>
        <w:t>b)</w:t>
      </w:r>
      <w:r w:rsidRPr="00254DC6">
        <w:rPr>
          <w:rFonts w:eastAsia="SimSun"/>
          <w:b/>
          <w:bCs/>
          <w:lang w:eastAsia="zh-CN"/>
        </w:rPr>
        <w:tab/>
      </w:r>
      <w:r w:rsidR="00C66B57" w:rsidRPr="00254DC6">
        <w:rPr>
          <w:rFonts w:eastAsia="SimSun"/>
          <w:b/>
          <w:bCs/>
          <w:lang w:eastAsia="zh-CN"/>
        </w:rPr>
        <w:t>принять все необходимые меры для обеспечения того, чтобы досудебное содержание под стражей подлежало незамедлительному, тщательному и беспристрастному рассмотрению компетентными судебными органами, в том числе путем эффективного осуществления права на хабеас корпус;</w:t>
      </w:r>
    </w:p>
    <w:p w14:paraId="0538D69B" w14:textId="417E3908" w:rsidR="00C66B57" w:rsidRPr="00254DC6" w:rsidRDefault="00254DC6" w:rsidP="00254DC6">
      <w:pPr>
        <w:pStyle w:val="SingleTxtG"/>
        <w:rPr>
          <w:rFonts w:eastAsia="SimSun"/>
          <w:b/>
          <w:bCs/>
          <w:lang w:eastAsia="zh-CN"/>
        </w:rPr>
      </w:pPr>
      <w:r>
        <w:rPr>
          <w:rFonts w:eastAsia="SimSun"/>
          <w:b/>
          <w:bCs/>
          <w:lang w:val="en-US" w:eastAsia="zh-CN"/>
        </w:rPr>
        <w:tab/>
      </w:r>
      <w:r w:rsidR="00C66B57" w:rsidRPr="00254DC6">
        <w:rPr>
          <w:rFonts w:eastAsia="SimSun"/>
          <w:b/>
          <w:bCs/>
          <w:lang w:eastAsia="zh-CN"/>
        </w:rPr>
        <w:t>c)</w:t>
      </w:r>
      <w:r w:rsidRPr="00254DC6">
        <w:rPr>
          <w:rFonts w:eastAsia="SimSun"/>
          <w:b/>
          <w:bCs/>
          <w:lang w:eastAsia="zh-CN"/>
        </w:rPr>
        <w:tab/>
      </w:r>
      <w:r w:rsidR="00C66B57" w:rsidRPr="00254DC6">
        <w:rPr>
          <w:rFonts w:eastAsia="SimSun"/>
          <w:b/>
          <w:bCs/>
          <w:lang w:eastAsia="zh-CN"/>
        </w:rPr>
        <w:t>активизировать усилия по улучшению условий содержания под стражей и обеспечить доступ всех лиц, лишенных свободы, к надлежащей вентиляции, полноценному питанию, чистой воде и медицинскому обслуживанию.</w:t>
      </w:r>
    </w:p>
    <w:p w14:paraId="708DA2A4" w14:textId="77777777" w:rsidR="00C66B57" w:rsidRPr="00660509" w:rsidRDefault="00C66B57" w:rsidP="00C66B57">
      <w:pPr>
        <w:pStyle w:val="H23G"/>
      </w:pPr>
      <w:r>
        <w:tab/>
      </w:r>
      <w:r>
        <w:tab/>
      </w:r>
      <w:r>
        <w:rPr>
          <w:bCs/>
        </w:rPr>
        <w:t>Доступ к правосудию, независимость судебной власти и справедливое судебное разбирательство</w:t>
      </w:r>
    </w:p>
    <w:p w14:paraId="04A55F79" w14:textId="77777777" w:rsidR="00C66B57" w:rsidRPr="00660509" w:rsidRDefault="00C66B57" w:rsidP="00C66B57">
      <w:pPr>
        <w:pStyle w:val="SingleTxtG"/>
      </w:pPr>
      <w:r>
        <w:t>31.</w:t>
      </w:r>
      <w:r>
        <w:tab/>
        <w:t xml:space="preserve">Комитет приветствует усилия по совершенствованию отправления правосудия и отмечает, что независимость судебной системы в государстве-участнике в целом соблюдается. Вместе с тем он обеспокоен сообщениями о политизации и коррупции в судебной системе, а также о рисках политического влияния на процесс назначения судей Верховного суда (статьи 2 и 14). </w:t>
      </w:r>
    </w:p>
    <w:p w14:paraId="574C5C07" w14:textId="77777777" w:rsidR="00C66B57" w:rsidRPr="00660509" w:rsidRDefault="00C66B57" w:rsidP="00C66B57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Государству-участнику следует принять все необходимые меры как в законодательном, так и в практическом плане для обеспечения независимости и беспристрастности судебной системы и гарантировать, чтобы судьи и сотрудники судебных органов могли выполнять свои функции без какого-либо давления или вмешательства со стороны законодательной и исполнительной ветвей власти.</w:t>
      </w:r>
      <w:r>
        <w:t xml:space="preserve"> </w:t>
      </w:r>
      <w:r>
        <w:rPr>
          <w:b/>
          <w:bCs/>
        </w:rPr>
        <w:t>В этой связи ему следует обеспечить, чтобы процедуры отбора, назначения, повышения в должности и освобождения от должности судей, включая назначение судей Верховного суда, были транспарентными и беспристрастными и соответствовали положениям Пакта и таким международным стандартам, как Основные принципы независимости судебных органов.</w:t>
      </w:r>
      <w:r>
        <w:t xml:space="preserve"> </w:t>
      </w:r>
      <w:bookmarkStart w:id="2" w:name="_Hlk181542324"/>
      <w:bookmarkEnd w:id="2"/>
    </w:p>
    <w:p w14:paraId="277365CA" w14:textId="77777777" w:rsidR="00C66B57" w:rsidRPr="00660509" w:rsidRDefault="00C66B57" w:rsidP="00C66B57">
      <w:pPr>
        <w:pStyle w:val="H23G"/>
      </w:pPr>
      <w:r>
        <w:tab/>
      </w:r>
      <w:r>
        <w:tab/>
      </w:r>
      <w:r>
        <w:rPr>
          <w:bCs/>
        </w:rPr>
        <w:t>Обращение с иностранцами, включая мигрантов, беженцев и просителей убежища</w:t>
      </w:r>
      <w:bookmarkStart w:id="3" w:name="_Hlk203484423"/>
    </w:p>
    <w:bookmarkEnd w:id="3"/>
    <w:p w14:paraId="1114C9C8" w14:textId="25D469BC" w:rsidR="00C66B57" w:rsidRPr="00660509" w:rsidRDefault="00C66B57" w:rsidP="00C66B57">
      <w:pPr>
        <w:pStyle w:val="SingleTxtG"/>
      </w:pPr>
      <w:r>
        <w:t>33.</w:t>
      </w:r>
      <w:r>
        <w:tab/>
        <w:t xml:space="preserve">Комитет глубоко обеспокоен: сообщениями о серьезных нарушениях прав человека, предположительно совершенных на границе с Беларусью в период действия </w:t>
      </w:r>
      <w:r>
        <w:lastRenderedPageBreak/>
        <w:t>чрезвычайного положения с 2021 по 2023 год, включая массовые принудительные возвращения и «вытеснение»; заявлениями о жестоком обращении, таком как нанесение побоев и применение электрических ударов, предположительно со стороны сотрудников пограничной службы, военнослужащих и полицейских; отсутствием элементарных удобств, таких как обеспечение водой и питанием, у задержанных лиц, ищущих убежища; а также неспособностью обеспечить эффективный доступ к процедурам предоставления убежища. Комитет отмечает проведение государством-участником подготовки сотрудников пограничного контроля по вопросам международной защиты мигрантов, однако обеспокоен сообщениями о том, что пограничники не могут эффективно выявлять и оценивать лиц, нуждающихся в международной защите. Комитет обеспокоен также тем, что, хотя просители убежища имеют право требовать судебного пересмотра решений о продлении их содержания под стражей, бесплатная юридическая помощь в ходе таких разбирательств не предоставляется, что препятствует эффективному осуществлению этого</w:t>
      </w:r>
      <w:r w:rsidR="00254DC6" w:rsidRPr="00254DC6">
        <w:br/>
      </w:r>
      <w:r>
        <w:t xml:space="preserve">права (статьи 7, 9, 12 и 13). </w:t>
      </w:r>
    </w:p>
    <w:p w14:paraId="658DB780" w14:textId="77777777" w:rsidR="00C66B57" w:rsidRPr="00660509" w:rsidRDefault="00C66B57" w:rsidP="00C66B57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Государству-участнику следует обеспечить всем лицам, нуждающимся в международной защите, беспрепятственный доступ на территорию страны и справедливые и эффективные процедуры индивидуального определения статуса беженца или права на убежище, а также гарантировать соблюдение принципа невысылки в любое время, в том числе в условиях чрезвычайного положения.</w:t>
      </w:r>
      <w:r>
        <w:t xml:space="preserve"> </w:t>
      </w:r>
      <w:r>
        <w:rPr>
          <w:b/>
          <w:bCs/>
        </w:rPr>
        <w:t>Кроме того, ему следует:</w:t>
      </w:r>
      <w:r>
        <w:t xml:space="preserve"> </w:t>
      </w:r>
    </w:p>
    <w:p w14:paraId="08C58C09" w14:textId="60E92A3C" w:rsidR="00C66B57" w:rsidRPr="00254DC6" w:rsidRDefault="00254DC6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254DC6">
        <w:rPr>
          <w:b/>
          <w:bCs/>
        </w:rPr>
        <w:t>a)</w:t>
      </w:r>
      <w:r w:rsidR="00C66B57" w:rsidRPr="00254DC6">
        <w:rPr>
          <w:b/>
          <w:bCs/>
        </w:rPr>
        <w:tab/>
        <w:t>обеспечить, чтобы все заявления о «вытеснении», жестоком обращении на границе и других нарушениях прав человека были незамедлительно, тщательно и независимо расследованы, правонарушители в случае признания их виновными были подвергнуты наказанию, соразмерному тяжести преступления, а жертвы получили полную компенсацию;</w:t>
      </w:r>
    </w:p>
    <w:p w14:paraId="1D99E347" w14:textId="6C0630F0" w:rsidR="00C66B57" w:rsidRPr="00254DC6" w:rsidRDefault="00254DC6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254DC6">
        <w:rPr>
          <w:b/>
          <w:bCs/>
        </w:rPr>
        <w:t>b)</w:t>
      </w:r>
      <w:r w:rsidR="00C66B57" w:rsidRPr="00254DC6">
        <w:rPr>
          <w:b/>
          <w:bCs/>
        </w:rPr>
        <w:tab/>
        <w:t xml:space="preserve">обеспечить надлежащую подготовку сотрудников пограничного контроля и других соответствующих должностных лиц по вопросам международной защиты беженцев и просителей убежища, в том числе по принципу невысылки, а также по вопросам выявления и направления в соответствующие службы лиц, находящихся в особо уязвимом положении и нуждающихся в защите; </w:t>
      </w:r>
    </w:p>
    <w:p w14:paraId="33B0E280" w14:textId="6EB3A8EC" w:rsidR="00C66B57" w:rsidRPr="00254DC6" w:rsidRDefault="00254DC6" w:rsidP="00C66B57">
      <w:pPr>
        <w:pStyle w:val="SingleTxtG"/>
        <w:rPr>
          <w:b/>
          <w:bCs/>
          <w:lang w:val="en-US"/>
        </w:rPr>
      </w:pPr>
      <w:r>
        <w:rPr>
          <w:b/>
          <w:bCs/>
          <w:lang w:val="en-US"/>
        </w:rPr>
        <w:tab/>
      </w:r>
      <w:r w:rsidR="00C66B57" w:rsidRPr="00254DC6">
        <w:rPr>
          <w:b/>
          <w:bCs/>
        </w:rPr>
        <w:t>c)</w:t>
      </w:r>
      <w:r w:rsidR="00C66B57" w:rsidRPr="00254DC6">
        <w:rPr>
          <w:b/>
          <w:bCs/>
        </w:rPr>
        <w:tab/>
        <w:t>обеспечить независимый мониторинг пограничного контроля и мест заключения иммигрантов;</w:t>
      </w:r>
    </w:p>
    <w:p w14:paraId="23EE1BD3" w14:textId="7D6462B6" w:rsidR="00C66B57" w:rsidRPr="00254DC6" w:rsidRDefault="00254DC6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254DC6">
        <w:rPr>
          <w:b/>
          <w:bCs/>
        </w:rPr>
        <w:t>d)</w:t>
      </w:r>
      <w:r w:rsidR="00C66B57" w:rsidRPr="00254DC6">
        <w:rPr>
          <w:b/>
          <w:bCs/>
        </w:rPr>
        <w:tab/>
        <w:t xml:space="preserve">обеспечить, чтобы содержание под стражей применялось к просителям убежища только в качестве крайней меры, на максимально короткий срок, и чтобы просители убежища, находящиеся под стражей, на всех этапах процедуры рассмотрения просьбы о предоставлении убежища имели доступ к юридической помощи. </w:t>
      </w:r>
    </w:p>
    <w:p w14:paraId="00AE2088" w14:textId="77777777" w:rsidR="00C66B57" w:rsidRPr="00660509" w:rsidRDefault="00C66B57" w:rsidP="00C66B57">
      <w:pPr>
        <w:pStyle w:val="H23G"/>
      </w:pPr>
      <w:r>
        <w:tab/>
      </w:r>
      <w:r>
        <w:tab/>
      </w:r>
      <w:r>
        <w:rPr>
          <w:bCs/>
        </w:rPr>
        <w:t>Безгражданство и лишение гражданства</w:t>
      </w:r>
      <w:r>
        <w:t xml:space="preserve"> </w:t>
      </w:r>
    </w:p>
    <w:p w14:paraId="3322C1B2" w14:textId="7CCBAC82" w:rsidR="00C66B57" w:rsidRPr="00660509" w:rsidRDefault="00C66B57" w:rsidP="00C66B57">
      <w:pPr>
        <w:pStyle w:val="SingleTxtG"/>
      </w:pPr>
      <w:r>
        <w:t>35.</w:t>
      </w:r>
      <w:r>
        <w:tab/>
        <w:t>Комитет приветствует принятие Закона о прекращении присвоения статуса неграждан новорожденным детям, который предусматривает автоматическое присвоение латвийского гражданства детям, родившимся от родителей-неграждан, если не было приобретено другое гражданство. Однако, поскольку действие закона распространяется только на детей, родившихся после 1 января 2020 года, 1580 детей, родившихся до этой даты, останутся негражданами по состоянию на 2025 год. Комитет приветствует общее сокращение числа неграждан, однако с обеспокоенностью отмечает, что уровень натурализации по-прежнему остается низким по сравнению с общей численностью неграждан в государстве-участнике и что невыполнение требований по владению латышским языком может привести к лишению граждан Российской Федерации права на постоянное проживание (статьи 2, 3, 17, 24 и 26).</w:t>
      </w:r>
    </w:p>
    <w:p w14:paraId="576D9DA9" w14:textId="77777777" w:rsidR="00C66B57" w:rsidRPr="00660509" w:rsidRDefault="00C66B57" w:rsidP="00C66B57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23463320" w14:textId="2CA5F27C" w:rsidR="00C66B57" w:rsidRPr="00660509" w:rsidRDefault="00BE798A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BE798A">
        <w:rPr>
          <w:b/>
          <w:bCs/>
        </w:rPr>
        <w:t>a)</w:t>
      </w:r>
      <w:r w:rsidR="00C66B57" w:rsidRPr="00BE798A">
        <w:rPr>
          <w:b/>
          <w:bCs/>
        </w:rPr>
        <w:tab/>
      </w:r>
      <w:r w:rsidR="00C66B57">
        <w:rPr>
          <w:b/>
          <w:bCs/>
        </w:rPr>
        <w:t xml:space="preserve">изменить правовую базу в области гражданства, чтобы обеспечить адекватные и эффективные гарантии недопущения безгражданства, в том числе </w:t>
      </w:r>
      <w:r w:rsidR="00C66B57">
        <w:rPr>
          <w:b/>
          <w:bCs/>
        </w:rPr>
        <w:lastRenderedPageBreak/>
        <w:t>путем внесения поправок в Закон о прекращении присвоения статуса неграждан новорожденным детям;</w:t>
      </w:r>
    </w:p>
    <w:p w14:paraId="572422CC" w14:textId="7554513E" w:rsidR="00C66B57" w:rsidRPr="00660509" w:rsidRDefault="00BE798A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BE798A">
        <w:rPr>
          <w:b/>
          <w:bCs/>
        </w:rPr>
        <w:t>b)</w:t>
      </w:r>
      <w:r w:rsidR="00C66B57">
        <w:tab/>
      </w:r>
      <w:r w:rsidR="00C66B57">
        <w:rPr>
          <w:b/>
          <w:bCs/>
        </w:rPr>
        <w:t>расширить информационно-просветительские кампании по вопросам получения гражданства в государстве-участнике;</w:t>
      </w:r>
    </w:p>
    <w:p w14:paraId="2057D396" w14:textId="3EBD9B54" w:rsidR="00C66B57" w:rsidRPr="00660509" w:rsidRDefault="00BE798A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BE798A">
        <w:rPr>
          <w:b/>
          <w:bCs/>
        </w:rPr>
        <w:t>c)</w:t>
      </w:r>
      <w:r w:rsidR="00C66B57">
        <w:tab/>
      </w:r>
      <w:r w:rsidR="00C66B57">
        <w:rPr>
          <w:b/>
          <w:bCs/>
        </w:rPr>
        <w:t>обеспечить, чтобы требования к владению латышским языком на практике не создавали несоразмерных препятствий для сохранения права на постоянное проживание в государстве-участнике.</w:t>
      </w:r>
    </w:p>
    <w:p w14:paraId="645CF569" w14:textId="77777777" w:rsidR="00C66B57" w:rsidRPr="00660509" w:rsidRDefault="00C66B57" w:rsidP="00C66B57">
      <w:pPr>
        <w:pStyle w:val="H23G"/>
      </w:pPr>
      <w:r>
        <w:tab/>
      </w:r>
      <w:r>
        <w:tab/>
      </w:r>
      <w:r>
        <w:rPr>
          <w:bCs/>
        </w:rPr>
        <w:t>Свобода совести и религиозных убеждений</w:t>
      </w:r>
      <w:r>
        <w:t xml:space="preserve"> </w:t>
      </w:r>
    </w:p>
    <w:p w14:paraId="5D3FA7C4" w14:textId="77F3D881" w:rsidR="00C66B57" w:rsidRPr="00660509" w:rsidRDefault="00C66B57" w:rsidP="00C66B57">
      <w:pPr>
        <w:pStyle w:val="SingleTxtG"/>
      </w:pPr>
      <w:r>
        <w:t>37.</w:t>
      </w:r>
      <w:r>
        <w:tab/>
        <w:t xml:space="preserve">Комитет высоко оценивает меры, принятые государством-участником для защиты прав лиц, отказывающихся от военной службы по соображениям совести, после введения обязательной военной службы для мужчин в соответствии с Законом о </w:t>
      </w:r>
      <w:r w:rsidR="002306CC">
        <w:t>службе</w:t>
      </w:r>
      <w:r>
        <w:t xml:space="preserve"> государственной обороны. Комитет также отмечает, что срок альтернативной гражданской службы равен сроку военной службы. Однако Комитет обеспокоен тем, что</w:t>
      </w:r>
      <w:r w:rsidR="006F0A46">
        <w:t>,</w:t>
      </w:r>
      <w:r>
        <w:t xml:space="preserve"> поскольку альтернативные формы службы регулируются Министерством обороны, а Комиссия по контролю за призывом на военную службу создана этим министерством и подотчетна ему, существует риск нарушения независимости и беспристрастности процесса принятия решений; и что правила, регулирующие увольнение с военной службы, дискриминируют лиц, отказывающихся от военной службы по соображениям совести (статьи 2, 18 и 26). </w:t>
      </w:r>
    </w:p>
    <w:p w14:paraId="6E13F63F" w14:textId="0B364249" w:rsidR="00C66B57" w:rsidRPr="00660509" w:rsidRDefault="00C66B57" w:rsidP="00C66B57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Государству-участнику следует принять все необходимые меры для обеспечения того, чтобы право на отказ от военной службы по соображениям совести было гарантировано законом и на практике и чтобы альтернативная служба была доступна для всех лиц, отказывающихся от военной службы по соображениям совести, без какой-либо дискриминации. В частности, ему следует:</w:t>
      </w:r>
    </w:p>
    <w:p w14:paraId="0EDACC3F" w14:textId="4A1EE41F" w:rsidR="00C66B57" w:rsidRPr="00660509" w:rsidRDefault="00BE798A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BE798A">
        <w:rPr>
          <w:b/>
          <w:bCs/>
        </w:rPr>
        <w:t>a)</w:t>
      </w:r>
      <w:r w:rsidR="00C66B57" w:rsidRPr="00BE798A">
        <w:rPr>
          <w:b/>
          <w:bCs/>
        </w:rPr>
        <w:tab/>
      </w:r>
      <w:r w:rsidR="00C66B57">
        <w:rPr>
          <w:b/>
          <w:bCs/>
        </w:rPr>
        <w:t>обеспечить независимость и беспристрастность процедур рассмотрения заявлений о предоставлении статуса лица, отказывающегося от военной службы по соображениям совести, в том числе путем передачи полного контроля над такими процедурами гражданским органам, полностью независимым от Министерства обороны;</w:t>
      </w:r>
    </w:p>
    <w:p w14:paraId="7ADA3C03" w14:textId="1E2266CF" w:rsidR="00C66B57" w:rsidRPr="00660509" w:rsidRDefault="00BE798A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BE798A">
        <w:rPr>
          <w:b/>
          <w:bCs/>
        </w:rPr>
        <w:t>b)</w:t>
      </w:r>
      <w:r w:rsidR="00C66B57">
        <w:tab/>
      </w:r>
      <w:r w:rsidR="00C66B57">
        <w:rPr>
          <w:b/>
          <w:bCs/>
        </w:rPr>
        <w:t>рассмотреть возможность пересмотра законодательной базы с целью обеспечения возможности увольнения со службы по соображениям совести с положительной характеристикой и гарантировать, чтобы лица, досрочно уволенные со службы по этой причине, не подвергались финансовым или иным санкциям.</w:t>
      </w:r>
      <w:r w:rsidR="00C66B57">
        <w:t xml:space="preserve"> </w:t>
      </w:r>
    </w:p>
    <w:p w14:paraId="213D48F6" w14:textId="77777777" w:rsidR="00C66B57" w:rsidRPr="00660509" w:rsidRDefault="00C66B57" w:rsidP="00C66B57">
      <w:pPr>
        <w:pStyle w:val="H23G"/>
      </w:pPr>
      <w:r>
        <w:tab/>
      </w:r>
      <w:r>
        <w:tab/>
      </w:r>
      <w:r>
        <w:rPr>
          <w:bCs/>
        </w:rPr>
        <w:t>Торговля людьми</w:t>
      </w:r>
    </w:p>
    <w:p w14:paraId="4724C13C" w14:textId="77777777" w:rsidR="00C66B57" w:rsidRPr="00660509" w:rsidRDefault="00C66B57" w:rsidP="00C66B57">
      <w:pPr>
        <w:pStyle w:val="SingleTxtG"/>
      </w:pPr>
      <w:r>
        <w:t>39.</w:t>
      </w:r>
      <w:r>
        <w:tab/>
        <w:t>Комитет с озабоченностью отмечает, что государство-участник стало страной назначения для торговли людьми в целях трудовой эксплуатации, попрошайничества и сексуальной эксплуатации. Комитет выражает сожаление по поводу того, что централизованный национальный механизм перенаправления жертв торговли людьми еще не создан, что препятствует эффективной координации действий заинтересованных сторон и оказанию помощи потенциальным и фактическим жертвам торговли людьми. Он обеспокоен сообщениями о том, что соответствующие национальные учреждения не обладают потенциалом для выявления жертв торговли людьми, что уровень осведомленности общественности о торговле людьми остается низким и что далеко не все случаи торговли людьми отражаются в отчетности. Комитет выражает обеспокоенность сообщениями о том, что дети, находящиеся в государственных учреждениях социальной помощи, включая детские дома, особенно подвержены риску торговли людьми с целью заключения фиктивных браков и сексуальной эксплуатации (статьи 2, 7, 8 и 26).</w:t>
      </w:r>
    </w:p>
    <w:p w14:paraId="6815F9A7" w14:textId="77777777" w:rsidR="00C66B57" w:rsidRPr="00660509" w:rsidRDefault="00C66B57" w:rsidP="00C66B57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Государству-участнику следует и далее активизировать свои усилия по эффективному предупреждению и пресечению торговли людьми и наказанию за нее.</w:t>
      </w:r>
      <w:r>
        <w:t xml:space="preserve"> </w:t>
      </w:r>
      <w:r>
        <w:rPr>
          <w:b/>
          <w:bCs/>
        </w:rPr>
        <w:t>Ему, в частности, следует:</w:t>
      </w:r>
    </w:p>
    <w:p w14:paraId="2E177A39" w14:textId="6152AB5F" w:rsidR="00C66B57" w:rsidRPr="00660509" w:rsidRDefault="00483A07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lastRenderedPageBreak/>
        <w:tab/>
      </w:r>
      <w:r w:rsidR="00C66B57" w:rsidRPr="00483A07">
        <w:rPr>
          <w:b/>
          <w:bCs/>
        </w:rPr>
        <w:t>a)</w:t>
      </w:r>
      <w:r w:rsidR="00C66B57" w:rsidRPr="00483A07">
        <w:rPr>
          <w:b/>
          <w:bCs/>
        </w:rPr>
        <w:tab/>
      </w:r>
      <w:r w:rsidR="00C66B57">
        <w:rPr>
          <w:b/>
          <w:bCs/>
        </w:rPr>
        <w:t>ускорить создание национального механизма перенаправления жертв торговли людьми;</w:t>
      </w:r>
    </w:p>
    <w:p w14:paraId="55B8AE87" w14:textId="3B8555CC" w:rsidR="00C66B57" w:rsidRPr="00660509" w:rsidRDefault="00483A07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483A07">
        <w:rPr>
          <w:b/>
          <w:bCs/>
        </w:rPr>
        <w:t>b)</w:t>
      </w:r>
      <w:r w:rsidR="00C66B57">
        <w:tab/>
      </w:r>
      <w:r w:rsidR="00C66B57">
        <w:rPr>
          <w:b/>
          <w:bCs/>
        </w:rPr>
        <w:t>активизировать меры по предупреждению торговли людьми и кампании по повышению осведомленности широкой общественности, а также расширить специализированную подготовку всех государственных должностных лиц, включая судей, прокуроров, сотрудников правоохранительных органов и пограничных служб, по вопросам стандартов и процедур предупреждения торговли людьми, выявления жертв торговли людьми и перенаправления их в соответствующие учреждения, включая мигрантов, просителей убежища и детей, находящихся в учреждениях социальной помощи.</w:t>
      </w:r>
      <w:r w:rsidR="00C66B57">
        <w:t xml:space="preserve"> </w:t>
      </w:r>
    </w:p>
    <w:p w14:paraId="290C585F" w14:textId="77777777" w:rsidR="00C66B57" w:rsidRPr="00660509" w:rsidRDefault="00C66B57" w:rsidP="00C66B57">
      <w:pPr>
        <w:pStyle w:val="SingleTxtG"/>
      </w:pPr>
      <w:r>
        <w:t>41.</w:t>
      </w:r>
      <w:r>
        <w:tab/>
        <w:t xml:space="preserve">Комитет обеспокоен информацией о том, что доля обвинительных приговоров за торговлю людьми является очень низкой, что средства правовой защиты для жертв являются неадекватными и для получения доступа к ним требуются сложные административные процедуры, а также что в некоторых случаях жертвы торговли людьми привлекаются к ответственности за преступления, которые они были вынуждены совершить в результате торговли людьми. Признавая меры, принятые для повышения эффективности помощи жертвам торговли людьми, Комитет выражает обеспокоенность сообщениями о недостаточном охвате услугами и нехватке специализированной защиты и поддержки, включая доступ к безопасному жилью и специализированным приютам. Комитет обеспокоен также сообщениями о том, что некоторые судьи, прокуроры и сотрудники полиции не имеют достаточного представления о различных формах торговли людьми и о надлежащем применении законодательства по борьбе с торговлей людьми (статьи 7, 8 и 24). </w:t>
      </w:r>
    </w:p>
    <w:p w14:paraId="59A6FA7E" w14:textId="77777777" w:rsidR="00C66B57" w:rsidRPr="00660509" w:rsidRDefault="00C66B57" w:rsidP="00C66B57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Государству-участнику следует:</w:t>
      </w:r>
    </w:p>
    <w:p w14:paraId="75E4A6A3" w14:textId="0539375F" w:rsidR="00C66B57" w:rsidRPr="00660509" w:rsidRDefault="00483A07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483A07">
        <w:rPr>
          <w:b/>
          <w:bCs/>
        </w:rPr>
        <w:t>a)</w:t>
      </w:r>
      <w:r w:rsidR="00C66B57">
        <w:tab/>
      </w:r>
      <w:r w:rsidR="00C66B57">
        <w:rPr>
          <w:b/>
          <w:bCs/>
        </w:rPr>
        <w:t>обеспечить оперативное, тщательное, эффективное и беспристрастное расследование всех случаев торговли людьми, привлечение подозреваемых к ответственности и в случае признания их вины назначение им наказаний, соразмерных тяжести совершенных ими преступлений, а также предоставление полного возмещения ущерба жертвам, включая компенсацию;</w:t>
      </w:r>
      <w:bookmarkStart w:id="4" w:name="_Hlk172155908"/>
    </w:p>
    <w:p w14:paraId="5FD9A683" w14:textId="7F0DFD31" w:rsidR="00C66B57" w:rsidRPr="00660509" w:rsidRDefault="00483A07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483A07">
        <w:rPr>
          <w:b/>
          <w:bCs/>
        </w:rPr>
        <w:t>b)</w:t>
      </w:r>
      <w:r w:rsidR="00C66B57">
        <w:tab/>
      </w:r>
      <w:r w:rsidR="00C66B57">
        <w:rPr>
          <w:b/>
          <w:bCs/>
        </w:rPr>
        <w:t>изменить правовую базу, с тем чтобы жертвы не привлекались к ответственности и не подвергались наказанию за преступления, которые они были вынуждены совершить в результате торговли людьми;</w:t>
      </w:r>
    </w:p>
    <w:p w14:paraId="3BD5CDA0" w14:textId="56B73E28" w:rsidR="00C66B57" w:rsidRPr="00660509" w:rsidRDefault="00483A07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483A07">
        <w:rPr>
          <w:b/>
          <w:bCs/>
        </w:rPr>
        <w:t>c)</w:t>
      </w:r>
      <w:r w:rsidR="00C66B57">
        <w:tab/>
      </w:r>
      <w:r w:rsidR="00C66B57">
        <w:rPr>
          <w:b/>
          <w:bCs/>
        </w:rPr>
        <w:t>предоставлять жертвам адекватную защиту и помощь, в том числе безопасные и специализированные приюты, доступ к медицинскому обслуживанию и правовой защите, а также содействовать доступу к эффективным средствам правовой защиты и услугам по реабилитации и реинтеграции;</w:t>
      </w:r>
    </w:p>
    <w:p w14:paraId="143E4B65" w14:textId="4ED85A06" w:rsidR="00C66B57" w:rsidRPr="00660509" w:rsidRDefault="00483A07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483A07">
        <w:rPr>
          <w:b/>
          <w:bCs/>
        </w:rPr>
        <w:t>d)</w:t>
      </w:r>
      <w:r w:rsidR="00C66B57">
        <w:tab/>
      </w:r>
      <w:r w:rsidR="00C66B57">
        <w:rPr>
          <w:b/>
          <w:bCs/>
        </w:rPr>
        <w:t>продолжать усилия по укреплению потенциала судей, прокуроров, сотрудников правоохранительных органов и пограничных служб в области расследования случаев торговли людьми;</w:t>
      </w:r>
      <w:r w:rsidR="00C66B57">
        <w:t xml:space="preserve"> </w:t>
      </w:r>
    </w:p>
    <w:p w14:paraId="34DF141F" w14:textId="5D027BAF" w:rsidR="00C66B57" w:rsidRPr="00660509" w:rsidRDefault="00483A07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483A07">
        <w:rPr>
          <w:b/>
          <w:bCs/>
        </w:rPr>
        <w:t>e)</w:t>
      </w:r>
      <w:r w:rsidR="00C66B57" w:rsidRPr="00483A07">
        <w:rPr>
          <w:b/>
          <w:bCs/>
        </w:rPr>
        <w:tab/>
      </w:r>
      <w:r w:rsidR="00C66B57">
        <w:rPr>
          <w:b/>
          <w:bCs/>
        </w:rPr>
        <w:t>обеспечить выделение достаточных финансовых, технических и людских ресурсов всем учреждениям, ответственным за предупреждение и расследование случаев торговли людьми и наказание за нее, а также учреждениям, предоставляющим защиту и помощь, включая организации гражданского общества.</w:t>
      </w:r>
      <w:r w:rsidR="00C66B57">
        <w:t xml:space="preserve"> </w:t>
      </w:r>
    </w:p>
    <w:bookmarkEnd w:id="4"/>
    <w:p w14:paraId="6D13A61A" w14:textId="77777777" w:rsidR="00C66B57" w:rsidRPr="00660509" w:rsidRDefault="00C66B57" w:rsidP="00C66B57">
      <w:pPr>
        <w:pStyle w:val="H23G"/>
      </w:pPr>
      <w:r>
        <w:tab/>
      </w:r>
      <w:r>
        <w:tab/>
      </w:r>
      <w:r>
        <w:rPr>
          <w:bCs/>
        </w:rPr>
        <w:t>Свобода выражения мнений</w:t>
      </w:r>
    </w:p>
    <w:p w14:paraId="25D8202B" w14:textId="77777777" w:rsidR="00C66B57" w:rsidRPr="00660509" w:rsidRDefault="00C66B57" w:rsidP="00C66B57">
      <w:pPr>
        <w:pStyle w:val="SingleTxtG"/>
      </w:pPr>
      <w:r>
        <w:t>43.</w:t>
      </w:r>
      <w:r>
        <w:tab/>
        <w:t xml:space="preserve">Комитет обеспокоен изменениями в законодательстве и политике, такими как поправки к Закону об электронных средствах массовой информации в 2022 году и поправки к Концепции национальной безопасности в 2023 году, которые, по имеющимся данным, ограничивают распространение материалов на языках, отличных от латышского, в государственных средствах массовой информации. Комитет также обеспокоен тем, что с 1 января 2026 года общественные СМИ будут ограничены латышским языком и языками, принадлежащими к европейскому культурному пространству, что на практике может исключить белорусский, русский и украинский </w:t>
      </w:r>
      <w:r>
        <w:lastRenderedPageBreak/>
        <w:t xml:space="preserve">языки. Кроме того, Комитет получил сообщения о неадекватных мерах реагирования на вызывающее обеспокоенность увеличение числа случаев онлайн-травли и запугивания журналистов, таких как нападение в 2012 году на журналиста Леонида Якобсона, дело которого было закрыто в связи с невозможностью установить личности преступников (статья 19). </w:t>
      </w:r>
    </w:p>
    <w:p w14:paraId="6F56DAAC" w14:textId="77777777" w:rsidR="00C66B57" w:rsidRPr="00660509" w:rsidRDefault="00C66B57" w:rsidP="00C66B57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Государству-участнику следует принять все необходимые меры для обеспечения того, чтобы каждый человек мог осуществлять право на свободу выражения мнения, в соответствии со статьей 19 Пакта и замечанием общего порядка № 34 (2011) Комитета о свободе мнений и их выражения.</w:t>
      </w:r>
      <w:r>
        <w:t xml:space="preserve"> </w:t>
      </w:r>
      <w:r>
        <w:rPr>
          <w:b/>
          <w:bCs/>
        </w:rPr>
        <w:t>В частности, государству-участнику следует:</w:t>
      </w:r>
    </w:p>
    <w:p w14:paraId="720FFC81" w14:textId="434FCACE" w:rsidR="00C66B57" w:rsidRPr="00660509" w:rsidRDefault="00483A07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483A07">
        <w:rPr>
          <w:b/>
          <w:bCs/>
        </w:rPr>
        <w:t>a)</w:t>
      </w:r>
      <w:r w:rsidR="00C66B57" w:rsidRPr="00483A07">
        <w:rPr>
          <w:b/>
          <w:bCs/>
        </w:rPr>
        <w:tab/>
      </w:r>
      <w:r w:rsidR="00C66B57">
        <w:rPr>
          <w:b/>
          <w:bCs/>
        </w:rPr>
        <w:t>пересмотреть ограничения, введенные в Закон об электронных средствах массовой информации и Концепцию национальной безопасности;</w:t>
      </w:r>
    </w:p>
    <w:p w14:paraId="6A56E329" w14:textId="67241FB1" w:rsidR="00C66B57" w:rsidRPr="00660509" w:rsidRDefault="00483A07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483A07">
        <w:rPr>
          <w:b/>
          <w:bCs/>
        </w:rPr>
        <w:t>b)</w:t>
      </w:r>
      <w:r w:rsidR="00C66B57" w:rsidRPr="00483A07">
        <w:rPr>
          <w:b/>
          <w:bCs/>
        </w:rPr>
        <w:tab/>
      </w:r>
      <w:r w:rsidR="00C66B57">
        <w:rPr>
          <w:b/>
          <w:bCs/>
        </w:rPr>
        <w:t>расширять усилия по увеличению доступности информации и программ для общественности в средствах массовой информации и в Интернете на языках, отличных от латышского.</w:t>
      </w:r>
      <w:r w:rsidR="00C66B57">
        <w:t xml:space="preserve"> </w:t>
      </w:r>
    </w:p>
    <w:p w14:paraId="2255974E" w14:textId="6FE0C7DA" w:rsidR="00C66B57" w:rsidRPr="00660509" w:rsidRDefault="00483A07" w:rsidP="00C66B5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C66B57" w:rsidRPr="00483A07">
        <w:rPr>
          <w:b/>
          <w:bCs/>
        </w:rPr>
        <w:t>c)</w:t>
      </w:r>
      <w:r w:rsidR="00C66B57" w:rsidRPr="00483A07">
        <w:rPr>
          <w:b/>
          <w:bCs/>
        </w:rPr>
        <w:tab/>
      </w:r>
      <w:r w:rsidR="00C66B57">
        <w:rPr>
          <w:b/>
          <w:bCs/>
        </w:rPr>
        <w:t>предупреждать и пресекать все акты травли и запугивания журналистов и гарантировать эффективную защиту журналистов, обеспечить расследование всех заявлений о травле и запугивании, привлечение к ответственности и надлежащее наказание виновных и выплату жертвам соответствующей компенсации.</w:t>
      </w:r>
      <w:r w:rsidR="00C66B57">
        <w:t xml:space="preserve"> </w:t>
      </w:r>
    </w:p>
    <w:p w14:paraId="489A4508" w14:textId="77777777" w:rsidR="00C66B57" w:rsidRPr="00660509" w:rsidRDefault="00C66B57" w:rsidP="00C66B57">
      <w:pPr>
        <w:pStyle w:val="H23G"/>
      </w:pPr>
      <w:r>
        <w:tab/>
      </w:r>
      <w:r>
        <w:tab/>
      </w:r>
      <w:r>
        <w:rPr>
          <w:bCs/>
        </w:rPr>
        <w:t>Участие в ведении государственных дел</w:t>
      </w:r>
    </w:p>
    <w:p w14:paraId="61571880" w14:textId="77777777" w:rsidR="00C66B57" w:rsidRPr="00660509" w:rsidRDefault="00C66B57" w:rsidP="00C66B57">
      <w:pPr>
        <w:pStyle w:val="SingleTxtG"/>
      </w:pPr>
      <w:r>
        <w:t>45.</w:t>
      </w:r>
      <w:r>
        <w:tab/>
        <w:t>Комитет обеспокоен недостаточной представленностью женщин в политической жизни, в том числе на местном уровне, а также тем, что большинство политических партий не приняли целенаправленных мер по содействию участию женщин в избирательных процессах. Комитет отмечает, что, по имеющимся сведениям, некоторые избирательные участки не оборудованы для доступа людей с инвалидностью. Государство-участник также проинформировало Комитет о том, что в соответствии с Конституцией только граждане могут участвовать в выборах любого уровня в Латвии и что получение гражданства является единственным механизмом, предоставляющим человеку право голоса.</w:t>
      </w:r>
    </w:p>
    <w:p w14:paraId="6553C31C" w14:textId="0448E692" w:rsidR="00C66B57" w:rsidRPr="00660509" w:rsidRDefault="00C66B57" w:rsidP="00C66B57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В соответствии со статьей 25 Пакта и замечанием общего</w:t>
      </w:r>
      <w:r w:rsidR="00483A07" w:rsidRPr="00483A07">
        <w:rPr>
          <w:b/>
          <w:bCs/>
        </w:rPr>
        <w:br/>
      </w:r>
      <w:r>
        <w:rPr>
          <w:b/>
          <w:bCs/>
        </w:rPr>
        <w:t>порядка № 25 (1996) Комитета об участии в ведении государственных дел и праве голосовать государству-участнику следует обеспечить полное осуществление права граждан на участие в государственных делах, в том числе осуществление этого права женщинами и людьми с инвалидностью.</w:t>
      </w:r>
      <w:r>
        <w:t xml:space="preserve"> </w:t>
      </w:r>
      <w:r>
        <w:rPr>
          <w:b/>
          <w:bCs/>
        </w:rPr>
        <w:t>Ему также следует принять меры по поощрению участия в государственных делах лиц, проживающих в стране на постоянной основе, но не являющихся ее гражданами, в том числе рассмотреть возможность предоставления им права участвовать в муниципальных выборах.</w:t>
      </w:r>
    </w:p>
    <w:p w14:paraId="5970F67E" w14:textId="77777777" w:rsidR="00C66B57" w:rsidRPr="00660509" w:rsidRDefault="00C66B57" w:rsidP="00C66B57">
      <w:pPr>
        <w:pStyle w:val="H23G"/>
      </w:pPr>
      <w:r>
        <w:tab/>
      </w:r>
      <w:r>
        <w:tab/>
      </w:r>
      <w:r>
        <w:rPr>
          <w:bCs/>
        </w:rPr>
        <w:t>Меньшинства</w:t>
      </w:r>
      <w:r>
        <w:t xml:space="preserve"> </w:t>
      </w:r>
    </w:p>
    <w:p w14:paraId="5DAD1A23" w14:textId="77777777" w:rsidR="00C66B57" w:rsidRPr="00660509" w:rsidRDefault="00C66B57" w:rsidP="00C66B57">
      <w:pPr>
        <w:pStyle w:val="SingleTxtG"/>
      </w:pPr>
      <w:r>
        <w:t>47.</w:t>
      </w:r>
      <w:r>
        <w:tab/>
        <w:t>Комитет отмечает поправки, внесенные в законодательство государства-участника в области образования и направленные на переход всего обучения в государственных школах на латышский язык. Комитет обеспокоен тем, что эти меры могут привести к косвенной дискриминации языковых меньшинств. Комитет отмечает, что учащиеся из числа языковых меньшинств, получающие дошкольное и начальное образование, имеют право требовать предоставления учебных программ по изучению своего языка и культуры, однако выражает сожаление в связи с отсутствием информации о количестве и реализации таких программ. Комитет также отмечает, что платные предвыборные материалы в обязательном порядке должны распространяться на латышском языке, что может ограничивать возможность лиц, говорящих на языках меньшинств, в полной мере участвовать в избирательном процессе (статья 27).</w:t>
      </w:r>
    </w:p>
    <w:p w14:paraId="54D08CCD" w14:textId="77777777" w:rsidR="00C66B57" w:rsidRPr="00660509" w:rsidRDefault="00C66B57" w:rsidP="00C66B57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 xml:space="preserve">Государству-участнику следует обеспечить, чтобы языковая политика и практика не приводили к косвенной дискриминации языковых меньшинств, а </w:t>
      </w:r>
      <w:r>
        <w:rPr>
          <w:b/>
          <w:bCs/>
        </w:rPr>
        <w:lastRenderedPageBreak/>
        <w:t>способствовали их социальной интеграции.</w:t>
      </w:r>
      <w:r>
        <w:t xml:space="preserve"> </w:t>
      </w:r>
      <w:r>
        <w:rPr>
          <w:b/>
          <w:bCs/>
        </w:rPr>
        <w:t>Ему следует отслеживать последствия для таких меньшинств перехода на латышский язык в качестве языка обучения, повышать осведомленность об образовательных программах на языках меньшинств и содействовать их использованию.</w:t>
      </w:r>
      <w:r>
        <w:t xml:space="preserve"> </w:t>
      </w:r>
      <w:r>
        <w:rPr>
          <w:b/>
          <w:bCs/>
        </w:rPr>
        <w:t>Кроме того, ему следует и в дальнейшем содействовать участию меньшинств в избирательных процессах.</w:t>
      </w:r>
    </w:p>
    <w:p w14:paraId="5FB67760" w14:textId="5EB935E5" w:rsidR="00C66B57" w:rsidRPr="00660509" w:rsidRDefault="00483A07" w:rsidP="00C66B57">
      <w:pPr>
        <w:pStyle w:val="H1G"/>
        <w:rPr>
          <w:bCs/>
        </w:rPr>
      </w:pPr>
      <w:r>
        <w:rPr>
          <w:bCs/>
          <w:lang w:val="en-US"/>
        </w:rPr>
        <w:tab/>
      </w:r>
      <w:r w:rsidR="00C66B57">
        <w:rPr>
          <w:bCs/>
        </w:rPr>
        <w:t>D.</w:t>
      </w:r>
      <w:r w:rsidR="00C66B57">
        <w:tab/>
      </w:r>
      <w:r w:rsidR="00C66B57">
        <w:rPr>
          <w:bCs/>
        </w:rPr>
        <w:t>Распространение информации и последующая деятельность</w:t>
      </w:r>
    </w:p>
    <w:p w14:paraId="760E9515" w14:textId="77777777" w:rsidR="00C66B57" w:rsidRPr="00660509" w:rsidRDefault="00C66B57" w:rsidP="00C66B57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Государству-участнику следует обеспечить широкое распространение Пакта, двух Факультативных протоколов к нему, его четвертого периодического доклада и настоящих заключительных замечаний с целью повышения осведомленности о закрепленных в Пакте правах среди представителей судебных, законодательных и административных органов, гражданского общества и действующих в стране неправительственных организаций, а также широкой общественности.</w:t>
      </w:r>
      <w:r>
        <w:t xml:space="preserve"> </w:t>
      </w:r>
      <w:r>
        <w:rPr>
          <w:b/>
          <w:bCs/>
        </w:rPr>
        <w:t>Государству-участнику следует обеспечить перевод периодического доклада и настоящих заключительных замечаний на официальный язык государства-участника.</w:t>
      </w:r>
      <w:r>
        <w:t xml:space="preserve"> </w:t>
      </w:r>
      <w:bookmarkStart w:id="5" w:name="_Hlk168404895"/>
      <w:bookmarkEnd w:id="5"/>
    </w:p>
    <w:p w14:paraId="287A4675" w14:textId="77777777" w:rsidR="00C66B57" w:rsidRPr="00660509" w:rsidRDefault="00C66B57" w:rsidP="00C66B57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В соответствии с правилом 75 (п. 1) правил процедуры Комитета государству-участнику предлагается представить к 18 июля 2028 года информацию о выполнении рекомендаций, сформулированных Комитетом выше в пунктах 22 (насилие в отношении женщин), 26 (запрещение пыток и других жестоких, бесчеловечных или унижающих достоинство видов обращения и наказания и обращение с лицами, лишенными свободы) и 34 (обращение с иностранцами, включая мигрантов, беженцев и просителей убежища).</w:t>
      </w:r>
      <w:r>
        <w:t xml:space="preserve"> </w:t>
      </w:r>
    </w:p>
    <w:p w14:paraId="75EDCBD8" w14:textId="77777777" w:rsidR="00C66B57" w:rsidRPr="00660509" w:rsidRDefault="00C66B57" w:rsidP="00C66B57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Согласно предсказуемому циклу обзора Комитета, в 2031 году перед представлением доклада государство-участник получит перечень вопросов Комитета и должно будет в течение одного года представить свои ответы, которые составят его пятый периодический доклад.</w:t>
      </w:r>
      <w:r>
        <w:t xml:space="preserve"> </w:t>
      </w:r>
      <w:r>
        <w:rPr>
          <w:b/>
          <w:bCs/>
        </w:rPr>
        <w:t>Комитет также просит государство-участник при подготовке доклада провести широкие консультации с гражданским обществом и действующими в стране неправительственными организациями.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максимальный объем этого доклада не должен превышать 21 200 слов.</w:t>
      </w:r>
      <w:r>
        <w:t xml:space="preserve"> </w:t>
      </w:r>
      <w:r>
        <w:rPr>
          <w:b/>
          <w:bCs/>
        </w:rPr>
        <w:t>Следующий конструктивный диалог с государством-участником состоится в 2033 году в Женеве.</w:t>
      </w:r>
    </w:p>
    <w:p w14:paraId="56DF2662" w14:textId="49FD1193" w:rsidR="00381C24" w:rsidRPr="001B1CB3" w:rsidRDefault="00C66B57" w:rsidP="00483A07">
      <w:pPr>
        <w:spacing w:before="240"/>
        <w:jc w:val="center"/>
        <w:rPr>
          <w:u w:val="single"/>
          <w:lang w:val="fr-CH"/>
        </w:rPr>
      </w:pPr>
      <w:r w:rsidRPr="00660509">
        <w:rPr>
          <w:u w:val="single"/>
        </w:rPr>
        <w:tab/>
      </w:r>
      <w:r w:rsidRPr="00660509">
        <w:rPr>
          <w:u w:val="single"/>
        </w:rPr>
        <w:tab/>
      </w:r>
      <w:r w:rsidRPr="00660509">
        <w:rPr>
          <w:u w:val="single"/>
        </w:rPr>
        <w:tab/>
      </w:r>
    </w:p>
    <w:sectPr w:rsidR="00381C24" w:rsidRPr="001B1CB3" w:rsidSect="00A87AC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2633DB" w14:textId="77777777" w:rsidR="002F0592" w:rsidRPr="00A312BC" w:rsidRDefault="002F0592" w:rsidP="00A312BC"/>
  </w:endnote>
  <w:endnote w:type="continuationSeparator" w:id="0">
    <w:p w14:paraId="5E8B98C1" w14:textId="77777777" w:rsidR="002F0592" w:rsidRPr="00A312BC" w:rsidRDefault="002F059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9AE6F" w14:textId="02F2999A" w:rsidR="00A87AC8" w:rsidRPr="00A87AC8" w:rsidRDefault="00A87AC8">
    <w:pPr>
      <w:pStyle w:val="a8"/>
    </w:pPr>
    <w:r w:rsidRPr="00A87AC8">
      <w:rPr>
        <w:b/>
        <w:sz w:val="18"/>
      </w:rPr>
      <w:fldChar w:fldCharType="begin"/>
    </w:r>
    <w:r w:rsidRPr="00A87AC8">
      <w:rPr>
        <w:b/>
        <w:sz w:val="18"/>
      </w:rPr>
      <w:instrText xml:space="preserve"> PAGE  \* MERGEFORMAT </w:instrText>
    </w:r>
    <w:r w:rsidRPr="00A87AC8">
      <w:rPr>
        <w:b/>
        <w:sz w:val="18"/>
      </w:rPr>
      <w:fldChar w:fldCharType="separate"/>
    </w:r>
    <w:r w:rsidRPr="00A87AC8">
      <w:rPr>
        <w:b/>
        <w:noProof/>
        <w:sz w:val="18"/>
      </w:rPr>
      <w:t>2</w:t>
    </w:r>
    <w:r w:rsidRPr="00A87AC8">
      <w:rPr>
        <w:b/>
        <w:sz w:val="18"/>
      </w:rPr>
      <w:fldChar w:fldCharType="end"/>
    </w:r>
    <w:r>
      <w:rPr>
        <w:b/>
        <w:sz w:val="18"/>
      </w:rPr>
      <w:tab/>
    </w:r>
    <w:r>
      <w:t>GE.25-11888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702DD" w14:textId="4CF38D25" w:rsidR="00A87AC8" w:rsidRPr="00A87AC8" w:rsidRDefault="00A87AC8" w:rsidP="00A87AC8">
    <w:pPr>
      <w:pStyle w:val="a8"/>
      <w:tabs>
        <w:tab w:val="clear" w:pos="9639"/>
        <w:tab w:val="right" w:pos="9638"/>
      </w:tabs>
      <w:rPr>
        <w:b/>
        <w:sz w:val="18"/>
      </w:rPr>
    </w:pPr>
    <w:r>
      <w:t>GE.25-11888</w:t>
    </w:r>
    <w:r>
      <w:tab/>
    </w:r>
    <w:r w:rsidRPr="00A87AC8">
      <w:rPr>
        <w:b/>
        <w:sz w:val="18"/>
      </w:rPr>
      <w:fldChar w:fldCharType="begin"/>
    </w:r>
    <w:r w:rsidRPr="00A87AC8">
      <w:rPr>
        <w:b/>
        <w:sz w:val="18"/>
      </w:rPr>
      <w:instrText xml:space="preserve"> PAGE  \* MERGEFORMAT </w:instrText>
    </w:r>
    <w:r w:rsidRPr="00A87AC8">
      <w:rPr>
        <w:b/>
        <w:sz w:val="18"/>
      </w:rPr>
      <w:fldChar w:fldCharType="separate"/>
    </w:r>
    <w:r w:rsidRPr="00A87AC8">
      <w:rPr>
        <w:b/>
        <w:noProof/>
        <w:sz w:val="18"/>
      </w:rPr>
      <w:t>3</w:t>
    </w:r>
    <w:r w:rsidRPr="00A87AC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A6C88" w14:textId="400939B3" w:rsidR="00042B72" w:rsidRPr="005809BB" w:rsidRDefault="00A87AC8" w:rsidP="00A87AC8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8F808B9" wp14:editId="787A5DE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25-11888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C03D06A" wp14:editId="4C8B4E3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809BB">
      <w:rPr>
        <w:lang w:val="en-US"/>
      </w:rPr>
      <w:t xml:space="preserve">  021025  0</w:t>
    </w:r>
    <w:r w:rsidR="001B1CB3">
      <w:t>6</w:t>
    </w:r>
    <w:r w:rsidR="005809BB">
      <w:rPr>
        <w:lang w:val="en-US"/>
      </w:rPr>
      <w:t>1025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06B68" w14:textId="77777777" w:rsidR="002F0592" w:rsidRPr="001075E9" w:rsidRDefault="002F059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B83D842" w14:textId="77777777" w:rsidR="002F0592" w:rsidRDefault="002F059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18548AD" w14:textId="13DD35E0" w:rsidR="00C66B57" w:rsidRDefault="00C66B57" w:rsidP="00C66B57">
      <w:pPr>
        <w:pStyle w:val="ad"/>
      </w:pPr>
      <w:r>
        <w:tab/>
      </w:r>
      <w:r w:rsidRPr="00A66272">
        <w:rPr>
          <w:sz w:val="20"/>
        </w:rPr>
        <w:t>*</w:t>
      </w:r>
      <w:r>
        <w:tab/>
        <w:t xml:space="preserve">Приняты Комитетом на его </w:t>
      </w:r>
      <w:r w:rsidR="001B1CB3">
        <w:t>сто сорок четвертой</w:t>
      </w:r>
      <w:r>
        <w:t xml:space="preserve"> сессии (23 июня — 17 июля 2025 года).</w:t>
      </w:r>
    </w:p>
  </w:footnote>
  <w:footnote w:id="2">
    <w:p w14:paraId="014200E6" w14:textId="636AE105" w:rsidR="00C66B57" w:rsidRPr="00F1133D" w:rsidRDefault="00C66B57" w:rsidP="00C66B57">
      <w:pPr>
        <w:pStyle w:val="ad"/>
      </w:pPr>
      <w:r>
        <w:tab/>
      </w:r>
      <w:r w:rsidRPr="00500B59">
        <w:rPr>
          <w:rStyle w:val="aa"/>
        </w:rPr>
        <w:footnoteRef/>
      </w:r>
      <w:r>
        <w:tab/>
      </w:r>
      <w:hyperlink r:id="rId1" w:history="1">
        <w:r w:rsidR="007D0A61" w:rsidRPr="00436B08">
          <w:rPr>
            <w:rStyle w:val="af1"/>
          </w:rPr>
          <w:t>CCPR/C/L</w:t>
        </w:r>
        <w:r w:rsidR="007D0A61" w:rsidRPr="00436B08">
          <w:rPr>
            <w:rStyle w:val="af1"/>
          </w:rPr>
          <w:t>V</w:t>
        </w:r>
        <w:r w:rsidR="007D0A61" w:rsidRPr="00436B08">
          <w:rPr>
            <w:rStyle w:val="af1"/>
          </w:rPr>
          <w:t>A/4</w:t>
        </w:r>
      </w:hyperlink>
      <w:r>
        <w:t>.</w:t>
      </w:r>
      <w:hyperlink r:id="rId2" w:history="1"/>
    </w:p>
  </w:footnote>
  <w:footnote w:id="3">
    <w:p w14:paraId="5C29282F" w14:textId="68E2580A" w:rsidR="00C66B57" w:rsidRPr="00947F72" w:rsidRDefault="00C66B57" w:rsidP="00C66B57">
      <w:pPr>
        <w:pStyle w:val="ad"/>
        <w:rPr>
          <w:lang w:val="de-CH"/>
        </w:rPr>
      </w:pPr>
      <w:r w:rsidRPr="00995A46">
        <w:tab/>
      </w:r>
      <w:r w:rsidRPr="00500B59">
        <w:rPr>
          <w:rStyle w:val="aa"/>
        </w:rPr>
        <w:footnoteRef/>
      </w:r>
      <w:r>
        <w:tab/>
        <w:t xml:space="preserve">См. </w:t>
      </w:r>
      <w:hyperlink r:id="rId3" w:history="1">
        <w:r w:rsidRPr="00947F72">
          <w:rPr>
            <w:rStyle w:val="af1"/>
            <w:lang w:val="de-CH"/>
          </w:rPr>
          <w:t>CCPR/C/SR.4236</w:t>
        </w:r>
      </w:hyperlink>
      <w:r w:rsidRPr="00947F72">
        <w:rPr>
          <w:lang w:val="de-CH"/>
        </w:rPr>
        <w:t xml:space="preserve"> </w:t>
      </w:r>
      <w:r>
        <w:t>и</w:t>
      </w:r>
      <w:r w:rsidRPr="00947F72">
        <w:rPr>
          <w:lang w:val="de-CH"/>
        </w:rPr>
        <w:t xml:space="preserve"> </w:t>
      </w:r>
      <w:hyperlink r:id="rId4" w:history="1">
        <w:r w:rsidRPr="00B440A8">
          <w:rPr>
            <w:rStyle w:val="af1"/>
            <w:lang w:val="de-CH"/>
          </w:rPr>
          <w:t>CCPR/C/SR.4237</w:t>
        </w:r>
      </w:hyperlink>
      <w:r w:rsidRPr="00947F72">
        <w:rPr>
          <w:lang w:val="de-CH"/>
        </w:rPr>
        <w:t>.</w:t>
      </w:r>
      <w:hyperlink r:id="rId5" w:history="1"/>
      <w:hyperlink r:id="rId6" w:history="1"/>
    </w:p>
  </w:footnote>
  <w:footnote w:id="4">
    <w:p w14:paraId="31F7687F" w14:textId="71E9F089" w:rsidR="00C66B57" w:rsidRPr="009435E4" w:rsidRDefault="00C66B57" w:rsidP="00C66B57">
      <w:pPr>
        <w:pStyle w:val="ad"/>
        <w:rPr>
          <w:lang w:val="de-CH"/>
        </w:rPr>
      </w:pPr>
      <w:r w:rsidRPr="00947F72">
        <w:rPr>
          <w:lang w:val="de-CH"/>
        </w:rPr>
        <w:tab/>
      </w:r>
      <w:r w:rsidRPr="00500B59">
        <w:rPr>
          <w:rStyle w:val="aa"/>
        </w:rPr>
        <w:footnoteRef/>
      </w:r>
      <w:r w:rsidRPr="009435E4">
        <w:rPr>
          <w:lang w:val="de-CH"/>
        </w:rPr>
        <w:tab/>
      </w:r>
      <w:hyperlink r:id="rId7" w:history="1">
        <w:r w:rsidR="00947F72" w:rsidRPr="009435E4">
          <w:rPr>
            <w:rStyle w:val="af1"/>
            <w:lang w:val="de-CH"/>
          </w:rPr>
          <w:t>CC</w:t>
        </w:r>
        <w:r w:rsidR="00947F72" w:rsidRPr="009435E4">
          <w:rPr>
            <w:rStyle w:val="af1"/>
            <w:lang w:val="de-CH"/>
          </w:rPr>
          <w:t>P</w:t>
        </w:r>
        <w:r w:rsidR="00947F72" w:rsidRPr="009435E4">
          <w:rPr>
            <w:rStyle w:val="af1"/>
            <w:lang w:val="de-CH"/>
          </w:rPr>
          <w:t>R/C/LVA/RQ/4</w:t>
        </w:r>
      </w:hyperlink>
      <w:r w:rsidRPr="009435E4">
        <w:rPr>
          <w:lang w:val="de-CH"/>
        </w:rPr>
        <w:t>.</w:t>
      </w:r>
      <w:hyperlink r:id="rId8" w:history="1"/>
    </w:p>
  </w:footnote>
  <w:footnote w:id="5">
    <w:p w14:paraId="7B7091C5" w14:textId="2EDAA668" w:rsidR="00C66B57" w:rsidRPr="009435E4" w:rsidRDefault="00C66B57" w:rsidP="00C66B57">
      <w:pPr>
        <w:pStyle w:val="ad"/>
        <w:rPr>
          <w:lang w:val="de-CH"/>
        </w:rPr>
      </w:pPr>
      <w:r w:rsidRPr="009435E4">
        <w:rPr>
          <w:lang w:val="de-CH"/>
        </w:rPr>
        <w:tab/>
      </w:r>
      <w:r w:rsidRPr="00500B59">
        <w:rPr>
          <w:rStyle w:val="aa"/>
        </w:rPr>
        <w:footnoteRef/>
      </w:r>
      <w:r w:rsidRPr="009435E4">
        <w:rPr>
          <w:lang w:val="de-CH"/>
        </w:rPr>
        <w:tab/>
      </w:r>
      <w:hyperlink r:id="rId9" w:history="1">
        <w:r w:rsidR="00254DC6" w:rsidRPr="00436B08">
          <w:rPr>
            <w:rStyle w:val="af1"/>
          </w:rPr>
          <w:t>CCPR/C/</w:t>
        </w:r>
        <w:r w:rsidR="00254DC6" w:rsidRPr="00436B08">
          <w:rPr>
            <w:rStyle w:val="af1"/>
          </w:rPr>
          <w:t>L</w:t>
        </w:r>
        <w:r w:rsidR="00254DC6" w:rsidRPr="00436B08">
          <w:rPr>
            <w:rStyle w:val="af1"/>
          </w:rPr>
          <w:t>VA/Q/4</w:t>
        </w:r>
      </w:hyperlink>
      <w:r w:rsidRPr="009435E4">
        <w:rPr>
          <w:lang w:val="de-CH"/>
        </w:rPr>
        <w:t>.</w:t>
      </w:r>
      <w:hyperlink r:id="rId10" w:history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8A4FA" w14:textId="23310B70" w:rsidR="00A87AC8" w:rsidRPr="00A87AC8" w:rsidRDefault="00A87AC8">
    <w:pPr>
      <w:pStyle w:val="a5"/>
    </w:pPr>
    <w:fldSimple w:instr=" TITLE  \* MERGEFORMAT ">
      <w:r w:rsidR="00231FAF">
        <w:t>CCPR/C/LVA/CO/4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72A0F" w14:textId="645B4331" w:rsidR="00A87AC8" w:rsidRPr="00A87AC8" w:rsidRDefault="00A87AC8" w:rsidP="00A87AC8">
    <w:pPr>
      <w:pStyle w:val="a5"/>
      <w:jc w:val="right"/>
    </w:pPr>
    <w:fldSimple w:instr=" TITLE  \* MERGEFORMAT ">
      <w:r w:rsidR="00231FAF">
        <w:t>CCPR/C/LVA/CO/4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592"/>
    <w:rsid w:val="00033EE1"/>
    <w:rsid w:val="000358F2"/>
    <w:rsid w:val="00042B72"/>
    <w:rsid w:val="00046F4C"/>
    <w:rsid w:val="000558BD"/>
    <w:rsid w:val="000B57E7"/>
    <w:rsid w:val="000B6373"/>
    <w:rsid w:val="000F09DF"/>
    <w:rsid w:val="000F61B2"/>
    <w:rsid w:val="001075E9"/>
    <w:rsid w:val="00151B86"/>
    <w:rsid w:val="00180183"/>
    <w:rsid w:val="0018024D"/>
    <w:rsid w:val="0018649F"/>
    <w:rsid w:val="00192A86"/>
    <w:rsid w:val="00196389"/>
    <w:rsid w:val="001B1CB3"/>
    <w:rsid w:val="001B3EF6"/>
    <w:rsid w:val="001C7A89"/>
    <w:rsid w:val="002306CC"/>
    <w:rsid w:val="00231FAF"/>
    <w:rsid w:val="00254812"/>
    <w:rsid w:val="00254DC6"/>
    <w:rsid w:val="002A2EFC"/>
    <w:rsid w:val="002C0E18"/>
    <w:rsid w:val="002D5AAC"/>
    <w:rsid w:val="002E00F0"/>
    <w:rsid w:val="002E5067"/>
    <w:rsid w:val="002F0592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83A07"/>
    <w:rsid w:val="004969B2"/>
    <w:rsid w:val="0050108D"/>
    <w:rsid w:val="00513081"/>
    <w:rsid w:val="00517901"/>
    <w:rsid w:val="00526683"/>
    <w:rsid w:val="005513F3"/>
    <w:rsid w:val="005709E0"/>
    <w:rsid w:val="00572E19"/>
    <w:rsid w:val="005809BB"/>
    <w:rsid w:val="00595974"/>
    <w:rsid w:val="005961C8"/>
    <w:rsid w:val="005D7914"/>
    <w:rsid w:val="005E2B41"/>
    <w:rsid w:val="005F0B42"/>
    <w:rsid w:val="005F1322"/>
    <w:rsid w:val="00666B97"/>
    <w:rsid w:val="00681A10"/>
    <w:rsid w:val="006A1ED8"/>
    <w:rsid w:val="006B3942"/>
    <w:rsid w:val="006C2031"/>
    <w:rsid w:val="006D461A"/>
    <w:rsid w:val="006F0A46"/>
    <w:rsid w:val="006F35EE"/>
    <w:rsid w:val="007021FF"/>
    <w:rsid w:val="007117DB"/>
    <w:rsid w:val="00712895"/>
    <w:rsid w:val="0075523D"/>
    <w:rsid w:val="00757357"/>
    <w:rsid w:val="00787D3A"/>
    <w:rsid w:val="00791B9D"/>
    <w:rsid w:val="007D0A61"/>
    <w:rsid w:val="00825F8D"/>
    <w:rsid w:val="00834B71"/>
    <w:rsid w:val="0086445C"/>
    <w:rsid w:val="00894693"/>
    <w:rsid w:val="008A08D7"/>
    <w:rsid w:val="008B6909"/>
    <w:rsid w:val="008B75DD"/>
    <w:rsid w:val="00906890"/>
    <w:rsid w:val="00911BE4"/>
    <w:rsid w:val="00931A71"/>
    <w:rsid w:val="009435E4"/>
    <w:rsid w:val="00947F72"/>
    <w:rsid w:val="00951972"/>
    <w:rsid w:val="009608F3"/>
    <w:rsid w:val="009918E2"/>
    <w:rsid w:val="009A24AC"/>
    <w:rsid w:val="009D21FD"/>
    <w:rsid w:val="00A14DA8"/>
    <w:rsid w:val="00A312BC"/>
    <w:rsid w:val="00A34D07"/>
    <w:rsid w:val="00A6030F"/>
    <w:rsid w:val="00A66272"/>
    <w:rsid w:val="00A84021"/>
    <w:rsid w:val="00A84D35"/>
    <w:rsid w:val="00A87AC8"/>
    <w:rsid w:val="00A917B3"/>
    <w:rsid w:val="00AB4B51"/>
    <w:rsid w:val="00AD6F87"/>
    <w:rsid w:val="00B01C0C"/>
    <w:rsid w:val="00B10CC7"/>
    <w:rsid w:val="00B136DB"/>
    <w:rsid w:val="00B440A8"/>
    <w:rsid w:val="00B539E7"/>
    <w:rsid w:val="00B62458"/>
    <w:rsid w:val="00BC18B2"/>
    <w:rsid w:val="00BC3629"/>
    <w:rsid w:val="00BD33EE"/>
    <w:rsid w:val="00BE798A"/>
    <w:rsid w:val="00BF1A04"/>
    <w:rsid w:val="00C0177C"/>
    <w:rsid w:val="00C106D6"/>
    <w:rsid w:val="00C46D5A"/>
    <w:rsid w:val="00C60F0C"/>
    <w:rsid w:val="00C66B57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1D1E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A13AE"/>
    <w:rsid w:val="00FC6153"/>
    <w:rsid w:val="00FC636C"/>
    <w:rsid w:val="00FD2EF7"/>
    <w:rsid w:val="00FE0505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11121E"/>
  <w15:docId w15:val="{EE02FDAF-C610-4F9D-86B5-5D0889C3D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/>
      <w:u w:val="none"/>
    </w:rPr>
  </w:style>
  <w:style w:type="character" w:styleId="af2">
    <w:name w:val="FollowedHyperlink"/>
    <w:basedOn w:val="a0"/>
    <w:rsid w:val="00AD6F87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A662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en/CCPR/C/LVA/RQ/4" TargetMode="External"/><Relationship Id="rId3" Type="http://schemas.openxmlformats.org/officeDocument/2006/relationships/hyperlink" Target="https://docs.un.org/ru/CCPR/C/SR.4236" TargetMode="External"/><Relationship Id="rId7" Type="http://schemas.openxmlformats.org/officeDocument/2006/relationships/hyperlink" Target="https://docs.un.org/en/CCPR/C/LVA/RQ/4" TargetMode="External"/><Relationship Id="rId2" Type="http://schemas.openxmlformats.org/officeDocument/2006/relationships/hyperlink" Target="https://docs.un.org/en/CCPR/C/LVA/4" TargetMode="External"/><Relationship Id="rId1" Type="http://schemas.openxmlformats.org/officeDocument/2006/relationships/hyperlink" Target="https://docs.un.org/en/CCPR/C/LVA/4" TargetMode="External"/><Relationship Id="rId6" Type="http://schemas.openxmlformats.org/officeDocument/2006/relationships/hyperlink" Target="https://docs.un.org/en/CCPR/C/SR.4237" TargetMode="External"/><Relationship Id="rId5" Type="http://schemas.openxmlformats.org/officeDocument/2006/relationships/hyperlink" Target="https://docs.un.org/en/CCPR/C/SR.4236" TargetMode="External"/><Relationship Id="rId10" Type="http://schemas.openxmlformats.org/officeDocument/2006/relationships/hyperlink" Target="https://docs.un.org/en/CCPR/C/LVA/Q/4" TargetMode="External"/><Relationship Id="rId4" Type="http://schemas.openxmlformats.org/officeDocument/2006/relationships/hyperlink" Target="https://docs.un.org/ru/CCPR/C/SR.4237" TargetMode="External"/><Relationship Id="rId9" Type="http://schemas.openxmlformats.org/officeDocument/2006/relationships/hyperlink" Target="https://docs.un.org/en/CCPR/C/LVA/Q/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</TotalTime>
  <Pages>13</Pages>
  <Words>5076</Words>
  <Characters>35564</Characters>
  <Application>Microsoft Office Word</Application>
  <DocSecurity>0</DocSecurity>
  <Lines>649</Lines>
  <Paragraphs>145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CCPR/C/LVA/CO/4</vt:lpstr>
      <vt:lpstr>A/</vt:lpstr>
      <vt:lpstr>A/</vt:lpstr>
    </vt:vector>
  </TitlesOfParts>
  <Company>DCM</Company>
  <LinksUpToDate>false</LinksUpToDate>
  <CharactersWithSpaces>40648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CCPR/C/LVA/CO/4</dc:title>
  <dc:subject/>
  <dc:creator>Uliana ANTIPOVA</dc:creator>
  <cp:keywords/>
  <cp:lastModifiedBy>Uliana Antipova</cp:lastModifiedBy>
  <cp:revision>3</cp:revision>
  <cp:lastPrinted>2025-10-06T16:36:00Z</cp:lastPrinted>
  <dcterms:created xsi:type="dcterms:W3CDTF">2025-10-06T16:36:00Z</dcterms:created>
  <dcterms:modified xsi:type="dcterms:W3CDTF">2025-10-06T16:38:00Z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