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E32" w:rsidRDefault="00633E32" w:rsidP="00633E32">
      <w:pPr>
        <w:spacing w:line="60" w:lineRule="exact"/>
        <w:rPr>
          <w:sz w:val="6"/>
        </w:rPr>
        <w:sectPr w:rsidR="00633E32" w:rsidSect="00633E3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33E32" w:rsidRDefault="00633E32" w:rsidP="00633E32">
      <w:pPr>
        <w:spacing w:line="60" w:lineRule="exact"/>
        <w:rPr>
          <w:sz w:val="6"/>
        </w:rPr>
      </w:pPr>
    </w:p>
    <w:p w:rsidR="00555E33" w:rsidRDefault="00555E33" w:rsidP="00555E3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 xml:space="preserve">消除对妇女歧视委员会 </w:t>
      </w:r>
    </w:p>
    <w:p w:rsidR="00555E33" w:rsidRPr="00555E33" w:rsidRDefault="00555E33" w:rsidP="00555E33">
      <w:pPr>
        <w:pStyle w:val="SingleTxt"/>
        <w:spacing w:after="60"/>
        <w:ind w:left="0"/>
        <w:rPr>
          <w:rFonts w:ascii="SimHei" w:eastAsia="SimHei" w:hint="eastAsia"/>
        </w:rPr>
      </w:pPr>
      <w:r w:rsidRPr="00555E33">
        <w:rPr>
          <w:rFonts w:ascii="SimHei" w:eastAsia="SimHei" w:hint="eastAsia"/>
        </w:rPr>
        <w:t>第四十九届会议</w:t>
      </w:r>
    </w:p>
    <w:p w:rsidR="00555E33" w:rsidRDefault="00555E33" w:rsidP="00555E33">
      <w:pPr>
        <w:pStyle w:val="SingleTxt"/>
        <w:spacing w:after="60"/>
        <w:ind w:left="0"/>
        <w:rPr>
          <w:rFonts w:hint="eastAsia"/>
        </w:rPr>
      </w:pPr>
      <w:r>
        <w:rPr>
          <w:rFonts w:hint="eastAsia"/>
        </w:rPr>
        <w:t>2011年7月11日至29日</w:t>
      </w:r>
    </w:p>
    <w:p w:rsidR="00555E33" w:rsidRPr="00555E33" w:rsidRDefault="00555E33" w:rsidP="00555E33">
      <w:pPr>
        <w:pStyle w:val="SingleTxt"/>
        <w:spacing w:after="0" w:line="120" w:lineRule="exact"/>
        <w:rPr>
          <w:rFonts w:hint="eastAsia"/>
          <w:sz w:val="10"/>
        </w:rPr>
      </w:pPr>
    </w:p>
    <w:p w:rsidR="00555E33" w:rsidRPr="00555E33" w:rsidRDefault="00555E33" w:rsidP="00555E33">
      <w:pPr>
        <w:pStyle w:val="SingleTxt"/>
        <w:spacing w:after="0" w:line="120" w:lineRule="exact"/>
        <w:rPr>
          <w:rFonts w:hint="eastAsia"/>
          <w:sz w:val="10"/>
        </w:rPr>
      </w:pPr>
    </w:p>
    <w:p w:rsidR="00555E33" w:rsidRPr="00555E33" w:rsidRDefault="00555E33" w:rsidP="00555E33">
      <w:pPr>
        <w:pStyle w:val="SingleTxt"/>
        <w:spacing w:after="0" w:line="120" w:lineRule="exact"/>
        <w:rPr>
          <w:rFonts w:hint="eastAsia"/>
          <w:sz w:val="10"/>
        </w:rPr>
      </w:pPr>
    </w:p>
    <w:p w:rsidR="00555E33" w:rsidRDefault="00555E33" w:rsidP="00555E3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与审议定期报告有关的议题和问题清单</w:t>
      </w:r>
    </w:p>
    <w:p w:rsidR="00555E33" w:rsidRPr="00555E33" w:rsidRDefault="00555E33" w:rsidP="00555E3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55E33" w:rsidRPr="00555E33" w:rsidRDefault="00555E33" w:rsidP="00555E3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55E33" w:rsidRDefault="00555E33" w:rsidP="00555E3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大韩民国</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tab/>
      </w:r>
      <w:r>
        <w:rPr>
          <w:rFonts w:hint="eastAsia"/>
        </w:rPr>
        <w:t>会前工作组审议了大韩民国的第七次定期报告(CEDAW/C/KOR/7)。</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公约的法律地位及立法和体制框架</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1．</w:t>
      </w:r>
      <w:r>
        <w:tab/>
      </w:r>
      <w:r>
        <w:rPr>
          <w:rFonts w:hint="eastAsia"/>
        </w:rPr>
        <w:t>请说明缔约国是否已经制定了关于撤回其对公约第16.1(g)条的保留的明确时间表。</w:t>
      </w:r>
    </w:p>
    <w:p w:rsidR="00555E33" w:rsidRDefault="00555E33" w:rsidP="00555E33">
      <w:pPr>
        <w:pStyle w:val="SingleTxt"/>
        <w:rPr>
          <w:rFonts w:hint="eastAsia"/>
        </w:rPr>
      </w:pPr>
      <w:r>
        <w:rPr>
          <w:rFonts w:hint="eastAsia"/>
        </w:rPr>
        <w:t>2．</w:t>
      </w:r>
      <w:r>
        <w:tab/>
      </w:r>
      <w:r>
        <w:rPr>
          <w:rFonts w:hint="eastAsia"/>
        </w:rPr>
        <w:t>请提供更多的细节，说明为在宪法和其他适当立法中体现出(按照公约第1条)在公约所规定的所有领域禁止歧视，并将之适用于私营部门所开展的努力。</w:t>
      </w:r>
    </w:p>
    <w:p w:rsidR="00555E33" w:rsidRDefault="00555E33" w:rsidP="00555E33">
      <w:pPr>
        <w:pStyle w:val="SingleTxt"/>
        <w:rPr>
          <w:rFonts w:hint="eastAsia"/>
        </w:rPr>
      </w:pPr>
      <w:r>
        <w:rPr>
          <w:rFonts w:hint="eastAsia"/>
        </w:rPr>
        <w:t>3．</w:t>
      </w:r>
      <w:r>
        <w:tab/>
      </w:r>
      <w:r>
        <w:rPr>
          <w:rFonts w:hint="eastAsia"/>
        </w:rPr>
        <w:t>请说明缔约国是否在签署该文书后确定了着手批准《联合国打击跨国有组织犯罪公约关于预防、禁止和惩治贩运人口特别是妇女和儿童行为的补充议定书》的时间表。</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提高妇女地位国家机制</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4．</w:t>
      </w:r>
      <w:r>
        <w:tab/>
      </w:r>
      <w:r>
        <w:rPr>
          <w:rFonts w:hint="eastAsia"/>
        </w:rPr>
        <w:t>请就关于两性平等部的能力与财务资源的变化对妇女实质享有平等权利产生了负面影响的关切提出看法。在这方面，请提供资料说明这种变化是否会影响该缔约国始终在立法和方案中采用性别观点的努力。</w:t>
      </w:r>
    </w:p>
    <w:p w:rsidR="00555E33" w:rsidRDefault="00555E33" w:rsidP="00555E33">
      <w:pPr>
        <w:pStyle w:val="SingleTxt"/>
        <w:rPr>
          <w:rFonts w:hint="eastAsia"/>
        </w:rPr>
      </w:pPr>
      <w:r>
        <w:rPr>
          <w:rFonts w:hint="eastAsia"/>
        </w:rPr>
        <w:t>5．</w:t>
      </w:r>
      <w:r>
        <w:tab/>
      </w:r>
      <w:r>
        <w:rPr>
          <w:rFonts w:hint="eastAsia"/>
        </w:rPr>
        <w:t>关于报告第34至37段，请提供资料说明缔约国最近采用的对性别问题有敏感认识的预算编制办法的执行率为何不高，并请说明为增强相关政府各部对这种办法的认识和承诺而构想的措施。在这方面，请详细说明第一份对性别问题有敏感认识的预算编制报告(2009年)在定向政府预算、分析方法和预算改革审查进程的范围方面的结果。还请提供资料说明“国家财政法”的预期结果。报告第14段提到，该法规定政府自2010财政年起提交对性别问题有敏感认识的预算和</w:t>
      </w:r>
      <w:r w:rsidR="007735C0">
        <w:rPr>
          <w:rFonts w:hint="eastAsia"/>
        </w:rPr>
        <w:t>账</w:t>
      </w:r>
      <w:r>
        <w:rPr>
          <w:rFonts w:hint="eastAsia"/>
        </w:rPr>
        <w:t>目。</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ab/>
      </w:r>
      <w:r>
        <w:rPr>
          <w:rFonts w:hint="eastAsia"/>
        </w:rPr>
        <w:tab/>
        <w:t>临时特别措施</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6.</w:t>
      </w:r>
      <w:r>
        <w:tab/>
      </w:r>
      <w:r>
        <w:rPr>
          <w:rFonts w:hint="eastAsia"/>
        </w:rPr>
        <w:t>请说明关于“平等权利行动委员会”的体制安排将如何影响到定期报告第92和93段所指的目前和未来的平等权利行动方案。该委员会负责审查平等权利行动计划的执行情况和取得的成就。此外，关于定期报告第93段，请提供资料说明“促进妇女就业平等权利”举措的成效，并说明该举措如何适用于非正式和非全时女工。</w:t>
      </w:r>
    </w:p>
    <w:p w:rsidR="00555E33" w:rsidRDefault="00555E33" w:rsidP="00555E33">
      <w:pPr>
        <w:pStyle w:val="SingleTxt"/>
        <w:rPr>
          <w:rFonts w:hint="eastAsia"/>
        </w:rPr>
      </w:pPr>
      <w:r>
        <w:rPr>
          <w:rFonts w:hint="eastAsia"/>
        </w:rPr>
        <w:t>7</w:t>
      </w:r>
      <w:r>
        <w:t>.</w:t>
      </w:r>
      <w:r>
        <w:rPr>
          <w:rFonts w:hint="eastAsia"/>
        </w:rPr>
        <w:tab/>
        <w:t>请说明缔约国是否打算依照公约第4条第1款和委员会关于临时特别措施的第25号一般性建议(2004年)而利用这些措施，并提出如下要求：在直选议席中，各政党50</w:t>
      </w:r>
      <w:r>
        <w:t>%</w:t>
      </w:r>
      <w:r>
        <w:rPr>
          <w:rFonts w:hint="eastAsia"/>
        </w:rPr>
        <w:t>的候选人应为妇女。</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定型观念和文化习俗</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8.</w:t>
      </w:r>
      <w:r>
        <w:rPr>
          <w:rFonts w:hint="eastAsia"/>
        </w:rPr>
        <w:tab/>
        <w:t>请说明依照委员会先前的结论性意见第26段，为消除关于妇女在社会上的角色和责任的歧视性传统定型观念和偏见而展开的提高公众认识运动的影响和结果。</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暴力侵害妇女行为</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9.</w:t>
      </w:r>
      <w:r>
        <w:tab/>
      </w:r>
      <w:r>
        <w:rPr>
          <w:rFonts w:hint="eastAsia"/>
        </w:rPr>
        <w:t>关于报告第20和第51段及委员会的结论性意见第18段，请提供按性别分列的统计数据，说明缔约国在执行“预防家庭暴力和保护受害人法”和“第三期妇女政策基本计划(2008-2012年)”过程中采取的措施的结果/影响。</w:t>
      </w:r>
    </w:p>
    <w:p w:rsidR="00555E33" w:rsidRDefault="00555E33" w:rsidP="00555E33">
      <w:pPr>
        <w:pStyle w:val="SingleTxt"/>
        <w:rPr>
          <w:rFonts w:hint="eastAsia"/>
        </w:rPr>
      </w:pPr>
      <w:r>
        <w:rPr>
          <w:rFonts w:hint="eastAsia"/>
        </w:rPr>
        <w:t>10.</w:t>
      </w:r>
      <w:r>
        <w:tab/>
      </w:r>
      <w:r>
        <w:rPr>
          <w:rFonts w:hint="eastAsia"/>
        </w:rPr>
        <w:t>关于报告第53至56段，请说明缔约国采取了何种措施来提高对家庭暴力的规定性报告的比率，提供资料说明为将肇事者进行审判和定罪而采取的措施。</w:t>
      </w:r>
    </w:p>
    <w:p w:rsidR="00555E33" w:rsidRDefault="00555E33" w:rsidP="00555E33">
      <w:pPr>
        <w:pStyle w:val="SingleTxt"/>
        <w:rPr>
          <w:rFonts w:hint="eastAsia"/>
        </w:rPr>
      </w:pPr>
      <w:r>
        <w:rPr>
          <w:rFonts w:hint="eastAsia"/>
        </w:rPr>
        <w:t>11.</w:t>
      </w:r>
      <w:r>
        <w:tab/>
      </w:r>
      <w:r>
        <w:rPr>
          <w:rFonts w:hint="eastAsia"/>
        </w:rPr>
        <w:t>关于报告第135段，请说明为修订缔约国的法律以更广泛地定义强奸罪而采取的步骤。缔约国的报告似乎表明，是否将“婚内强奸”定为犯罪取决于对法律的解释。鉴于这将使婚内强奸更难被确认，请说明缔约国是否打算修改现行立法，以期依照委员会结论性意见第17和18段将“婚内强奸”定为犯罪。此外，请说明为鼓励受害人向警方举报强奸案件，尤其是婚内强奸案件采取了哪些措施。</w:t>
      </w:r>
    </w:p>
    <w:p w:rsidR="00555E33" w:rsidRDefault="00555E33" w:rsidP="00555E33">
      <w:pPr>
        <w:pStyle w:val="SingleTxt"/>
        <w:rPr>
          <w:rFonts w:hint="eastAsia"/>
        </w:rPr>
      </w:pPr>
      <w:r>
        <w:rPr>
          <w:rFonts w:hint="eastAsia"/>
        </w:rPr>
        <w:t>12.</w:t>
      </w:r>
      <w:r>
        <w:tab/>
      </w:r>
      <w:r>
        <w:rPr>
          <w:rFonts w:hint="eastAsia"/>
        </w:rPr>
        <w:t>还请指出举报性暴力案件和性骚扰案件的行动的增加，在何种程度上是因为提高了对这种问题的认识而不只是因为社会上这种事件的增加。还请说明按照委员会关于暴力侵害妇女行为的第19号一般性建议(1992年)而向一切形式的暴力侵害妇女行为的受害人提供援助的类型。</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贩运和利用妇女卖淫</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13.</w:t>
      </w:r>
      <w:r>
        <w:tab/>
      </w:r>
      <w:r w:rsidRPr="00555E33">
        <w:rPr>
          <w:rFonts w:hint="eastAsia"/>
          <w:spacing w:val="2"/>
        </w:rPr>
        <w:t>请提供数据说明在本报告所述期间查明的遭到贩运的妇女人数。还请说明缔约国是否打算建立按受害人的国籍分类案件的贩运情况数据收集系统。缔约国是否打算采用一套正式的系统，以积极主动地识别弱势群体中遭贩运的受害人</w:t>
      </w:r>
      <w:r>
        <w:rPr>
          <w:rFonts w:hint="eastAsia"/>
        </w:rPr>
        <w:t>？</w:t>
      </w:r>
    </w:p>
    <w:p w:rsidR="00555E33" w:rsidRDefault="00555E33" w:rsidP="00555E33">
      <w:pPr>
        <w:pStyle w:val="SingleTxt"/>
        <w:rPr>
          <w:rFonts w:hint="eastAsia"/>
        </w:rPr>
      </w:pPr>
      <w:r>
        <w:rPr>
          <w:rFonts w:hint="eastAsia"/>
        </w:rPr>
        <w:t>14.</w:t>
      </w:r>
      <w:r>
        <w:tab/>
      </w:r>
      <w:r>
        <w:rPr>
          <w:rFonts w:hint="eastAsia"/>
        </w:rPr>
        <w:t>关于报告第64页的表格和委员会的结论性意见第20段，请说明缔约国是否打算审查其关于卖淫的法律，以避免性交易中的妇女被定罪。关于报告第60段和委员会的结论性意见第19段，请同时提供统计资料，说明“约翰学校”方案对于防止累犯的影响。</w:t>
      </w:r>
    </w:p>
    <w:p w:rsidR="00555E33" w:rsidRDefault="00555E33" w:rsidP="00555E33">
      <w:pPr>
        <w:pStyle w:val="SingleTxt"/>
        <w:rPr>
          <w:rFonts w:hint="eastAsia"/>
        </w:rPr>
      </w:pPr>
      <w:r>
        <w:rPr>
          <w:rFonts w:hint="eastAsia"/>
        </w:rPr>
        <w:t>15.</w:t>
      </w:r>
      <w:r>
        <w:tab/>
      </w:r>
      <w:r>
        <w:rPr>
          <w:rFonts w:hint="eastAsia"/>
        </w:rPr>
        <w:t>根据一些报道，韩国男子是东南亚和太平洋岛屿儿童(少年)色情旅游业的主要客户。关于报告第62段，请详细说明韩国政府为防止和惩治境外和网络卖淫活动进行了哪些努力，并说明取得的任何具体成果。</w:t>
      </w:r>
    </w:p>
    <w:p w:rsidR="00555E33" w:rsidRDefault="00555E33" w:rsidP="00555E33">
      <w:pPr>
        <w:pStyle w:val="SingleTxt"/>
        <w:rPr>
          <w:rFonts w:hint="eastAsia"/>
        </w:rPr>
      </w:pPr>
      <w:r>
        <w:rPr>
          <w:rFonts w:hint="eastAsia"/>
        </w:rPr>
        <w:t>16.</w:t>
      </w:r>
      <w:r>
        <w:tab/>
      </w:r>
      <w:r>
        <w:rPr>
          <w:rFonts w:hint="eastAsia"/>
        </w:rPr>
        <w:t>关于依据E-6娱乐工作计划进入该国的移徙女工，请(按关于移徙女工的第26号一般性建议(2008年)第</w:t>
      </w:r>
      <w:r>
        <w:t>26</w:t>
      </w:r>
      <w:r>
        <w:rPr>
          <w:rFonts w:hint="eastAsia"/>
        </w:rPr>
        <w:t>段)说明缔约国如何打算使对这些妇女工作所在单位的现场监测更加严谨和有效率(报告第63、64、66和67段)。关于在娱乐场所就业并据称为贩运受害人的外国妇女，请提供资料说明已失去E-6签证身份的卖淫业外国受害妇女在向劳工办公室或派出所提出申诉时是否面临被驱逐的危险。</w:t>
      </w:r>
    </w:p>
    <w:p w:rsidR="00555E33" w:rsidRDefault="00555E33" w:rsidP="00555E33">
      <w:pPr>
        <w:pStyle w:val="SingleTxt"/>
        <w:rPr>
          <w:rFonts w:hint="eastAsia"/>
        </w:rPr>
      </w:pPr>
      <w:r>
        <w:rPr>
          <w:rFonts w:hint="eastAsia"/>
        </w:rPr>
        <w:t>17.</w:t>
      </w:r>
      <w:r>
        <w:tab/>
      </w:r>
      <w:r>
        <w:rPr>
          <w:rFonts w:hint="eastAsia"/>
        </w:rPr>
        <w:t>请详细说明已开展了哪些培训活动以使执法官员提高对利用卖淫盈利行为的受害妇女的权利和情况的警觉。在这方面，请就报告中提出的以下关注做出评论：由于贩运的定义与卖淫相关联，当局未能充分解决那些不充当卖淫者但仍为了性剥削而被贩运的E-6签证工人的状况。</w:t>
      </w:r>
    </w:p>
    <w:p w:rsidR="00555E33" w:rsidRDefault="00555E33" w:rsidP="00555E33">
      <w:pPr>
        <w:pStyle w:val="SingleTxt"/>
        <w:rPr>
          <w:rFonts w:hint="eastAsia"/>
        </w:rPr>
      </w:pPr>
      <w:r>
        <w:rPr>
          <w:rFonts w:hint="eastAsia"/>
        </w:rPr>
        <w:t>18.</w:t>
      </w:r>
      <w:r>
        <w:tab/>
      </w:r>
      <w:r>
        <w:rPr>
          <w:rFonts w:hint="eastAsia"/>
        </w:rPr>
        <w:t>请更详细地说明监测国际婚姻中介机构的方法和手段，以保护外籍妻子(报告第11、57和143段)。还请说明是否有一个甄别程序，用以通过中介机构来识别和登记女性贩运受害人。</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参与政治和公共生活与决策</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19.</w:t>
      </w:r>
      <w:r>
        <w:tab/>
      </w:r>
      <w:r w:rsidRPr="007735C0">
        <w:rPr>
          <w:rFonts w:hint="eastAsia"/>
          <w:spacing w:val="2"/>
        </w:rPr>
        <w:t>关于报告第73段和委员会的结论性意见第24段，请解释为什么尽管通过“</w:t>
      </w:r>
      <w:r>
        <w:rPr>
          <w:rFonts w:hint="eastAsia"/>
        </w:rPr>
        <w:t>政治资金法”和“政党法”而采取措施，但妇女在政治领域即政府(国家或地方)和议会中的整体代表性仍然极低。请说明缔约国正在考虑以何种措施纠正这种情况。</w:t>
      </w:r>
    </w:p>
    <w:p w:rsidR="00555E33" w:rsidRDefault="00555E33" w:rsidP="00555E33">
      <w:pPr>
        <w:pStyle w:val="SingleTxt"/>
        <w:rPr>
          <w:rFonts w:hint="eastAsia"/>
        </w:rPr>
      </w:pPr>
      <w:r>
        <w:rPr>
          <w:rFonts w:hint="eastAsia"/>
        </w:rPr>
        <w:t>20.</w:t>
      </w:r>
      <w:r>
        <w:tab/>
      </w:r>
      <w:r>
        <w:rPr>
          <w:rFonts w:hint="eastAsia"/>
        </w:rPr>
        <w:t>关于报告第44段，请解释为什么尽管已将修订的《平等就业法》规定的规则的适用扩展到雇员达到500或以上的私营企业，但行政和管理级别的女性人数仍然很少。</w:t>
      </w:r>
    </w:p>
    <w:p w:rsidR="00555E33" w:rsidRDefault="00555E33" w:rsidP="00555E33">
      <w:pPr>
        <w:pStyle w:val="SingleTxt"/>
        <w:rPr>
          <w:rFonts w:hint="eastAsia"/>
        </w:rPr>
      </w:pPr>
      <w:r>
        <w:rPr>
          <w:rFonts w:hint="eastAsia"/>
        </w:rPr>
        <w:t>21.</w:t>
      </w:r>
      <w:r>
        <w:tab/>
      </w:r>
      <w:r>
        <w:rPr>
          <w:rFonts w:hint="eastAsia"/>
        </w:rPr>
        <w:t>请提供资料说明缔约国正在采取什么措施来增加外交和外贸部的女外交官的人数。</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国籍</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22.</w:t>
      </w:r>
      <w:r>
        <w:tab/>
      </w:r>
      <w:r>
        <w:rPr>
          <w:rFonts w:hint="eastAsia"/>
        </w:rPr>
        <w:t>请说明缔约国是否打算维持关于男性配偶为申请韩国国籍的外籍妻子提供支持的要求，因为这可能构成有利于韩籍男配偶的不平等状况。</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教育</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23.</w:t>
      </w:r>
      <w:r>
        <w:tab/>
      </w:r>
      <w:r w:rsidR="0029724C">
        <w:rPr>
          <w:rFonts w:hint="eastAsia"/>
        </w:rPr>
        <w:t>缔约国是否注意到中学男生在数学和科学</w:t>
      </w:r>
      <w:r>
        <w:rPr>
          <w:rFonts w:hint="eastAsia"/>
        </w:rPr>
        <w:t>表现更佳、其大学学术课程的选择以及男性大学毕业生就业率更高之间，存在相关关系？有何种措施来弥合每一个这种阶段的性别差距？</w:t>
      </w:r>
    </w:p>
    <w:p w:rsidR="00555E33" w:rsidRDefault="00555E33" w:rsidP="00555E33">
      <w:pPr>
        <w:pStyle w:val="SingleTxt"/>
        <w:rPr>
          <w:rFonts w:hint="eastAsia"/>
        </w:rPr>
      </w:pPr>
      <w:r>
        <w:rPr>
          <w:rFonts w:hint="eastAsia"/>
        </w:rPr>
        <w:t>24.</w:t>
      </w:r>
      <w:r>
        <w:tab/>
      </w:r>
      <w:r>
        <w:rPr>
          <w:rFonts w:hint="eastAsia"/>
        </w:rPr>
        <w:t>请提供资料说明缔约国构想采取什么措施来增加高中女教师的比例以及公立和私立大学的女教授比例。</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就业</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25.</w:t>
      </w:r>
      <w:r>
        <w:tab/>
      </w:r>
      <w:r>
        <w:rPr>
          <w:rFonts w:hint="eastAsia"/>
        </w:rPr>
        <w:t>报告显示，近几年在经济方面活跃的妇女人数有所下降，就业妇女人数也减少。关于定期报告第37段和其后各段及委员会的结论性意见第27和28段，请澄清缔约国正在考虑采取哪些额外措施来扩大妇女参与经济活动并消除经济衰退对妇女的更为严重的不良影响。同时请提供关于基于性别的工资差异的统计资料和关于为纠正这种不平衡而设想的措施的信息。</w:t>
      </w:r>
    </w:p>
    <w:p w:rsidR="00555E33" w:rsidRDefault="00555E33" w:rsidP="00555E33">
      <w:pPr>
        <w:pStyle w:val="SingleTxt"/>
        <w:rPr>
          <w:rFonts w:hint="eastAsia"/>
        </w:rPr>
      </w:pPr>
      <w:r>
        <w:rPr>
          <w:rFonts w:hint="eastAsia"/>
        </w:rPr>
        <w:t>26.</w:t>
      </w:r>
      <w:r>
        <w:tab/>
      </w:r>
      <w:r>
        <w:rPr>
          <w:rFonts w:hint="eastAsia"/>
        </w:rPr>
        <w:t>关于定期报告第95至97段，请说明缔约国是否正在考虑通过立法而使非正式女工可休育儿假并保护这些工人在孕产假期间其雇用合同不被取消。还请澄清报道所指在一段时期用于支持扩大公共和国家儿童保育设施并补贴父母育儿费用的预算支出后，在2010年大幅削减建立这种设施的预算背后的理由(报告第96至98段)。</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保健</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27.</w:t>
      </w:r>
      <w:r>
        <w:tab/>
      </w:r>
      <w:r>
        <w:rPr>
          <w:rFonts w:hint="eastAsia"/>
        </w:rPr>
        <w:t>关于报告第105至110段和委员会的结论性意见第30段，请提供统计数据说明在改善妇女获得保健服务和扩展特别是针对20至24岁之间的妇女的性教育和生殖教育方案以减少意外怀孕的发生率方面取得的进展。关于报告第22和107段，缔约国对委员会关于公约第12条(妇女和保健)的第24号一般性建议(1999年)有什么计划和立场？该条要求修改禁止堕胎的立法。关于委员会的结论性意见第29段，还请提供资料说明自缔约国的上一次定期报告以来依靠其有工作的家庭成员而获得保健服务的妇女人数有否变化。</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农村妇女</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28.</w:t>
      </w:r>
      <w:r>
        <w:tab/>
      </w:r>
      <w:r>
        <w:rPr>
          <w:rFonts w:hint="eastAsia"/>
        </w:rPr>
        <w:t>请提供资料说明自“务农妇女工作协助方案”在全国推广以来取得的实施成果。关于定期报告第132段，还请详细说明2007年在全国采用的针对遭遇事故和疾病的农户的类似系统的方式和结果。</w:t>
      </w:r>
    </w:p>
    <w:p w:rsidR="00555E33" w:rsidRDefault="00555E33" w:rsidP="00555E33">
      <w:pPr>
        <w:pStyle w:val="SingleTxt"/>
      </w:pP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弱势妇女群体</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29.</w:t>
      </w:r>
      <w:r>
        <w:tab/>
      </w:r>
      <w:r>
        <w:rPr>
          <w:rFonts w:hint="eastAsia"/>
        </w:rPr>
        <w:t>请提供资料说明缔约国是否打算放宽对成为家庭暴力受害人的女移徙者的申请入籍要求。在这方面，依照委员会的第26条一般性建议，请说明缔约国采取了哪些措施来保护那些举报性骚扰事件的女性移徙工人不被解雇、不失去正常身份或受到任何其他报复。</w:t>
      </w:r>
    </w:p>
    <w:p w:rsidR="00555E33" w:rsidRDefault="00555E33" w:rsidP="00555E33">
      <w:pPr>
        <w:pStyle w:val="SingleTxt"/>
        <w:rPr>
          <w:rFonts w:hint="eastAsia"/>
        </w:rPr>
      </w:pPr>
      <w:r>
        <w:rPr>
          <w:rFonts w:hint="eastAsia"/>
        </w:rPr>
        <w:t>30.</w:t>
      </w:r>
      <w:r>
        <w:tab/>
      </w:r>
      <w:r>
        <w:rPr>
          <w:rFonts w:hint="eastAsia"/>
        </w:rPr>
        <w:t>关于报告第8、48、101和124段，请提供资料说明残疾妇女的包括兼职工作在内的就业率，并说明这一就业率与就业残疾男子和无残疾者就业率之间的区别。</w:t>
      </w:r>
    </w:p>
    <w:p w:rsidR="00555E33" w:rsidRDefault="00555E33" w:rsidP="0055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婚姻和家庭关系</w:t>
      </w:r>
    </w:p>
    <w:p w:rsidR="00555E33" w:rsidRPr="00555E33" w:rsidRDefault="00555E33" w:rsidP="00555E33">
      <w:pPr>
        <w:pStyle w:val="SingleTxt"/>
        <w:spacing w:after="0" w:line="120" w:lineRule="exact"/>
        <w:rPr>
          <w:rFonts w:hint="eastAsia"/>
          <w:sz w:val="10"/>
        </w:rPr>
      </w:pPr>
    </w:p>
    <w:p w:rsidR="00555E33" w:rsidRDefault="00555E33" w:rsidP="00555E33">
      <w:pPr>
        <w:pStyle w:val="SingleTxt"/>
        <w:rPr>
          <w:rFonts w:hint="eastAsia"/>
        </w:rPr>
      </w:pPr>
      <w:r>
        <w:rPr>
          <w:rFonts w:hint="eastAsia"/>
        </w:rPr>
        <w:t>31.</w:t>
      </w:r>
      <w:r>
        <w:tab/>
      </w:r>
      <w:r>
        <w:rPr>
          <w:rFonts w:hint="eastAsia"/>
        </w:rPr>
        <w:t>请提供资料说明2008年“多文化家庭支援法”的影响。</w:t>
      </w:r>
    </w:p>
    <w:p w:rsidR="00555E33" w:rsidRDefault="00555E33" w:rsidP="00555E33">
      <w:pPr>
        <w:pStyle w:val="SingleTxt"/>
        <w:rPr>
          <w:rFonts w:hint="eastAsia"/>
        </w:rPr>
      </w:pPr>
      <w:r>
        <w:rPr>
          <w:rFonts w:hint="eastAsia"/>
        </w:rPr>
        <w:t>32.</w:t>
      </w:r>
      <w:r>
        <w:tab/>
      </w:r>
      <w:r>
        <w:rPr>
          <w:rFonts w:hint="eastAsia"/>
        </w:rPr>
        <w:t>关于定期报告第137至142段，请提供统计资料，说明国际婚姻及其离婚率在该国整体婚姻统计数字中的比率。</w:t>
      </w:r>
    </w:p>
    <w:p w:rsidR="00555E33" w:rsidRDefault="00555E33" w:rsidP="00555E33">
      <w:pPr>
        <w:pStyle w:val="SingleTxt"/>
        <w:rPr>
          <w:rFonts w:hint="eastAsia"/>
        </w:rPr>
      </w:pPr>
      <w:r>
        <w:rPr>
          <w:rFonts w:hint="eastAsia"/>
        </w:rPr>
        <w:t>33.</w:t>
      </w:r>
      <w:r>
        <w:tab/>
      </w:r>
      <w:r>
        <w:rPr>
          <w:rFonts w:hint="eastAsia"/>
        </w:rPr>
        <w:t>请说明已采取了哪些措施来加强对外籍女性配偶权利的保护，特别是确保她们在分居/离婚情况下的合法居住身份不会完全依赖于证明该关系的结束是归因于韩籍配偶。在这方面，请提供资料说明与韩籍男子生育孩子的女移徙者不论其婚姻状况如何，是否享有居住权。</w:t>
      </w:r>
    </w:p>
    <w:p w:rsidR="00EA31C3" w:rsidRPr="00555E33" w:rsidRDefault="00555E33" w:rsidP="00555E33">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10:wrap type="square" side="right"/>
          </v:line>
        </w:pict>
      </w:r>
    </w:p>
    <w:sectPr w:rsidR="00EA31C3" w:rsidRPr="00555E33" w:rsidSect="00633E3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1-06T13:18:00Z" w:initials="Start">
    <w:p w:rsidR="00C415FF" w:rsidRDefault="00C415F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NO&gt;&gt;N1064610C&lt;&lt;ODS JOB NO&gt;&gt;</w:t>
      </w:r>
    </w:p>
    <w:p w:rsidR="00C415FF" w:rsidRDefault="00C415FF">
      <w:pPr>
        <w:pStyle w:val="CommentText"/>
      </w:pPr>
      <w:r>
        <w:t>&lt;&lt;ODS DOC SYMBOL1&gt;&gt;CEDAW/C/KOR/Q/7&lt;&lt;ODS DOC SYMBOL1&gt;&gt;</w:t>
      </w:r>
    </w:p>
    <w:p w:rsidR="00C415FF" w:rsidRDefault="00C415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417" w:rsidRDefault="00C72417">
      <w:r>
        <w:separator/>
      </w:r>
    </w:p>
  </w:endnote>
  <w:endnote w:type="continuationSeparator" w:id="0">
    <w:p w:rsidR="00C72417" w:rsidRDefault="00C72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15FF" w:rsidTr="00633E32">
      <w:tblPrEx>
        <w:tblCellMar>
          <w:top w:w="0" w:type="dxa"/>
          <w:bottom w:w="0" w:type="dxa"/>
        </w:tblCellMar>
      </w:tblPrEx>
      <w:tc>
        <w:tcPr>
          <w:tcW w:w="5033" w:type="dxa"/>
          <w:shd w:val="clear" w:color="auto" w:fill="auto"/>
        </w:tcPr>
        <w:p w:rsidR="00C415FF" w:rsidRPr="00633E32" w:rsidRDefault="00C415FF" w:rsidP="00633E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10-64610 (C)</w:t>
          </w:r>
          <w:r>
            <w:rPr>
              <w:b w:val="0"/>
              <w:w w:val="103"/>
              <w:sz w:val="14"/>
            </w:rPr>
            <w:fldChar w:fldCharType="end"/>
          </w:r>
        </w:p>
      </w:tc>
      <w:tc>
        <w:tcPr>
          <w:tcW w:w="5033" w:type="dxa"/>
          <w:shd w:val="clear" w:color="auto" w:fill="auto"/>
        </w:tcPr>
        <w:p w:rsidR="00C415FF" w:rsidRPr="00633E32" w:rsidRDefault="00C415FF" w:rsidP="00633E32">
          <w:pPr>
            <w:pStyle w:val="Footer"/>
            <w:jc w:val="left"/>
            <w:rPr>
              <w:w w:val="103"/>
            </w:rPr>
          </w:pPr>
          <w:r>
            <w:rPr>
              <w:w w:val="103"/>
            </w:rPr>
            <w:fldChar w:fldCharType="begin"/>
          </w:r>
          <w:r>
            <w:rPr>
              <w:w w:val="103"/>
            </w:rPr>
            <w:instrText xml:space="preserve"> PAGE  \* MERGEFORMAT </w:instrText>
          </w:r>
          <w:r>
            <w:rPr>
              <w:w w:val="103"/>
            </w:rPr>
            <w:fldChar w:fldCharType="separate"/>
          </w:r>
          <w:r w:rsidR="007C54B1">
            <w:rPr>
              <w:w w:val="103"/>
            </w:rPr>
            <w:t>4</w:t>
          </w:r>
          <w:r>
            <w:rPr>
              <w:w w:val="103"/>
            </w:rPr>
            <w:fldChar w:fldCharType="end"/>
          </w:r>
        </w:p>
      </w:tc>
    </w:tr>
  </w:tbl>
  <w:p w:rsidR="00C415FF" w:rsidRPr="00633E32" w:rsidRDefault="00C415FF" w:rsidP="00633E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15FF" w:rsidTr="00633E32">
      <w:tblPrEx>
        <w:tblCellMar>
          <w:top w:w="0" w:type="dxa"/>
          <w:bottom w:w="0" w:type="dxa"/>
        </w:tblCellMar>
      </w:tblPrEx>
      <w:tc>
        <w:tcPr>
          <w:tcW w:w="5033" w:type="dxa"/>
          <w:shd w:val="clear" w:color="auto" w:fill="auto"/>
        </w:tcPr>
        <w:p w:rsidR="00C415FF" w:rsidRPr="00633E32" w:rsidRDefault="00C415FF" w:rsidP="00633E32">
          <w:pPr>
            <w:pStyle w:val="Footer"/>
            <w:jc w:val="right"/>
          </w:pPr>
          <w:r>
            <w:fldChar w:fldCharType="begin"/>
          </w:r>
          <w:r>
            <w:instrText xml:space="preserve"> PAGE  \* MERGEFORMAT </w:instrText>
          </w:r>
          <w:r>
            <w:fldChar w:fldCharType="separate"/>
          </w:r>
          <w:r w:rsidR="007C54B1">
            <w:t>5</w:t>
          </w:r>
          <w:r>
            <w:fldChar w:fldCharType="end"/>
          </w:r>
        </w:p>
      </w:tc>
      <w:tc>
        <w:tcPr>
          <w:tcW w:w="5033" w:type="dxa"/>
          <w:shd w:val="clear" w:color="auto" w:fill="auto"/>
        </w:tcPr>
        <w:p w:rsidR="00C415FF" w:rsidRPr="00633E32" w:rsidRDefault="00C415FF" w:rsidP="00633E3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10-64610 (C)</w:t>
          </w:r>
          <w:r>
            <w:rPr>
              <w:b w:val="0"/>
              <w:w w:val="103"/>
              <w:sz w:val="14"/>
            </w:rPr>
            <w:fldChar w:fldCharType="end"/>
          </w:r>
        </w:p>
      </w:tc>
    </w:tr>
  </w:tbl>
  <w:p w:rsidR="00C415FF" w:rsidRPr="00633E32" w:rsidRDefault="00C415FF" w:rsidP="00633E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415FF">
      <w:tblPrEx>
        <w:tblCellMar>
          <w:top w:w="0" w:type="dxa"/>
          <w:bottom w:w="0" w:type="dxa"/>
        </w:tblCellMar>
      </w:tblPrEx>
      <w:tc>
        <w:tcPr>
          <w:tcW w:w="5033" w:type="dxa"/>
        </w:tcPr>
        <w:p w:rsidR="00C415FF" w:rsidRDefault="00C415FF" w:rsidP="00633E3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10-64610 (C)</w:t>
          </w:r>
          <w:r>
            <w:rPr>
              <w:b w:val="0"/>
              <w:sz w:val="21"/>
            </w:rPr>
            <w:fldChar w:fldCharType="end"/>
          </w:r>
          <w:r w:rsidR="007C54B1">
            <w:rPr>
              <w:b w:val="0"/>
              <w:sz w:val="21"/>
            </w:rPr>
            <w:t xml:space="preserve">    060111    1</w:t>
          </w:r>
          <w:r w:rsidR="007C54B1">
            <w:rPr>
              <w:rFonts w:hint="eastAsia"/>
              <w:b w:val="0"/>
              <w:sz w:val="21"/>
            </w:rPr>
            <w:t>7</w:t>
          </w:r>
          <w:r>
            <w:rPr>
              <w:b w:val="0"/>
              <w:sz w:val="21"/>
            </w:rPr>
            <w:t>0111</w:t>
          </w:r>
        </w:p>
        <w:p w:rsidR="00C415FF" w:rsidRPr="00633E32" w:rsidRDefault="00C415FF" w:rsidP="00633E32">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*1064610*</w:t>
          </w:r>
          <w:r>
            <w:rPr>
              <w:rFonts w:ascii="Barcode 3 of 9 by request" w:hAnsi="Barcode 3 of 9 by request"/>
              <w:sz w:val="24"/>
            </w:rPr>
            <w:fldChar w:fldCharType="end"/>
          </w:r>
        </w:p>
      </w:tc>
      <w:tc>
        <w:tcPr>
          <w:tcW w:w="5033" w:type="dxa"/>
        </w:tcPr>
        <w:p w:rsidR="00C415FF" w:rsidRDefault="00C415FF" w:rsidP="00633E32">
          <w:pPr>
            <w:pStyle w:val="Footer"/>
            <w:jc w:val="right"/>
            <w:rPr>
              <w:b w:val="0"/>
              <w:sz w:val="21"/>
            </w:rPr>
          </w:pPr>
          <w:r w:rsidRPr="00633E3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C415FF" w:rsidRPr="00633E32" w:rsidRDefault="00C415FF" w:rsidP="00633E32">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417" w:rsidRDefault="00C72417">
      <w:r>
        <w:separator/>
      </w:r>
    </w:p>
  </w:footnote>
  <w:footnote w:type="continuationSeparator" w:id="0">
    <w:p w:rsidR="00C72417" w:rsidRDefault="00C724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15FF" w:rsidTr="00633E32">
      <w:tblPrEx>
        <w:tblCellMar>
          <w:top w:w="0" w:type="dxa"/>
          <w:bottom w:w="0" w:type="dxa"/>
        </w:tblCellMar>
      </w:tblPrEx>
      <w:trPr>
        <w:trHeight w:hRule="exact" w:val="864"/>
      </w:trPr>
      <w:tc>
        <w:tcPr>
          <w:tcW w:w="4838" w:type="dxa"/>
          <w:shd w:val="clear" w:color="auto" w:fill="auto"/>
          <w:vAlign w:val="bottom"/>
        </w:tcPr>
        <w:p w:rsidR="00C415FF" w:rsidRPr="00633E32" w:rsidRDefault="00C415FF" w:rsidP="00633E3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CEDAW/C/KOR/Q/7</w:t>
          </w:r>
          <w:r>
            <w:rPr>
              <w:b/>
              <w:sz w:val="17"/>
            </w:rPr>
            <w:fldChar w:fldCharType="end"/>
          </w:r>
        </w:p>
      </w:tc>
      <w:tc>
        <w:tcPr>
          <w:tcW w:w="5033" w:type="dxa"/>
          <w:shd w:val="clear" w:color="auto" w:fill="auto"/>
          <w:vAlign w:val="bottom"/>
        </w:tcPr>
        <w:p w:rsidR="00C415FF" w:rsidRDefault="00C415FF" w:rsidP="00633E32">
          <w:pPr>
            <w:pStyle w:val="Header"/>
          </w:pPr>
        </w:p>
      </w:tc>
    </w:tr>
  </w:tbl>
  <w:p w:rsidR="00C415FF" w:rsidRPr="00633E32" w:rsidRDefault="00C415FF" w:rsidP="00633E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15FF" w:rsidTr="00633E32">
      <w:tblPrEx>
        <w:tblCellMar>
          <w:top w:w="0" w:type="dxa"/>
          <w:bottom w:w="0" w:type="dxa"/>
        </w:tblCellMar>
      </w:tblPrEx>
      <w:trPr>
        <w:trHeight w:hRule="exact" w:val="864"/>
      </w:trPr>
      <w:tc>
        <w:tcPr>
          <w:tcW w:w="4838" w:type="dxa"/>
          <w:shd w:val="clear" w:color="auto" w:fill="auto"/>
          <w:vAlign w:val="bottom"/>
        </w:tcPr>
        <w:p w:rsidR="00C415FF" w:rsidRDefault="00C415FF" w:rsidP="00633E32">
          <w:pPr>
            <w:pStyle w:val="Header"/>
          </w:pPr>
        </w:p>
      </w:tc>
      <w:tc>
        <w:tcPr>
          <w:tcW w:w="5033" w:type="dxa"/>
          <w:shd w:val="clear" w:color="auto" w:fill="auto"/>
          <w:vAlign w:val="bottom"/>
        </w:tcPr>
        <w:p w:rsidR="00C415FF" w:rsidRPr="00633E32" w:rsidRDefault="00C415FF" w:rsidP="00633E3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CEDAW/C/KOR/Q/7</w:t>
          </w:r>
          <w:r>
            <w:rPr>
              <w:b/>
              <w:sz w:val="17"/>
            </w:rPr>
            <w:fldChar w:fldCharType="end"/>
          </w:r>
        </w:p>
      </w:tc>
    </w:tr>
  </w:tbl>
  <w:p w:rsidR="00C415FF" w:rsidRPr="00633E32" w:rsidRDefault="00C415FF" w:rsidP="00633E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415FF" w:rsidTr="00633E3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15FF" w:rsidRDefault="00C415FF" w:rsidP="00633E32">
          <w:pPr>
            <w:pStyle w:val="Header"/>
            <w:spacing w:after="120"/>
          </w:pPr>
        </w:p>
      </w:tc>
      <w:tc>
        <w:tcPr>
          <w:tcW w:w="1872" w:type="dxa"/>
          <w:tcBorders>
            <w:bottom w:val="single" w:sz="4" w:space="0" w:color="auto"/>
          </w:tcBorders>
          <w:shd w:val="clear" w:color="auto" w:fill="auto"/>
          <w:vAlign w:val="bottom"/>
        </w:tcPr>
        <w:p w:rsidR="00C415FF" w:rsidRPr="00633E32" w:rsidRDefault="00C415FF" w:rsidP="00633E3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415FF" w:rsidRDefault="00C415FF" w:rsidP="00633E32">
          <w:pPr>
            <w:pStyle w:val="Header"/>
            <w:spacing w:after="120"/>
          </w:pPr>
        </w:p>
      </w:tc>
      <w:tc>
        <w:tcPr>
          <w:tcW w:w="6523" w:type="dxa"/>
          <w:gridSpan w:val="3"/>
          <w:tcBorders>
            <w:bottom w:val="single" w:sz="4" w:space="0" w:color="auto"/>
          </w:tcBorders>
          <w:shd w:val="clear" w:color="auto" w:fill="auto"/>
          <w:vAlign w:val="bottom"/>
        </w:tcPr>
        <w:p w:rsidR="00C415FF" w:rsidRPr="00555E33" w:rsidRDefault="00C415FF" w:rsidP="00555E33">
          <w:pPr>
            <w:spacing w:after="80" w:line="240" w:lineRule="auto"/>
            <w:jc w:val="right"/>
            <w:rPr>
              <w:rFonts w:ascii="Times New Roman"/>
              <w:position w:val="-4"/>
            </w:rPr>
          </w:pPr>
          <w:r>
            <w:rPr>
              <w:rFonts w:ascii="Times New Roman"/>
              <w:position w:val="-4"/>
              <w:sz w:val="40"/>
            </w:rPr>
            <w:t>CEDAW</w:t>
          </w:r>
          <w:r>
            <w:rPr>
              <w:rFonts w:ascii="Times New Roman"/>
              <w:position w:val="-4"/>
            </w:rPr>
            <w:t>/C/KOR/Q/7</w:t>
          </w:r>
        </w:p>
      </w:tc>
    </w:tr>
    <w:tr w:rsidR="00C415FF" w:rsidRPr="00633E32" w:rsidTr="00633E3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15FF" w:rsidRDefault="00C415FF" w:rsidP="00633E3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15FF" w:rsidRPr="00633E32" w:rsidRDefault="00C415FF" w:rsidP="00633E32">
          <w:pPr>
            <w:pStyle w:val="Header"/>
            <w:spacing w:before="109"/>
            <w:ind w:left="-72"/>
          </w:pPr>
        </w:p>
      </w:tc>
      <w:tc>
        <w:tcPr>
          <w:tcW w:w="5227" w:type="dxa"/>
          <w:gridSpan w:val="3"/>
          <w:tcBorders>
            <w:top w:val="single" w:sz="4" w:space="0" w:color="auto"/>
            <w:bottom w:val="single" w:sz="12" w:space="0" w:color="auto"/>
          </w:tcBorders>
          <w:shd w:val="clear" w:color="auto" w:fill="auto"/>
        </w:tcPr>
        <w:p w:rsidR="00C415FF" w:rsidRPr="00633E32" w:rsidRDefault="00C415FF" w:rsidP="00633E3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415FF" w:rsidRPr="00633E32" w:rsidRDefault="00C415FF" w:rsidP="00633E32">
          <w:pPr>
            <w:pStyle w:val="Header"/>
            <w:spacing w:before="109"/>
          </w:pPr>
        </w:p>
      </w:tc>
      <w:tc>
        <w:tcPr>
          <w:tcW w:w="3180" w:type="dxa"/>
          <w:gridSpan w:val="2"/>
          <w:tcBorders>
            <w:top w:val="single" w:sz="4" w:space="0" w:color="auto"/>
            <w:bottom w:val="single" w:sz="12" w:space="0" w:color="auto"/>
          </w:tcBorders>
          <w:shd w:val="clear" w:color="auto" w:fill="auto"/>
        </w:tcPr>
        <w:p w:rsidR="00C415FF" w:rsidRDefault="00C415FF" w:rsidP="00633E32">
          <w:pPr>
            <w:spacing w:before="240" w:line="240" w:lineRule="exact"/>
            <w:rPr>
              <w:rFonts w:ascii="Times New Roman"/>
            </w:rPr>
          </w:pPr>
          <w:r>
            <w:rPr>
              <w:rFonts w:ascii="Times New Roman"/>
            </w:rPr>
            <w:t>Distr.: General</w:t>
          </w:r>
        </w:p>
        <w:p w:rsidR="00C415FF" w:rsidRDefault="00C415FF" w:rsidP="00633E32">
          <w:pPr>
            <w:spacing w:line="240" w:lineRule="exact"/>
            <w:rPr>
              <w:rFonts w:ascii="Times New Roman"/>
            </w:rPr>
          </w:pPr>
          <w:r>
            <w:rPr>
              <w:rFonts w:ascii="Times New Roman"/>
            </w:rPr>
            <w:t>22 November 2010</w:t>
          </w:r>
        </w:p>
        <w:p w:rsidR="00C415FF" w:rsidRDefault="00C415FF" w:rsidP="00633E32">
          <w:pPr>
            <w:spacing w:line="240" w:lineRule="exact"/>
            <w:rPr>
              <w:rFonts w:ascii="Times New Roman"/>
            </w:rPr>
          </w:pPr>
          <w:r>
            <w:rPr>
              <w:rFonts w:ascii="Times New Roman"/>
            </w:rPr>
            <w:t>Chinese</w:t>
          </w:r>
        </w:p>
        <w:p w:rsidR="00C415FF" w:rsidRPr="00633E32" w:rsidRDefault="00C415FF" w:rsidP="00633E32">
          <w:pPr>
            <w:spacing w:line="240" w:lineRule="exact"/>
            <w:rPr>
              <w:rFonts w:ascii="Times New Roman"/>
            </w:rPr>
          </w:pPr>
          <w:r>
            <w:rPr>
              <w:rFonts w:ascii="Times New Roman"/>
            </w:rPr>
            <w:t>Original: English</w:t>
          </w:r>
        </w:p>
      </w:tc>
    </w:tr>
  </w:tbl>
  <w:p w:rsidR="00C415FF" w:rsidRPr="00633E32" w:rsidRDefault="00C415FF" w:rsidP="00633E3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4610*"/>
    <w:docVar w:name="CreationDt" w:val="06/01/2011 11:29:04"/>
    <w:docVar w:name="DocCategory" w:val="Doc"/>
    <w:docVar w:name="DocType" w:val="Final"/>
    <w:docVar w:name="FooterJN" w:val="10-64610 (C)"/>
    <w:docVar w:name="jobn" w:val="10-64610 (C)"/>
    <w:docVar w:name="jobnDT" w:val="10-64610 (C)   060111"/>
    <w:docVar w:name="jobnDTDT" w:val="10-64610 (C)   060111   060111"/>
    <w:docVar w:name="JobNo" w:val="1064610C"/>
    <w:docVar w:name="OandT" w:val="CAI"/>
    <w:docVar w:name="sss1" w:val="CEDAW/C/KOR/Q/7"/>
    <w:docVar w:name="sss2" w:val="-"/>
    <w:docVar w:name="Symbol1" w:val="CEDAW/C/KOR/Q/7"/>
    <w:docVar w:name="Symbol2" w:val="-"/>
  </w:docVars>
  <w:rsids>
    <w:rsidRoot w:val="0016250B"/>
    <w:rsid w:val="0000347C"/>
    <w:rsid w:val="000125BC"/>
    <w:rsid w:val="00021A2B"/>
    <w:rsid w:val="00037B39"/>
    <w:rsid w:val="00044CA4"/>
    <w:rsid w:val="00045EFE"/>
    <w:rsid w:val="0007337D"/>
    <w:rsid w:val="000758DF"/>
    <w:rsid w:val="00076EB8"/>
    <w:rsid w:val="00090FE7"/>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6250B"/>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9724C"/>
    <w:rsid w:val="002A4AEF"/>
    <w:rsid w:val="002B305F"/>
    <w:rsid w:val="002B564F"/>
    <w:rsid w:val="002B5F5D"/>
    <w:rsid w:val="002C2254"/>
    <w:rsid w:val="002C3BC9"/>
    <w:rsid w:val="002C54DB"/>
    <w:rsid w:val="002D039F"/>
    <w:rsid w:val="002D0694"/>
    <w:rsid w:val="002D0B62"/>
    <w:rsid w:val="002D44AF"/>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4B2D"/>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55E33"/>
    <w:rsid w:val="00562FE7"/>
    <w:rsid w:val="00563903"/>
    <w:rsid w:val="0057450D"/>
    <w:rsid w:val="0058302A"/>
    <w:rsid w:val="005B7338"/>
    <w:rsid w:val="005C02AB"/>
    <w:rsid w:val="005C5FC3"/>
    <w:rsid w:val="005D0F04"/>
    <w:rsid w:val="005F12F0"/>
    <w:rsid w:val="005F3273"/>
    <w:rsid w:val="005F34A3"/>
    <w:rsid w:val="00601313"/>
    <w:rsid w:val="00610CF2"/>
    <w:rsid w:val="006328DE"/>
    <w:rsid w:val="00633E32"/>
    <w:rsid w:val="006353DE"/>
    <w:rsid w:val="00643574"/>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35C0"/>
    <w:rsid w:val="00776537"/>
    <w:rsid w:val="00783A25"/>
    <w:rsid w:val="007877F4"/>
    <w:rsid w:val="007C54B1"/>
    <w:rsid w:val="007C74B9"/>
    <w:rsid w:val="007E1B5E"/>
    <w:rsid w:val="007E6253"/>
    <w:rsid w:val="007F2278"/>
    <w:rsid w:val="00803014"/>
    <w:rsid w:val="00805783"/>
    <w:rsid w:val="00806F57"/>
    <w:rsid w:val="00806F90"/>
    <w:rsid w:val="008246FC"/>
    <w:rsid w:val="00824C19"/>
    <w:rsid w:val="00826250"/>
    <w:rsid w:val="008378D1"/>
    <w:rsid w:val="00846462"/>
    <w:rsid w:val="00856BC7"/>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15FF"/>
    <w:rsid w:val="00C42033"/>
    <w:rsid w:val="00C464DD"/>
    <w:rsid w:val="00C62EF9"/>
    <w:rsid w:val="00C72417"/>
    <w:rsid w:val="00C76854"/>
    <w:rsid w:val="00C92AE0"/>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A50E3"/>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120</TotalTime>
  <Pages>1</Pages>
  <Words>565</Words>
  <Characters>3226</Characters>
  <Application>Microsoft Office Word</Application>
  <DocSecurity>4</DocSecurity>
  <Lines>26</Lines>
  <Paragraphs>7</Paragraphs>
  <ScaleCrop>false</ScaleCrop>
  <Company>United Nations</Company>
  <LinksUpToDate>false</LinksUpToDate>
  <CharactersWithSpaces>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CYH</dc:creator>
  <cp:keywords/>
  <dc:description/>
  <cp:lastModifiedBy>FrontDesk2</cp:lastModifiedBy>
  <cp:revision>10</cp:revision>
  <cp:lastPrinted>2011-01-06T12:38:00Z</cp:lastPrinted>
  <dcterms:created xsi:type="dcterms:W3CDTF">2011-01-06T09:00:00Z</dcterms:created>
  <dcterms:modified xsi:type="dcterms:W3CDTF">2011-01-17T08:59:00Z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1064610</vt:lpwstr>
  </property>
  <property fmtid="{D5CDD505-2E9C-101B-9397-08002B2CF9AE}" pid="3" name="Symbol2">
    <vt:lpwstr/>
  </property>
  <property fmtid="{D5CDD505-2E9C-101B-9397-08002B2CF9AE}" pid="4" name="Translator">
    <vt:lpwstr/>
  </property>
  <property fmtid="{D5CDD505-2E9C-101B-9397-08002B2CF9AE}" pid="5" name="Symbol1">
    <vt:lpwstr>CEDAW/C/KOR/Q/7</vt:lpwstr>
  </property>
  <property fmtid="{D5CDD505-2E9C-101B-9397-08002B2CF9AE}" pid="6" name="sss1">
    <vt:lpwstr>CEDAW/C/KOR/Q/7</vt:lpwstr>
  </property>
  <property fmtid="{D5CDD505-2E9C-101B-9397-08002B2CF9AE}" pid="7" name="Comment">
    <vt:lpwstr/>
  </property>
  <property fmtid="{D5CDD505-2E9C-101B-9397-08002B2CF9AE}" pid="8" name="DraftPages">
    <vt:lpwstr> </vt:lpwstr>
  </property>
  <property fmtid="{D5CDD505-2E9C-101B-9397-08002B2CF9AE}" pid="9" name="Operator">
    <vt:lpwstr>CAI</vt:lpwstr>
  </property>
</Properties>
</file>