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E8BA6E4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0E9BA38" w14:textId="77777777" w:rsidR="002D5AAC" w:rsidRDefault="002D5AAC" w:rsidP="00234CA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199B8CE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1539519" w14:textId="39DF66CA" w:rsidR="002D5AAC" w:rsidRDefault="00234CA2" w:rsidP="00234CA2">
            <w:pPr>
              <w:jc w:val="right"/>
            </w:pPr>
            <w:r w:rsidRPr="00234CA2">
              <w:rPr>
                <w:sz w:val="40"/>
              </w:rPr>
              <w:t>CAT</w:t>
            </w:r>
            <w:r>
              <w:t>/C/TUR/CO/5</w:t>
            </w:r>
          </w:p>
        </w:tc>
      </w:tr>
      <w:tr w:rsidR="002D5AAC" w:rsidRPr="00D83807" w14:paraId="281F5CA6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E8E4542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AFFC15B" wp14:editId="20A9ABB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303B2F2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21D8B01" w14:textId="77777777" w:rsidR="002D5AAC" w:rsidRPr="00D83807" w:rsidRDefault="00234CA2" w:rsidP="00F90E40">
            <w:pPr>
              <w:spacing w:before="240"/>
              <w:rPr>
                <w:lang w:val="en-US"/>
              </w:rPr>
            </w:pPr>
            <w:r w:rsidRPr="00D83807">
              <w:rPr>
                <w:lang w:val="en-US"/>
              </w:rPr>
              <w:t>Distr.: General</w:t>
            </w:r>
          </w:p>
          <w:p w14:paraId="2C549308" w14:textId="77777777" w:rsidR="00234CA2" w:rsidRPr="00D83807" w:rsidRDefault="00234CA2" w:rsidP="00234CA2">
            <w:pPr>
              <w:spacing w:line="240" w:lineRule="exact"/>
              <w:rPr>
                <w:lang w:val="en-US"/>
              </w:rPr>
            </w:pPr>
            <w:r w:rsidRPr="00D83807">
              <w:rPr>
                <w:lang w:val="en-US"/>
              </w:rPr>
              <w:t>14 August 2024</w:t>
            </w:r>
          </w:p>
          <w:p w14:paraId="0F831F6E" w14:textId="77777777" w:rsidR="00234CA2" w:rsidRPr="00D83807" w:rsidRDefault="00234CA2" w:rsidP="00234CA2">
            <w:pPr>
              <w:spacing w:line="240" w:lineRule="exact"/>
              <w:rPr>
                <w:lang w:val="en-US"/>
              </w:rPr>
            </w:pPr>
            <w:r w:rsidRPr="00D83807">
              <w:rPr>
                <w:lang w:val="en-US"/>
              </w:rPr>
              <w:t>Russian</w:t>
            </w:r>
          </w:p>
          <w:p w14:paraId="3FF4A9B5" w14:textId="66C181C5" w:rsidR="00234CA2" w:rsidRPr="00D83807" w:rsidRDefault="00234CA2" w:rsidP="00234CA2">
            <w:pPr>
              <w:spacing w:line="240" w:lineRule="exact"/>
              <w:rPr>
                <w:lang w:val="en-US"/>
              </w:rPr>
            </w:pPr>
            <w:r w:rsidRPr="00D83807">
              <w:rPr>
                <w:lang w:val="en-US"/>
              </w:rPr>
              <w:t>Original: English</w:t>
            </w:r>
          </w:p>
        </w:tc>
      </w:tr>
    </w:tbl>
    <w:p w14:paraId="670979E3" w14:textId="77777777" w:rsidR="00027F1D" w:rsidRPr="00C50282" w:rsidRDefault="00027F1D" w:rsidP="00027F1D">
      <w:pPr>
        <w:spacing w:before="120"/>
        <w:rPr>
          <w:b/>
          <w:sz w:val="24"/>
          <w:szCs w:val="24"/>
        </w:rPr>
      </w:pPr>
      <w:r w:rsidRPr="00C50282">
        <w:rPr>
          <w:b/>
          <w:bCs/>
          <w:sz w:val="24"/>
          <w:szCs w:val="24"/>
        </w:rPr>
        <w:t>Комитет против пыток</w:t>
      </w:r>
    </w:p>
    <w:p w14:paraId="7195E62F" w14:textId="77777777" w:rsidR="00027F1D" w:rsidRPr="0079202E" w:rsidRDefault="00027F1D" w:rsidP="00027F1D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пятому периодическому докладу Турции</w:t>
      </w:r>
      <w:r w:rsidRPr="00C50282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1EAC886C" w14:textId="6251C4F1" w:rsidR="00027F1D" w:rsidRPr="0079202E" w:rsidRDefault="00027F1D" w:rsidP="00027F1D">
      <w:pPr>
        <w:pStyle w:val="SingleTxtG"/>
      </w:pPr>
      <w:bookmarkStart w:id="0" w:name="_Hlk150943174"/>
      <w:r>
        <w:t>1.</w:t>
      </w:r>
      <w:r>
        <w:tab/>
        <w:t>Комитет рассмотрел пятый периодический доклад Турции</w:t>
      </w:r>
      <w:r w:rsidRPr="00D203ED">
        <w:rPr>
          <w:sz w:val="18"/>
          <w:vertAlign w:val="superscript"/>
        </w:rPr>
        <w:footnoteReference w:id="2"/>
      </w:r>
      <w:r>
        <w:t xml:space="preserve"> на своих 2123-м и 2125-м заседаниях</w:t>
      </w:r>
      <w:r w:rsidR="00C06F27" w:rsidRPr="00D203ED">
        <w:rPr>
          <w:sz w:val="18"/>
          <w:vertAlign w:val="superscript"/>
        </w:rPr>
        <w:footnoteReference w:id="3"/>
      </w:r>
      <w:r>
        <w:t>, состоявшихся 17 и 18 июля 2024 года, и принял настоящие заключительные замечания на своем 2134-м заседании, состоявшемся 25 июля 2024</w:t>
      </w:r>
      <w:r w:rsidR="00C06F27">
        <w:t> </w:t>
      </w:r>
      <w:r>
        <w:t>года.</w:t>
      </w:r>
    </w:p>
    <w:p w14:paraId="5BFA47B6" w14:textId="75FD423D" w:rsidR="00027F1D" w:rsidRPr="0079202E" w:rsidRDefault="00C06F27" w:rsidP="00027F1D">
      <w:pPr>
        <w:pStyle w:val="H1G"/>
      </w:pPr>
      <w:r>
        <w:rPr>
          <w:bCs/>
        </w:rPr>
        <w:tab/>
      </w:r>
      <w:r w:rsidR="00027F1D">
        <w:rPr>
          <w:bCs/>
        </w:rPr>
        <w:t>A.</w:t>
      </w:r>
      <w:r w:rsidR="00027F1D">
        <w:tab/>
      </w:r>
      <w:r w:rsidR="00027F1D">
        <w:rPr>
          <w:bCs/>
        </w:rPr>
        <w:t>Введение</w:t>
      </w:r>
    </w:p>
    <w:p w14:paraId="2B9DFEF7" w14:textId="77777777" w:rsidR="00027F1D" w:rsidRPr="0079202E" w:rsidRDefault="00027F1D" w:rsidP="00027F1D">
      <w:pPr>
        <w:pStyle w:val="SingleTxtG"/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периодического доклада в соответствии с ней, поскольку это способствует совершенствованию сотрудничества между государством-участником и Комитетом и задает более четкую направленность рассмотрению доклада и диалогу с делегацией.</w:t>
      </w:r>
    </w:p>
    <w:p w14:paraId="674B0825" w14:textId="77777777" w:rsidR="00027F1D" w:rsidRPr="0079202E" w:rsidRDefault="00027F1D" w:rsidP="00027F1D">
      <w:pPr>
        <w:pStyle w:val="SingleTxtG"/>
      </w:pPr>
      <w:r>
        <w:t>3.</w:t>
      </w:r>
      <w:r>
        <w:tab/>
        <w:t>Комитет также выражает признательность за возможность проведения конструктивного диалога с делегацией государства-участника и за ответы на вопросы и озабоченности, поднятые в ходе рассмотрения пятого периодического доклада.</w:t>
      </w:r>
    </w:p>
    <w:p w14:paraId="4484590B" w14:textId="0FE3258F" w:rsidR="00027F1D" w:rsidRPr="0079202E" w:rsidRDefault="00C06F27" w:rsidP="00027F1D">
      <w:pPr>
        <w:pStyle w:val="H1G"/>
      </w:pPr>
      <w:r>
        <w:rPr>
          <w:bCs/>
        </w:rPr>
        <w:tab/>
      </w:r>
      <w:r w:rsidR="00027F1D">
        <w:rPr>
          <w:bCs/>
        </w:rPr>
        <w:t>B.</w:t>
      </w:r>
      <w:r w:rsidR="00027F1D">
        <w:tab/>
      </w:r>
      <w:r w:rsidR="00027F1D">
        <w:rPr>
          <w:bCs/>
        </w:rPr>
        <w:t>Позитивные аспекты</w:t>
      </w:r>
    </w:p>
    <w:p w14:paraId="2458E087" w14:textId="0C7954B6" w:rsidR="00027F1D" w:rsidRPr="0079202E" w:rsidRDefault="00027F1D" w:rsidP="00027F1D">
      <w:pPr>
        <w:pStyle w:val="SingleTxtG"/>
      </w:pPr>
      <w:r>
        <w:t>4.</w:t>
      </w:r>
      <w:r>
        <w:tab/>
        <w:t xml:space="preserve">Комитет приветствует принятие государством-участником в 2017 году процедуры расследования в соответствии с Факультативным протоколом к Конвенции о правах ребенка, касающимся процедуры сообщений. Комитет высоко оценивает тот факт, что государство-участник сохраняет свое постоянное приглашение специальным </w:t>
      </w:r>
      <w:r w:rsidR="00C06F27">
        <w:t>процедурам</w:t>
      </w:r>
      <w:r>
        <w:t xml:space="preserve"> Совета по правам человека, что позволило независимым экспертам в течение рассматриваемого периода посетить страну.</w:t>
      </w:r>
      <w:bookmarkStart w:id="1" w:name="_Hlk120625680"/>
    </w:p>
    <w:p w14:paraId="00AA533E" w14:textId="77777777" w:rsidR="00027F1D" w:rsidRPr="0079202E" w:rsidRDefault="00027F1D" w:rsidP="00027F1D">
      <w:pPr>
        <w:pStyle w:val="SingleTxtG"/>
      </w:pPr>
      <w:r>
        <w:t>5.</w:t>
      </w:r>
      <w:r>
        <w:tab/>
        <w:t>Комитет также приветствует инициативы государства-участника по пересмотру и введению в действие законодательства в областях, имеющих отношение к Конвенции, включая следующее:</w:t>
      </w:r>
    </w:p>
    <w:p w14:paraId="21482DD8" w14:textId="2BB49740" w:rsidR="00027F1D" w:rsidRPr="0079202E" w:rsidRDefault="00C06F27" w:rsidP="00027F1D">
      <w:pPr>
        <w:pStyle w:val="SingleTxtG"/>
      </w:pPr>
      <w:r>
        <w:tab/>
      </w:r>
      <w:r w:rsidR="00027F1D">
        <w:t>a)</w:t>
      </w:r>
      <w:r w:rsidR="00027F1D">
        <w:tab/>
        <w:t>Указ Президента № 63 от 10 июня 2020 года о поддержке жертв преступлений, в соответствии с которым был создан Департамент судебной поддержки и оказания услуг жертвам и связанные с ним управления;</w:t>
      </w:r>
    </w:p>
    <w:p w14:paraId="69137369" w14:textId="4A1B4B7D" w:rsidR="00027F1D" w:rsidRPr="0079202E" w:rsidRDefault="00C06F27" w:rsidP="00027F1D">
      <w:pPr>
        <w:pStyle w:val="SingleTxtG"/>
      </w:pPr>
      <w:r>
        <w:tab/>
      </w:r>
      <w:r w:rsidR="00027F1D">
        <w:t>b)</w:t>
      </w:r>
      <w:r w:rsidR="00027F1D">
        <w:tab/>
        <w:t>Закон № 7406 от 27 мая 2022 года о внесении изменений в Уголовный и Уголовно-процессуальный кодексы, в соответствии с которым сталкинг считается уголовным преступлением;</w:t>
      </w:r>
    </w:p>
    <w:p w14:paraId="2A3F747A" w14:textId="142BE111" w:rsidR="00027F1D" w:rsidRPr="0079202E" w:rsidRDefault="00C06F27" w:rsidP="00027F1D">
      <w:pPr>
        <w:pStyle w:val="SingleTxtG"/>
      </w:pPr>
      <w:r>
        <w:lastRenderedPageBreak/>
        <w:tab/>
      </w:r>
      <w:r w:rsidR="00027F1D">
        <w:t>c)</w:t>
      </w:r>
      <w:r w:rsidR="00027F1D">
        <w:tab/>
        <w:t>Циркуляр № 2023/16 от 25 ноября 2023 года, в соответствии с которым был создан Координационный совет по борьбе с насилием в отношении женщин и расширен потенциал центров по предотвращению и мониторингу насилия.</w:t>
      </w:r>
    </w:p>
    <w:p w14:paraId="5F6428B6" w14:textId="77777777" w:rsidR="00027F1D" w:rsidRPr="0079202E" w:rsidRDefault="00027F1D" w:rsidP="00027F1D">
      <w:pPr>
        <w:pStyle w:val="SingleTxtG"/>
      </w:pPr>
      <w:r>
        <w:t>6.</w:t>
      </w:r>
      <w:r>
        <w:tab/>
        <w:t>Комитет высоко оценивает инициативы государства-участника по изменению своих стратегий и процедур в целях обеспечения более эффективной защиты прав человека и применения Конвенции, в частности принятие следующих документов:</w:t>
      </w:r>
    </w:p>
    <w:p w14:paraId="207AB765" w14:textId="7265F6CE" w:rsidR="00027F1D" w:rsidRPr="0079202E" w:rsidRDefault="00C06F27" w:rsidP="00027F1D">
      <w:pPr>
        <w:pStyle w:val="SingleTxtG"/>
      </w:pPr>
      <w:r>
        <w:tab/>
      </w:r>
      <w:r w:rsidR="00027F1D">
        <w:t>a)</w:t>
      </w:r>
      <w:r w:rsidR="00027F1D">
        <w:tab/>
        <w:t>Плана действий в области прав человека на 2021–2023 годы, в 2021 году;</w:t>
      </w:r>
      <w:bookmarkEnd w:id="1"/>
    </w:p>
    <w:p w14:paraId="1EDA5909" w14:textId="4CBA2E6D" w:rsidR="00027F1D" w:rsidRPr="0079202E" w:rsidRDefault="00C06F27" w:rsidP="00027F1D">
      <w:pPr>
        <w:pStyle w:val="SingleTxtG"/>
      </w:pPr>
      <w:r>
        <w:tab/>
      </w:r>
      <w:r w:rsidR="00027F1D">
        <w:t>b)</w:t>
      </w:r>
      <w:r w:rsidR="00027F1D">
        <w:tab/>
        <w:t>Четвертого национального плана действий по борьбе с насилием в отношении женщин на 2021–2025 годы, в 2021 году.</w:t>
      </w:r>
    </w:p>
    <w:p w14:paraId="399682B7" w14:textId="199D2542" w:rsidR="00027F1D" w:rsidRPr="0079202E" w:rsidRDefault="00C06F27" w:rsidP="00027F1D">
      <w:pPr>
        <w:pStyle w:val="H1G"/>
      </w:pPr>
      <w:r>
        <w:rPr>
          <w:bCs/>
        </w:rPr>
        <w:tab/>
      </w:r>
      <w:r w:rsidR="00027F1D">
        <w:rPr>
          <w:bCs/>
        </w:rPr>
        <w:t>C.</w:t>
      </w:r>
      <w:r w:rsidR="00027F1D">
        <w:tab/>
      </w:r>
      <w:r w:rsidR="00027F1D">
        <w:rPr>
          <w:bCs/>
        </w:rPr>
        <w:t>Основные вопросы, вызывающие обеспокоенность, и</w:t>
      </w:r>
      <w:r>
        <w:rPr>
          <w:bCs/>
        </w:rPr>
        <w:t> </w:t>
      </w:r>
      <w:r w:rsidR="00027F1D">
        <w:rPr>
          <w:bCs/>
        </w:rPr>
        <w:t>рекомендации</w:t>
      </w:r>
      <w:r w:rsidR="00027F1D">
        <w:t xml:space="preserve"> </w:t>
      </w:r>
    </w:p>
    <w:p w14:paraId="5E217527" w14:textId="0B80D883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Вопросы последующей деятельности, оставшиеся нерассмотренными со</w:t>
      </w:r>
      <w:r w:rsidR="00C06F27">
        <w:rPr>
          <w:bCs/>
        </w:rPr>
        <w:t> </w:t>
      </w:r>
      <w:r>
        <w:rPr>
          <w:bCs/>
        </w:rPr>
        <w:t>времени предыдущего цикла представления докладов</w:t>
      </w:r>
    </w:p>
    <w:p w14:paraId="44984EBB" w14:textId="5C22042F" w:rsidR="00027F1D" w:rsidRPr="0079202E" w:rsidRDefault="00027F1D" w:rsidP="00027F1D">
      <w:pPr>
        <w:pStyle w:val="SingleTxtG"/>
      </w:pPr>
      <w:r>
        <w:t>7.</w:t>
      </w:r>
      <w:r>
        <w:tab/>
        <w:t>В своих предыдущих заключительных замечаниях</w:t>
      </w:r>
      <w:r w:rsidRPr="00D203ED">
        <w:rPr>
          <w:rStyle w:val="aa"/>
          <w:rFonts w:eastAsia="Calibri"/>
          <w:szCs w:val="18"/>
        </w:rPr>
        <w:footnoteReference w:id="4"/>
      </w:r>
      <w:r>
        <w:t xml:space="preserve"> Комитет просил государство-участник представить информацию о выполнении им рекомендаций Комитета, касающихся: использования встречных обвинений в качестве средства запугивания задержанных лиц или их родственников, с тем чтобы они не сообщали о пытках (п. 10 c)); утверждений о внесудебных казнях и жестоком обращении в ходе контртеррористических операций (п. 14); мер по обеспечению того, чтобы все лица, подлежащие возвращению в соответствии с соглашением между Европейским союзом и Турцией от 18 марта 2016 года, имели право на рассмотрение их дел в индивидуальном порядке, а также чтобы они были защищены от высылки и коллективного принудительного возвращения (п. 26 d)); и задержания и судебного преследования журналистов и правозащитников в качестве средства запугивания или предотвращения их деятельности по свободному освещению событий (п. 44 b)). В</w:t>
      </w:r>
      <w:r w:rsidR="00C06F27">
        <w:t> </w:t>
      </w:r>
      <w:r>
        <w:t>свете информации, содержащейся по этим вопросам в докладе о последующих мерах, представленном государством-участником 8 ноября 2016 года</w:t>
      </w:r>
      <w:r w:rsidRPr="00D203ED">
        <w:rPr>
          <w:rStyle w:val="aa"/>
        </w:rPr>
        <w:footnoteReference w:id="5"/>
      </w:r>
      <w:r>
        <w:t xml:space="preserve"> в ответ на запрос о предоставлении дополнительной информации, направленный Комитетом 31</w:t>
      </w:r>
      <w:r w:rsidR="00C06F27">
        <w:t> </w:t>
      </w:r>
      <w:r>
        <w:t>августа 2016 года в соответствии с процедурой последующих мер в связи с заключительными замечаниями</w:t>
      </w:r>
      <w:r w:rsidRPr="00D203ED">
        <w:rPr>
          <w:rStyle w:val="aa"/>
        </w:rPr>
        <w:footnoteReference w:id="6"/>
      </w:r>
      <w:r>
        <w:t>, и с учетом дополнительной информации, представленной государством-участником в его письме от 24 ноября 2016 года</w:t>
      </w:r>
      <w:r w:rsidRPr="00D203ED">
        <w:rPr>
          <w:rStyle w:val="aa"/>
        </w:rPr>
        <w:footnoteReference w:id="7"/>
      </w:r>
      <w:r>
        <w:t>, Комитет считает, что рекомендации, содержащиеся в пунктах 10 с), 14, 26 d) и 44 b) его предыдущих заключительных замечаний, были выполнены лишь</w:t>
      </w:r>
      <w:r w:rsidR="00C06F27">
        <w:br/>
      </w:r>
      <w:r>
        <w:t xml:space="preserve">частично (см. пп. 20, 24, 30 и 36 настоящего документа). </w:t>
      </w:r>
    </w:p>
    <w:p w14:paraId="2211358D" w14:textId="77777777" w:rsidR="00027F1D" w:rsidRPr="0079202E" w:rsidRDefault="00027F1D" w:rsidP="00027F1D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Определение пытки и ее квалификация в качестве преступления</w:t>
      </w:r>
    </w:p>
    <w:p w14:paraId="09401EFE" w14:textId="68D34E43" w:rsidR="00027F1D" w:rsidRPr="0079202E" w:rsidRDefault="00027F1D" w:rsidP="00027F1D">
      <w:pPr>
        <w:pStyle w:val="SingleTxtG"/>
      </w:pPr>
      <w:r>
        <w:t>8.</w:t>
      </w:r>
      <w:r>
        <w:tab/>
        <w:t>Принимая к сведению представленную государством-участником информацию о том, что внутреннее законодательство, криминализирующее пытки, дополняется и толкуется в свете Конвенции, и учитывая, что международные соглашения, касающиеся основных прав и свобод, превалируют над внутренним законодательством, как это закреплено в статье 90 (5) Конституции государства-участника, Комитет по-прежнему обеспокоен тем, что статья 94 Уголовного кодекса не полностью охватывает определение пытки, содержащееся в Конвенции. В</w:t>
      </w:r>
      <w:r w:rsidR="00C06F27">
        <w:t> </w:t>
      </w:r>
      <w:r>
        <w:t xml:space="preserve">частности, Комитет обеспокоен тем, что определение пытки в национальном законодательстве не содержит ссылки на цель причиняемых страданий и не </w:t>
      </w:r>
      <w:r>
        <w:lastRenderedPageBreak/>
        <w:t xml:space="preserve">предусматривает, что никакие исключительные обстоятельства, будь то состояние войны или угроза войны, внутренняя политическая нестабильность или любое другое чрезвычайное положение, не могут служить оправданием пыток. В этой связи Комитет напоминает о своем замечании общего порядка № 2 (2007), согласно которому серьезные расхождения между определением, содержащимся в Конвенции, и определением, включенным в законодательство государства-участника, открывают реальные или потенциальные лазейки, которые могут способствовать безнаказанности (п. 9) (ст. 1, 2 и 4). </w:t>
      </w:r>
    </w:p>
    <w:p w14:paraId="7BF1B5A9" w14:textId="2C7DECE1" w:rsidR="00027F1D" w:rsidRPr="0079202E" w:rsidRDefault="00027F1D" w:rsidP="00027F1D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повторяет свою предыдущую рекомендацию</w:t>
      </w:r>
      <w:r w:rsidR="00901E5E" w:rsidRPr="007478A9">
        <w:rPr>
          <w:rStyle w:val="aa"/>
        </w:rPr>
        <w:footnoteReference w:id="8"/>
      </w:r>
      <w:r>
        <w:rPr>
          <w:b/>
          <w:bCs/>
        </w:rPr>
        <w:t xml:space="preserve"> государству-участнику привести статью 94 Уголовного кодекса в соответствие с определением пытки, закрепленным в Конвенции, и другими своими обязательствами по ней, в том числе путем определения целей, ради которых причиняются страдания при совершении актов пыток, включения в это определение действий, направленных на запугивание, принуждение или получение информации или признания от лица, не являющегося жертвой, и четкого указания на то, что никакие исключительные обстоятельства, будь то состояние войны или угроза войны, внутренняя политическая нестабильность или любое другое чрезвычайное положение, не могут использоваться в качестве оправдания пыток.</w:t>
      </w:r>
      <w:r>
        <w:t xml:space="preserve"> </w:t>
      </w:r>
    </w:p>
    <w:p w14:paraId="02D307DD" w14:textId="77777777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 и национальный превентивный механизм</w:t>
      </w:r>
    </w:p>
    <w:p w14:paraId="74E15950" w14:textId="77777777" w:rsidR="00027F1D" w:rsidRPr="0079202E" w:rsidRDefault="00027F1D" w:rsidP="00027F1D">
      <w:pPr>
        <w:pStyle w:val="SingleTxtG"/>
      </w:pPr>
      <w:r>
        <w:t>10.</w:t>
      </w:r>
      <w:r>
        <w:tab/>
        <w:t xml:space="preserve">Комитет принимает к сведению недавнее присвоение статуса B Институту по правам человека и равенству Турции Подкомитетом по аккредитации Глобального альянса национальных правозащитных учреждений. В этой связи Комитет выражает обеспокоенность тем, что в учреждении отсутствует разнообразие, в том числе адекватное гендерное представительство среди членов его Совета , и оно не является независимым от исполнительной власти, отмечая, что все члены Совета, включая председателя, назначаются президентом. Комитет обеспокоен тем, что в своей работе в качестве национального превентивного механизма Институт по правам человека и равенству Турции, как утверждается, с неготовностью сообщает о случаях пыток и жестокого обращения (ст. 2, 11 и 16). </w:t>
      </w:r>
    </w:p>
    <w:p w14:paraId="042C3C78" w14:textId="77777777" w:rsidR="00027F1D" w:rsidRPr="007C5F21" w:rsidRDefault="00027F1D" w:rsidP="00027F1D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Государству-участнику следует принять все необходимые меры для гарантирования независимости своего национального правозащитного учреждения, в том числе путем обеспечения его полного соответствия принципам, касающимся статуса национальных учреждений, занимающихся поощрением и защитой прав человека (Парижские принципы).</w:t>
      </w:r>
      <w:r>
        <w:t xml:space="preserve"> </w:t>
      </w:r>
      <w:r w:rsidRPr="007C5F21">
        <w:rPr>
          <w:b/>
          <w:bCs/>
        </w:rPr>
        <w:t xml:space="preserve">При этом Комитет предлагает государству-участнику обратиться за технической поддержкой и консультациями по вопросам укрепления потенциала в Управление Верховного комиссара Организации Объединенных Наций по правам человека и, в случае осуществления им деятельности, связанной с работой национального превентивного механизма, в Подкомитет по предупреждению пыток и других жестоких, бесчеловечных или унижающих достоинство видов обращения и наказания. </w:t>
      </w:r>
    </w:p>
    <w:p w14:paraId="30186917" w14:textId="77777777" w:rsidR="00027F1D" w:rsidRPr="0079202E" w:rsidRDefault="00027F1D" w:rsidP="00027F1D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Основные правовые гарантии</w:t>
      </w:r>
    </w:p>
    <w:p w14:paraId="33845240" w14:textId="4D5B2710" w:rsidR="00027F1D" w:rsidRPr="0079202E" w:rsidRDefault="00027F1D" w:rsidP="00027F1D">
      <w:pPr>
        <w:pStyle w:val="SingleTxtG"/>
      </w:pPr>
      <w:r>
        <w:t>12.</w:t>
      </w:r>
      <w:r>
        <w:tab/>
        <w:t>Комитет выражает обеспокоенность в связи с полученной информацией о том, что лицам, лишенным свободы, не всегда предоставляются достаточные правовые гарантии, в законодательстве и на практике, с самого начала их взятия под страж</w:t>
      </w:r>
      <w:r w:rsidR="002F2D14">
        <w:t>у</w:t>
      </w:r>
      <w:r>
        <w:t>. В</w:t>
      </w:r>
      <w:r w:rsidR="00780A99">
        <w:t> </w:t>
      </w:r>
      <w:r>
        <w:t xml:space="preserve">частности, Комитет обеспокоен тем, что: </w:t>
      </w:r>
    </w:p>
    <w:p w14:paraId="7654323F" w14:textId="4F14731C" w:rsidR="00027F1D" w:rsidRPr="0079202E" w:rsidRDefault="00780A99" w:rsidP="00027F1D">
      <w:pPr>
        <w:pStyle w:val="SingleTxtG"/>
      </w:pPr>
      <w:r>
        <w:tab/>
      </w:r>
      <w:r w:rsidR="00027F1D">
        <w:t>a)</w:t>
      </w:r>
      <w:r w:rsidR="00027F1D">
        <w:tab/>
        <w:t xml:space="preserve">в некоторых случаях, в частности при совершении «групповых преступлений» и преступлений, связанных с терроризмом, лица могут быть задержаны на срок, значительно превышающий 48 часов, без доставки к судье, и на практике </w:t>
      </w:r>
      <w:r w:rsidR="00027F1D">
        <w:lastRenderedPageBreak/>
        <w:t>пределы содержания под стражей, установленные законодательством, иногда обходятся;</w:t>
      </w:r>
    </w:p>
    <w:p w14:paraId="1718824A" w14:textId="209646A0" w:rsidR="00027F1D" w:rsidRPr="0079202E" w:rsidRDefault="00780A99" w:rsidP="00027F1D">
      <w:pPr>
        <w:pStyle w:val="SingleTxtG"/>
      </w:pPr>
      <w:r>
        <w:tab/>
      </w:r>
      <w:r w:rsidR="00027F1D">
        <w:t>b)</w:t>
      </w:r>
      <w:r w:rsidR="00027F1D">
        <w:tab/>
        <w:t>доступ задержанных к адвокату может быть ограничен в течение периода до 24 часов после задержания, подозреваемых иногда допрашивают без консультации с адвокатом или без его присутствия, а конфиденциальность свиданий между адвокатами и их клиентами не обеспечивается. Комитет также обеспокоен тем, что в некоторых случаях адвокатам отказывают в доступе к полным материалам дел их подзащитных и что могут применяться дисциплинарные санкции, приводящие к фактическому бессрочному запрету на контакты между задержанными и их адвокатами, как это, предположительно, имело место в отношении заключенных в тюрьме Имрали;</w:t>
      </w:r>
    </w:p>
    <w:p w14:paraId="224B1DD6" w14:textId="402037B3" w:rsidR="00027F1D" w:rsidRPr="0079202E" w:rsidRDefault="00780A99" w:rsidP="00027F1D">
      <w:pPr>
        <w:pStyle w:val="SingleTxtG"/>
      </w:pPr>
      <w:r>
        <w:tab/>
      </w:r>
      <w:r w:rsidR="00027F1D">
        <w:t>c)</w:t>
      </w:r>
      <w:r w:rsidR="00027F1D">
        <w:tab/>
        <w:t xml:space="preserve">задержанные не имеют возможности пройти независимый медицинский осмотр у врача по своему выбору, медицинские осмотры в некоторых случаях являются поверхностными и не позволяют должным образом зафиксировать следы пыток и жестокого обращения, а сотрудники правоохранительных органов, как сообщается, часто присутствуют при медицинских осмотрах в случаях, когда их присутствие не было запрошено врачом, проводящим осмотр, что нарушает врачебную тайну (ст. 2 и 16). </w:t>
      </w:r>
    </w:p>
    <w:p w14:paraId="36C46320" w14:textId="77777777" w:rsidR="00027F1D" w:rsidRPr="0079202E" w:rsidRDefault="00027F1D" w:rsidP="00027F1D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Государству-участнику следует обеспечить предоставление всех основных правовых гарантий в законодательном порядке и на практике всем задержанным лицам с самого начала лишения их свободы, включая:</w:t>
      </w:r>
    </w:p>
    <w:p w14:paraId="271B87EF" w14:textId="3F3924AE" w:rsidR="00027F1D" w:rsidRPr="00780A99" w:rsidRDefault="00780A99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80A99">
        <w:rPr>
          <w:b/>
          <w:bCs/>
        </w:rPr>
        <w:t>a)</w:t>
      </w:r>
      <w:r w:rsidR="00027F1D" w:rsidRPr="00780A99">
        <w:rPr>
          <w:b/>
          <w:bCs/>
        </w:rPr>
        <w:tab/>
        <w:t>право в срочном порядке предстать перед судьей. В этой связи государству-участнику следует рассмотреть возможность внесения поправок в законодательство, чтобы установить максимальный срок в 48 часов для рассмотрения судьей законности ареста и содержания под стражей без</w:t>
      </w:r>
      <w:r>
        <w:rPr>
          <w:b/>
          <w:bCs/>
        </w:rPr>
        <w:br/>
      </w:r>
      <w:r w:rsidR="00027F1D" w:rsidRPr="00780A99">
        <w:rPr>
          <w:b/>
          <w:bCs/>
        </w:rPr>
        <w:t>каких-либо исключений;</w:t>
      </w:r>
    </w:p>
    <w:p w14:paraId="663AB656" w14:textId="0E410879" w:rsidR="00027F1D" w:rsidRPr="00780A99" w:rsidRDefault="00780A99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80A99">
        <w:rPr>
          <w:b/>
          <w:bCs/>
        </w:rPr>
        <w:t>b)</w:t>
      </w:r>
      <w:r w:rsidR="00027F1D" w:rsidRPr="00780A99">
        <w:rPr>
          <w:b/>
          <w:bCs/>
        </w:rPr>
        <w:tab/>
        <w:t>право на доступ к адвокату по своему выбору и на консультации с ним или на доступ к назначенному адвокату в случае неплатежеспособности, а также гарантии конфиденциальности личных свиданий, в том числе перед допросом, и, если это необходимо и применимо, доступ к бесплатной, независимой и эффективной юридической помощи. Ни при каких обстоятельствах право на консультацию с адвокатом не должно быть ограничено в результате дисциплинарного взыскания;</w:t>
      </w:r>
    </w:p>
    <w:p w14:paraId="7571EB43" w14:textId="6FEEB497" w:rsidR="00027F1D" w:rsidRPr="00780A99" w:rsidRDefault="00780A99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80A99">
        <w:rPr>
          <w:b/>
          <w:bCs/>
        </w:rPr>
        <w:t>c)</w:t>
      </w:r>
      <w:r w:rsidR="00027F1D" w:rsidRPr="00780A99">
        <w:rPr>
          <w:b/>
          <w:bCs/>
        </w:rPr>
        <w:tab/>
        <w:t>право требовать и проходить бесплатный осмотр независимым врачом или врачом по их собственному выбору в условиях полной конфиденциальности. В этой связи государству-участнику следует обеспечить, чтобы все предполагаемые случаи пыток и жестокого обращения оперативно документировались с медицинской точки зрения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с внесенными в него изменениями, и чтобы тщательно велись журналы, содержащие информацию о травмах и других медицинских состояниях задержанных.</w:t>
      </w:r>
      <w:bookmarkEnd w:id="0"/>
    </w:p>
    <w:p w14:paraId="2E5B6A5E" w14:textId="77777777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040C69E6" w14:textId="77777777" w:rsidR="00027F1D" w:rsidRPr="0079202E" w:rsidRDefault="00027F1D" w:rsidP="00027F1D">
      <w:pPr>
        <w:pStyle w:val="SingleTxtG"/>
      </w:pPr>
      <w:r>
        <w:t>14.</w:t>
      </w:r>
      <w:r>
        <w:tab/>
        <w:t>Отмечая значительные усилия, предпринятые государством-участником в последние годы для улучшения условий содержания под стражей и сокращения переполненности тюрем, в том числе путем строительства новых объектов пенитенциарной инфраструктуры и принятия таких законодательных инициатив, как Закон № 7242, Комитет выражает обеспокоенность тем, что:</w:t>
      </w:r>
    </w:p>
    <w:p w14:paraId="6B47568C" w14:textId="267E6CEE" w:rsidR="00027F1D" w:rsidRPr="0079202E" w:rsidRDefault="00780A99" w:rsidP="00027F1D">
      <w:pPr>
        <w:pStyle w:val="SingleTxtG"/>
      </w:pPr>
      <w:r>
        <w:tab/>
      </w:r>
      <w:r w:rsidR="00027F1D">
        <w:t>a)</w:t>
      </w:r>
      <w:r w:rsidR="00027F1D">
        <w:tab/>
        <w:t>за отчетный период в государстве-участнике значительно увеличилось число заключенных, в результате чего переполненность тюремной системы составила более 110</w:t>
      </w:r>
      <w:r>
        <w:t xml:space="preserve"> </w:t>
      </w:r>
      <w:r w:rsidR="00027F1D">
        <w:t>%;</w:t>
      </w:r>
    </w:p>
    <w:p w14:paraId="2AD02954" w14:textId="4FB159C7" w:rsidR="00027F1D" w:rsidRPr="0079202E" w:rsidRDefault="00780A99" w:rsidP="00027F1D">
      <w:pPr>
        <w:pStyle w:val="SingleTxtG"/>
      </w:pPr>
      <w:r>
        <w:lastRenderedPageBreak/>
        <w:tab/>
      </w:r>
      <w:r w:rsidR="00027F1D">
        <w:t>b)</w:t>
      </w:r>
      <w:r w:rsidR="00027F1D">
        <w:tab/>
        <w:t>некоторые заключенные в тюрьмах типа S, Y и других типах тюрем строгого режима содержатся в индивидуальных камерах без надлежащей вентиляции более 22 часов в сутки, что фактически представляет собой одиночное заключение</w:t>
      </w:r>
      <w:r w:rsidR="00027F1D" w:rsidRPr="00D203ED">
        <w:rPr>
          <w:rStyle w:val="aa"/>
        </w:rPr>
        <w:footnoteReference w:id="9"/>
      </w:r>
      <w:r w:rsidR="00027F1D">
        <w:t>;</w:t>
      </w:r>
    </w:p>
    <w:p w14:paraId="0ECE47B9" w14:textId="61CE01CE" w:rsidR="00027F1D" w:rsidRPr="0079202E" w:rsidRDefault="00780A99" w:rsidP="00027F1D">
      <w:pPr>
        <w:pStyle w:val="SingleTxtG"/>
      </w:pPr>
      <w:r>
        <w:tab/>
      </w:r>
      <w:r w:rsidR="00027F1D">
        <w:t>c)</w:t>
      </w:r>
      <w:r w:rsidR="00027F1D">
        <w:tab/>
        <w:t>несмотря на новое законодательство, регулирующее порядок проведения обысков заключенных, обыски с раздеванием («доскональные обыски») иногда проводятся в нарушение законодательства и в обычном порядке, например при переводе заключенных между учреждениями или в больницу, при свиданиях с адвокатами или родственниками, без обоснованных подозрений в совершении правонарушений;</w:t>
      </w:r>
    </w:p>
    <w:p w14:paraId="1AA22D45" w14:textId="372825DC" w:rsidR="00027F1D" w:rsidRPr="0079202E" w:rsidRDefault="00780A99" w:rsidP="00027F1D">
      <w:pPr>
        <w:pStyle w:val="SingleTxtG"/>
      </w:pPr>
      <w:r>
        <w:tab/>
      </w:r>
      <w:r w:rsidR="00027F1D">
        <w:t>d)</w:t>
      </w:r>
      <w:r w:rsidR="00027F1D">
        <w:tab/>
        <w:t>в пенитенциарной системе отсутствует достаточное количество медицинских работников, и заключенные часто подвергаются ограничениям и содержатся в ненадлежащих условиях при переводе в медицинские учреждения и во время лечения. Комитет также обеспокоен полученной информацией о том, что решения о переводе заключенных в больницы иногда принимаются тюремной администрацией, а не медицинскими работниками, что тюремные надзиратели часто присутствуют при медицинских осмотрах и лечении и что заключенным с опасными для жизни заболеваниями отказывают в предварительном освобождении на том основании, что они якобы представляют угрозу для общественной безопасности;</w:t>
      </w:r>
    </w:p>
    <w:p w14:paraId="5AAF7839" w14:textId="1A414396" w:rsidR="00027F1D" w:rsidRPr="0079202E" w:rsidRDefault="00780A99" w:rsidP="00027F1D">
      <w:pPr>
        <w:pStyle w:val="SingleTxtG"/>
      </w:pPr>
      <w:r>
        <w:tab/>
      </w:r>
      <w:r w:rsidR="00027F1D">
        <w:t>e)</w:t>
      </w:r>
      <w:r w:rsidR="00027F1D">
        <w:tab/>
        <w:t>женщины, недавно родившие ребенка, содержатся в неадекватных условиях, не имея достаточного доступа к охране здоровья и соответствующему питанию, чтобы иметь возможность кормить ребенка грудью, и, по сообщениям, женщин арестовывают и заковывают в наручники, когда они еще находятся в больнице для родовспоможения;</w:t>
      </w:r>
    </w:p>
    <w:p w14:paraId="18A3F97A" w14:textId="54CAA317" w:rsidR="00027F1D" w:rsidRPr="0079202E" w:rsidRDefault="00780A99" w:rsidP="00027F1D">
      <w:pPr>
        <w:pStyle w:val="SingleTxtG"/>
      </w:pPr>
      <w:r>
        <w:tab/>
      </w:r>
      <w:r w:rsidR="00027F1D">
        <w:t>f)</w:t>
      </w:r>
      <w:r w:rsidR="00027F1D">
        <w:tab/>
        <w:t>дети, находящиеся в заключении, не имеют возможности в полной мере удовлетворить свои конкретные потребности в плане образования, реабилитации и реинтеграции в общество, причем в наибольшей степени это касается девочек, поскольку режимы и учреждения не разработаны таким образом, чтобы учитывать гендерные особенности. Комитет также обеспокоен низким минимальным возрастом наступления уголовной ответственности в государстве-участнике;</w:t>
      </w:r>
    </w:p>
    <w:p w14:paraId="65A67DD5" w14:textId="54ABBFC9" w:rsidR="00027F1D" w:rsidRPr="0079202E" w:rsidRDefault="00780A99" w:rsidP="00027F1D">
      <w:pPr>
        <w:pStyle w:val="SingleTxtG"/>
      </w:pPr>
      <w:r>
        <w:tab/>
      </w:r>
      <w:r w:rsidR="00027F1D">
        <w:t>g)</w:t>
      </w:r>
      <w:r w:rsidR="00027F1D">
        <w:tab/>
        <w:t>административные и наблюдательные советы, уполномоченные одобрять или отклонять решение об условно-досрочном освобождении заключенных, не обладают институциональной независимостью, поскольку состоят в основном из тюремного персонала, и, как утверждается, действуют с высокой степенью произвола, подрывая, в частности, перспективы освобождения правозащитников, журналистов и заключенных, осужденных по политически мотивированным обвинениям (ст. 2, 11</w:t>
      </w:r>
      <w:r w:rsidR="00754D87" w:rsidRPr="00D203ED">
        <w:t>–</w:t>
      </w:r>
      <w:r w:rsidR="00027F1D">
        <w:t>13 и 16).</w:t>
      </w:r>
    </w:p>
    <w:p w14:paraId="3F363D47" w14:textId="77777777" w:rsidR="00027F1D" w:rsidRPr="0079202E" w:rsidRDefault="00027F1D" w:rsidP="00027F1D">
      <w:pPr>
        <w:pStyle w:val="SingleTxtG"/>
        <w:keepNext/>
        <w:keepLines/>
        <w:rPr>
          <w:b/>
          <w:bCs/>
        </w:rPr>
      </w:pPr>
      <w:r>
        <w:t>15.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1ED9B206" w14:textId="002DC9DC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a)</w:t>
      </w:r>
      <w:r w:rsidR="00027F1D" w:rsidRPr="00754D87">
        <w:rPr>
          <w:b/>
          <w:bCs/>
        </w:rPr>
        <w:tab/>
        <w:t>продолжать усилия по улучшению условий содержания под стражей и снижению переполненности пенитенциарных учреждений, в том числе путем применения мер, не связанных с лишением свободы. В этой связи Комитет обращает внимание государства-участника на Минимальные стандартные правила Организации Объединенных Наций в отношении мер, не связанных с тюремным заключением (Токийские правила),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правила);</w:t>
      </w:r>
    </w:p>
    <w:p w14:paraId="208F52DE" w14:textId="4BA57761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b)</w:t>
      </w:r>
      <w:r w:rsidR="00027F1D" w:rsidRPr="00754D87">
        <w:rPr>
          <w:b/>
          <w:bCs/>
        </w:rPr>
        <w:tab/>
        <w:t xml:space="preserve">обеспечить всем лицам, лишенным свободы, провождение достаточного количества времени вне камер и возможность регулярного значимого социального общения. Кроме того, государству-участнику следует обеспечить, чтобы одиночное заключение, включая фактическое одиночное заключение, не назначалось по причинам, связанным с приговором заключенному, и чтобы оно применялось только в исключительных случаях в </w:t>
      </w:r>
      <w:r w:rsidR="00027F1D" w:rsidRPr="00754D87">
        <w:rPr>
          <w:b/>
          <w:bCs/>
        </w:rPr>
        <w:lastRenderedPageBreak/>
        <w:t>качестве крайней меры, на как можно более короткий срок, при условии независимого рассмотрения и только с санкции компетентного органа. В</w:t>
      </w:r>
      <w:r>
        <w:rPr>
          <w:b/>
          <w:bCs/>
        </w:rPr>
        <w:t> </w:t>
      </w:r>
      <w:r w:rsidR="00027F1D" w:rsidRPr="00754D87">
        <w:rPr>
          <w:b/>
          <w:bCs/>
        </w:rPr>
        <w:t>соответствии с правилами 43–46 Минимальных стандартных правил Организации Объединенных Наций в отношении обращения с заключенными (Правила Нельсона Манделы) одиночное заключение ни при каких обстоятельствах не должно превышать 15 дней;</w:t>
      </w:r>
    </w:p>
    <w:p w14:paraId="356ADB73" w14:textId="25E1A652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c)</w:t>
      </w:r>
      <w:r w:rsidR="00027F1D" w:rsidRPr="00754D87">
        <w:rPr>
          <w:b/>
          <w:bCs/>
        </w:rPr>
        <w:tab/>
        <w:t>ограничить практику обыска с раздеванием лиц, лишенных свободы, исключительными случаями и гарантировать в законодательстве и на практике, чтобы такие обыски проводились только в случае абсолютной необходимости и при наличии обоснованных подозрений в совершении правонарушения, а также при соблюдении критериев необходимости, разумности и пропорциональности, в соответствии с правилами 50–53 Правил Нельсона Манделы;</w:t>
      </w:r>
    </w:p>
    <w:p w14:paraId="5F71AB95" w14:textId="13548CDA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d)</w:t>
      </w:r>
      <w:r w:rsidR="00027F1D" w:rsidRPr="00754D87">
        <w:rPr>
          <w:b/>
          <w:bCs/>
        </w:rPr>
        <w:tab/>
        <w:t>обеспечить выделение людских и материальных ресурсов, необходимых для предоставления заключенным надлежащего медицинского и оздоровительного ухода, воздерживаться от применения средств усмирения к заключенным в медицинских учреждениях, за исключением случаев, когда их использование абсолютно необходимо в качестве меры предосторожности против побега во время перевода или для того, чтобы заключенный не нанес себе или другим увечья или не повредил имущество, соблюдать конфиденциальность отношений между врачом и пациентом и обеспечить, чтобы медицинские работники обладали наивысшими полномочиями при принятии всех решений, касающихся здоровья заключенных, в соответствии с правилами 24</w:t>
      </w:r>
      <w:r w:rsidR="007B2D0A" w:rsidRPr="00754D87">
        <w:rPr>
          <w:b/>
          <w:bCs/>
        </w:rPr>
        <w:t>–</w:t>
      </w:r>
      <w:r w:rsidR="00027F1D" w:rsidRPr="00754D87">
        <w:rPr>
          <w:b/>
          <w:bCs/>
        </w:rPr>
        <w:t>35</w:t>
      </w:r>
      <w:r>
        <w:rPr>
          <w:b/>
          <w:bCs/>
        </w:rPr>
        <w:br/>
      </w:r>
      <w:r w:rsidR="00027F1D" w:rsidRPr="00754D87">
        <w:rPr>
          <w:b/>
          <w:bCs/>
        </w:rPr>
        <w:t>и 47</w:t>
      </w:r>
      <w:r w:rsidR="007B2D0A" w:rsidRPr="00754D87">
        <w:rPr>
          <w:b/>
          <w:bCs/>
        </w:rPr>
        <w:t>–</w:t>
      </w:r>
      <w:r w:rsidR="00027F1D" w:rsidRPr="00754D87">
        <w:rPr>
          <w:b/>
          <w:bCs/>
        </w:rPr>
        <w:t xml:space="preserve">49 Правил Нельсона Манделы; </w:t>
      </w:r>
    </w:p>
    <w:p w14:paraId="26D0670B" w14:textId="58DC9D49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e)</w:t>
      </w:r>
      <w:r w:rsidR="00027F1D" w:rsidRPr="00754D87">
        <w:rPr>
          <w:b/>
          <w:bCs/>
        </w:rPr>
        <w:tab/>
        <w:t>обеспечить, чтобы женщины-заключенные, особенно беременные или находящиеся в тюрьме с детьми, имели доступ к адекватным медицинским, санитарным и гигиеническим услугам, содержались в условиях, учитывающих гендерные особенности, и никогда не подвергались действию средств усмирения во время родовых схваток, во время родов или сразу после родов, в соответствии с правилами 28 и 48 (2) Правил Нельсона Манделы и правилами 5, 24, 42 (2) и (3) и 48</w:t>
      </w:r>
      <w:r w:rsidRPr="00754D87">
        <w:t>–</w:t>
      </w:r>
      <w:r w:rsidR="00027F1D" w:rsidRPr="00754D87">
        <w:rPr>
          <w:b/>
          <w:bCs/>
        </w:rPr>
        <w:t>52 Бангкокских правил;</w:t>
      </w:r>
    </w:p>
    <w:p w14:paraId="240DEAC3" w14:textId="220B87A8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f)</w:t>
      </w:r>
      <w:r w:rsidR="00027F1D" w:rsidRPr="00754D87">
        <w:rPr>
          <w:b/>
          <w:bCs/>
        </w:rPr>
        <w:tab/>
        <w:t>принять законодательные и другие меры, необходимые для повышения минимального возраста наступления уголовной ответственности и обеспечения полного применения стандартов правосудия в отношении несовершеннолетних, принимая во внимание Минимальные стандартные правила Организации Объединенных Наций, касающиеся отправления правосудия в отношении несовершеннолетних (Пекинские правила), и Правила Организации Объединенных Наций, касающиеся защиты несовершеннолетних, лишенных свободы (Гаванские правила);</w:t>
      </w:r>
    </w:p>
    <w:p w14:paraId="44F4058B" w14:textId="2F5FF553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g)</w:t>
      </w:r>
      <w:r w:rsidR="00027F1D" w:rsidRPr="00754D87">
        <w:rPr>
          <w:b/>
          <w:bCs/>
        </w:rPr>
        <w:tab/>
        <w:t xml:space="preserve">рассмотреть возможность пересмотра Положения о центрах наблюдения, классификации и оценки статуса осужденных в части, касающейся состава административных и наблюдательных советов, с целью обеспечения независимости входящих в них членов. В состав советов не должны входить лица, ежедневно общающиеся с заключенными, и они не должны быть излишне предвзятыми, политически или иным образом. </w:t>
      </w:r>
    </w:p>
    <w:p w14:paraId="60858301" w14:textId="77777777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Пожизненное заключение при отягчающих обстоятельствах</w:t>
      </w:r>
    </w:p>
    <w:p w14:paraId="7CFFB193" w14:textId="0F533AF6" w:rsidR="00027F1D" w:rsidRPr="0079202E" w:rsidRDefault="00027F1D" w:rsidP="00027F1D">
      <w:pPr>
        <w:pStyle w:val="SingleTxtG"/>
      </w:pPr>
      <w:r>
        <w:t>16.</w:t>
      </w:r>
      <w:r>
        <w:tab/>
        <w:t xml:space="preserve">Комитет выражает обеспокоенность режимом пожизненного заключения при отягчающих обстоятельствах, который в некоторых случаях не сопровождается никакими перспективами освобождения. Комитет особенно обеспокоен жесткими условиями содержания около 4000 заключенных, отбывающих такие наказания, которые резко ограничивают социальные контакты и посещения, а также тем, что такие ограничения продолжают действовать даже в медсанчастях. Комитет глубоко обеспокоен содержанием под стражей без связи с внешним миром с 25 марта 2021 года Абдуллы Оджалана, Хамили Йылдырыма, Омера Хайри Конара и Вейси Акташа, </w:t>
      </w:r>
      <w:r>
        <w:lastRenderedPageBreak/>
        <w:t xml:space="preserve">которые в настоящее время содержатся в тюрьме Имрали, отмечая, что некоторые из них не имели доступа к своим адвокатам более девяти лет (ст. 2, 11 и 16). </w:t>
      </w:r>
    </w:p>
    <w:p w14:paraId="784C4A09" w14:textId="77777777" w:rsidR="00027F1D" w:rsidRPr="0079202E" w:rsidRDefault="00027F1D" w:rsidP="00027F1D">
      <w:pPr>
        <w:pStyle w:val="SingleTxtG"/>
        <w:rPr>
          <w:rFonts w:eastAsia="Calibri"/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рассмотреть возможность пересмотра Уголовного кодекса и Закона № 5275 об исполнении наказаний и мерах безопасности с целью отмены наказания в виде пожизненного заключения при отягчающих обстоятельствах.</w:t>
      </w:r>
      <w:r>
        <w:t xml:space="preserve"> </w:t>
      </w:r>
      <w:r>
        <w:rPr>
          <w:b/>
          <w:bCs/>
        </w:rPr>
        <w:t>В этой связи государству-участнику следует обеспечить, чтобы заключенные, отбывающие пожизненное заключение, имели перспективу освобождения или сокращения срока наказания через разумный период времени.</w:t>
      </w:r>
      <w:r>
        <w:t xml:space="preserve"> </w:t>
      </w:r>
      <w:r>
        <w:rPr>
          <w:b/>
          <w:bCs/>
        </w:rPr>
        <w:t>Государству-участнику следует также незамедлительно предоставить Абдулле Оджалану, Хамили Йылдырыму, Омеру Хайри Конару и Вейси Акташу возможность свиданий и общения с их семьями и адвокатами и воздерживаться от введения ограничений на такие контакты в соответствии с правилами 43 (3) и 61 Правил Нельсона Манделы.</w:t>
      </w:r>
    </w:p>
    <w:p w14:paraId="21C1425E" w14:textId="77777777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Случаи смерти в местах лишения свободы</w:t>
      </w:r>
    </w:p>
    <w:p w14:paraId="0E1BD6CF" w14:textId="77777777" w:rsidR="00027F1D" w:rsidRPr="0079202E" w:rsidRDefault="00027F1D" w:rsidP="00027F1D">
      <w:pPr>
        <w:pStyle w:val="SingleTxtG"/>
        <w:rPr>
          <w:rFonts w:eastAsia="Calibri"/>
        </w:rPr>
      </w:pPr>
      <w:r>
        <w:t>18.</w:t>
      </w:r>
      <w:r>
        <w:tab/>
        <w:t>Комитет выражает обеспокоенность информацией о том, что случаи смерти в местах лишения свободы расследуются недостаточно, а проводимые расследования не предусматривают значимого участия членов семьи, законных представителей погибших и их семей, а также независимого мониторинга со стороны гражданского общества. Комитет сожалеет об отсутствии представленных государством-участником данных о случаях смерти в местах лишения свободы и публичной отчетности о таких случаях смерти (ст. 2, 11–13 и 16).</w:t>
      </w:r>
    </w:p>
    <w:p w14:paraId="5D0C81B0" w14:textId="173D6FB4" w:rsidR="00027F1D" w:rsidRPr="0079202E" w:rsidRDefault="00027F1D" w:rsidP="00027F1D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Государству-участнику следует принять меры для обеспечения того, чтобы все случаи смерти в местах лишения свободы оперативно и беспристрастно расследовались независимым органом, в том числе путем проведения</w:t>
      </w:r>
      <w:r w:rsidR="00754D87">
        <w:rPr>
          <w:b/>
          <w:bCs/>
        </w:rPr>
        <w:br/>
      </w:r>
      <w:r>
        <w:rPr>
          <w:b/>
          <w:bCs/>
        </w:rPr>
        <w:t>судебно-медицинской экспертизы, с должным учетом Миннесотского протокола по расследованию предположительно незаконного лишения жизни, и, в случае необходимости, применять соответствующие санкции.</w:t>
      </w:r>
      <w:r>
        <w:t xml:space="preserve"> </w:t>
      </w:r>
      <w:r>
        <w:rPr>
          <w:b/>
          <w:bCs/>
        </w:rPr>
        <w:t>Государству-участнику следует вести актуальные и дезагрегированные данные о случаях смерти в местах лишения свободы, их причинах и результатах расследований.</w:t>
      </w:r>
    </w:p>
    <w:p w14:paraId="43D82982" w14:textId="77777777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Заявления o пытках и жестоком обращении</w:t>
      </w:r>
    </w:p>
    <w:p w14:paraId="56BD41A2" w14:textId="4ACCB119" w:rsidR="00027F1D" w:rsidRPr="0079202E" w:rsidRDefault="00027F1D" w:rsidP="00027F1D">
      <w:pPr>
        <w:pStyle w:val="SingleTxtG"/>
        <w:rPr>
          <w:rFonts w:eastAsia="Calibri"/>
        </w:rPr>
      </w:pPr>
      <w:r>
        <w:t>20.</w:t>
      </w:r>
      <w:r>
        <w:tab/>
        <w:t xml:space="preserve">Комитет обеспокоен утверждениями о том, что пытки и жестокое обращение по-прежнему имеют место в государстве-участнике в целом, в частности в центрах содержания под стражей, включая утверждения об избиениях, сексуальных посягательствах и домогательствах со стороны сотрудников правоохранительных органов и разведки, а также о применении в некоторых случаях электрошока и </w:t>
      </w:r>
      <w:proofErr w:type="gramStart"/>
      <w:r>
        <w:t>погружения</w:t>
      </w:r>
      <w:proofErr w:type="gramEnd"/>
      <w:r>
        <w:t xml:space="preserve"> пытаемого в воду. Комитет особенно обеспокоен ростом числа заявлений о пытках и жестоком обращении после попытки переворота в 2016 году, в том числе с целью получения признаний, после землетрясения на юго-востоке страны в 2023 году и в контексте контртеррористических операций. Комитет также обеспокоен тем, что контртеррористическое законодательство, включая Закон № 3713 о борьбе с терроризмом, часто используется для ограничения основных правовых гарантий, включая доступ к адвокату и право на рассмотрение законности задержания, в нарушение международных стандартов (ст. 2, 4, 11</w:t>
      </w:r>
      <w:r w:rsidR="00754D87" w:rsidRPr="00D203ED">
        <w:t>–</w:t>
      </w:r>
      <w:r>
        <w:t>13, 15 и 16).</w:t>
      </w:r>
    </w:p>
    <w:p w14:paraId="358BC2C9" w14:textId="77777777" w:rsidR="00027F1D" w:rsidRPr="0079202E" w:rsidRDefault="00027F1D" w:rsidP="00027F1D">
      <w:pPr>
        <w:pStyle w:val="SingleTxtG"/>
        <w:rPr>
          <w:rFonts w:eastAsia="Calibri"/>
          <w:b/>
          <w:bCs/>
        </w:rPr>
      </w:pPr>
      <w:r>
        <w:t>21.</w:t>
      </w:r>
      <w:r>
        <w:tab/>
      </w:r>
      <w:r>
        <w:rPr>
          <w:b/>
          <w:bCs/>
        </w:rPr>
        <w:t>Государству-участнику следует:</w:t>
      </w:r>
    </w:p>
    <w:p w14:paraId="4DBC782E" w14:textId="33ADFEA8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a)</w:t>
      </w:r>
      <w:r w:rsidR="00027F1D" w:rsidRPr="00754D87">
        <w:rPr>
          <w:b/>
          <w:bCs/>
        </w:rPr>
        <w:tab/>
        <w:t>проводить быстрые, беспристрастные, тщательные, эффективные и независимые расследования всех заявлений о пытках и жестоком обращении со стороны сотрудников правоохранительных органов и разведслужб, обеспечить, чтобы органы, не имеющие иерархических связей с предполагаемым преступником или преступниками, начинали расследование ex officio во всех случаях, когда есть разумные основания полагать, что был совершен акт пыток или жестокого обращения, и обеспечить, чтобы лица, подозреваемые в совершении таких действий, немедленно отстранялись от исполнения своих обязанностей на период расследования, обеспечивая при этом соблюдение принципа презумпции невиновности;</w:t>
      </w:r>
    </w:p>
    <w:p w14:paraId="525B4A69" w14:textId="350F3BCA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027F1D" w:rsidRPr="00754D87">
        <w:rPr>
          <w:b/>
          <w:bCs/>
        </w:rPr>
        <w:t>b)</w:t>
      </w:r>
      <w:r w:rsidR="00027F1D" w:rsidRPr="00754D87">
        <w:rPr>
          <w:b/>
          <w:bCs/>
        </w:rPr>
        <w:tab/>
        <w:t>преследовать в судебном порядке всех лиц, подозреваемых в совершении пыток или жестокого обращения, и, в случае признания их виновными, обеспечивать вынесение им приговора, соразмерного тяжести совершенных ими деяний, а также своевременное предоставление жертвам и/или членам их семей надлежащего возмещения и компенсации. В этой связи государству-участнику следует обеспечить, чтобы принятые в период чрезвычайного положения законы и административные разрешения, запрещающие судебное преследование, не приводили к безнаказанности;</w:t>
      </w:r>
    </w:p>
    <w:p w14:paraId="134285D9" w14:textId="2475762C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c)</w:t>
      </w:r>
      <w:r w:rsidR="00027F1D" w:rsidRPr="00754D87">
        <w:rPr>
          <w:b/>
          <w:bCs/>
        </w:rPr>
        <w:tab/>
        <w:t>рассмотреть возможность пересмотра своего внутреннего законодательства в части, касающейся преступлений терроризма, с тем чтобы убедиться в том, что такое законодательство, а также политика и практика государства-участника в области борьбы с терроризмом и национальной безопасности полностью соответствуют обязательствам, изложенным в Конвенции, и что существуют адекватные и эффективные правовые гарантии.</w:t>
      </w:r>
    </w:p>
    <w:p w14:paraId="7A15984A" w14:textId="77777777" w:rsidR="00027F1D" w:rsidRPr="0079202E" w:rsidRDefault="00027F1D" w:rsidP="00027F1D">
      <w:pPr>
        <w:pStyle w:val="H23G"/>
        <w:rPr>
          <w:bCs/>
        </w:rPr>
      </w:pPr>
      <w:r>
        <w:tab/>
      </w:r>
      <w:r>
        <w:tab/>
      </w:r>
      <w:r>
        <w:rPr>
          <w:bCs/>
        </w:rPr>
        <w:t>Чрезмерное применение силы сотрудниками правоохранительных органов</w:t>
      </w:r>
    </w:p>
    <w:p w14:paraId="29805382" w14:textId="335D85BA" w:rsidR="00027F1D" w:rsidRPr="0079202E" w:rsidRDefault="00027F1D" w:rsidP="00027F1D">
      <w:pPr>
        <w:pStyle w:val="SingleTxtG"/>
      </w:pPr>
      <w:r>
        <w:t>22.</w:t>
      </w:r>
      <w:r>
        <w:tab/>
        <w:t>Комитет обеспокоен поправками к Закону № 2559 об обязанностях и полномочиях полиции в контексте так называемого «Пакета мер по обеспечению внутренней безопасности», которые, как представляется, разрешают сотрудникам правоохранительных органов применять смертоносную силу в ситуациях, отличных от тех, в которых это абсолютно необходимо для защиты жизни, например в целях предотвращения уничтожения имущества. Комитет также обеспокоен утверждениями о чрезмерном применении силы сотрудниками правоохранительных органов в контексте осуществления функций полиции и разгона протестов и использовании недопустимых средств усмирения в контексте публичных собраний, таких как с</w:t>
      </w:r>
      <w:r w:rsidRPr="00363FAF">
        <w:t>ковывание рук наручниками за спиной</w:t>
      </w:r>
      <w:r>
        <w:t>, а также о явно произвольном применении Закона № 2911 о публичных собраниях и демонстрациях для оправдания арестов, нарушающих право на свободу мирных собраний (ст. 2, 4, 11</w:t>
      </w:r>
      <w:r w:rsidR="00754D87" w:rsidRPr="00D203ED">
        <w:t>–</w:t>
      </w:r>
      <w:r>
        <w:t>13 и 16).</w:t>
      </w:r>
    </w:p>
    <w:p w14:paraId="3B10692F" w14:textId="77777777" w:rsidR="00027F1D" w:rsidRPr="0079202E" w:rsidRDefault="00027F1D" w:rsidP="00027F1D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FA00A6F" w14:textId="75D434E1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a)</w:t>
      </w:r>
      <w:r w:rsidR="00027F1D" w:rsidRPr="00754D87">
        <w:rPr>
          <w:b/>
          <w:bCs/>
        </w:rPr>
        <w:tab/>
        <w:t>рассмотреть возможность пересмотра своего законодательства о применении силы с целью приведения его в соответствие с международными стандартами, разработать четкие руководящие принципы, включающие принципы законности, необходимости и пропорциональности, а также принцип предосторожности, и активизировать усилия по обеспечению обязательного и всестороннего обучения всех сотрудников правоохранительных органов этим международным стандартам. В этой связи Комитет обращает внимание государства-участника на Основные принципы применения силы и огнестрельного оружия должностными лицами по поддержанию правопорядка, Руководство Организации Объединенных Наций по соблюдению прав человека при применении менее смертоносного оружия в правоохранительной деятельности и Типовой протокол для сотрудников правоохранительных органов, касающийся поощрения и защиты прав человека в контексте мирных протестов;</w:t>
      </w:r>
    </w:p>
    <w:p w14:paraId="39BD46C6" w14:textId="68FDA322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b)</w:t>
      </w:r>
      <w:r w:rsidR="00027F1D" w:rsidRPr="00754D87">
        <w:rPr>
          <w:b/>
          <w:bCs/>
        </w:rPr>
        <w:tab/>
        <w:t>обеспечить проведение оперативных, беспристрастных, эффективных и независимых расследований всех заявлений о пытках, жестоком обращении и чрезмерном применении силы сотрудниками правоохранительных органов, привлечение совершающих такие акты лиц к ответственности и, в случае признания их виновными, вынесение им наказаний, соразмерных тяжести совершенных ими деяний, а также предоставление жертвам адекватной компенсации;</w:t>
      </w:r>
    </w:p>
    <w:p w14:paraId="2D50FCE9" w14:textId="656831E1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c)</w:t>
      </w:r>
      <w:r w:rsidR="00027F1D" w:rsidRPr="00754D87">
        <w:rPr>
          <w:b/>
          <w:bCs/>
        </w:rPr>
        <w:tab/>
        <w:t xml:space="preserve">запретить использование методов усмирения, причиняющих ненужную боль и страдания, таких как сковывание рук наручниками за спиной, и обеспечить, чтобы усмирительные средства применялись только в качестве крайней меры, на максимально короткий срок и при условии строгого регулирования, надзора, контроля и документирования. Государству-участнику следует рассмотреть вопрос об оснащении сотрудников правоохранительных </w:t>
      </w:r>
      <w:r w:rsidR="00027F1D" w:rsidRPr="00754D87">
        <w:rPr>
          <w:b/>
          <w:bCs/>
        </w:rPr>
        <w:lastRenderedPageBreak/>
        <w:t>органов нательными камерами, когда они участвуют в полицейском патрулировании на публичных собраниях и, в более общем плане, во всех случаях, когда возможно применение силы;</w:t>
      </w:r>
    </w:p>
    <w:p w14:paraId="17034E77" w14:textId="694E7F78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d)</w:t>
      </w:r>
      <w:r w:rsidR="00027F1D" w:rsidRPr="00754D87">
        <w:rPr>
          <w:b/>
          <w:bCs/>
        </w:rPr>
        <w:tab/>
        <w:t>обеспечить защиту всех лиц от любых преследований или насилия, которым они могут подвергнуться в результате простого осуществления свободы мнений и их выражения, а также их прав на свободу ассоциации и мирных собраний.</w:t>
      </w:r>
    </w:p>
    <w:p w14:paraId="74E5DA35" w14:textId="77777777" w:rsidR="00027F1D" w:rsidRPr="0079202E" w:rsidRDefault="00027F1D" w:rsidP="00027F1D">
      <w:pPr>
        <w:pStyle w:val="H23G"/>
        <w:rPr>
          <w:rFonts w:eastAsiaTheme="minorHAnsi"/>
        </w:rPr>
      </w:pPr>
      <w:r>
        <w:tab/>
      </w:r>
      <w:r>
        <w:tab/>
      </w:r>
      <w:r>
        <w:rPr>
          <w:bCs/>
        </w:rPr>
        <w:t>Принцип невысылки</w:t>
      </w:r>
      <w:r>
        <w:t xml:space="preserve"> </w:t>
      </w:r>
    </w:p>
    <w:p w14:paraId="30F11F30" w14:textId="6F5BA913" w:rsidR="00027F1D" w:rsidRPr="0079202E" w:rsidRDefault="00027F1D" w:rsidP="00027F1D">
      <w:pPr>
        <w:pStyle w:val="SingleTxtG"/>
      </w:pPr>
      <w:r>
        <w:t>24.</w:t>
      </w:r>
      <w:r>
        <w:tab/>
        <w:t>Хотя Комитет отмечает значительные усилия государства-участника по реагированию на кризисы беженцев в регионе, он обеспокоен утверждениями о чрезмерном применении силы пограничной полицией в отношении мигрантов и лиц, ищущих убежища, в пунктах перехода границы. Комитет обеспокоен содержанием семей с детьми в центрах высылки и сожалеет, что государство-участник сохраняет свое заявление в отношении Конвенции о статусе беженцев и Протокола к ней, которое предполагает отказ в статусе беженца лицам, ищущим убежища за пределами Европы</w:t>
      </w:r>
      <w:r w:rsidR="00754D87">
        <w:t> </w:t>
      </w:r>
      <w:r>
        <w:t xml:space="preserve">(ст. 2, 3, 11–13 и 16). </w:t>
      </w:r>
    </w:p>
    <w:p w14:paraId="2D4638B3" w14:textId="77777777" w:rsidR="00027F1D" w:rsidRPr="0079202E" w:rsidRDefault="00027F1D" w:rsidP="00027F1D">
      <w:pPr>
        <w:pStyle w:val="SingleTxtG"/>
        <w:rPr>
          <w:rFonts w:eastAsia="Calibri"/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следует:</w:t>
      </w:r>
    </w:p>
    <w:p w14:paraId="79F9F0B5" w14:textId="2A723D82" w:rsidR="00027F1D" w:rsidRPr="0079202E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>
        <w:rPr>
          <w:b/>
          <w:bCs/>
        </w:rPr>
        <w:t>a</w:t>
      </w:r>
      <w:r w:rsidR="00027F1D">
        <w:t>)</w:t>
      </w:r>
      <w:r w:rsidR="00027F1D">
        <w:tab/>
      </w:r>
      <w:r w:rsidR="00027F1D">
        <w:rPr>
          <w:b/>
          <w:bCs/>
        </w:rPr>
        <w:t>обеспечить в законодательстве и на практике, чтобы ни одно лицо не могло быть выслано, возвращено или экстрадировано в другое государство, если имеются серьезные основания полагать, что ему будет угрожать опасность подвергнуться пыткам, и гарантировать практический доступ к процессуальным гарантиям, включая право обжаловать решения об отклонении поданного ходатайства с автоматическим приостановлением действия вынесенного решения;</w:t>
      </w:r>
    </w:p>
    <w:p w14:paraId="04944D1D" w14:textId="7BAE6496" w:rsidR="00027F1D" w:rsidRPr="0079202E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>
        <w:rPr>
          <w:b/>
          <w:bCs/>
        </w:rPr>
        <w:t>b</w:t>
      </w:r>
      <w:r w:rsidR="00027F1D">
        <w:t>)</w:t>
      </w:r>
      <w:r w:rsidR="00027F1D">
        <w:tab/>
      </w:r>
      <w:r w:rsidR="00027F1D">
        <w:rPr>
          <w:b/>
          <w:bCs/>
        </w:rPr>
        <w:t>проводить оперативные, беспристрастные, независимые и эффективные расследования всех заявлений о чрезмерном применении силы всеми сотрудниками правоохранительных органов, которым поручено решать вопросы, связанные с миграцией, привлекать к ответственности всех лиц, подозреваемых в применении чрезмерной силы, и, в случае признания их виновными, обеспечивать вынесение им наказаний, соразмерных тяжести совершенных ими деяний, и своевременное предоставление жертвам и/или членам их семей надлежащего возмещения и компенсации;</w:t>
      </w:r>
      <w:bookmarkStart w:id="2" w:name="_Hlk172813687"/>
      <w:bookmarkEnd w:id="2"/>
    </w:p>
    <w:p w14:paraId="485F00AA" w14:textId="6DD8DC55" w:rsidR="00027F1D" w:rsidRPr="0079202E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>
        <w:rPr>
          <w:b/>
          <w:bCs/>
        </w:rPr>
        <w:t>c</w:t>
      </w:r>
      <w:r w:rsidR="00027F1D">
        <w:t>)</w:t>
      </w:r>
      <w:r w:rsidR="00027F1D">
        <w:tab/>
      </w:r>
      <w:r w:rsidR="00027F1D">
        <w:rPr>
          <w:b/>
          <w:bCs/>
        </w:rPr>
        <w:t>обеспечивать, чтобы содержание под стражей в целях депортации применялось только в качестве крайней меры, когда оно признано строго необходимым и соразмерным в свете конкретных обстоятельств того или иного лица, и на как можно более короткий срок.</w:t>
      </w:r>
      <w:r w:rsidR="00027F1D">
        <w:t xml:space="preserve"> </w:t>
      </w:r>
      <w:r w:rsidR="00027F1D">
        <w:rPr>
          <w:b/>
          <w:bCs/>
        </w:rPr>
        <w:t>Государству-участнику следует активизировать свои усилия по расширению применения мер, не связанных с лишением свободы.</w:t>
      </w:r>
      <w:r w:rsidR="00027F1D">
        <w:t xml:space="preserve"> </w:t>
      </w:r>
      <w:r w:rsidR="00027F1D">
        <w:rPr>
          <w:b/>
          <w:bCs/>
        </w:rPr>
        <w:t>Дети и семьи с детьми не должны задерживаться только</w:t>
      </w:r>
      <w:r w:rsidR="000A4DA5">
        <w:rPr>
          <w:b/>
          <w:bCs/>
        </w:rPr>
        <w:br/>
      </w:r>
      <w:r w:rsidR="00027F1D">
        <w:rPr>
          <w:b/>
          <w:bCs/>
        </w:rPr>
        <w:t>из-за их иммиграционного статуса;</w:t>
      </w:r>
    </w:p>
    <w:p w14:paraId="7FA95D42" w14:textId="3312728C" w:rsidR="00027F1D" w:rsidRPr="0079202E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>
        <w:rPr>
          <w:b/>
          <w:bCs/>
        </w:rPr>
        <w:t>d</w:t>
      </w:r>
      <w:r w:rsidR="00027F1D">
        <w:t>)</w:t>
      </w:r>
      <w:r w:rsidR="00027F1D">
        <w:tab/>
      </w:r>
      <w:r w:rsidR="00027F1D">
        <w:rPr>
          <w:b/>
          <w:bCs/>
        </w:rPr>
        <w:t>рассмотреть возможность отзыва своего заявления в отношении Конвенции о статусе беженцев и Протокола к ней.</w:t>
      </w:r>
    </w:p>
    <w:p w14:paraId="1F6BB593" w14:textId="77777777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Принудительная выдача и экстрадиция</w:t>
      </w:r>
    </w:p>
    <w:p w14:paraId="022180FA" w14:textId="094D2DAC" w:rsidR="00027F1D" w:rsidRPr="0079202E" w:rsidRDefault="00027F1D" w:rsidP="00027F1D">
      <w:pPr>
        <w:pStyle w:val="SingleTxtG"/>
      </w:pPr>
      <w:r>
        <w:t>26.</w:t>
      </w:r>
      <w:r>
        <w:tab/>
        <w:t>Комитет выражает обеспокоенность в связи с утверждениями о систематической практике спонсируемых государством экстерриториальных похищений и насильственных возвращений лиц, предположительно связанных с движением «Хизмет/Гюлен», в координации с властями Афганистана, Албании, Азербайджана, Габона, Казахстана, Камбоджи, Ливана и Пакистана, а также с властями Косово</w:t>
      </w:r>
      <w:r w:rsidR="00754D87" w:rsidRPr="00D203ED">
        <w:rPr>
          <w:rStyle w:val="aa"/>
        </w:rPr>
        <w:footnoteReference w:id="10"/>
      </w:r>
      <w:r>
        <w:t xml:space="preserve">, о чем ранее говорили несколько мандатариев специальных </w:t>
      </w:r>
      <w:r>
        <w:lastRenderedPageBreak/>
        <w:t>процедур</w:t>
      </w:r>
      <w:r w:rsidR="00754D87" w:rsidRPr="00D203ED">
        <w:rPr>
          <w:rStyle w:val="aa"/>
        </w:rPr>
        <w:footnoteReference w:id="11"/>
      </w:r>
      <w:r>
        <w:t>. Утверждается, что такие похищения происходили при участии Национальной разведывательной организации (Millî İstihbarat Teşkilatı) и сопровождались такими нарушениями прав человека, как насильственные исчезновения и другие формы пыток и жестокого обращения (ст. 2, 3, 11</w:t>
      </w:r>
      <w:r w:rsidR="00754D87" w:rsidRPr="00D203ED">
        <w:t>–</w:t>
      </w:r>
      <w:r>
        <w:t xml:space="preserve">13 и 16). </w:t>
      </w:r>
    </w:p>
    <w:p w14:paraId="5A5DAF9D" w14:textId="77777777" w:rsidR="00027F1D" w:rsidRPr="0079202E" w:rsidRDefault="00027F1D" w:rsidP="00027F1D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следует:</w:t>
      </w:r>
    </w:p>
    <w:p w14:paraId="57270E1A" w14:textId="6DA18126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a)</w:t>
      </w:r>
      <w:r w:rsidR="00027F1D" w:rsidRPr="00754D87">
        <w:rPr>
          <w:b/>
          <w:bCs/>
        </w:rPr>
        <w:tab/>
        <w:t>прекратить все внесудебные экстрадиции и выдачи, в том числе лиц с мнимыми или реальными связями с движением «Хизмет/Гюлен», а также под предлогом борьбы с терроризмом;</w:t>
      </w:r>
    </w:p>
    <w:p w14:paraId="1054D3CA" w14:textId="67E483C4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b)</w:t>
      </w:r>
      <w:r w:rsidR="00027F1D" w:rsidRPr="00754D87">
        <w:rPr>
          <w:b/>
          <w:bCs/>
        </w:rPr>
        <w:tab/>
        <w:t>ввести конкретную уголовную ответственность за насильственные исчезновения и обеспечить, чтобы все случаи насильственных исчезновений и других форм пыток и жестокого обращения расследовались независимо, эффективно, тщательно и беспристрастно, чтобы совершившие эти акты лица были привлечены к ответственности и, в случае признания их виновными, понесли наказание, соразмерное преступлению. В этой связи необходимо устранить все законодательные и административные барьеры на пути судебного преследования сотрудников турецких разведслужб, которые могут привести к безнаказанности;</w:t>
      </w:r>
    </w:p>
    <w:p w14:paraId="214DA5C8" w14:textId="449FE4DF" w:rsidR="00027F1D" w:rsidRPr="00754D87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c)</w:t>
      </w:r>
      <w:r w:rsidR="00027F1D" w:rsidRPr="00754D87">
        <w:rPr>
          <w:b/>
          <w:bCs/>
        </w:rPr>
        <w:tab/>
        <w:t>обеспечить, чтобы жертвы чрезвычайной выдачи и насильственных исчезновений и/или их семьи получили возмещение, включая адекватную компенсацию и реабилитацию;</w:t>
      </w:r>
    </w:p>
    <w:p w14:paraId="3ADDA261" w14:textId="451C23B7" w:rsidR="00027F1D" w:rsidRPr="0079202E" w:rsidRDefault="00754D87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754D87">
        <w:rPr>
          <w:b/>
          <w:bCs/>
        </w:rPr>
        <w:t>d)</w:t>
      </w:r>
      <w:r w:rsidR="00027F1D" w:rsidRPr="00754D87">
        <w:rPr>
          <w:b/>
          <w:bCs/>
        </w:rPr>
        <w:tab/>
        <w:t>рассмотреть возможность ратификации Международной конвенции для защиты всех лиц от насильственных исчезновений.</w:t>
      </w:r>
    </w:p>
    <w:p w14:paraId="63AB29F8" w14:textId="77777777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Чрезвычайное положение</w:t>
      </w:r>
    </w:p>
    <w:p w14:paraId="3875FAEB" w14:textId="19C4FC30" w:rsidR="00027F1D" w:rsidRPr="0079202E" w:rsidRDefault="00027F1D" w:rsidP="00027F1D">
      <w:pPr>
        <w:pStyle w:val="SingleTxtG"/>
      </w:pPr>
      <w:r>
        <w:t>28.</w:t>
      </w:r>
      <w:r>
        <w:tab/>
        <w:t>Комитет принимает к сведению информацию, представленную государством-участником, в том числе в его письме от 8 ноября 2016 года, относительно чрезвычайного положения, действовавшего в Турции с 21 июля 2016 года по 18 июля 2018 года, и связанных с ним отступлений от обязательств по Международному пакту о гражданских и политических правах и Конвенции о защите прав человека и основных свобод (Европейская конвенция о правах человека). В то же время Комитет выражает обеспокоенность тем, что многочисленные указы, принятые в ответ на исключительные обстоятельства чрезвычайной ситуации, объявленной государством-участником, приобрели постоянное действие на основании Закона № 7145. Комитет подчеркивает, что постоянное применение исключительных мер, которые иногда могут быть необходимы для устранения угроз выживанию нации, не подходит для обычного устойчивого управления и никогда не должно приводить к безнаказанности за акты пыток или жестокого обращения (ст. 2, 11</w:t>
      </w:r>
      <w:r w:rsidR="00754D87" w:rsidRPr="00D203ED">
        <w:t>–</w:t>
      </w:r>
      <w:r>
        <w:t>13 и 16).</w:t>
      </w:r>
    </w:p>
    <w:p w14:paraId="2127CB76" w14:textId="43FA71DE" w:rsidR="00027F1D" w:rsidRPr="0079202E" w:rsidRDefault="00027F1D" w:rsidP="00027F1D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Принимая во внимание принципы необходимости и соразмерности, государству-участнику следует в срочном порядке рассмотреть вопрос об отмене чрезвычайных законодательных актов, которые впоследствии были на постоянной основе закреплены в законодательстве, или их положений, негативно влияющих на выполнение его обязательств по Конвенции, в том числе в части, касающейся основных правовых гарантий против пыток, а также расследования и судебного преследования по факту случаев пыток и жестокого обращения.</w:t>
      </w:r>
      <w:r>
        <w:t xml:space="preserve"> </w:t>
      </w:r>
      <w:r>
        <w:rPr>
          <w:b/>
          <w:bCs/>
        </w:rPr>
        <w:t>В</w:t>
      </w:r>
      <w:r w:rsidR="00754D87">
        <w:rPr>
          <w:b/>
          <w:bCs/>
        </w:rPr>
        <w:t> </w:t>
      </w:r>
      <w:r>
        <w:rPr>
          <w:b/>
          <w:bCs/>
        </w:rPr>
        <w:t>этой связи государству-участнику следует обеспечить, чтобы в законодательстве и на практике были гарантированы все основные правовые гарантии от пыток и жестокого обращения, чтобы все акты пыток оперативно, эффективно и беспристрастно расследовались, чтобы виновные привлекались к ответственности и, в случае осуждения, надлежащим образом наказывались, а жертвы и/или их семьи получали возмещение, включая адекватную компенсацию и средства для как можно более полной реабилитации.</w:t>
      </w:r>
    </w:p>
    <w:p w14:paraId="0EB5294A" w14:textId="77777777" w:rsidR="00027F1D" w:rsidRPr="0079202E" w:rsidRDefault="00027F1D" w:rsidP="00027F1D">
      <w:pPr>
        <w:pStyle w:val="H23G"/>
      </w:pPr>
      <w:r>
        <w:lastRenderedPageBreak/>
        <w:tab/>
      </w:r>
      <w:r>
        <w:tab/>
      </w:r>
      <w:r>
        <w:rPr>
          <w:bCs/>
        </w:rPr>
        <w:t>Правозащитники и журналисты</w:t>
      </w:r>
    </w:p>
    <w:p w14:paraId="56FDB0EE" w14:textId="117CA781" w:rsidR="00027F1D" w:rsidRPr="0079202E" w:rsidRDefault="00027F1D" w:rsidP="00027F1D">
      <w:pPr>
        <w:pStyle w:val="SingleTxtG"/>
      </w:pPr>
      <w:r>
        <w:t>30.</w:t>
      </w:r>
      <w:r>
        <w:tab/>
        <w:t>Комитет обеспокоен тем, что правозащитники и журналисты в государстве-участнике предположительно сталкиваются с угрозами, физическими притеснениями, арестами, судебным преследованием, пытками и жестоким обращением в результате законного осуществления ими своих прав на свободу мнений и их выражения, свободу мирных собраний и свободу ассоциации, а также права на поощрение и защиту прав человека. В частности, Комитет обеспокоен преследованиями с использованием системы правосудия национальных СМИ и правозащитников, занимающихся вопросами, непосредственно связанными с Конвенцией (ст. 2, 11</w:t>
      </w:r>
      <w:r w:rsidR="00754D87" w:rsidRPr="00D203ED">
        <w:t>–</w:t>
      </w:r>
      <w:r>
        <w:t>13 и 16).</w:t>
      </w:r>
    </w:p>
    <w:p w14:paraId="5D798B60" w14:textId="77777777" w:rsidR="00027F1D" w:rsidRPr="0079202E" w:rsidRDefault="00027F1D" w:rsidP="00027F1D">
      <w:pPr>
        <w:pStyle w:val="SingleTxtG"/>
        <w:rPr>
          <w:rFonts w:eastAsia="Calibri"/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 обеспечить, чтобы все правозащитники и журналисты могли выполнять свою законную работу в благоприятных условиях, без угроз, репрессий, насилия и других форм притеснения.</w:t>
      </w:r>
      <w:r>
        <w:t xml:space="preserve"> </w:t>
      </w:r>
      <w:r>
        <w:rPr>
          <w:b/>
          <w:bCs/>
        </w:rPr>
        <w:t>Государству-участнику следует оперативно, тщательно и беспристрастно расследовать все утверждения о произвольных арестах, пытках, жестоком обращении и других формах преследования правозащитников и журналистов, привлечь к ответственности и надлежащим образом наказать виновных и предоставить жертвам возмещение.</w:t>
      </w:r>
    </w:p>
    <w:p w14:paraId="1AE4D7D1" w14:textId="77777777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Гендерное и домашнее насилие</w:t>
      </w:r>
    </w:p>
    <w:p w14:paraId="58381CA7" w14:textId="03AE30B1" w:rsidR="00027F1D" w:rsidRPr="0079202E" w:rsidRDefault="00027F1D" w:rsidP="00027F1D">
      <w:pPr>
        <w:pStyle w:val="SingleTxtG"/>
      </w:pPr>
      <w:r>
        <w:t>32.</w:t>
      </w:r>
      <w:r>
        <w:tab/>
        <w:t>Признавая шаги, предпринятые государством-участником за отчетный период для подготовки сотрудников правоохранительных органов и укрепления внутреннего законодательства в целях реагирования на акты гендерного и домашнего насилия, Комитет сожалеет о решении государства-участника выйти из Конвенции Совета Европы о предотвращении и пресечении насилия в отношении женщин и домашнего насилия. Комитет обеспокоен утверждениями о том, что превентивные и защитные постановления с целью предупреждения не выдаются на достаточный срок, что жалобы на гендерное и домашнее насилие часто отклоняются, особенно в сельских районах и когда они касаются лесбиянок, геев, бисексуалов и трансгендеров, и что предоставление крова носит дискриминационный характер в отношении пожилых женщин и женщин, имеющих сыновей-подростков или детей-инвалидов (ст. 2, 12</w:t>
      </w:r>
      <w:r w:rsidR="00754D87" w:rsidRPr="00D203ED">
        <w:t>–</w:t>
      </w:r>
      <w:r>
        <w:t>13 и 16).</w:t>
      </w:r>
      <w:bookmarkStart w:id="3" w:name="_Hlk173848976"/>
      <w:bookmarkEnd w:id="3"/>
    </w:p>
    <w:p w14:paraId="7BB0278E" w14:textId="77777777" w:rsidR="00027F1D" w:rsidRPr="0079202E" w:rsidRDefault="00027F1D" w:rsidP="00027F1D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 рассмотреть возможность отмены своего решения о выходе из Конвенции Совета Европы о предотвращении и пресечении насилия в отношении женщин и домашнего насилия и обеспечить тщательное расследование всех актов гендерного и домашнего насилия, в том числе связанных с действиями и бездействием государственных органов или других субъектов, которые влекут за собой международную ответственность государства-участника по Конвенции, в том числе путем проведения расследований ex officio, судебное преследование предполагаемых виновных и, в случае их осуждения, их надлежащее наказание, а также возмещение ущерба жертвам или их семьям, включая справедливую и адекватную компенсацию и реабилитацию.</w:t>
      </w:r>
      <w:r>
        <w:t xml:space="preserve"> </w:t>
      </w:r>
      <w:r>
        <w:rPr>
          <w:b/>
          <w:bCs/>
        </w:rPr>
        <w:t>Государству-участнику следует удвоить усилия по организации обязательной подготовки сотрудников правоохранительных органов, социальных работников, медицинского персонала, адвокатов, прокуроров и судей по вопросам противодействия актам сексуального и гендерного насилия, включая подготовку, учитывающую особые риски и проблемы, с которыми сталкиваются лесбиянки, геи, бисексуалы и трансгендеры.</w:t>
      </w:r>
      <w:r>
        <w:t xml:space="preserve"> </w:t>
      </w:r>
    </w:p>
    <w:p w14:paraId="2FEA5A37" w14:textId="77777777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Кадровая подготовка</w:t>
      </w:r>
      <w:r>
        <w:t xml:space="preserve"> </w:t>
      </w:r>
    </w:p>
    <w:p w14:paraId="4C93AB8C" w14:textId="77777777" w:rsidR="00027F1D" w:rsidRPr="0079202E" w:rsidRDefault="00027F1D" w:rsidP="00027F1D">
      <w:pPr>
        <w:pStyle w:val="SingleTxtG"/>
      </w:pPr>
      <w:r>
        <w:t>34.</w:t>
      </w:r>
      <w:r>
        <w:tab/>
        <w:t xml:space="preserve">Комитет принимает к сведению представленную государством-участником информацию о подготовке врачей, включая судебно-медицинских экспертов, и другого медицинского персонала по Стамбульскому протоколу с внесенными в него изменениями. Однако Комитет сожалеет, что государство-участник не представило никакой информации о том, проходят ли судьи, адвокаты, сотрудники правоохранительных органов и другие соответствующие сотрудники, работающие с лицами, лишенными свободы, аналогичную подготовку (ст. 10). </w:t>
      </w:r>
    </w:p>
    <w:p w14:paraId="58290335" w14:textId="77777777" w:rsidR="00027F1D" w:rsidRPr="0079202E" w:rsidRDefault="00027F1D" w:rsidP="00027F1D">
      <w:pPr>
        <w:pStyle w:val="SingleTxtG"/>
      </w:pPr>
      <w:r>
        <w:lastRenderedPageBreak/>
        <w:t>35.</w:t>
      </w:r>
      <w:r>
        <w:tab/>
      </w:r>
      <w:r>
        <w:rPr>
          <w:b/>
          <w:bCs/>
        </w:rPr>
        <w:t>Государству-участнику следует обеспечить, чтобы все соответствующие сотрудники, включая прокуроров и судей, проходили специальную подготовку по выявлению, документированию и расследованию случаев пыток и жестокого обращения в соответствии со Стамбульским протоколом с внесенными в него изменениями.</w:t>
      </w:r>
      <w:r>
        <w:t xml:space="preserve"> </w:t>
      </w:r>
      <w:r>
        <w:rPr>
          <w:b/>
          <w:bCs/>
        </w:rPr>
        <w:t>Государству-участнику следует включить Принципы эффективного ведения опроса в ходе расследования и сбора информации (Принципы Мендеса) в будущие инициативы по обзору и пересмотру методов допроса.</w:t>
      </w:r>
      <w:r>
        <w:t xml:space="preserve"> </w:t>
      </w:r>
    </w:p>
    <w:p w14:paraId="386CF0EE" w14:textId="559B8E33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Расследование актов пыток и жестокого обращения и судебное преследование за</w:t>
      </w:r>
      <w:r w:rsidR="00754D87">
        <w:rPr>
          <w:bCs/>
        </w:rPr>
        <w:t> </w:t>
      </w:r>
      <w:r>
        <w:rPr>
          <w:bCs/>
        </w:rPr>
        <w:t>них</w:t>
      </w:r>
    </w:p>
    <w:p w14:paraId="4663AAC9" w14:textId="26ED8B82" w:rsidR="00027F1D" w:rsidRPr="0079202E" w:rsidRDefault="00027F1D" w:rsidP="00027F1D">
      <w:pPr>
        <w:pStyle w:val="SingleTxtG"/>
        <w:rPr>
          <w:rFonts w:eastAsia="Calibri"/>
          <w:i/>
          <w:iCs/>
        </w:rPr>
      </w:pPr>
      <w:r>
        <w:t>36.</w:t>
      </w:r>
      <w:r>
        <w:tab/>
        <w:t>Комитет сожалеет, что государство-участник не представило ему достаточно подробные статистические данные о количестве уголовных жалоб, расследований, судебных преследований, осуждений и приговоров, вынесенных за акты пыток и жестокого обращения. Комитет обеспокоен полученной информацией о том, что в случае судебного преследования действия, подпадающие под определение пытки, содержащееся в статье 1 Конвенции, часто квалифицируются как другие преступления, а не как преследуемые по статье 94 Уголовного кодекса. В таких случаях Комитет обеспокоен тем, что срок давности может стать препятствием для судебного преследования и привлечения к ответственности. Комитет отмечает позитивные шаги, предпринятые государством-участником в отношении привлечения к административной ответственности лиц, виновных в применении пыток и жестокого обращения, в том числе с помощью Закона № 6713 о создании Комиссии по надзору за соблюдением законов. Однако он сожалеет, что Комиссия, как представляется, не имеет прямого мандата на проведение расследований. Комитет обеспокоен сообщениями о том, что лица, подающие уголовные жалобы на пытки, подвергаются преследованию с использованием системы правосудия. Наконец, Комитет выражает озабоченность в связи с распространенной в государстве-участнике законодательной практикой, согласно которой для преследования публичных должностных лиц требуется административное разрешение, как это имеет место в отношении государственных служащих, включая сотрудников полиции и других правоохранительных органов всех рангов, а также военнослужащих и др. Особую озабоченность вызывает статья 6 Закона № 6532, которая позволяет подсекретариа</w:t>
      </w:r>
      <w:r w:rsidR="0097544C">
        <w:t>т</w:t>
      </w:r>
      <w:r>
        <w:t>у Национальной разведывательной организации блокировать расследования и судебные преследования в отношении действий ее сотрудников только на основании подтверждения того, что эти действия являются частью обязанностей и деятельности ведомства (ст. 2, 4, 11</w:t>
      </w:r>
      <w:r w:rsidR="0097544C" w:rsidRPr="00D203ED">
        <w:t>–</w:t>
      </w:r>
      <w:r>
        <w:t xml:space="preserve">13 и 16). </w:t>
      </w:r>
    </w:p>
    <w:p w14:paraId="789BB011" w14:textId="77777777" w:rsidR="00027F1D" w:rsidRPr="0079202E" w:rsidRDefault="00027F1D" w:rsidP="00027F1D">
      <w:pPr>
        <w:pStyle w:val="SingleTxtG"/>
        <w:rPr>
          <w:rFonts w:eastAsia="Calibri"/>
          <w:b/>
          <w:bCs/>
        </w:rPr>
      </w:pPr>
      <w:r>
        <w:t>37.</w:t>
      </w:r>
      <w:r>
        <w:tab/>
      </w:r>
      <w:r>
        <w:rPr>
          <w:b/>
          <w:bCs/>
        </w:rPr>
        <w:t>Государству-участнику следует обеспечить, чтобы все жалобы на пытки или жестокое обращение оперативно, тщательно и беспристрастно расследовались независимым учреждением, не имеющим иерархических связей с предполагаемыми виновниками, чтобы подозреваемые должностные лица немедленно отстранялись от исполнения обязанностей на время расследования, в частности в тех случаях, когда существует опасность того, что они могут повторить действия, в которых их подозревают, принять репрессивные меры в отношении предполагаемой жертвы, вмешаться в сбор доказательств или иным образом воспрепятствовать расследованию, с учетом принципа презумпции невиновности, и обеспечить, чтобы предполагаемые виновные должным образом привлекались к ответственности и, в случае признания их вины, получали наказания, соразмерные тяжести совершенных ими деяний.</w:t>
      </w:r>
      <w:r>
        <w:t xml:space="preserve"> </w:t>
      </w:r>
      <w:r>
        <w:rPr>
          <w:b/>
          <w:bCs/>
        </w:rPr>
        <w:t>В этой связи Комитет рекомендует государству-участнику:</w:t>
      </w:r>
    </w:p>
    <w:p w14:paraId="07BE6E38" w14:textId="550F15B8" w:rsidR="00027F1D" w:rsidRPr="000C5356" w:rsidRDefault="000C5356" w:rsidP="00027F1D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027F1D" w:rsidRPr="000C5356">
        <w:rPr>
          <w:b/>
          <w:bCs/>
        </w:rPr>
        <w:t>a)</w:t>
      </w:r>
      <w:r w:rsidR="00027F1D" w:rsidRPr="000C5356">
        <w:rPr>
          <w:b/>
          <w:bCs/>
        </w:rPr>
        <w:tab/>
        <w:t>устранить препятствия, которые мешают или свидетельствуют о нежелании обеспечить быстрое и справедливое преследование и наказание лиц, виновных в пытках или жестоком обращении, нарушая тем самым принцип правовой определенности наказания;</w:t>
      </w:r>
    </w:p>
    <w:p w14:paraId="2F971F81" w14:textId="3EC10EF5" w:rsidR="00027F1D" w:rsidRPr="000C5356" w:rsidRDefault="000C5356" w:rsidP="00027F1D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027F1D" w:rsidRPr="000C5356">
        <w:rPr>
          <w:b/>
          <w:bCs/>
        </w:rPr>
        <w:t>b)</w:t>
      </w:r>
      <w:r w:rsidR="00027F1D" w:rsidRPr="000C5356">
        <w:rPr>
          <w:b/>
          <w:bCs/>
        </w:rPr>
        <w:tab/>
        <w:t>гарантировать защиту лиц, утверждающих, что они подверглись пыткам и жестокому обращению, от всех форм притеснений, чтобы обеспечить запрет пыток и преследование за них в полной мере;</w:t>
      </w:r>
    </w:p>
    <w:p w14:paraId="53A06470" w14:textId="0F67A20D" w:rsidR="00027F1D" w:rsidRPr="000C5356" w:rsidRDefault="000C5356" w:rsidP="00027F1D">
      <w:pPr>
        <w:pStyle w:val="SingleTxtG"/>
        <w:rPr>
          <w:rFonts w:eastAsia="Calibri"/>
          <w:b/>
          <w:bCs/>
        </w:rPr>
      </w:pPr>
      <w:r>
        <w:rPr>
          <w:b/>
          <w:bCs/>
        </w:rPr>
        <w:lastRenderedPageBreak/>
        <w:tab/>
      </w:r>
      <w:r w:rsidR="00027F1D" w:rsidRPr="000C5356">
        <w:rPr>
          <w:b/>
          <w:bCs/>
        </w:rPr>
        <w:t>c)</w:t>
      </w:r>
      <w:r w:rsidR="00027F1D" w:rsidRPr="000C5356">
        <w:rPr>
          <w:b/>
          <w:bCs/>
        </w:rPr>
        <w:tab/>
        <w:t>компилировать и предоставить Комитету и широкой общественности дезагрегированные данные о количестве уголовных жалоб, расследований, судебных преследований, осуждений и приговоров, вынесенных за акты пыток и жестокого обращения;</w:t>
      </w:r>
    </w:p>
    <w:p w14:paraId="4B3A0EF4" w14:textId="15C0866C" w:rsidR="00027F1D" w:rsidRPr="000C5356" w:rsidRDefault="000C5356" w:rsidP="00027F1D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027F1D" w:rsidRPr="000C5356">
        <w:rPr>
          <w:b/>
          <w:bCs/>
        </w:rPr>
        <w:t>d)</w:t>
      </w:r>
      <w:r w:rsidR="00027F1D" w:rsidRPr="000C5356">
        <w:rPr>
          <w:b/>
          <w:bCs/>
        </w:rPr>
        <w:tab/>
        <w:t>пересмотреть Закон № 6532, чтобы расследования и судебные преследования по обвинениям в пытках и жестоком обращении, совершенных сотрудниками Национальной разведывательной организации, не могли быть заблокированы самой организацией.</w:t>
      </w:r>
    </w:p>
    <w:p w14:paraId="0D5C808F" w14:textId="77777777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Независимость судей и адвокатов</w:t>
      </w:r>
    </w:p>
    <w:p w14:paraId="30BCA03A" w14:textId="77777777" w:rsidR="00027F1D" w:rsidRPr="0079202E" w:rsidRDefault="00027F1D" w:rsidP="00027F1D">
      <w:pPr>
        <w:pStyle w:val="SingleTxtG"/>
        <w:rPr>
          <w:bCs/>
        </w:rPr>
      </w:pPr>
      <w:r>
        <w:t>38.</w:t>
      </w:r>
      <w:r>
        <w:tab/>
        <w:t>Комитет обеспокоен тем, что, как представляется, за рассматриваемый период в государстве-участнике произошел серьезный регресс в области независимости судей, прокуроров и адвокатов. Принимая во внимание исключительные меры, которые государство-участник сочло необходимыми для адекватного реагирования на попытку переворота в июле 2016 года, Комитет выражает обеспокоенность по поводу последствий, которые усиление влияния исполнительной власти на сотрудников судебных органов, прокуроров и других представителей юридической профессии может иметь для расследования и преследования случаев пыток и жестокого обращения. В частности, обеспокоенность у Комитета вызывают:</w:t>
      </w:r>
    </w:p>
    <w:p w14:paraId="4F5BA657" w14:textId="5592CAB9" w:rsidR="00027F1D" w:rsidRPr="0079202E" w:rsidRDefault="000C5356" w:rsidP="00027F1D">
      <w:pPr>
        <w:pStyle w:val="SingleTxtG"/>
        <w:rPr>
          <w:bCs/>
        </w:rPr>
      </w:pPr>
      <w:r>
        <w:tab/>
      </w:r>
      <w:r w:rsidR="00027F1D">
        <w:t>a)</w:t>
      </w:r>
      <w:r w:rsidR="00027F1D">
        <w:tab/>
        <w:t>массовые увольнения и аресты судей и адвокатов после попытки переворота в 2016 году и постоянно растущий уровень арестов и увольнений представителей юридической профессии в последующие годы</w:t>
      </w:r>
      <w:r w:rsidR="00CD6870" w:rsidRPr="00EA256A">
        <w:rPr>
          <w:rStyle w:val="aa"/>
          <w:bCs/>
        </w:rPr>
        <w:footnoteReference w:id="12"/>
      </w:r>
      <w:r w:rsidR="00027F1D">
        <w:t>, включая арест четырех адвокатов из Ассоциации прогрессивных юристов (Çağdaş Hukukçular Derneği). В</w:t>
      </w:r>
      <w:r>
        <w:t> </w:t>
      </w:r>
      <w:r w:rsidR="00027F1D">
        <w:t>этой связи Комитет обеспокоен тем, что в ряде случаев адвокаты были задержаны на основании предположительно ошибочного толкования применимого законодательства, как отметил Европейский суд по правам человека</w:t>
      </w:r>
      <w:r w:rsidR="00027F1D" w:rsidRPr="00EA256A">
        <w:rPr>
          <w:rStyle w:val="aa"/>
          <w:bCs/>
        </w:rPr>
        <w:footnoteReference w:id="13"/>
      </w:r>
      <w:r w:rsidR="00027F1D">
        <w:t xml:space="preserve">; </w:t>
      </w:r>
      <w:bookmarkStart w:id="4" w:name="_Hlk172803277"/>
      <w:bookmarkEnd w:id="4"/>
    </w:p>
    <w:p w14:paraId="0A092635" w14:textId="64175109" w:rsidR="00027F1D" w:rsidRPr="0079202E" w:rsidRDefault="000C5356" w:rsidP="00027F1D">
      <w:pPr>
        <w:pStyle w:val="SingleTxtG"/>
      </w:pPr>
      <w:r>
        <w:tab/>
      </w:r>
      <w:r w:rsidR="00027F1D">
        <w:t>b)</w:t>
      </w:r>
      <w:r w:rsidR="00027F1D">
        <w:tab/>
        <w:t>конституционная поправка 2017 года, сократившая число судей в Совете судей и прокуроров с 22 до 13 и увеличившая долю членов, назначаемых непосредственно президентом, что поставило под угрозу его независимость;</w:t>
      </w:r>
    </w:p>
    <w:p w14:paraId="1C0B877D" w14:textId="5EEF26CE" w:rsidR="00027F1D" w:rsidRPr="0079202E" w:rsidRDefault="000C5356" w:rsidP="00027F1D">
      <w:pPr>
        <w:pStyle w:val="SingleTxtG"/>
      </w:pPr>
      <w:r>
        <w:tab/>
      </w:r>
      <w:r w:rsidR="00027F1D">
        <w:t>c)</w:t>
      </w:r>
      <w:r w:rsidR="00027F1D">
        <w:tab/>
        <w:t>повсеместное закрытие коллегий адвокатов на основании указов и конфискация их активов, на что ссылается Специальный докладчик по вопросу о независимости судей и адвокатов</w:t>
      </w:r>
      <w:r w:rsidRPr="003B49D7">
        <w:rPr>
          <w:rStyle w:val="aa"/>
        </w:rPr>
        <w:footnoteReference w:id="14"/>
      </w:r>
      <w:r w:rsidR="00027F1D">
        <w:t>, Указ Президента № 5 от 2018 года, позволяющий Государственному инспекционному учреждению (Devlet Denetleme Kurulu) при Канцелярии Президента отстранять председателей и членов правления коллегий адвокатов, и Закон № 7249 о внесении изменений в Кодекс адвокатов, который препятствует самоуправлению коллегий адвокатов (ст. 2, 12, 13 и 16).</w:t>
      </w:r>
    </w:p>
    <w:p w14:paraId="01597DC9" w14:textId="4848B3F0" w:rsidR="00027F1D" w:rsidRPr="0079202E" w:rsidRDefault="00027F1D" w:rsidP="00027F1D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Государству-участнику следует обеспечить полную независимость, беспристрастность и эффективность судебной системы, в том числе путем гарантирования независимости Совета судей и прокуроров и его соответствия актуальным международным стандартам, включая Основные принципы независимости судебных органов.</w:t>
      </w:r>
      <w:r>
        <w:t xml:space="preserve"> </w:t>
      </w:r>
      <w:r>
        <w:rPr>
          <w:b/>
          <w:bCs/>
        </w:rPr>
        <w:t>Ему следует также обеспечить соблюдение права на свободу ассоциации и независимую адвокатскую практику в соответствии с Основными принципами, касающимися роли юристов.</w:t>
      </w:r>
      <w:r>
        <w:t xml:space="preserve"> </w:t>
      </w:r>
      <w:r>
        <w:rPr>
          <w:b/>
          <w:bCs/>
        </w:rPr>
        <w:t>Уголовное преследование адвокатов и судей должно осуществляться только после проведения независимого, беспристрастного и эффективного расследования и в соответствии с нормами внутреннего и международного права</w:t>
      </w:r>
      <w:r>
        <w:t xml:space="preserve">. </w:t>
      </w:r>
      <w:r>
        <w:rPr>
          <w:b/>
          <w:bCs/>
        </w:rPr>
        <w:t>Государству-участнику следует гарантировать самоуправление профессиональных адвокатских объединений, обеспечивая их независимость от властей и общественности и возможность осуществлять свои функции без внешнего вмешательства со стороны правительства или других субъектов.</w:t>
      </w:r>
    </w:p>
    <w:p w14:paraId="613B4469" w14:textId="77777777" w:rsidR="00027F1D" w:rsidRPr="0079202E" w:rsidRDefault="00027F1D" w:rsidP="00027F1D">
      <w:pPr>
        <w:pStyle w:val="H23G"/>
      </w:pPr>
      <w:r>
        <w:lastRenderedPageBreak/>
        <w:tab/>
      </w:r>
      <w:r>
        <w:tab/>
      </w:r>
      <w:r>
        <w:rPr>
          <w:bCs/>
        </w:rPr>
        <w:t>Мониторинг мест лишения свободы</w:t>
      </w:r>
    </w:p>
    <w:p w14:paraId="39BC596C" w14:textId="77777777" w:rsidR="00027F1D" w:rsidRPr="0079202E" w:rsidRDefault="00027F1D" w:rsidP="00027F1D">
      <w:pPr>
        <w:pStyle w:val="SingleTxtG"/>
      </w:pPr>
      <w:r>
        <w:t>40.</w:t>
      </w:r>
      <w:r>
        <w:tab/>
        <w:t>Комитет отмечает наличие в государстве-участнике широкой сети органов по контролю за содержанием под стражей, а также представленную государством-участником информацию об участии Европейского комитета по предупреждению пыток и бесчеловечного или унижающего достоинство обращения или наказания в проведении учебных занятий для гражданских наблюдательных советов. Однако Комитет обеспокоен тем, что процесс отбора членов гражданских наблюдательных советов не отличается прозрачностью, и их члены могут быть смещены на основании декрета, как это произошло в соответствии с Декретом-законом № 673 от 2016 года. Комитет также обеспокоен минимальной ролью, отведенной организациям гражданского общества в проведении контрольных посещений мест содержания под стражей. Комитет отмечает, что последний доклад Подкомитета по предупреждению пыток и три последних доклада о посещении страны Европейским комитетом по предупреждению пыток и бесчеловечного или унижающего достоинство обращения или наказания до сих пор не обнародованы (ст. 2, 11 и 16).</w:t>
      </w:r>
    </w:p>
    <w:p w14:paraId="09BF4B0C" w14:textId="3E66B8A5" w:rsidR="00027F1D" w:rsidRPr="0079202E" w:rsidRDefault="00027F1D" w:rsidP="00027F1D">
      <w:pPr>
        <w:pStyle w:val="SingleTxtG"/>
      </w:pPr>
      <w:r>
        <w:t>41.</w:t>
      </w:r>
      <w:r>
        <w:tab/>
      </w:r>
      <w:r>
        <w:rPr>
          <w:b/>
          <w:bCs/>
        </w:rPr>
        <w:t>Комитет настоятельно призывает государство-участник обеспечить независимость гражданских наблюдательных советов, в том числе путем повышения прозрачности отбора их членов, и улучшить распространение среди общественности информации о месте, времени и периодичности посещений мест лишения свободы всеми органами по контролю за содержанием под стражей, а также информации, касающейся результатов и последующих мер по итогам таких посещений, на своевременной основе.</w:t>
      </w:r>
      <w:r>
        <w:t xml:space="preserve"> </w:t>
      </w:r>
      <w:r>
        <w:rPr>
          <w:b/>
          <w:bCs/>
        </w:rPr>
        <w:t>Государству-участнику следует облегчать и поощрять участие организаций гражданского общества в проведении контрольных посещений мест лишения свободы.</w:t>
      </w:r>
      <w:r>
        <w:t xml:space="preserve"> </w:t>
      </w:r>
      <w:r>
        <w:rPr>
          <w:b/>
          <w:bCs/>
        </w:rPr>
        <w:t>Комитет рекомендует государству-участнику согласиться на публикацию всех прошлых, ожидающих публикации и будущих докладов Подкомитета по предупреждению пыток и Европейского комитета по предупреждению пыток.</w:t>
      </w:r>
    </w:p>
    <w:p w14:paraId="0AAEB16D" w14:textId="77777777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Возмещение ущерба</w:t>
      </w:r>
    </w:p>
    <w:p w14:paraId="6AD96090" w14:textId="44B61FC2" w:rsidR="00027F1D" w:rsidRPr="0079202E" w:rsidRDefault="00027F1D" w:rsidP="00027F1D">
      <w:pPr>
        <w:pStyle w:val="SingleTxtG"/>
        <w:rPr>
          <w:rFonts w:eastAsia="Calibri"/>
        </w:rPr>
      </w:pPr>
      <w:r>
        <w:t>42.</w:t>
      </w:r>
      <w:r>
        <w:tab/>
        <w:t xml:space="preserve">Комитет принимает к сведению представленную государством-участником информацию о том, что жертвы пыток и жестокого обращения могут получить материальную или моральную компенсацию через административные механизмы и могут выступать в качестве истца в гражданских исках с целью получения компенсации. Тем не менее Комитет сожалеет, что не существует законодательства или подзаконных актов, которые бы конкретно касались прав и реабилитации жертв пыток. Комитет также сожалеет, что подраздел, посвященный жертвам пыток, в </w:t>
      </w:r>
      <w:r w:rsidRPr="00EB6DC1">
        <w:rPr>
          <w:i/>
          <w:iCs/>
        </w:rPr>
        <w:t>Руководстве по подходу к жертвам</w:t>
      </w:r>
      <w:r>
        <w:t xml:space="preserve">, выпущенном в 2016 году, был, как утверждается, исключен из последующих изданий (ст. 14). </w:t>
      </w:r>
    </w:p>
    <w:p w14:paraId="305A5678" w14:textId="77777777" w:rsidR="00027F1D" w:rsidRPr="0079202E" w:rsidRDefault="00027F1D" w:rsidP="00027F1D">
      <w:pPr>
        <w:pStyle w:val="SingleTxtG"/>
      </w:pPr>
      <w:r>
        <w:t>43.</w:t>
      </w:r>
      <w:r>
        <w:tab/>
      </w:r>
      <w:r>
        <w:rPr>
          <w:b/>
          <w:bCs/>
        </w:rPr>
        <w:t>Государству-участнику следует обеспечить, чтобы все жертвы пыток и жестокого обращения получали возмещение, в том числе путем обеспечения подлежащего принудительному исполнению права на справедливую и достаточную компенсацию и средства для как можно более полной реабилитации, независимо от того, была ли установлена личность преступника.</w:t>
      </w:r>
      <w:r>
        <w:t xml:space="preserve"> </w:t>
      </w:r>
      <w:r>
        <w:rPr>
          <w:b/>
          <w:bCs/>
        </w:rPr>
        <w:t>В этой связи государству-участнику следует рассмотреть вопрос о принятии законодательства и руководства по правам и реабилитации жертв пыток и собирать данные о количестве жертв и их конкретных потребностях в реабилитации.</w:t>
      </w:r>
      <w:r>
        <w:t xml:space="preserve"> </w:t>
      </w:r>
      <w:r>
        <w:rPr>
          <w:b/>
          <w:bCs/>
        </w:rPr>
        <w:t>Государство-участник, возможно, пожелает рассмотреть вопрос о возобновлении своих взносов в Фонд добровольных взносов Организации Объединенных Наций для жертв пыток.</w:t>
      </w:r>
    </w:p>
    <w:p w14:paraId="14B411A3" w14:textId="77777777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Признания, полученные с применением пыток и жестокого обращения</w:t>
      </w:r>
      <w:r>
        <w:t xml:space="preserve"> </w:t>
      </w:r>
    </w:p>
    <w:p w14:paraId="5B155E19" w14:textId="77777777" w:rsidR="00027F1D" w:rsidRPr="0079202E" w:rsidRDefault="00027F1D" w:rsidP="00027F1D">
      <w:pPr>
        <w:pStyle w:val="SingleTxtG"/>
        <w:rPr>
          <w:rFonts w:eastAsia="Calibri"/>
        </w:rPr>
      </w:pPr>
      <w:r>
        <w:t>44.</w:t>
      </w:r>
      <w:r>
        <w:tab/>
        <w:t>Хотя Комитет принимает к сведению представленную государством-участником информацию о недопустимости доказательств, полученных с применением пыток и жестокого обращения, что регулируется статьей 148 Уголовно-процессуального кодекса, он обеспокоен утверждениями о том, что эта статья не всегда применяется на практике, и отсутствием представленной государством-</w:t>
      </w:r>
      <w:r>
        <w:lastRenderedPageBreak/>
        <w:t>участником информации о случаях, когда такие доказательства были признаны недопустимыми (ст. 15).</w:t>
      </w:r>
    </w:p>
    <w:p w14:paraId="5DC7D4A6" w14:textId="77777777" w:rsidR="00027F1D" w:rsidRPr="0079202E" w:rsidRDefault="00027F1D" w:rsidP="00027F1D">
      <w:pPr>
        <w:pStyle w:val="SingleTxtG"/>
        <w:rPr>
          <w:rFonts w:eastAsia="Calibri"/>
          <w:b/>
          <w:bCs/>
        </w:rPr>
      </w:pPr>
      <w:r>
        <w:t>45.</w:t>
      </w:r>
      <w:r>
        <w:tab/>
      </w:r>
      <w:r>
        <w:rPr>
          <w:b/>
          <w:bCs/>
        </w:rPr>
        <w:t>Государству-участнику следует обеспечить, чтобы:</w:t>
      </w:r>
    </w:p>
    <w:p w14:paraId="5635CFE7" w14:textId="05C66617" w:rsidR="00027F1D" w:rsidRPr="00C76CA5" w:rsidRDefault="00C76CA5" w:rsidP="00027F1D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027F1D" w:rsidRPr="00C76CA5">
        <w:rPr>
          <w:b/>
          <w:bCs/>
        </w:rPr>
        <w:t>a)</w:t>
      </w:r>
      <w:r w:rsidR="00027F1D" w:rsidRPr="00C76CA5">
        <w:rPr>
          <w:b/>
          <w:bCs/>
        </w:rPr>
        <w:tab/>
        <w:t>признательные показания и заявления, полученные в результате применения пыток или жестокого обращения, на практике не принимались в качестве доказательств, за исключением случаев, когда они принимаются против лиц, обвиняемых в применении пыток, в качестве доказательства того, что признательные показания были даны под принуждением;</w:t>
      </w:r>
    </w:p>
    <w:p w14:paraId="6975A476" w14:textId="27473329" w:rsidR="00027F1D" w:rsidRPr="00C76CA5" w:rsidRDefault="00C76CA5" w:rsidP="00027F1D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027F1D" w:rsidRPr="00C76CA5">
        <w:rPr>
          <w:b/>
          <w:bCs/>
        </w:rPr>
        <w:t>b)</w:t>
      </w:r>
      <w:r w:rsidR="00027F1D" w:rsidRPr="00C76CA5">
        <w:rPr>
          <w:b/>
          <w:bCs/>
        </w:rPr>
        <w:tab/>
        <w:t>когда утверждается, что заявление было получено с помощью пыток, незамедлительно проводилось эффективное и независимое расследование, а предполагаемые виновные привлекались к ответственности и, в случае признания их виновными, подвергались наказанию;</w:t>
      </w:r>
    </w:p>
    <w:p w14:paraId="61333103" w14:textId="71826536" w:rsidR="00027F1D" w:rsidRPr="00C76CA5" w:rsidRDefault="00C76CA5" w:rsidP="00027F1D">
      <w:pPr>
        <w:pStyle w:val="SingleTxtG"/>
        <w:rPr>
          <w:b/>
          <w:bCs/>
        </w:rPr>
      </w:pPr>
      <w:r>
        <w:rPr>
          <w:b/>
          <w:bCs/>
        </w:rPr>
        <w:tab/>
      </w:r>
      <w:r w:rsidR="00027F1D" w:rsidRPr="00C76CA5">
        <w:rPr>
          <w:b/>
          <w:bCs/>
        </w:rPr>
        <w:t>c)</w:t>
      </w:r>
      <w:r w:rsidR="00027F1D" w:rsidRPr="00C76CA5">
        <w:rPr>
          <w:b/>
          <w:bCs/>
        </w:rPr>
        <w:tab/>
        <w:t xml:space="preserve">все сотрудники полиции, сотрудники органов национальной безопасности и военнослужащие, судьи и прокуроры проходили обязательную подготовку, предполагающую акцент на связь между проведением допросов без применения методов принуждения, запрещением пыток и жестокого обращения и обязанностью судебных органов признавать недействительными признания, полученные с помощью пыток, руководствуясь в этой связи Принципами эффективного ведения опроса в ходе расследования и сбора информации (Принципы Мендеса). </w:t>
      </w:r>
    </w:p>
    <w:p w14:paraId="03EC1A62" w14:textId="77777777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13BCD05C" w14:textId="77777777" w:rsidR="00027F1D" w:rsidRPr="0079202E" w:rsidRDefault="00027F1D" w:rsidP="00027F1D">
      <w:pPr>
        <w:pStyle w:val="SingleTxtG"/>
      </w:pPr>
      <w:r>
        <w:t>46.</w:t>
      </w:r>
      <w:r>
        <w:tab/>
        <w:t>Комитет сожалеет, что государство-участник не представило Комитету всеобъемлющие и дезагрегированные статистические данные по областям, имеющим отношение к его обязательствам по Конвенции, в том числе по делам о пытках и других жестоких, бесчеловечных или унижающих достоинство видах обращения и наказания, а также по другим вопросам, по которым такие данные были запрошены. Комитет отмечает, что целенаправленная и согласованная система сбора и анализа данных необходима для эффективного контроля за выполнением государством-участником своих обязательств по Конвенции (ст. 2, 11–13 и 16).</w:t>
      </w:r>
    </w:p>
    <w:p w14:paraId="4D921A16" w14:textId="19ED3CA8" w:rsidR="00027F1D" w:rsidRPr="0079202E" w:rsidRDefault="00027F1D" w:rsidP="00027F1D">
      <w:pPr>
        <w:pStyle w:val="SingleTxtG"/>
        <w:rPr>
          <w:rFonts w:eastAsia="Calibri"/>
          <w:b/>
          <w:bCs/>
        </w:rPr>
      </w:pPr>
      <w:r>
        <w:t>47.</w:t>
      </w:r>
      <w:r>
        <w:tab/>
      </w:r>
      <w:r>
        <w:rPr>
          <w:b/>
          <w:bCs/>
        </w:rPr>
        <w:t>Государству-участнику следует активизировать усилия по сбору и публикации всеобъемлющей дезагрегированной статистической информации по всем вопросам, имеющим отношение к его обязательствам по Конвенции, включая информацию о всех полученных жалобах и сообщениях о пытках, жестоком обращении, чрезмерном применении силы и средств усмирения,</w:t>
      </w:r>
      <w:r w:rsidR="00C76CA5">
        <w:rPr>
          <w:b/>
          <w:bCs/>
        </w:rPr>
        <w:t xml:space="preserve"> </w:t>
      </w:r>
      <w:r>
        <w:rPr>
          <w:b/>
          <w:bCs/>
        </w:rPr>
        <w:t>а</w:t>
      </w:r>
      <w:r w:rsidR="00C76CA5">
        <w:rPr>
          <w:b/>
          <w:bCs/>
        </w:rPr>
        <w:t> </w:t>
      </w:r>
      <w:r>
        <w:rPr>
          <w:b/>
          <w:bCs/>
        </w:rPr>
        <w:t>также злоупотреблении властью со стороны публичных должностных лиц, включая информацию о том, проводились ли по этим жалобам расследования и если да, то каким органом, были ли по результатам расследований приняты дисциплинарные меры или возбуждены уголовные дела и было ли предоставлено возмещение жертвам.</w:t>
      </w:r>
      <w:r>
        <w:t xml:space="preserve"> </w:t>
      </w:r>
    </w:p>
    <w:p w14:paraId="78FF8E76" w14:textId="77777777" w:rsidR="00027F1D" w:rsidRPr="0079202E" w:rsidRDefault="00027F1D" w:rsidP="00027F1D">
      <w:pPr>
        <w:pStyle w:val="H23G"/>
      </w:pPr>
      <w:r>
        <w:tab/>
      </w:r>
      <w:r>
        <w:tab/>
      </w:r>
      <w:r>
        <w:rPr>
          <w:bCs/>
        </w:rPr>
        <w:t>Процедура последующей деятельности</w:t>
      </w:r>
    </w:p>
    <w:p w14:paraId="7F094837" w14:textId="6D1BDF79" w:rsidR="00027F1D" w:rsidRPr="0079202E" w:rsidRDefault="00027F1D" w:rsidP="00027F1D">
      <w:pPr>
        <w:pStyle w:val="SingleTxtG"/>
        <w:rPr>
          <w:rFonts w:eastAsia="Calibri"/>
        </w:rPr>
      </w:pPr>
      <w:r>
        <w:t>48.</w:t>
      </w:r>
      <w:r>
        <w:tab/>
      </w:r>
      <w:r>
        <w:rPr>
          <w:b/>
          <w:bCs/>
        </w:rPr>
        <w:t>Комитет просит государство-участник представить к 26 июля 2025 года информацию о последующих мерах по выполнению рекомендаций Комитета, касающихся: пожизненного заключения при отягчающих обстоятельствах и облегчения контактов заключенных в тюрьме Имрали с их семьями и законными представителями;</w:t>
      </w:r>
      <w:r>
        <w:t xml:space="preserve"> </w:t>
      </w:r>
      <w:r>
        <w:rPr>
          <w:b/>
          <w:bCs/>
        </w:rPr>
        <w:t>отмены законодательства, вступившего в силу во время чрезвычайного положения и влияющего на пользование основными правовыми гарантиями;</w:t>
      </w:r>
      <w:r>
        <w:t xml:space="preserve"> </w:t>
      </w:r>
      <w:r>
        <w:rPr>
          <w:b/>
          <w:bCs/>
        </w:rPr>
        <w:t>и усилий по предотвращению гендерного насилия и судебному преследованию за него (см. пп.</w:t>
      </w:r>
      <w:r w:rsidR="00F22EC5">
        <w:rPr>
          <w:b/>
          <w:bCs/>
        </w:rPr>
        <w:t xml:space="preserve"> </w:t>
      </w:r>
      <w:r>
        <w:rPr>
          <w:b/>
          <w:bCs/>
        </w:rPr>
        <w:t>17, 29 и 33 выше).</w:t>
      </w:r>
      <w:r>
        <w:t xml:space="preserve"> </w:t>
      </w:r>
      <w:r>
        <w:rPr>
          <w:b/>
          <w:bCs/>
        </w:rPr>
        <w:t>В этой связи государству-участнику предлагается сообщить Комитету о своих планах по выполнению в течение предстоящего отчетного периода оставшихся рекомендаций, содержащихся в заключительных замечаниях.</w:t>
      </w:r>
    </w:p>
    <w:p w14:paraId="22244FDB" w14:textId="77777777" w:rsidR="00027F1D" w:rsidRPr="0079202E" w:rsidRDefault="00027F1D" w:rsidP="00027F1D">
      <w:pPr>
        <w:pStyle w:val="H23G"/>
      </w:pPr>
      <w:r>
        <w:lastRenderedPageBreak/>
        <w:tab/>
      </w:r>
      <w:r>
        <w:tab/>
      </w:r>
      <w:r>
        <w:rPr>
          <w:bCs/>
        </w:rPr>
        <w:t>Прочие вопросы</w:t>
      </w:r>
    </w:p>
    <w:p w14:paraId="6618515C" w14:textId="77777777" w:rsidR="00027F1D" w:rsidRPr="0079202E" w:rsidRDefault="00027F1D" w:rsidP="00027F1D">
      <w:pPr>
        <w:pStyle w:val="SingleTxtG"/>
      </w:pPr>
      <w:r>
        <w:t>49.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 и проинформировать Комитет о своей деятельности по распространению информации.</w:t>
      </w:r>
      <w:r>
        <w:t xml:space="preserve"> </w:t>
      </w:r>
    </w:p>
    <w:p w14:paraId="4DF6173B" w14:textId="77777777" w:rsidR="00027F1D" w:rsidRPr="0079202E" w:rsidRDefault="00027F1D" w:rsidP="00027F1D">
      <w:pPr>
        <w:pStyle w:val="SingleTxtG"/>
      </w:pPr>
      <w:r>
        <w:t>50.</w:t>
      </w:r>
      <w:r>
        <w:tab/>
      </w:r>
      <w:r>
        <w:rPr>
          <w:b/>
          <w:bCs/>
        </w:rPr>
        <w:t>Комитет просит государство-участник представить свой следующий, шестой по счету, периодический доклад к 26 июля 2028 года.</w:t>
      </w:r>
      <w:r>
        <w:t xml:space="preserve"> </w:t>
      </w:r>
      <w:r>
        <w:rPr>
          <w:b/>
          <w:bCs/>
        </w:rPr>
        <w:t>С этой целью и с учетом того, что государство-участник согласилось представлять Комитету доклады по упрощенной процедуре, Комитет в надлежащее время препроводит государству-участнику перечень вопросов, предваряющий представление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составят его шестой периодический доклад в соответствии со статьей 19 Конвенции.</w:t>
      </w:r>
    </w:p>
    <w:p w14:paraId="3ABFED43" w14:textId="5593F7E7" w:rsidR="00381C24" w:rsidRPr="00F22EC5" w:rsidRDefault="00027F1D" w:rsidP="00F22EC5">
      <w:pPr>
        <w:jc w:val="center"/>
        <w:rPr>
          <w:u w:val="single"/>
        </w:rPr>
      </w:pPr>
      <w:r w:rsidRPr="0079202E">
        <w:rPr>
          <w:u w:val="single"/>
        </w:rPr>
        <w:tab/>
      </w:r>
      <w:r w:rsidRPr="0079202E">
        <w:rPr>
          <w:u w:val="single"/>
        </w:rPr>
        <w:tab/>
      </w:r>
      <w:r w:rsidRPr="0079202E">
        <w:rPr>
          <w:u w:val="single"/>
        </w:rPr>
        <w:tab/>
      </w:r>
    </w:p>
    <w:sectPr w:rsidR="00381C24" w:rsidRPr="00F22EC5" w:rsidSect="00234CA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A8AAA" w14:textId="77777777" w:rsidR="00081368" w:rsidRPr="00A312BC" w:rsidRDefault="00081368" w:rsidP="00A312BC"/>
  </w:endnote>
  <w:endnote w:type="continuationSeparator" w:id="0">
    <w:p w14:paraId="6FEA8B0B" w14:textId="77777777" w:rsidR="00081368" w:rsidRPr="00A312BC" w:rsidRDefault="0008136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5DAAF" w14:textId="75E3BA98" w:rsidR="00234CA2" w:rsidRPr="00234CA2" w:rsidRDefault="00234CA2">
    <w:pPr>
      <w:pStyle w:val="a8"/>
    </w:pPr>
    <w:r w:rsidRPr="00234CA2">
      <w:rPr>
        <w:b/>
        <w:sz w:val="18"/>
      </w:rPr>
      <w:fldChar w:fldCharType="begin"/>
    </w:r>
    <w:r w:rsidRPr="00234CA2">
      <w:rPr>
        <w:b/>
        <w:sz w:val="18"/>
      </w:rPr>
      <w:instrText xml:space="preserve"> PAGE  \* MERGEFORMAT </w:instrText>
    </w:r>
    <w:r w:rsidRPr="00234CA2">
      <w:rPr>
        <w:b/>
        <w:sz w:val="18"/>
      </w:rPr>
      <w:fldChar w:fldCharType="separate"/>
    </w:r>
    <w:r w:rsidRPr="00234CA2">
      <w:rPr>
        <w:b/>
        <w:noProof/>
        <w:sz w:val="18"/>
      </w:rPr>
      <w:t>2</w:t>
    </w:r>
    <w:r w:rsidRPr="00234CA2">
      <w:rPr>
        <w:b/>
        <w:sz w:val="18"/>
      </w:rPr>
      <w:fldChar w:fldCharType="end"/>
    </w:r>
    <w:r>
      <w:rPr>
        <w:b/>
        <w:sz w:val="18"/>
      </w:rPr>
      <w:tab/>
    </w:r>
    <w:r>
      <w:t>GE.24-13802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F0687" w14:textId="6346A389" w:rsidR="00234CA2" w:rsidRPr="00234CA2" w:rsidRDefault="00234CA2" w:rsidP="00234CA2">
    <w:pPr>
      <w:pStyle w:val="a8"/>
      <w:tabs>
        <w:tab w:val="clear" w:pos="9639"/>
        <w:tab w:val="right" w:pos="9638"/>
      </w:tabs>
      <w:rPr>
        <w:b/>
        <w:sz w:val="18"/>
      </w:rPr>
    </w:pPr>
    <w:r>
      <w:t>GE.24-13802</w:t>
    </w:r>
    <w:r>
      <w:tab/>
    </w:r>
    <w:r w:rsidRPr="00234CA2">
      <w:rPr>
        <w:b/>
        <w:sz w:val="18"/>
      </w:rPr>
      <w:fldChar w:fldCharType="begin"/>
    </w:r>
    <w:r w:rsidRPr="00234CA2">
      <w:rPr>
        <w:b/>
        <w:sz w:val="18"/>
      </w:rPr>
      <w:instrText xml:space="preserve"> PAGE  \* MERGEFORMAT </w:instrText>
    </w:r>
    <w:r w:rsidRPr="00234CA2">
      <w:rPr>
        <w:b/>
        <w:sz w:val="18"/>
      </w:rPr>
      <w:fldChar w:fldCharType="separate"/>
    </w:r>
    <w:r w:rsidRPr="00234CA2">
      <w:rPr>
        <w:b/>
        <w:noProof/>
        <w:sz w:val="18"/>
      </w:rPr>
      <w:t>3</w:t>
    </w:r>
    <w:r w:rsidRPr="00234CA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F8D2B" w14:textId="3B402907" w:rsidR="00042B72" w:rsidRPr="00C50282" w:rsidRDefault="00234CA2" w:rsidP="00234CA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491F735" wp14:editId="73C6927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24-13802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A5E4357" wp14:editId="1F18ABE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0282">
      <w:rPr>
        <w:lang w:val="en-US"/>
      </w:rPr>
      <w:t xml:space="preserve">  300924  011024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DFF73" w14:textId="77777777" w:rsidR="00081368" w:rsidRPr="001075E9" w:rsidRDefault="0008136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B3D7D5A" w14:textId="77777777" w:rsidR="00081368" w:rsidRDefault="0008136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69A4050" w14:textId="54B81AFA" w:rsidR="00027F1D" w:rsidRPr="0079202E" w:rsidRDefault="00027F1D" w:rsidP="00027F1D">
      <w:pPr>
        <w:pStyle w:val="ad"/>
      </w:pPr>
      <w:r>
        <w:tab/>
      </w:r>
      <w:r w:rsidRPr="00C50282">
        <w:rPr>
          <w:sz w:val="20"/>
        </w:rPr>
        <w:t>*</w:t>
      </w:r>
      <w:r>
        <w:tab/>
        <w:t>Приняты Комитетом на его восьмидесятой сессии (</w:t>
      </w:r>
      <w:r w:rsidR="00C50282">
        <w:t xml:space="preserve">8–26 </w:t>
      </w:r>
      <w:r>
        <w:t>июля 2024 года).</w:t>
      </w:r>
    </w:p>
  </w:footnote>
  <w:footnote w:id="2">
    <w:p w14:paraId="56A207EA" w14:textId="459D9243" w:rsidR="00027F1D" w:rsidRPr="00C50282" w:rsidRDefault="00027F1D" w:rsidP="00027F1D">
      <w:pPr>
        <w:pStyle w:val="ad"/>
        <w:rPr>
          <w:lang w:val="en-US"/>
        </w:rPr>
      </w:pPr>
      <w:r w:rsidRPr="00CC470C">
        <w:tab/>
      </w:r>
      <w:r w:rsidRPr="00CC470C">
        <w:rPr>
          <w:rStyle w:val="aa"/>
        </w:rPr>
        <w:footnoteRef/>
      </w:r>
      <w:r w:rsidRPr="0079202E">
        <w:rPr>
          <w:lang w:val="en-US"/>
        </w:rPr>
        <w:tab/>
      </w:r>
      <w:hyperlink r:id="rId1" w:history="1">
        <w:r w:rsidR="00D844A8" w:rsidRPr="00044894">
          <w:rPr>
            <w:rStyle w:val="af1"/>
            <w:lang w:val="en-US"/>
          </w:rPr>
          <w:t>CAT/C/TUR/5</w:t>
        </w:r>
      </w:hyperlink>
      <w:r w:rsidRPr="0079202E">
        <w:rPr>
          <w:lang w:val="en-US"/>
        </w:rPr>
        <w:t>.</w:t>
      </w:r>
    </w:p>
  </w:footnote>
  <w:footnote w:id="3">
    <w:p w14:paraId="127B5C7E" w14:textId="77777777" w:rsidR="00C06F27" w:rsidRPr="00C50282" w:rsidRDefault="00C06F27" w:rsidP="00C06F27">
      <w:pPr>
        <w:pStyle w:val="ad"/>
        <w:rPr>
          <w:lang w:val="en-US"/>
        </w:rPr>
      </w:pPr>
      <w:r w:rsidRPr="0079202E">
        <w:rPr>
          <w:lang w:val="en-US"/>
        </w:rPr>
        <w:tab/>
      </w:r>
      <w:r w:rsidRPr="00CC470C">
        <w:rPr>
          <w:rStyle w:val="aa"/>
        </w:rPr>
        <w:footnoteRef/>
      </w:r>
      <w:r w:rsidRPr="0079202E">
        <w:rPr>
          <w:lang w:val="en-US"/>
        </w:rPr>
        <w:tab/>
      </w:r>
      <w:r>
        <w:t>См</w:t>
      </w:r>
      <w:r w:rsidRPr="0079202E">
        <w:rPr>
          <w:lang w:val="en-US"/>
        </w:rPr>
        <w:t xml:space="preserve">. </w:t>
      </w:r>
      <w:hyperlink r:id="rId2" w:history="1">
        <w:r w:rsidRPr="00C06F27">
          <w:rPr>
            <w:rStyle w:val="af1"/>
            <w:lang w:val="en-US"/>
          </w:rPr>
          <w:t>CAT/C/SR.2123</w:t>
        </w:r>
      </w:hyperlink>
      <w:r w:rsidRPr="0079202E">
        <w:rPr>
          <w:lang w:val="en-US"/>
        </w:rPr>
        <w:t xml:space="preserve"> </w:t>
      </w:r>
      <w:r>
        <w:t>и</w:t>
      </w:r>
      <w:r w:rsidRPr="0079202E">
        <w:rPr>
          <w:lang w:val="en-US"/>
        </w:rPr>
        <w:t xml:space="preserve"> </w:t>
      </w:r>
      <w:hyperlink r:id="rId3" w:history="1">
        <w:r w:rsidRPr="00044894">
          <w:rPr>
            <w:rStyle w:val="af1"/>
            <w:lang w:val="en-US"/>
          </w:rPr>
          <w:t>CAT/C/SR.2125</w:t>
        </w:r>
      </w:hyperlink>
      <w:r w:rsidRPr="0079202E">
        <w:rPr>
          <w:lang w:val="en-US"/>
        </w:rPr>
        <w:t>.</w:t>
      </w:r>
    </w:p>
  </w:footnote>
  <w:footnote w:id="4">
    <w:p w14:paraId="7857591C" w14:textId="426AE588" w:rsidR="00027F1D" w:rsidRPr="00C50282" w:rsidRDefault="00027F1D" w:rsidP="00027F1D">
      <w:pPr>
        <w:pStyle w:val="ad"/>
        <w:rPr>
          <w:lang w:val="en-US"/>
        </w:rPr>
      </w:pPr>
      <w:r w:rsidRPr="0079202E">
        <w:rPr>
          <w:lang w:val="en-US"/>
        </w:rPr>
        <w:tab/>
      </w:r>
      <w:r w:rsidRPr="00CC470C">
        <w:rPr>
          <w:rStyle w:val="aa"/>
        </w:rPr>
        <w:footnoteRef/>
      </w:r>
      <w:r w:rsidRPr="0079202E">
        <w:rPr>
          <w:lang w:val="en-US"/>
        </w:rPr>
        <w:tab/>
      </w:r>
      <w:hyperlink r:id="rId4" w:history="1">
        <w:r w:rsidRPr="00C06F27">
          <w:rPr>
            <w:rStyle w:val="af1"/>
            <w:lang w:val="en-US"/>
          </w:rPr>
          <w:t>CAT/C/TUR/CO/4</w:t>
        </w:r>
      </w:hyperlink>
      <w:r w:rsidRPr="0079202E">
        <w:rPr>
          <w:lang w:val="en-US"/>
        </w:rPr>
        <w:t xml:space="preserve">, </w:t>
      </w:r>
      <w:r>
        <w:t>п</w:t>
      </w:r>
      <w:r w:rsidRPr="0079202E">
        <w:rPr>
          <w:lang w:val="en-US"/>
        </w:rPr>
        <w:t xml:space="preserve">. </w:t>
      </w:r>
      <w:proofErr w:type="gramStart"/>
      <w:r w:rsidRPr="0079202E">
        <w:rPr>
          <w:lang w:val="en-US"/>
        </w:rPr>
        <w:t>49</w:t>
      </w:r>
      <w:proofErr w:type="gramEnd"/>
      <w:r w:rsidRPr="0079202E">
        <w:rPr>
          <w:lang w:val="en-US"/>
        </w:rPr>
        <w:t>.</w:t>
      </w:r>
    </w:p>
  </w:footnote>
  <w:footnote w:id="5">
    <w:p w14:paraId="4A027D8F" w14:textId="3B7B9F74" w:rsidR="00027F1D" w:rsidRPr="00C50282" w:rsidRDefault="00027F1D" w:rsidP="00027F1D">
      <w:pPr>
        <w:pStyle w:val="ad"/>
        <w:rPr>
          <w:lang w:val="en-US"/>
        </w:rPr>
      </w:pPr>
      <w:r w:rsidRPr="0079202E">
        <w:rPr>
          <w:lang w:val="en-US"/>
        </w:rPr>
        <w:tab/>
      </w:r>
      <w:r w:rsidRPr="00CC470C">
        <w:rPr>
          <w:rStyle w:val="aa"/>
        </w:rPr>
        <w:footnoteRef/>
      </w:r>
      <w:r w:rsidRPr="0079202E">
        <w:rPr>
          <w:lang w:val="en-US"/>
        </w:rPr>
        <w:tab/>
      </w:r>
      <w:hyperlink r:id="rId5" w:history="1">
        <w:r w:rsidR="00901E5E" w:rsidRPr="00901E5E">
          <w:rPr>
            <w:rStyle w:val="af1"/>
            <w:lang w:val="en-US"/>
          </w:rPr>
          <w:t>CAT/C/TUR/CO/4/Add.1</w:t>
        </w:r>
      </w:hyperlink>
      <w:r w:rsidRPr="0079202E">
        <w:rPr>
          <w:lang w:val="en-US"/>
        </w:rPr>
        <w:t>.</w:t>
      </w:r>
    </w:p>
  </w:footnote>
  <w:footnote w:id="6">
    <w:p w14:paraId="5C97B07D" w14:textId="3353FCDA" w:rsidR="00027F1D" w:rsidRPr="0079202E" w:rsidRDefault="00027F1D" w:rsidP="00027F1D">
      <w:pPr>
        <w:pStyle w:val="ad"/>
      </w:pPr>
      <w:r w:rsidRPr="0079202E">
        <w:rPr>
          <w:lang w:val="en-US"/>
        </w:rPr>
        <w:tab/>
      </w:r>
      <w:r w:rsidRPr="00CC470C">
        <w:rPr>
          <w:rStyle w:val="aa"/>
        </w:rPr>
        <w:footnoteRef/>
      </w:r>
      <w:r>
        <w:tab/>
        <w:t xml:space="preserve">См. </w:t>
      </w:r>
      <w:hyperlink r:id="rId6" w:history="1">
        <w:r w:rsidR="00901E5E" w:rsidRPr="0073270F">
          <w:rPr>
            <w:rStyle w:val="af1"/>
          </w:rPr>
          <w:t>https://tbinternet.ohchr.org/_layouts/15/treatybodyexternal/Download.aspx?symbolno=INT%2FCAT%2FFUL%2FTUR%2F25040&amp;Lang=en</w:t>
        </w:r>
      </w:hyperlink>
      <w:r>
        <w:t xml:space="preserve">. </w:t>
      </w:r>
    </w:p>
  </w:footnote>
  <w:footnote w:id="7">
    <w:p w14:paraId="425A8792" w14:textId="439FED3D" w:rsidR="00027F1D" w:rsidRPr="0079202E" w:rsidRDefault="00027F1D" w:rsidP="00027F1D">
      <w:pPr>
        <w:pStyle w:val="ad"/>
      </w:pPr>
      <w:r>
        <w:tab/>
      </w:r>
      <w:r w:rsidRPr="00CC470C">
        <w:rPr>
          <w:rStyle w:val="aa"/>
        </w:rPr>
        <w:footnoteRef/>
      </w:r>
      <w:r>
        <w:tab/>
        <w:t xml:space="preserve">См. </w:t>
      </w:r>
      <w:hyperlink r:id="rId7" w:history="1">
        <w:r w:rsidR="00901E5E" w:rsidRPr="0073270F">
          <w:rPr>
            <w:rStyle w:val="af1"/>
          </w:rPr>
          <w:t>https://tbinternet.ohchr.org/_layouts/15/treatybodyexternal/Download.aspx?symbolno=CAT%2FC%2FTUR%2FCO%2F4%2FAdd.2&amp;Lang=en</w:t>
        </w:r>
      </w:hyperlink>
      <w:r>
        <w:t>.</w:t>
      </w:r>
    </w:p>
  </w:footnote>
  <w:footnote w:id="8">
    <w:p w14:paraId="75F53DB1" w14:textId="5E814739" w:rsidR="00901E5E" w:rsidRPr="00C50282" w:rsidRDefault="00901E5E" w:rsidP="00901E5E">
      <w:pPr>
        <w:pStyle w:val="ad"/>
        <w:rPr>
          <w:lang w:val="en-US"/>
        </w:rPr>
      </w:pPr>
      <w:r w:rsidRPr="00EA256A">
        <w:tab/>
      </w:r>
      <w:r w:rsidRPr="00CC470C">
        <w:rPr>
          <w:rStyle w:val="aa"/>
        </w:rPr>
        <w:footnoteRef/>
      </w:r>
      <w:r w:rsidRPr="0079202E">
        <w:rPr>
          <w:lang w:val="en-US"/>
        </w:rPr>
        <w:tab/>
      </w:r>
      <w:hyperlink r:id="rId8" w:history="1">
        <w:r w:rsidRPr="00780A99">
          <w:rPr>
            <w:rStyle w:val="af1"/>
            <w:lang w:val="en-US"/>
          </w:rPr>
          <w:t>CAT/C/TUR/CO/4</w:t>
        </w:r>
      </w:hyperlink>
      <w:r w:rsidRPr="0079202E">
        <w:rPr>
          <w:lang w:val="en-US"/>
        </w:rPr>
        <w:t xml:space="preserve">, </w:t>
      </w:r>
      <w:r>
        <w:t>п</w:t>
      </w:r>
      <w:r w:rsidRPr="0079202E">
        <w:rPr>
          <w:lang w:val="en-US"/>
        </w:rPr>
        <w:t xml:space="preserve">. </w:t>
      </w:r>
      <w:proofErr w:type="gramStart"/>
      <w:r w:rsidRPr="0079202E">
        <w:rPr>
          <w:lang w:val="en-US"/>
        </w:rPr>
        <w:t>18</w:t>
      </w:r>
      <w:proofErr w:type="gramEnd"/>
      <w:r w:rsidRPr="0079202E">
        <w:rPr>
          <w:lang w:val="en-US"/>
        </w:rPr>
        <w:t>.</w:t>
      </w:r>
    </w:p>
  </w:footnote>
  <w:footnote w:id="9">
    <w:p w14:paraId="488E3EBC" w14:textId="1F15325E" w:rsidR="00027F1D" w:rsidRPr="0079202E" w:rsidRDefault="00027F1D" w:rsidP="00027F1D">
      <w:pPr>
        <w:pStyle w:val="ad"/>
      </w:pPr>
      <w:r w:rsidRPr="0079202E">
        <w:rPr>
          <w:lang w:val="en-US"/>
        </w:rPr>
        <w:tab/>
      </w:r>
      <w:r w:rsidRPr="00CC470C">
        <w:rPr>
          <w:rStyle w:val="aa"/>
        </w:rPr>
        <w:footnoteRef/>
      </w:r>
      <w:r>
        <w:tab/>
        <w:t>Минимальные стандартные правила Организации Объединенных Наций в отношении обращения с заключенными (Правила Нельсона Манделы), правило 44</w:t>
      </w:r>
      <w:r w:rsidR="00754D87">
        <w:t>.</w:t>
      </w:r>
    </w:p>
  </w:footnote>
  <w:footnote w:id="10">
    <w:p w14:paraId="765A654B" w14:textId="2DF5BEB0" w:rsidR="00754D87" w:rsidRPr="0079202E" w:rsidRDefault="00754D87" w:rsidP="00754D87">
      <w:pPr>
        <w:pStyle w:val="ad"/>
      </w:pPr>
      <w:r w:rsidRPr="00CC470C">
        <w:tab/>
      </w:r>
      <w:r w:rsidRPr="00CC470C">
        <w:rPr>
          <w:rStyle w:val="aa"/>
        </w:rPr>
        <w:footnoteRef/>
      </w:r>
      <w:r>
        <w:tab/>
        <w:t xml:space="preserve">Упоминания о Косово следует рассматривать в контексте резолюции </w:t>
      </w:r>
      <w:hyperlink r:id="rId9" w:history="1">
        <w:r w:rsidRPr="00754D87">
          <w:rPr>
            <w:rStyle w:val="af1"/>
          </w:rPr>
          <w:t>1244 (1999)</w:t>
        </w:r>
      </w:hyperlink>
      <w:r>
        <w:t xml:space="preserve"> Совета Безопасности.</w:t>
      </w:r>
    </w:p>
  </w:footnote>
  <w:footnote w:id="11">
    <w:p w14:paraId="0D6A9A30" w14:textId="1F4ADA84" w:rsidR="00754D87" w:rsidRPr="0079202E" w:rsidRDefault="00754D87" w:rsidP="00754D87">
      <w:pPr>
        <w:pStyle w:val="ad"/>
      </w:pPr>
      <w:r w:rsidRPr="00CC470C">
        <w:tab/>
      </w:r>
      <w:r w:rsidRPr="00CC470C">
        <w:rPr>
          <w:rStyle w:val="aa"/>
        </w:rPr>
        <w:footnoteRef/>
      </w:r>
      <w:r>
        <w:tab/>
      </w:r>
      <w:hyperlink r:id="rId10" w:history="1">
        <w:r w:rsidRPr="00754D87">
          <w:rPr>
            <w:rStyle w:val="af1"/>
          </w:rPr>
          <w:t>A/HRC/42/40</w:t>
        </w:r>
      </w:hyperlink>
      <w:r>
        <w:t xml:space="preserve">, п. 56; и сообщение TUR 5/2020, URL: </w:t>
      </w:r>
      <w:hyperlink r:id="rId11" w:history="1">
        <w:r w:rsidRPr="0073270F">
          <w:rPr>
            <w:rStyle w:val="af1"/>
          </w:rPr>
          <w:t>https://spcommreports.ohchr.org/TMResultsBase/DownLoadPublicCommunicationFile?gId=25209</w:t>
        </w:r>
      </w:hyperlink>
      <w:r>
        <w:t>.</w:t>
      </w:r>
    </w:p>
  </w:footnote>
  <w:footnote w:id="12">
    <w:p w14:paraId="7B77F531" w14:textId="77777777" w:rsidR="00CD6870" w:rsidRPr="00C50282" w:rsidRDefault="00CD6870" w:rsidP="00CD6870">
      <w:pPr>
        <w:pStyle w:val="ad"/>
        <w:rPr>
          <w:lang w:val="en-US"/>
        </w:rPr>
      </w:pPr>
      <w:r w:rsidRPr="00CC470C">
        <w:tab/>
      </w:r>
      <w:r w:rsidRPr="00CC470C">
        <w:rPr>
          <w:rStyle w:val="aa"/>
        </w:rPr>
        <w:footnoteRef/>
      </w:r>
      <w:r w:rsidRPr="0079202E">
        <w:rPr>
          <w:lang w:val="en-US"/>
        </w:rPr>
        <w:tab/>
      </w:r>
      <w:hyperlink r:id="rId12" w:history="1">
        <w:r w:rsidRPr="000C5356">
          <w:rPr>
            <w:rStyle w:val="af1"/>
            <w:lang w:val="en-US"/>
          </w:rPr>
          <w:t>A/HRC/50/36</w:t>
        </w:r>
      </w:hyperlink>
      <w:r w:rsidRPr="0079202E">
        <w:rPr>
          <w:lang w:val="en-US"/>
        </w:rPr>
        <w:t xml:space="preserve">, </w:t>
      </w:r>
      <w:r>
        <w:t>п</w:t>
      </w:r>
      <w:r w:rsidRPr="0079202E">
        <w:rPr>
          <w:lang w:val="en-US"/>
        </w:rPr>
        <w:t xml:space="preserve">. </w:t>
      </w:r>
      <w:proofErr w:type="gramStart"/>
      <w:r w:rsidRPr="0079202E">
        <w:rPr>
          <w:lang w:val="en-US"/>
        </w:rPr>
        <w:t>59</w:t>
      </w:r>
      <w:proofErr w:type="gramEnd"/>
      <w:r w:rsidRPr="0079202E">
        <w:rPr>
          <w:lang w:val="en-US"/>
        </w:rPr>
        <w:t>.</w:t>
      </w:r>
    </w:p>
  </w:footnote>
  <w:footnote w:id="13">
    <w:p w14:paraId="54B15048" w14:textId="77777777" w:rsidR="00027F1D" w:rsidRPr="00C50282" w:rsidRDefault="00027F1D" w:rsidP="00027F1D">
      <w:pPr>
        <w:pStyle w:val="ad"/>
        <w:rPr>
          <w:lang w:val="en-US"/>
        </w:rPr>
      </w:pPr>
      <w:r w:rsidRPr="0079202E">
        <w:rPr>
          <w:lang w:val="en-US"/>
        </w:rPr>
        <w:tab/>
      </w:r>
      <w:r w:rsidRPr="00CC470C">
        <w:rPr>
          <w:rStyle w:val="aa"/>
        </w:rPr>
        <w:footnoteRef/>
      </w:r>
      <w:r w:rsidRPr="0079202E">
        <w:rPr>
          <w:lang w:val="en-US"/>
        </w:rPr>
        <w:tab/>
      </w:r>
      <w:r w:rsidRPr="000C5356">
        <w:rPr>
          <w:i/>
          <w:iCs/>
          <w:lang w:val="en-US"/>
        </w:rPr>
        <w:t xml:space="preserve">Alparslan Altan v. </w:t>
      </w:r>
      <w:proofErr w:type="gramStart"/>
      <w:r w:rsidRPr="000C5356">
        <w:rPr>
          <w:i/>
          <w:iCs/>
          <w:lang w:val="en-US"/>
        </w:rPr>
        <w:t>Turkey</w:t>
      </w:r>
      <w:proofErr w:type="gramEnd"/>
      <w:r w:rsidRPr="0079202E">
        <w:rPr>
          <w:lang w:val="en-US"/>
        </w:rPr>
        <w:t xml:space="preserve">, Application No. 12778/17, Judgment, 16 April 2019; </w:t>
      </w:r>
      <w:r>
        <w:t>и</w:t>
      </w:r>
      <w:r w:rsidRPr="0079202E">
        <w:rPr>
          <w:lang w:val="en-US"/>
        </w:rPr>
        <w:t xml:space="preserve"> </w:t>
      </w:r>
      <w:r w:rsidRPr="000C5356">
        <w:rPr>
          <w:i/>
          <w:iCs/>
          <w:lang w:val="en-US"/>
        </w:rPr>
        <w:t>Akgün v. Turkey</w:t>
      </w:r>
      <w:r w:rsidRPr="0079202E">
        <w:rPr>
          <w:lang w:val="en-US"/>
        </w:rPr>
        <w:t xml:space="preserve">, Application No. 19699/18, Judgment, 20 July 2021. </w:t>
      </w:r>
    </w:p>
  </w:footnote>
  <w:footnote w:id="14">
    <w:p w14:paraId="17B09A3C" w14:textId="01C81085" w:rsidR="000C5356" w:rsidRPr="00863173" w:rsidRDefault="000C5356" w:rsidP="000C5356">
      <w:pPr>
        <w:pStyle w:val="ad"/>
      </w:pPr>
      <w:r w:rsidRPr="0079202E">
        <w:rPr>
          <w:lang w:val="en-US"/>
        </w:rPr>
        <w:tab/>
      </w:r>
      <w:r w:rsidRPr="00CC470C">
        <w:rPr>
          <w:rStyle w:val="aa"/>
        </w:rPr>
        <w:footnoteRef/>
      </w:r>
      <w:r>
        <w:tab/>
      </w:r>
      <w:hyperlink r:id="rId13" w:history="1">
        <w:r w:rsidRPr="000C5356">
          <w:rPr>
            <w:rStyle w:val="af1"/>
          </w:rPr>
          <w:t>A/73/365</w:t>
        </w:r>
      </w:hyperlink>
      <w:r>
        <w:t xml:space="preserve">, п. 36.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20884" w14:textId="2381C778" w:rsidR="00234CA2" w:rsidRPr="00234CA2" w:rsidRDefault="0081198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330A62">
      <w:t>CAT/C/TUR/CO/5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F6019" w14:textId="30F328B0" w:rsidR="00234CA2" w:rsidRPr="00234CA2" w:rsidRDefault="00811987" w:rsidP="00234CA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330A62">
      <w:t>CAT/C/TUR/CO/5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368"/>
    <w:rsid w:val="00027F1D"/>
    <w:rsid w:val="00030741"/>
    <w:rsid w:val="00033EE1"/>
    <w:rsid w:val="00041407"/>
    <w:rsid w:val="00042B72"/>
    <w:rsid w:val="00044894"/>
    <w:rsid w:val="000558BD"/>
    <w:rsid w:val="000725B5"/>
    <w:rsid w:val="00081368"/>
    <w:rsid w:val="000814CD"/>
    <w:rsid w:val="000A4DA5"/>
    <w:rsid w:val="000B57E7"/>
    <w:rsid w:val="000B6373"/>
    <w:rsid w:val="000C5356"/>
    <w:rsid w:val="000F09DF"/>
    <w:rsid w:val="000F61B2"/>
    <w:rsid w:val="001075E9"/>
    <w:rsid w:val="001746C5"/>
    <w:rsid w:val="00180183"/>
    <w:rsid w:val="0018024D"/>
    <w:rsid w:val="0018649F"/>
    <w:rsid w:val="00196389"/>
    <w:rsid w:val="001B3EF6"/>
    <w:rsid w:val="001C7A89"/>
    <w:rsid w:val="00234CA2"/>
    <w:rsid w:val="002A2EFC"/>
    <w:rsid w:val="002C0E18"/>
    <w:rsid w:val="002D525E"/>
    <w:rsid w:val="002D5AAC"/>
    <w:rsid w:val="002E5067"/>
    <w:rsid w:val="002F2D14"/>
    <w:rsid w:val="002F405F"/>
    <w:rsid w:val="002F7EEC"/>
    <w:rsid w:val="00301299"/>
    <w:rsid w:val="00307FB6"/>
    <w:rsid w:val="00315ED6"/>
    <w:rsid w:val="00317339"/>
    <w:rsid w:val="00322004"/>
    <w:rsid w:val="003269FF"/>
    <w:rsid w:val="00330A62"/>
    <w:rsid w:val="003402C2"/>
    <w:rsid w:val="00374EC6"/>
    <w:rsid w:val="00381C24"/>
    <w:rsid w:val="00393C46"/>
    <w:rsid w:val="003958D0"/>
    <w:rsid w:val="003B00E5"/>
    <w:rsid w:val="00403C9E"/>
    <w:rsid w:val="00407B78"/>
    <w:rsid w:val="00424203"/>
    <w:rsid w:val="00452493"/>
    <w:rsid w:val="00454E07"/>
    <w:rsid w:val="00472C5C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81A10"/>
    <w:rsid w:val="00682D52"/>
    <w:rsid w:val="006A1ED8"/>
    <w:rsid w:val="006C2031"/>
    <w:rsid w:val="006D461A"/>
    <w:rsid w:val="006F35EE"/>
    <w:rsid w:val="007021FF"/>
    <w:rsid w:val="00712895"/>
    <w:rsid w:val="00754D87"/>
    <w:rsid w:val="00757357"/>
    <w:rsid w:val="00780A99"/>
    <w:rsid w:val="007A7487"/>
    <w:rsid w:val="007B2D0A"/>
    <w:rsid w:val="00825F8D"/>
    <w:rsid w:val="00834B71"/>
    <w:rsid w:val="00834CC0"/>
    <w:rsid w:val="0086445C"/>
    <w:rsid w:val="00894693"/>
    <w:rsid w:val="008A08D7"/>
    <w:rsid w:val="008B6909"/>
    <w:rsid w:val="00901E5E"/>
    <w:rsid w:val="00906890"/>
    <w:rsid w:val="00911BE4"/>
    <w:rsid w:val="00951972"/>
    <w:rsid w:val="00953B7A"/>
    <w:rsid w:val="009569AF"/>
    <w:rsid w:val="009608F3"/>
    <w:rsid w:val="0097544C"/>
    <w:rsid w:val="009A24AC"/>
    <w:rsid w:val="009C2D88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C18B2"/>
    <w:rsid w:val="00BD33EE"/>
    <w:rsid w:val="00C06F27"/>
    <w:rsid w:val="00C106D6"/>
    <w:rsid w:val="00C23549"/>
    <w:rsid w:val="00C50282"/>
    <w:rsid w:val="00C60F0C"/>
    <w:rsid w:val="00C76CA5"/>
    <w:rsid w:val="00C805C9"/>
    <w:rsid w:val="00C838C6"/>
    <w:rsid w:val="00C92939"/>
    <w:rsid w:val="00CA1679"/>
    <w:rsid w:val="00CB151C"/>
    <w:rsid w:val="00CD6870"/>
    <w:rsid w:val="00CE5A1A"/>
    <w:rsid w:val="00CF55F6"/>
    <w:rsid w:val="00D33D63"/>
    <w:rsid w:val="00D6392D"/>
    <w:rsid w:val="00D7263B"/>
    <w:rsid w:val="00D83807"/>
    <w:rsid w:val="00D844A8"/>
    <w:rsid w:val="00D90028"/>
    <w:rsid w:val="00D90138"/>
    <w:rsid w:val="00DF71B9"/>
    <w:rsid w:val="00E21169"/>
    <w:rsid w:val="00E528D1"/>
    <w:rsid w:val="00E73F76"/>
    <w:rsid w:val="00EA2C9F"/>
    <w:rsid w:val="00EB6DC1"/>
    <w:rsid w:val="00ED0BDA"/>
    <w:rsid w:val="00EF1360"/>
    <w:rsid w:val="00EF3220"/>
    <w:rsid w:val="00F21B00"/>
    <w:rsid w:val="00F22EC5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6B6290"/>
  <w15:docId w15:val="{7F61F3D3-6D0B-4D5D-9FA2-0D913B9AB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570A37"/>
    <w:rPr>
      <w:color w:val="0000FF"/>
      <w:u w:val="none"/>
    </w:rPr>
  </w:style>
  <w:style w:type="character" w:styleId="af2">
    <w:name w:val="FollowedHyperlink"/>
    <w:basedOn w:val="a0"/>
    <w:rsid w:val="00570A37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qFormat/>
    <w:locked/>
    <w:rsid w:val="00027F1D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C502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AT/C/TUR/CO/4" TargetMode="External"/><Relationship Id="rId13" Type="http://schemas.openxmlformats.org/officeDocument/2006/relationships/hyperlink" Target="http://undocs.org/ru/A/73/365" TargetMode="External"/><Relationship Id="rId3" Type="http://schemas.openxmlformats.org/officeDocument/2006/relationships/hyperlink" Target="http://undocs.org/ru/CAT/C/SR.2125" TargetMode="External"/><Relationship Id="rId7" Type="http://schemas.openxmlformats.org/officeDocument/2006/relationships/hyperlink" Target="https://tbinternet.ohchr.org/_layouts/15/treatybodyexternal/Download.aspx?symbolno=CAT%2FC%2FTUR%2FCO%2F4%2FAdd.2&amp;Lang=en" TargetMode="External"/><Relationship Id="rId12" Type="http://schemas.openxmlformats.org/officeDocument/2006/relationships/hyperlink" Target="http://undocs.org/ru/A/HRC/50/36" TargetMode="External"/><Relationship Id="rId2" Type="http://schemas.openxmlformats.org/officeDocument/2006/relationships/hyperlink" Target="http://undocs.org/ru/CAT/C/SR.2123" TargetMode="External"/><Relationship Id="rId1" Type="http://schemas.openxmlformats.org/officeDocument/2006/relationships/hyperlink" Target="http://undocs.org/en/CAT/C/TUR/5" TargetMode="External"/><Relationship Id="rId6" Type="http://schemas.openxmlformats.org/officeDocument/2006/relationships/hyperlink" Target="https://tbinternet.ohchr.org/_layouts/15/treatybodyexternal/Download.aspx?symbolno=INT%2FCAT%2FFUL%2FTUR%2F25040&amp;Lang=en" TargetMode="External"/><Relationship Id="rId11" Type="http://schemas.openxmlformats.org/officeDocument/2006/relationships/hyperlink" Target="https://spcommreports.ohchr.org/TMResultsBase/DownLoadPublicCommunicationFile?gId=25209" TargetMode="External"/><Relationship Id="rId5" Type="http://schemas.openxmlformats.org/officeDocument/2006/relationships/hyperlink" Target="http://undocs.org/en/CAT/C/TUR/CO/4/Add.1" TargetMode="External"/><Relationship Id="rId10" Type="http://schemas.openxmlformats.org/officeDocument/2006/relationships/hyperlink" Target="http://undocs.org/ru/A/HRC/42/40" TargetMode="External"/><Relationship Id="rId4" Type="http://schemas.openxmlformats.org/officeDocument/2006/relationships/hyperlink" Target="http://undocs.org/ru/CAT/C/TUR/CO/4" TargetMode="External"/><Relationship Id="rId9" Type="http://schemas.openxmlformats.org/officeDocument/2006/relationships/hyperlink" Target="http://undocs.org/ru/S/RES/1244(1999)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16</Pages>
  <Words>6464</Words>
  <Characters>45058</Characters>
  <Application>Microsoft Office Word</Application>
  <DocSecurity>0</DocSecurity>
  <Lines>783</Lines>
  <Paragraphs>135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CAT/C/TUR/CO/5</vt:lpstr>
      <vt:lpstr>A/</vt:lpstr>
      <vt:lpstr>A/</vt:lpstr>
      <vt:lpstr>A/</vt:lpstr>
    </vt:vector>
  </TitlesOfParts>
  <Company>DCM</Company>
  <LinksUpToDate>false</LinksUpToDate>
  <CharactersWithSpaces>51492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CAT/C/TUR/CO/5</dc:title>
  <dc:subject/>
  <dc:creator>Uliana ANTIPOVA</dc:creator>
  <cp:keywords/>
  <cp:lastModifiedBy>Uliana Antipova</cp:lastModifiedBy>
  <cp:revision>3</cp:revision>
  <cp:lastPrinted>2024-10-01T16:19:00Z</cp:lastPrinted>
  <dcterms:created xsi:type="dcterms:W3CDTF">2024-10-01T16:19:00Z</dcterms:created>
  <dcterms:modified xsi:type="dcterms:W3CDTF">2024-10-01T16:21:00Z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