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Рассмотрение докладов, представленных государствами-участниками в соответствии со статьей 18 Конвенции о ликвидации всех форм дискриминации 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Первоначальные доклады государств-участников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 w:val="0"/>
          <w:sz w:val="20"/>
        </w:rPr>
      </w:pPr>
      <w:r>
        <w:tab/>
      </w:r>
      <w:r>
        <w:tab/>
        <w:t>Мавритания</w:t>
      </w:r>
      <w:r>
        <w:rPr>
          <w:rStyle w:val="FootnoteReference"/>
          <w:b w:val="0"/>
          <w:sz w:val="20"/>
        </w:rPr>
        <w:footnoteReference w:customMarkFollows="1" w:id="1"/>
        <w:t>*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Сокращения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9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15"/>
        <w:gridCol w:w="6102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АБР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Африканский банк развития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АКОПАМ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поддержка на уровне кооперативов и ассоциаций инициатив н</w:t>
            </w:r>
            <w:r>
              <w:t>и</w:t>
            </w:r>
            <w:r>
              <w:t>зовых организаций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АФСЭР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Арабский фонд социально-экономического развития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ВБ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Всемирный банк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ВВП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внутренний валовой продукт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ГСДЖ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Государственный секретариат по делам женщин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ДВД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доходообразующие виды деятельности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ДВС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Дирекция по вопросам санитарии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ДМОМ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Демографическое и медицинское обследование в Мавритании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ДСК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дифтерия, столбняк, коклюш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ЖКО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женские крестьянские организации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ЖКСО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женские кредитно-сберегательные объединения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ЗПП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заболевания, передаваемые половым путем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ИСЦЖСР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Информационно-справочный центр по вопросам положения же</w:t>
            </w:r>
            <w:r>
              <w:t>н</w:t>
            </w:r>
            <w:r>
              <w:t>щин, семьи и ребенка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КАМР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Канадское агентство международного развития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КПБ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Комиссариат продовольственной безопасности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КПЧНСИ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Комиссариат по правам человека, борьбе с нищетой и социальной интегр</w:t>
            </w:r>
            <w:r>
              <w:t>а</w:t>
            </w:r>
            <w:r>
              <w:t>ции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КРЕН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Центр реадаптации и диетологического просвещения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МБТ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Международное бюро труда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МЗСВ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Министерство здравоохранения и по социальным вопросам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МНП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Министерство национального просвещения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МСЖПК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Мавританский союз женщин-предпринимателей и женщин-коммерса</w:t>
            </w:r>
            <w:r>
              <w:t>н</w:t>
            </w:r>
            <w:r>
              <w:t>тов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МСОП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Международный союз охраны природы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МФСР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Международный фонд сельскохозяйственного развития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МЭР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Министерство экономики и развития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НИКТ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новые информационно-коммуникационные технол</w:t>
            </w:r>
            <w:r>
              <w:t>о</w:t>
            </w:r>
            <w:r>
              <w:t>гии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НПБС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Национальная программа борьбы со СПИДом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НПО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неправительственная организация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НПЭУ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Национальная программа эффективного управления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НСУЖ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Национальная стратегия улучшения положения женщин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ООРС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Организация по освоению бассейна реки Сен</w:t>
            </w:r>
            <w:r>
              <w:t>е</w:t>
            </w:r>
            <w:r>
              <w:t>гал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ОР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общественные работы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ОЦВП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общинные центры по вопросам питания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ОЦП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общинные центры по вопросам питания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ПО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профессиональные организации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ПКРОЗМ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Программа комплексного развития орошаемого земледелия в Маврит</w:t>
            </w:r>
            <w:r>
              <w:t>а</w:t>
            </w:r>
            <w:r>
              <w:t>нии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ППНСК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Программа поддержки нуждающихся сельскохозяйственных ко</w:t>
            </w:r>
            <w:r>
              <w:t>о</w:t>
            </w:r>
            <w:r>
              <w:t>перативов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ПРГ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Программа развития городских районов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ПСМН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Проект по сокращению масштабов нищеты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ПСУ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Проект в области оказания сельскохозяйственных услуг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ПУА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План укрепления и активизации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ПУМФ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партнерские учреждения, занимающиеся микрофинансирован</w:t>
            </w:r>
            <w:r>
              <w:t>и</w:t>
            </w:r>
            <w:r>
              <w:t>ем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ПЭФО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План экономического и финансового обновления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РДЭП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Рамочный документ по экономической политике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СЖР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Сеть взаимодействия по вопросам, касающимся женщин и разв</w:t>
            </w:r>
            <w:r>
              <w:t>и</w:t>
            </w:r>
            <w:r>
              <w:t>тия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СОНАДЕР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Национальная компания по развитию сельских районов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СПИД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синдром приобретенного иммунодефицита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СРБН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Стратегические рамки борьбы с нищетой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ЦПДМВ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Центр подготовки по вопросам, касающимся детей младшего во</w:t>
            </w:r>
            <w:r>
              <w:t>з</w:t>
            </w:r>
            <w:r>
              <w:t>раста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ЦРДТ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цели в области развития, сформулированные в Декларации тыс</w:t>
            </w:r>
            <w:r>
              <w:t>я</w:t>
            </w:r>
            <w:r>
              <w:t>челетия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15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ЭРК</w:t>
            </w:r>
          </w:p>
        </w:tc>
        <w:tc>
          <w:tcPr>
            <w:tcW w:w="6102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</w:tabs>
              <w:ind w:left="0" w:right="0"/>
              <w:jc w:val="left"/>
            </w:pPr>
            <w:r>
              <w:t>экспериментальный район Куркула</w:t>
            </w:r>
          </w:p>
        </w:tc>
      </w:tr>
    </w:tbl>
    <w:p w:rsidR="00000000" w:rsidRDefault="00000000">
      <w:pPr>
        <w:pStyle w:val="SingleTxt"/>
        <w:ind w:left="1742" w:hanging="475"/>
      </w:pPr>
    </w:p>
    <w:p w:rsidR="00000000" w:rsidRDefault="00000000">
      <w:pPr>
        <w:pStyle w:val="HCh"/>
        <w:spacing w:after="120"/>
      </w:pPr>
      <w:r>
        <w:br w:type="page"/>
        <w:t>Содержание</w:t>
      </w: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0"/>
        <w:gridCol w:w="7315"/>
        <w:gridCol w:w="994"/>
        <w:gridCol w:w="53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60" w:type="dxa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</w:p>
        </w:tc>
        <w:tc>
          <w:tcPr>
            <w:tcW w:w="7315" w:type="dxa"/>
          </w:tcPr>
          <w:p w:rsidR="00000000" w:rsidRDefault="00000000">
            <w:pPr>
              <w:spacing w:after="120" w:line="240" w:lineRule="auto"/>
              <w:rPr>
                <w:i/>
                <w:sz w:val="14"/>
              </w:rPr>
            </w:pPr>
          </w:p>
        </w:tc>
        <w:tc>
          <w:tcPr>
            <w:tcW w:w="994" w:type="dxa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</w:p>
        </w:tc>
        <w:tc>
          <w:tcPr>
            <w:tcW w:w="533" w:type="dxa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Стр.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Сокращения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Введение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rPr>
                <w:b/>
              </w:rPr>
              <w:t>Часть I</w:t>
            </w:r>
            <w:r>
              <w:br/>
            </w:r>
            <w:r>
              <w:tab/>
            </w:r>
            <w:r>
              <w:tab/>
            </w:r>
            <w:r>
              <w:rPr>
                <w:b/>
              </w:rPr>
              <w:t>Общая часть доклада Исламской Республики Мавритания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numPr>
                <w:ilvl w:val="0"/>
                <w:numId w:val="15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360"/>
              </w:tabs>
              <w:spacing w:after="120"/>
            </w:pPr>
            <w:r>
              <w:tab/>
              <w:t>Общие сведения об Исламской Республике Мавритания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numPr>
                <w:ilvl w:val="1"/>
                <w:numId w:val="15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360"/>
              </w:tabs>
              <w:spacing w:after="120"/>
            </w:pPr>
            <w:r>
              <w:t>Территория и население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numPr>
                <w:ilvl w:val="2"/>
                <w:numId w:val="15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360"/>
              </w:tabs>
              <w:spacing w:after="120"/>
            </w:pPr>
            <w:r>
              <w:t>Территория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numPr>
                <w:ilvl w:val="2"/>
                <w:numId w:val="15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360"/>
              </w:tabs>
              <w:spacing w:after="120"/>
            </w:pPr>
            <w:r>
              <w:t>Население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numPr>
                <w:ilvl w:val="1"/>
                <w:numId w:val="15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360"/>
              </w:tabs>
              <w:spacing w:after="120"/>
            </w:pPr>
            <w:r>
              <w:t>Экономика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numPr>
                <w:ilvl w:val="1"/>
                <w:numId w:val="15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right" w:leader="dot" w:pos="9360"/>
              </w:tabs>
              <w:spacing w:after="120"/>
            </w:pPr>
            <w:r>
              <w:t>Политическое и институциональное развитие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numPr>
                <w:ilvl w:val="1"/>
                <w:numId w:val="15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360"/>
              </w:tabs>
              <w:spacing w:after="120"/>
            </w:pPr>
            <w:r>
              <w:t>Административная структура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numPr>
                <w:ilvl w:val="0"/>
                <w:numId w:val="15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right" w:leader="dot" w:pos="9360"/>
              </w:tabs>
              <w:spacing w:after="120"/>
            </w:pPr>
            <w:r>
              <w:tab/>
              <w:t>Организационные рамки поощрения и защиты прав женщин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numPr>
                <w:ilvl w:val="1"/>
                <w:numId w:val="15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left" w:pos="8208"/>
                <w:tab w:val="left" w:pos="8640"/>
                <w:tab w:val="right" w:leader="dot" w:pos="9360"/>
              </w:tabs>
              <w:spacing w:after="120"/>
            </w:pPr>
            <w:r>
              <w:t>Административные органы, отвечающие за поощрение и защиту прав женщин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numPr>
                <w:ilvl w:val="2"/>
                <w:numId w:val="15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right" w:leader="dot" w:pos="9360"/>
              </w:tabs>
              <w:spacing w:after="120"/>
            </w:pPr>
            <w:r>
              <w:t>Государственный секретариат по делам женщин (ГСДЖ)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numPr>
                <w:ilvl w:val="2"/>
                <w:numId w:val="15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360"/>
              </w:tabs>
              <w:spacing w:after="120"/>
            </w:pPr>
            <w:r>
              <w:t>Омбудсмен Республики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numPr>
                <w:ilvl w:val="2"/>
                <w:numId w:val="15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right" w:leader="dot" w:pos="9360"/>
              </w:tabs>
              <w:spacing w:after="120"/>
            </w:pPr>
            <w:r>
              <w:t>Комиссариат по правам человека, борьбе с нищетой и интеграции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numPr>
                <w:ilvl w:val="1"/>
                <w:numId w:val="15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right" w:leader="dot" w:pos="9360"/>
              </w:tabs>
              <w:spacing w:after="120"/>
            </w:pPr>
            <w:r>
              <w:t>Судебные органы, отвечающие за поощрение и защиту прав женщин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numPr>
                <w:ilvl w:val="2"/>
                <w:numId w:val="15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360"/>
              </w:tabs>
              <w:spacing w:after="120"/>
            </w:pPr>
            <w:r>
              <w:t>Конституционный совет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numPr>
                <w:ilvl w:val="2"/>
                <w:numId w:val="15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360"/>
              </w:tabs>
              <w:spacing w:after="120"/>
            </w:pPr>
            <w:r>
              <w:t>Суды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</w:r>
            <w:r>
              <w:tab/>
              <w:t>2.1</w:t>
            </w:r>
            <w:r>
              <w:tab/>
              <w:t>Суды первой инстанции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а)</w:t>
            </w:r>
            <w:r>
              <w:tab/>
              <w:t>Окружные суды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b)</w:t>
            </w:r>
            <w:r>
              <w:tab/>
              <w:t>Областные суды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с)</w:t>
            </w:r>
            <w:r>
              <w:tab/>
              <w:t>Суды по трудовым спорам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d)</w:t>
            </w:r>
            <w:r>
              <w:tab/>
              <w:t>Уголовные суды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</w:r>
            <w:r>
              <w:tab/>
              <w:t>2.2</w:t>
            </w:r>
            <w:r>
              <w:tab/>
              <w:t>Суды второй инстанции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а)</w:t>
            </w:r>
            <w:r>
              <w:tab/>
              <w:t>Апелляционные суды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b)</w:t>
            </w:r>
            <w:r>
              <w:tab/>
              <w:t>Верховный суд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pageBreakBefore/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360"/>
              </w:tabs>
              <w:spacing w:after="120"/>
            </w:pPr>
            <w:r>
              <w:tab/>
            </w:r>
            <w:r>
              <w:rPr>
                <w:b/>
              </w:rPr>
              <w:t>Часть II</w:t>
            </w:r>
            <w:r>
              <w:br/>
            </w:r>
            <w:r>
              <w:tab/>
            </w:r>
            <w:r>
              <w:tab/>
            </w:r>
            <w:r>
              <w:rPr>
                <w:b/>
              </w:rPr>
              <w:t>Осуществление основных положений Конвенции (статьи 1–16)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  <w:t>I.</w:t>
            </w:r>
            <w:r>
              <w:tab/>
              <w:t>Законодательные, административные, правовые и другие меры, обеспечивающие</w:t>
            </w:r>
            <w:r>
              <w:br/>
              <w:t>ос</w:t>
            </w:r>
            <w:r>
              <w:t>у</w:t>
            </w:r>
            <w:r>
              <w:t>ществление положений статей 1, 2 и 3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  <w:t>II.</w:t>
            </w:r>
            <w:r>
              <w:tab/>
              <w:t>Временные специальные меры по борьбе с дискриминацией в отношении женщин</w:t>
            </w:r>
            <w:r>
              <w:br/>
              <w:t>(ст</w:t>
            </w:r>
            <w:r>
              <w:t>а</w:t>
            </w:r>
            <w:r>
              <w:t>тья 4)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А.</w:t>
            </w:r>
            <w:r>
              <w:tab/>
              <w:t>Санитария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В.</w:t>
            </w:r>
            <w:r>
              <w:tab/>
              <w:t>Охрана материнства и детства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С.</w:t>
            </w:r>
            <w:r>
              <w:tab/>
              <w:t>Профилактика эпидемических заболеваний и борьба с ними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D.</w:t>
            </w:r>
            <w:r>
              <w:tab/>
              <w:t>Кампании в области ОИК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  <w:t>III.</w:t>
            </w:r>
            <w:r>
              <w:tab/>
              <w:t>Изменение форм социально-культурного поведения (статья 5)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  <w:t>IV.</w:t>
            </w:r>
            <w:r>
              <w:tab/>
              <w:t>Пресечение эксплуатации женщин (статья 6)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  <w:t>V.</w:t>
            </w:r>
            <w:r>
              <w:tab/>
              <w:t>Равноправие в политической и общественной жизни на национальном уровне</w:t>
            </w:r>
            <w:r>
              <w:br/>
              <w:t>(ст</w:t>
            </w:r>
            <w:r>
              <w:t>а</w:t>
            </w:r>
            <w:r>
              <w:t>тья 7)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  <w:t>VI.</w:t>
            </w:r>
            <w:r>
              <w:tab/>
              <w:t>Равноправие в политической и общественной жизни на международном уровне</w:t>
            </w:r>
            <w:r>
              <w:br/>
              <w:t>(ст</w:t>
            </w:r>
            <w:r>
              <w:t>а</w:t>
            </w:r>
            <w:r>
              <w:t>тья 8)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  <w:t>VII.</w:t>
            </w:r>
            <w:r>
              <w:tab/>
              <w:t>Равноправие в вопросах гражданства (статья 9)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  <w:t>VIII.</w:t>
            </w:r>
            <w:r>
              <w:tab/>
              <w:t>Равноправие в сфере образования (статья 10)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  <w:t>IX.</w:t>
            </w:r>
            <w:r>
              <w:tab/>
              <w:t>Равные права на трудоустройство и труд (статья 11)</w:t>
            </w:r>
            <w:r>
              <w:rPr>
                <w:spacing w:val="60"/>
                <w:sz w:val="17"/>
              </w:rPr>
              <w:tab/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  <w:t>X.</w:t>
            </w:r>
            <w:r>
              <w:tab/>
              <w:t>Равный доступ к медицинскому обслуживанию (статья 12)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А.</w:t>
            </w:r>
            <w:r>
              <w:tab/>
              <w:t>Дородовое наблюдение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В.</w:t>
            </w:r>
            <w:r>
              <w:tab/>
              <w:t>Доступ женщин к медицинскому обслуживанию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С.</w:t>
            </w:r>
            <w:r>
              <w:tab/>
              <w:t>Дородовое обслуживание и противостолбнячная вакцинация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360"/>
              </w:tabs>
              <w:spacing w:after="120"/>
              <w:ind w:left="1296" w:hanging="1296"/>
            </w:pPr>
            <w:r>
              <w:tab/>
            </w:r>
            <w:r>
              <w:tab/>
              <w:t>D.</w:t>
            </w:r>
            <w:r>
              <w:tab/>
              <w:t>Борьба с вредными видами практики: клиторотомия и принудительное кормление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Е.</w:t>
            </w:r>
            <w:r>
              <w:tab/>
              <w:t>Расширенная программа вакцинации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F.</w:t>
            </w:r>
            <w:r>
              <w:tab/>
              <w:t>Программа в области охраны репродуктивного здоровья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left" w:pos="8208"/>
                <w:tab w:val="left" w:pos="8640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G.</w:t>
            </w:r>
            <w:r>
              <w:tab/>
              <w:t>Национальная программа борьбы со СПИДом и венерическими заболеваниями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50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Н.</w:t>
            </w:r>
            <w:r>
              <w:tab/>
              <w:t>Питание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51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  <w:t>XI.</w:t>
            </w:r>
            <w:r>
              <w:tab/>
              <w:t>Финансирование и социальная защита (статья 13)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56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  <w:t>XII.</w:t>
            </w:r>
            <w:r>
              <w:tab/>
              <w:t>Сельские женщины (статья 14)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59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А.</w:t>
            </w:r>
            <w:r>
              <w:tab/>
              <w:t>Развитие огородничества вблизи источников воды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61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В.</w:t>
            </w:r>
            <w:r>
              <w:tab/>
              <w:t>Внедрение прессов для отжима масла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61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pageBreakBefore/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С.</w:t>
            </w:r>
            <w:r>
              <w:tab/>
              <w:t>Ремесленное производство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62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  <w:t>1.</w:t>
            </w:r>
            <w:r>
              <w:tab/>
              <w:t>Производство циновок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62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  <w:t>2.</w:t>
            </w:r>
            <w:r>
              <w:tab/>
              <w:t>Производство палаток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62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  <w:t>3.</w:t>
            </w:r>
            <w:r>
              <w:tab/>
              <w:t>Пошив одежды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62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D.</w:t>
            </w:r>
            <w:r>
              <w:tab/>
              <w:t>Сектор микрофинансирования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62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Е.</w:t>
            </w:r>
            <w:r>
              <w:tab/>
              <w:t>Сотрудничество с неправительственными организациями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63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F.</w:t>
            </w:r>
            <w:r>
              <w:tab/>
              <w:t>Подготовка кадров пропагандистов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63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G.</w:t>
            </w:r>
            <w:r>
              <w:tab/>
              <w:t>Обучение производителей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63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Н.</w:t>
            </w:r>
            <w:r>
              <w:tab/>
              <w:t>Занятость женщин в сельских районах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65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  <w:t>XIII.</w:t>
            </w:r>
            <w:r>
              <w:tab/>
              <w:t>Равноправие в юридических и гражданских вопросах (статья 15)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66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  <w:t>XIV.</w:t>
            </w:r>
            <w:r>
              <w:tab/>
              <w:t>Равенство прав членов семьи (статья 16)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67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Выводы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70</w:t>
            </w:r>
          </w:p>
        </w:tc>
      </w:tr>
    </w:tbl>
    <w:p w:rsidR="00000000" w:rsidRDefault="00000000"/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Введение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1.</w:t>
      </w:r>
      <w:r>
        <w:tab/>
        <w:t>Исламская Республика Мавритания, государство — участник Междун</w:t>
      </w:r>
      <w:r>
        <w:t>а</w:t>
      </w:r>
      <w:r>
        <w:t>родной конвенции о ликвидации всех форм дискриминации в отношении же</w:t>
      </w:r>
      <w:r>
        <w:t>н</w:t>
      </w:r>
      <w:r>
        <w:t>щин с 2000 года, представляет свой первый национальный доклад о законод</w:t>
      </w:r>
      <w:r>
        <w:t>а</w:t>
      </w:r>
      <w:r>
        <w:t>тельных, административных, судебных и прочих мерах, связанных с осущест</w:t>
      </w:r>
      <w:r>
        <w:t>в</w:t>
      </w:r>
      <w:r>
        <w:t>лением положений упомянутой Конвенции, в соответствии с ее стат</w:t>
      </w:r>
      <w:r>
        <w:t>ь</w:t>
      </w:r>
      <w:r>
        <w:t>ей 18.</w:t>
      </w:r>
    </w:p>
    <w:p w:rsidR="00000000" w:rsidRDefault="00000000">
      <w:pPr>
        <w:pStyle w:val="SingleTxt"/>
      </w:pPr>
      <w:r>
        <w:t>2.</w:t>
      </w:r>
      <w:r>
        <w:tab/>
        <w:t>Настоящий доклад включает первоначальный доклад, который Маврит</w:t>
      </w:r>
      <w:r>
        <w:t>а</w:t>
      </w:r>
      <w:r>
        <w:t>ния должна была представить в 2001 году, а также ее периодический доклад, который должен быть представлен в 2005 году.</w:t>
      </w:r>
    </w:p>
    <w:p w:rsidR="00000000" w:rsidRDefault="00000000">
      <w:pPr>
        <w:pStyle w:val="SingleTxt"/>
      </w:pPr>
      <w:r>
        <w:t>3.</w:t>
      </w:r>
      <w:r>
        <w:tab/>
        <w:t xml:space="preserve">Подготовка настоящего доклада, осуществлявшаяся на совместной основе с участием целого ряда национальных неправительственных организаций, включала создание нескольких рабочих групп и совместных механизмов, а именно: 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рабочую группу по рассмотрению Международной конвенции о ликвид</w:t>
      </w:r>
      <w:r>
        <w:t>а</w:t>
      </w:r>
      <w:r>
        <w:t>ции всех форм дискриминации в отношении женщин (с участием соотве</w:t>
      </w:r>
      <w:r>
        <w:t>т</w:t>
      </w:r>
      <w:r>
        <w:t>ствующих правительственных структур и организаций гражданского о</w:t>
      </w:r>
      <w:r>
        <w:t>б</w:t>
      </w:r>
      <w:r>
        <w:t>щества, занимающихся вопросами защиты прав женщин);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рабочую группу по обсуждению и утверждению доклада (с поправками, представленными участниками);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межведомственную техническую комиссию, включающую в себя предст</w:t>
      </w:r>
      <w:r>
        <w:t>а</w:t>
      </w:r>
      <w:r>
        <w:t>вителей департаментов юстиции, экономических вопросов и развития, связи, Государственного секретариата по вопросам положения женщин и Комиссариата по правам человека, по борьбе с нищетой и по вопросам инт</w:t>
      </w:r>
      <w:r>
        <w:t>е</w:t>
      </w:r>
      <w:r>
        <w:t>грации.</w:t>
      </w:r>
    </w:p>
    <w:p w:rsidR="00000000" w:rsidRDefault="00000000">
      <w:pPr>
        <w:pStyle w:val="SingleTxt"/>
      </w:pPr>
      <w:r>
        <w:t>И наконец, в докладе содержатся замечания соответствующих департаментов и организаций гражданского общества.</w:t>
      </w:r>
    </w:p>
    <w:p w:rsidR="00000000" w:rsidRDefault="00000000">
      <w:pPr>
        <w:pStyle w:val="SingleTxt"/>
      </w:pPr>
      <w:r>
        <w:t>4.</w:t>
      </w:r>
      <w:r>
        <w:tab/>
        <w:t>Таким образом, настоящий доклад об осуществлении Международной конвенции о ликвидации всех форм дискриминации в отношении женщин стал результатом взаимодействия этих различных структур.</w:t>
      </w:r>
    </w:p>
    <w:p w:rsidR="00000000" w:rsidRDefault="00000000">
      <w:pPr>
        <w:pStyle w:val="SingleTxt"/>
      </w:pPr>
      <w:r>
        <w:t>5.</w:t>
      </w:r>
      <w:r>
        <w:tab/>
        <w:t>Исламская Республика Мавритания хотела бы воспользоваться предст</w:t>
      </w:r>
      <w:r>
        <w:t>а</w:t>
      </w:r>
      <w:r>
        <w:t>вившейся возможностью, чтобы заверить Комитет Организации Объединенных Наций по ликвидации дискриминации в отношении женщин в своей готовн</w:t>
      </w:r>
      <w:r>
        <w:t>о</w:t>
      </w:r>
      <w:r>
        <w:t>сти вступить с его членами в конструктивный и плодотворный диалог, каса</w:t>
      </w:r>
      <w:r>
        <w:t>ю</w:t>
      </w:r>
      <w:r>
        <w:t>щийся положения женщин в Мавритании. Доклад состоит из двух частей:</w:t>
      </w:r>
    </w:p>
    <w:p w:rsidR="00000000" w:rsidRDefault="00000000">
      <w:pPr>
        <w:pStyle w:val="SingleTxt"/>
      </w:pPr>
      <w:r>
        <w:t>Часть I:</w:t>
      </w:r>
      <w:r>
        <w:tab/>
        <w:t>Общая часть доклада Исламской Республики Мавритания</w:t>
      </w:r>
    </w:p>
    <w:p w:rsidR="00000000" w:rsidRDefault="00000000">
      <w:pPr>
        <w:pStyle w:val="SingleTxt"/>
      </w:pPr>
      <w:r>
        <w:t>Часть II:</w:t>
      </w:r>
      <w:r>
        <w:tab/>
        <w:t>Осуществление основных положений Конвенции (статьи 1–16)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  <w:r>
        <w:br w:type="page"/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360" w:lineRule="exact"/>
        <w:ind w:left="1267" w:right="1260" w:hanging="1267"/>
        <w:outlineLvl w:val="0"/>
        <w:rPr>
          <w:b/>
          <w:sz w:val="34"/>
        </w:rPr>
      </w:pPr>
      <w:r>
        <w:rPr>
          <w:b/>
          <w:sz w:val="34"/>
        </w:rPr>
        <w:t>Часть I</w:t>
      </w:r>
    </w:p>
    <w:p w:rsidR="00000000" w:rsidRDefault="00000000">
      <w:pPr>
        <w:spacing w:line="120" w:lineRule="exact"/>
        <w:rPr>
          <w:b/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360" w:lineRule="exact"/>
        <w:ind w:left="1267" w:right="1260" w:hanging="1267"/>
        <w:rPr>
          <w:sz w:val="34"/>
        </w:rPr>
      </w:pPr>
      <w:r>
        <w:rPr>
          <w:sz w:val="34"/>
        </w:rPr>
        <w:tab/>
      </w:r>
      <w:r>
        <w:rPr>
          <w:sz w:val="34"/>
        </w:rPr>
        <w:tab/>
        <w:t>Общая часть доклада Исламской Республики Мавритания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I.</w:t>
      </w:r>
      <w:r>
        <w:tab/>
        <w:t>Общие сведения об Исламской Республике Мавритания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A.</w:t>
      </w:r>
      <w:r>
        <w:tab/>
        <w:t>Территория и население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1.</w:t>
      </w:r>
      <w:r>
        <w:tab/>
        <w:t>Территория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6.</w:t>
      </w:r>
      <w:r>
        <w:tab/>
        <w:t>Исламская Республика Мавритания расположена между 15 и 27</w:t>
      </w:r>
      <w:r>
        <w:noBreakHyphen/>
        <w:t>м град</w:t>
      </w:r>
      <w:r>
        <w:t>у</w:t>
      </w:r>
      <w:r>
        <w:t>сами северной широты и 6 и 19</w:t>
      </w:r>
      <w:r>
        <w:noBreakHyphen/>
        <w:t>м градусами восточной долготы и занимает площадь 1 030 700 кв. км.</w:t>
      </w:r>
    </w:p>
    <w:p w:rsidR="00000000" w:rsidRDefault="00000000">
      <w:pPr>
        <w:pStyle w:val="SingleTxt"/>
      </w:pPr>
      <w:r>
        <w:t>7.</w:t>
      </w:r>
      <w:r>
        <w:tab/>
        <w:t>На западе она омывается Атлантическим океаном, на юге граничит с С</w:t>
      </w:r>
      <w:r>
        <w:t>е</w:t>
      </w:r>
      <w:r>
        <w:t>негалом, на юго-востоке — с Мали, на северо-востоке — с Алжиром и на сев</w:t>
      </w:r>
      <w:r>
        <w:t>е</w:t>
      </w:r>
      <w:r>
        <w:t>ро-западе — с Западной Сахарой. В силу такого географического положения Мавритания является связующим звеном между Северной Африкой и странами Африки, расположенными к югу от Сахары. Благодаря этому Мавритания стала своего рода точкой соприкосновения цивилизаций с богатым социально-культурным наслед</w:t>
      </w:r>
      <w:r>
        <w:t>и</w:t>
      </w:r>
      <w:r>
        <w:t>ем.</w:t>
      </w:r>
    </w:p>
    <w:p w:rsidR="00000000" w:rsidRDefault="00000000">
      <w:pPr>
        <w:pStyle w:val="SingleTxt"/>
      </w:pPr>
      <w:r>
        <w:t>8.</w:t>
      </w:r>
      <w:r>
        <w:tab/>
        <w:t>Центральную и северную части страны занимают горные массивы Адрар и Тагант, высота которых достигает 800 метров. На юге находится долина реки Сенегал, или Шемама. Остальная часть страны в основном покрыта дюнами.</w:t>
      </w:r>
    </w:p>
    <w:p w:rsidR="00000000" w:rsidRDefault="00000000">
      <w:pPr>
        <w:pStyle w:val="SingleTxt"/>
      </w:pPr>
      <w:r>
        <w:t>9.</w:t>
      </w:r>
      <w:r>
        <w:tab/>
        <w:t>Мавритания имеет четыре климатические зоны: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огромная сахарская зона на севере, на которой имеется лишь ограниче</w:t>
      </w:r>
      <w:r>
        <w:t>н</w:t>
      </w:r>
      <w:r>
        <w:t>ное число источников воды, а выпадающие на ней осадки, как правило, нерегулярные, не составляют и 100 мм в год; однако в этой зоне имеется бол</w:t>
      </w:r>
      <w:r>
        <w:t>ь</w:t>
      </w:r>
      <w:r>
        <w:t>шое число оазисов;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сахельская зона сухого климата, на которой выпадают осадки, соста</w:t>
      </w:r>
      <w:r>
        <w:t>в</w:t>
      </w:r>
      <w:r>
        <w:t>ляющие от 100 до 300 мм в год;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пресахельская зона, или зона долины реки Сенегал, где объем осадков может достигать 300–400 мм в год и где ведется паводковое земледелие. Однако в последние годы этот показатель осадков повысился. В зимний период 2003 года в этой зоне в частности и на всей территории страны в целом вып</w:t>
      </w:r>
      <w:r>
        <w:t>а</w:t>
      </w:r>
      <w:r>
        <w:t>ло исключительно большое количество осадков;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и наконец, прибрежная зона, погодные условия в которой формируются под влиянием Атлантического океана.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2.</w:t>
      </w:r>
      <w:r>
        <w:tab/>
        <w:t>Население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10.</w:t>
      </w:r>
      <w:r>
        <w:tab/>
        <w:t>По оценкам 2003 года население Мавритании составляло примерно 2 698 375 человек. Темпы роста численности населения составляют 2,92 процента в год, а предполагаемая продолжительность жизни при рожд</w:t>
      </w:r>
      <w:r>
        <w:t>е</w:t>
      </w:r>
      <w:r>
        <w:t>нии по всему населению в целом составляет 51,53 года. Среди женщин этот показатель составляет 53,71 года, а среди мужчин — 49,42 года. Показатель фертильности составляет 6,15 рождений на женщину. Общая демографическая ситуация характеризуется также рядом других важных элементов:</w:t>
      </w:r>
    </w:p>
    <w:p w:rsidR="00000000" w:rsidRDefault="00000000">
      <w:pPr>
        <w:pStyle w:val="SingleTxt"/>
        <w:jc w:val="left"/>
        <w:rPr>
          <w:b/>
        </w:rPr>
      </w:pPr>
      <w:r>
        <w:tab/>
      </w:r>
      <w:r>
        <w:rPr>
          <w:b/>
        </w:rPr>
        <w:t>Возрастная пирамида (июль 2002 года)</w:t>
      </w:r>
    </w:p>
    <w:p w:rsidR="00000000" w:rsidRDefault="00000000">
      <w:pPr>
        <w:pStyle w:val="SingleTxt"/>
        <w:ind w:left="1742" w:hanging="475"/>
        <w:jc w:val="left"/>
      </w:pPr>
      <w:r>
        <w:tab/>
      </w:r>
      <w:r>
        <w:tab/>
        <w:t>0–14 лет:</w:t>
      </w:r>
      <w:r>
        <w:tab/>
      </w:r>
      <w:r>
        <w:tab/>
      </w:r>
      <w:r>
        <w:tab/>
        <w:t>46,1 процента (мальчики: 653 005;</w:t>
      </w:r>
      <w:r>
        <w:br/>
      </w:r>
      <w:r>
        <w:tab/>
      </w:r>
      <w:r>
        <w:tab/>
      </w:r>
      <w:r>
        <w:tab/>
      </w:r>
      <w:r>
        <w:tab/>
      </w:r>
      <w:r>
        <w:tab/>
        <w:t>девочки: 650 530);</w:t>
      </w:r>
    </w:p>
    <w:p w:rsidR="00000000" w:rsidRDefault="00000000">
      <w:pPr>
        <w:pStyle w:val="SingleTxt"/>
        <w:ind w:left="1742" w:hanging="475"/>
        <w:jc w:val="left"/>
      </w:pPr>
      <w:r>
        <w:tab/>
      </w:r>
      <w:r>
        <w:tab/>
        <w:t xml:space="preserve">15–64 года: </w:t>
      </w:r>
      <w:r>
        <w:tab/>
      </w:r>
      <w:r>
        <w:tab/>
        <w:t xml:space="preserve">51,7 процента (мужчины: 720 473; </w:t>
      </w:r>
      <w:r>
        <w:br/>
      </w:r>
      <w:r>
        <w:tab/>
      </w:r>
      <w:r>
        <w:tab/>
      </w:r>
      <w:r>
        <w:tab/>
      </w:r>
      <w:r>
        <w:tab/>
      </w:r>
      <w:r>
        <w:tab/>
        <w:t>женщ</w:t>
      </w:r>
      <w:r>
        <w:t>и</w:t>
      </w:r>
      <w:r>
        <w:t>ны: 741 094);</w:t>
      </w:r>
    </w:p>
    <w:p w:rsidR="00000000" w:rsidRDefault="00000000">
      <w:pPr>
        <w:pStyle w:val="SingleTxt"/>
        <w:ind w:left="1742" w:hanging="475"/>
        <w:jc w:val="left"/>
      </w:pPr>
      <w:r>
        <w:tab/>
      </w:r>
      <w:r>
        <w:tab/>
        <w:t>65 лет и старше:</w:t>
      </w:r>
      <w:r>
        <w:tab/>
        <w:t>2,2 процента (мужчины: 26 251;</w:t>
      </w:r>
      <w:r>
        <w:br/>
      </w:r>
      <w:r>
        <w:tab/>
      </w:r>
      <w:r>
        <w:tab/>
      </w:r>
      <w:r>
        <w:tab/>
      </w:r>
      <w:r>
        <w:tab/>
      </w:r>
      <w:r>
        <w:tab/>
        <w:t>женщины: 37 505).</w:t>
      </w:r>
    </w:p>
    <w:p w:rsidR="00000000" w:rsidRDefault="00000000">
      <w:pPr>
        <w:pStyle w:val="SingleTxt"/>
        <w:jc w:val="left"/>
        <w:rPr>
          <w:b/>
        </w:rPr>
      </w:pPr>
      <w:r>
        <w:tab/>
      </w:r>
      <w:r>
        <w:rPr>
          <w:b/>
        </w:rPr>
        <w:t>Соотношение мужчин и женщин (июль 2002 года)</w:t>
      </w:r>
    </w:p>
    <w:p w:rsidR="00000000" w:rsidRDefault="00000000">
      <w:pPr>
        <w:pStyle w:val="SingleTxt"/>
        <w:ind w:left="1742" w:hanging="475"/>
        <w:jc w:val="left"/>
      </w:pPr>
      <w:r>
        <w:tab/>
      </w:r>
      <w:r>
        <w:tab/>
        <w:t>При рождении: 1,03 мальчики/девочки;</w:t>
      </w:r>
    </w:p>
    <w:p w:rsidR="00000000" w:rsidRDefault="00000000">
      <w:pPr>
        <w:pStyle w:val="SingleTxt"/>
        <w:ind w:left="1742" w:hanging="475"/>
        <w:jc w:val="left"/>
      </w:pPr>
      <w:r>
        <w:tab/>
      </w:r>
      <w:r>
        <w:tab/>
        <w:t>До 15-летнего возраста: 1 мальчики/девочки;</w:t>
      </w:r>
    </w:p>
    <w:p w:rsidR="00000000" w:rsidRDefault="00000000">
      <w:pPr>
        <w:pStyle w:val="SingleTxt"/>
        <w:ind w:left="1742" w:hanging="475"/>
        <w:jc w:val="left"/>
      </w:pPr>
      <w:r>
        <w:tab/>
      </w:r>
      <w:r>
        <w:tab/>
        <w:t>От 15 до 64 лет: 0,97 мужчины/женщины;</w:t>
      </w:r>
    </w:p>
    <w:p w:rsidR="00000000" w:rsidRDefault="00000000">
      <w:pPr>
        <w:pStyle w:val="SingleTxt"/>
        <w:ind w:left="1742" w:hanging="475"/>
        <w:jc w:val="left"/>
      </w:pPr>
      <w:r>
        <w:tab/>
      </w:r>
      <w:r>
        <w:tab/>
        <w:t>65 лет и старше: 0,7 мужчины/женщины;</w:t>
      </w:r>
    </w:p>
    <w:p w:rsidR="00000000" w:rsidRDefault="00000000">
      <w:pPr>
        <w:pStyle w:val="SingleTxt"/>
        <w:ind w:left="1742" w:hanging="475"/>
        <w:jc w:val="left"/>
      </w:pPr>
      <w:r>
        <w:tab/>
      </w:r>
      <w:r>
        <w:tab/>
        <w:t>По населению в целом: 0,98 мужчины/женщины;</w:t>
      </w:r>
    </w:p>
    <w:p w:rsidR="00000000" w:rsidRDefault="00000000">
      <w:pPr>
        <w:pStyle w:val="SingleTxt"/>
        <w:ind w:left="1742" w:hanging="475"/>
        <w:jc w:val="left"/>
      </w:pPr>
      <w:r>
        <w:tab/>
      </w:r>
      <w:r>
        <w:tab/>
        <w:t>Детская смертность: 75,5 случая на 1000 нормальных рождений.</w:t>
      </w:r>
    </w:p>
    <w:p w:rsidR="00000000" w:rsidRDefault="00000000">
      <w:pPr>
        <w:pStyle w:val="SingleTxt"/>
        <w:ind w:left="2218" w:hanging="951"/>
        <w:jc w:val="left"/>
      </w:pPr>
      <w:r>
        <w:tab/>
      </w:r>
      <w:r>
        <w:tab/>
        <w:t>Грамотность (определение: способность читать и писать в возра</w:t>
      </w:r>
      <w:r>
        <w:t>с</w:t>
      </w:r>
      <w:r>
        <w:t>тной группе от 15 лет и старше):</w:t>
      </w:r>
    </w:p>
    <w:p w:rsidR="00000000" w:rsidRDefault="00000000">
      <w:pPr>
        <w:pStyle w:val="SingleTxt"/>
        <w:tabs>
          <w:tab w:val="clear" w:pos="1742"/>
          <w:tab w:val="clear" w:pos="2218"/>
          <w:tab w:val="left" w:pos="2565"/>
        </w:tabs>
        <w:ind w:left="2403" w:hanging="475"/>
      </w:pPr>
      <w:r>
        <w:tab/>
        <w:t>•</w:t>
      </w:r>
      <w:r>
        <w:tab/>
        <w:t>по населению в целом: 41,2 процента;</w:t>
      </w:r>
    </w:p>
    <w:p w:rsidR="00000000" w:rsidRDefault="00000000">
      <w:pPr>
        <w:pStyle w:val="SingleTxt"/>
        <w:tabs>
          <w:tab w:val="clear" w:pos="1742"/>
          <w:tab w:val="clear" w:pos="2218"/>
          <w:tab w:val="left" w:pos="2565"/>
        </w:tabs>
        <w:ind w:left="2403" w:hanging="475"/>
      </w:pPr>
      <w:r>
        <w:tab/>
        <w:t>•</w:t>
      </w:r>
      <w:r>
        <w:tab/>
        <w:t>мужчины: 51,5 процента;</w:t>
      </w:r>
    </w:p>
    <w:p w:rsidR="00000000" w:rsidRDefault="00000000">
      <w:pPr>
        <w:pStyle w:val="SingleTxt"/>
        <w:tabs>
          <w:tab w:val="clear" w:pos="1742"/>
          <w:tab w:val="clear" w:pos="2218"/>
          <w:tab w:val="left" w:pos="2565"/>
        </w:tabs>
        <w:ind w:left="2403" w:hanging="475"/>
      </w:pPr>
      <w:r>
        <w:tab/>
        <w:t>•</w:t>
      </w:r>
      <w:r>
        <w:tab/>
        <w:t>женщины: 31,3 процента.</w:t>
      </w:r>
    </w:p>
    <w:p w:rsidR="00000000" w:rsidRDefault="00000000">
      <w:pPr>
        <w:pStyle w:val="SingleTxt"/>
      </w:pPr>
      <w:r>
        <w:t>11.</w:t>
      </w:r>
      <w:r>
        <w:tab/>
        <w:t>Что касается демографической структуры, то большую часть маврита</w:t>
      </w:r>
      <w:r>
        <w:t>н</w:t>
      </w:r>
      <w:r>
        <w:t>ского населения составляют арабы, при этом в стране также проживают пул</w:t>
      </w:r>
      <w:r>
        <w:t>а</w:t>
      </w:r>
      <w:r>
        <w:t>ры, сонинке и вол</w:t>
      </w:r>
      <w:r>
        <w:t>о</w:t>
      </w:r>
      <w:r>
        <w:t>фы.</w:t>
      </w:r>
    </w:p>
    <w:p w:rsidR="00000000" w:rsidRDefault="00000000">
      <w:pPr>
        <w:pStyle w:val="SingleTxt"/>
      </w:pPr>
      <w:r>
        <w:t>12.</w:t>
      </w:r>
      <w:r>
        <w:tab/>
        <w:t>На протяжении многих веков все эти демографические группы проживали в гармонии, согласии и единении, что позволило им сформировать сплоченную и братскую нацию, объединенную в исламе и на основе ислама, который явл</w:t>
      </w:r>
      <w:r>
        <w:t>я</w:t>
      </w:r>
      <w:r>
        <w:t>ется религией, исповедуемой большинством мавританского насел</w:t>
      </w:r>
      <w:r>
        <w:t>е</w:t>
      </w:r>
      <w:r>
        <w:t>ния.</w:t>
      </w:r>
    </w:p>
    <w:p w:rsidR="00000000" w:rsidRDefault="00000000">
      <w:pPr>
        <w:pStyle w:val="SingleTxt"/>
      </w:pPr>
      <w:r>
        <w:t>13.</w:t>
      </w:r>
      <w:r>
        <w:tab/>
        <w:t>С незапамятных времен в Мавритании существует суннитская малики</w:t>
      </w:r>
      <w:r>
        <w:t>т</w:t>
      </w:r>
      <w:r>
        <w:t>ская школа ислама, исключающая любой догматизм или фанатизм. Проповедуя терпимость, эта школа ислама призывает к солидарности, поощряет единство, осуждает насилие и злобу и выступает против произвола и угнетения. Эта р</w:t>
      </w:r>
      <w:r>
        <w:t>е</w:t>
      </w:r>
      <w:r>
        <w:t>лигия неизменно составляет подлинную основу национальной самобытности.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В.</w:t>
      </w:r>
      <w:r>
        <w:tab/>
        <w:t>Экономика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14.</w:t>
      </w:r>
      <w:r>
        <w:tab/>
        <w:t>После начала осуществления в 80</w:t>
      </w:r>
      <w:r>
        <w:noBreakHyphen/>
        <w:t>х годах политики экономического и финансового подъема при поддержке партнеров по обеспечению развития (План экономического и финансового обновления (ПЭФО); План укрепления и активизации (ПУА) и рамочный документ в области экономической политики (РДЭП)) Мавритании удалось добиться активизации своего экономического развития путем проведения реформ, направленных на оздоровление государс</w:t>
      </w:r>
      <w:r>
        <w:t>т</w:t>
      </w:r>
      <w:r>
        <w:t>венной финансовой системы, банковского сектора и сектора страхования, на либерализацию торговли и на перевод производственной сферы из государс</w:t>
      </w:r>
      <w:r>
        <w:t>т</w:t>
      </w:r>
      <w:r>
        <w:t>венного в частный сектор, который является основным двигателем устойчивого эконом</w:t>
      </w:r>
      <w:r>
        <w:t>и</w:t>
      </w:r>
      <w:r>
        <w:t>ческого роста.</w:t>
      </w:r>
    </w:p>
    <w:p w:rsidR="00000000" w:rsidRDefault="00000000">
      <w:pPr>
        <w:pStyle w:val="SingleTxt"/>
      </w:pPr>
      <w:r>
        <w:t>15.</w:t>
      </w:r>
      <w:r>
        <w:tab/>
        <w:t>Проведение реформ позволило улучшить показатели экономической де</w:t>
      </w:r>
      <w:r>
        <w:t>я</w:t>
      </w:r>
      <w:r>
        <w:t>тельности Мавритании. Кроме того, средние показатели годового роста ВВП возросли с 3,6 процента в период 1991–1994 годов до 4,5 процента в период 1999–2002 годов, достигнув в 2003 и 2004 годах уровня 4,9 процента; в то же время уровень инфляции, который в период с 1991 по 1994 годы составлял 7,3 процента в год, на протяжении 1999–2003 годов сохранялся на уровне 4,3 процента. По темпам экономического роста и по уровню инфляции Мавр</w:t>
      </w:r>
      <w:r>
        <w:t>и</w:t>
      </w:r>
      <w:r>
        <w:t>тания превысила средний показатель по всем странам Африки, расположенным к югу от Сахары.</w:t>
      </w:r>
    </w:p>
    <w:p w:rsidR="00000000" w:rsidRDefault="00000000">
      <w:pPr>
        <w:pStyle w:val="SingleTxt"/>
      </w:pPr>
      <w:r>
        <w:t>16.</w:t>
      </w:r>
      <w:r>
        <w:tab/>
        <w:t>Улучшение положения дел в экономике позволило добиться чистого п</w:t>
      </w:r>
      <w:r>
        <w:t>о</w:t>
      </w:r>
      <w:r>
        <w:t>вышения основных показателей устойчивого развития человеческого поте</w:t>
      </w:r>
      <w:r>
        <w:t>н</w:t>
      </w:r>
      <w:r>
        <w:t>циала. Кроме того, экономический рост сопровождался мерами, направленн</w:t>
      </w:r>
      <w:r>
        <w:t>ы</w:t>
      </w:r>
      <w:r>
        <w:t>ми на расширение производственной базы экономики, на поддержку роста и диверсификации традиционных производственных секторов, таких, как сел</w:t>
      </w:r>
      <w:r>
        <w:t>ь</w:t>
      </w:r>
      <w:r>
        <w:t>ское хозяйство, скотоводство и рыболовство, а также на использование поте</w:t>
      </w:r>
      <w:r>
        <w:t>н</w:t>
      </w:r>
      <w:r>
        <w:t>циальных возможностей для развития горнодобывающего сектора, включая добычу нефти, и туризма.</w:t>
      </w:r>
    </w:p>
    <w:p w:rsidR="00000000" w:rsidRDefault="00000000">
      <w:pPr>
        <w:pStyle w:val="SingleTxt"/>
      </w:pPr>
      <w:r>
        <w:t>17.</w:t>
      </w:r>
      <w:r>
        <w:tab/>
        <w:t>Благоприятные экономические перспективы способствовали осуществл</w:t>
      </w:r>
      <w:r>
        <w:t>е</w:t>
      </w:r>
      <w:r>
        <w:t>нию следующих мероприятий: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началу осуществления новых проектов по добыче золота и меди и, в пе</w:t>
      </w:r>
      <w:r>
        <w:t>р</w:t>
      </w:r>
      <w:r>
        <w:t>спективе, добыче фосфатов в Бофале;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благодаря климату, безопасности и стабильности, а также имеющемуся в стране потенциалу для развития туризма страну теперь посещает большое количество туристов;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в целях ускорения и активизации экономического роста правительство осуществляет широкомасштабные программы по развитию инфрастру</w:t>
      </w:r>
      <w:r>
        <w:t>к</w:t>
      </w:r>
      <w:r>
        <w:t>туры дорог, а также морских и воздушных портов;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в стране принимаются меры по совершенствованию управления рыбными ресурсами и охране этих ресурсов, а также по развитию перерабатыва</w:t>
      </w:r>
      <w:r>
        <w:t>ю</w:t>
      </w:r>
      <w:r>
        <w:t>щих отраслей промышленности, сохраняющих морскую среду и созда</w:t>
      </w:r>
      <w:r>
        <w:t>ю</w:t>
      </w:r>
      <w:r>
        <w:t>щих при этом реальную добаво</w:t>
      </w:r>
      <w:r>
        <w:t>ч</w:t>
      </w:r>
      <w:r>
        <w:t>ную стоимость.</w:t>
      </w:r>
    </w:p>
    <w:p w:rsidR="00000000" w:rsidRDefault="00000000">
      <w:pPr>
        <w:pStyle w:val="SingleTxt"/>
      </w:pPr>
      <w:r>
        <w:t>18.</w:t>
      </w:r>
      <w:r>
        <w:tab/>
        <w:t>Проводимые в настоящее время исследования подтверждают наличие в прибрежных районах значительных запасов нефти, имеющих промышленное значение, разработка которых должна начаться с декабря 2005 года, при этом объем добычи первоначально составит 75 000 баррелей в день.</w:t>
      </w:r>
    </w:p>
    <w:p w:rsidR="00000000" w:rsidRDefault="00000000">
      <w:pPr>
        <w:pStyle w:val="SingleTxt"/>
      </w:pPr>
      <w:r>
        <w:t>19.</w:t>
      </w:r>
      <w:r>
        <w:tab/>
        <w:t>С учетом достигнутого прогресса и в целях обеспечения справедливого распределения благ, обусловленных экономическим ростом на основе широк</w:t>
      </w:r>
      <w:r>
        <w:t>о</w:t>
      </w:r>
      <w:r>
        <w:t>го участия заинтересованных сторон разрабатываются новые программы и проекты в области развития, которые осуществляются в следующих приор</w:t>
      </w:r>
      <w:r>
        <w:t>и</w:t>
      </w:r>
      <w:r>
        <w:t>тетных областях: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ликвидация нищеты и обеспечение развития на низовом уровне;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просвещение, образование и ликвидация неграмотн</w:t>
      </w:r>
      <w:r>
        <w:t>о</w:t>
      </w:r>
      <w:r>
        <w:t>сти;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здравоохранение и социальные вопросы;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улучшение положения женщин;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строительство гидротехнических сооружений;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развитие сельских районов.</w:t>
      </w:r>
    </w:p>
    <w:p w:rsidR="00000000" w:rsidRDefault="00000000">
      <w:pPr>
        <w:pStyle w:val="SingleTxt"/>
      </w:pPr>
      <w:r>
        <w:t>20.</w:t>
      </w:r>
      <w:r>
        <w:tab/>
        <w:t>Достижения экономики Мавритании были положительно отмечены ее партнерами в области развития, которые списали значительные суммы задо</w:t>
      </w:r>
      <w:r>
        <w:t>л</w:t>
      </w:r>
      <w:r>
        <w:t>женности этой страны, позволив ей тем самым выделить крупные финансовые ресурсы, в частности на деятельность по сокращению масштабов нищеты, в которой в 1990 году проживало 56,6 процента всего населения, в 1996 году — 50,5 процента, в 2000 году — 46,3 процента, а в 2004 году — 41,5 процента. В этой связи в 2001 году был принят закон-указ о Стратегических рамках борьбы с нищетой (СРБН) на период 2000–2015 годов. Цель этой программы заключ</w:t>
      </w:r>
      <w:r>
        <w:t>а</w:t>
      </w:r>
      <w:r>
        <w:t>ется в том, чтобы к 2015 году снизить показатель нищеты до 17 процентов или до более низкого уровня и в то же время добиться осуществления целей в о</w:t>
      </w:r>
      <w:r>
        <w:t>б</w:t>
      </w:r>
      <w:r>
        <w:t>ласти развития, сформулированных в Декларации тысячелетия, которые были приняты Генеральной Ассамблеей Организации Объединенных Наций в се</w:t>
      </w:r>
      <w:r>
        <w:t>н</w:t>
      </w:r>
      <w:r>
        <w:t>тябре 2000 года.</w:t>
      </w:r>
    </w:p>
    <w:p w:rsidR="00000000" w:rsidRDefault="00000000">
      <w:pPr>
        <w:pStyle w:val="SingleTxt"/>
      </w:pPr>
      <w:r>
        <w:t>21.</w:t>
      </w:r>
      <w:r>
        <w:tab/>
        <w:t>В Стратегических рамках борьбы с нищетой на 2005 год предусмотрены следующие цели: i) сокращение в 2005 году масштабов распространения н</w:t>
      </w:r>
      <w:r>
        <w:t>и</w:t>
      </w:r>
      <w:r>
        <w:t>щеты до 40,3 процента; ii) повышение уровня охвата детей школьным обучен</w:t>
      </w:r>
      <w:r>
        <w:t>и</w:t>
      </w:r>
      <w:r>
        <w:t>ем до 97 процентов; iii) повышение показателя доли родов, принимаемых м</w:t>
      </w:r>
      <w:r>
        <w:t>е</w:t>
      </w:r>
      <w:r>
        <w:t>дицинским персоналом, с 62 до 72 процентов в период с 2003 по 2005 год, а масштабов охвата прививками против КДС3 за этот же период с 75 до 82 процентов; iv) снижение за этот же период показателя недоедания среди д</w:t>
      </w:r>
      <w:r>
        <w:t>е</w:t>
      </w:r>
      <w:r>
        <w:t>тей в возрасте до пяти лет с 32 до 20 процентов; и v) повышение показателя доли населения, пользующегося водопроводом, в 2004 году до 45 процентов.</w:t>
      </w:r>
    </w:p>
    <w:p w:rsidR="00000000" w:rsidRDefault="00000000">
      <w:pPr>
        <w:pStyle w:val="SingleTxt"/>
      </w:pPr>
      <w:r>
        <w:t>22.</w:t>
      </w:r>
      <w:r>
        <w:tab/>
        <w:t>Основное внимание в Стратегических рамках по борьбе с нищетой будет по</w:t>
      </w:r>
      <w:r>
        <w:noBreakHyphen/>
        <w:t>прежнему уделяться повышению темпов справедливо распределяемого эк</w:t>
      </w:r>
      <w:r>
        <w:t>о</w:t>
      </w:r>
      <w:r>
        <w:t>номического роста, который обеспечивается частным сектором и поддержив</w:t>
      </w:r>
      <w:r>
        <w:t>а</w:t>
      </w:r>
      <w:r>
        <w:t>ется быстрым развитием инфраструктуры, уменьшению неравенства в том, что касается доступа к основным социальным услугам, а также модернизации управления и более рациональному использованию государственных ресурсов. Переходу к экономике, основанной на знаниях, будет способствовать провед</w:t>
      </w:r>
      <w:r>
        <w:t>е</w:t>
      </w:r>
      <w:r>
        <w:t>ние национальной кампании по ликвидации неграмотности, осуществление программ в области развития образования и новых информационно-коммуникационных технологий, а также поощрение новаторской де</w:t>
      </w:r>
      <w:r>
        <w:t>я</w:t>
      </w:r>
      <w:r>
        <w:t>тельности.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С.</w:t>
      </w:r>
      <w:r>
        <w:tab/>
        <w:t>Политическое и институциональное развитие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23.</w:t>
      </w:r>
      <w:r>
        <w:tab/>
        <w:t>Колонизация Мавритании была кратковременной, непрочной, запоздалой и неглубокой. Государство Мавритания было создано в его нынешних границах в соответствии с Парижским договором от 29 июня 1900 года, однако присо</w:t>
      </w:r>
      <w:r>
        <w:t>е</w:t>
      </w:r>
      <w:r>
        <w:t>динение территории, на которой существовало активное движение сопротивл</w:t>
      </w:r>
      <w:r>
        <w:t>е</w:t>
      </w:r>
      <w:r>
        <w:t>ния, произошло лишь в 1935 году. После многих изменений, произошедших в колониальной системе, Мавритания приняла в 1959 году свою первую конст</w:t>
      </w:r>
      <w:r>
        <w:t>и</w:t>
      </w:r>
      <w:r>
        <w:t>туцию — Конституцию 22 марта 1959 года.</w:t>
      </w:r>
    </w:p>
    <w:p w:rsidR="00000000" w:rsidRDefault="00000000">
      <w:pPr>
        <w:pStyle w:val="SingleTxt"/>
      </w:pPr>
      <w:r>
        <w:t>24.</w:t>
      </w:r>
      <w:r>
        <w:tab/>
        <w:t>Конституция 1959 года, установившая парламентский режим, оказалась недолговечной. Получение Мавританией 28 ноября 1960 года международного с</w:t>
      </w:r>
      <w:r>
        <w:t>у</w:t>
      </w:r>
      <w:r>
        <w:t>веренитета потребовало принятия новой конституции.</w:t>
      </w:r>
    </w:p>
    <w:p w:rsidR="00000000" w:rsidRDefault="00000000">
      <w:pPr>
        <w:pStyle w:val="SingleTxt"/>
      </w:pPr>
      <w:r>
        <w:t>25.</w:t>
      </w:r>
      <w:r>
        <w:tab/>
        <w:t>В Конституции от 20 мая 1961 года устанавливался президентский режим, который неизбежно превращался в однопартийную систему. Однако со врем</w:t>
      </w:r>
      <w:r>
        <w:t>е</w:t>
      </w:r>
      <w:r>
        <w:t>нем в силу экономических трудностей, в значительной степени усугублявши</w:t>
      </w:r>
      <w:r>
        <w:t>х</w:t>
      </w:r>
      <w:r>
        <w:t>ся последствиями частых засух в Сахеле, и особенно из</w:t>
      </w:r>
      <w:r>
        <w:noBreakHyphen/>
        <w:t>за войны в Западной Сахаре, в которой в то время принимала участие и Мавритания, этот режим прекратил свое существование, что произошло 10 июля 1978 года.</w:t>
      </w:r>
    </w:p>
    <w:p w:rsidR="00000000" w:rsidRDefault="00000000">
      <w:pPr>
        <w:pStyle w:val="SingleTxt"/>
      </w:pPr>
      <w:r>
        <w:t>26.</w:t>
      </w:r>
      <w:r>
        <w:tab/>
        <w:t>С 1978 по 1984 годы у власти в Мавритании находились военные и ситу</w:t>
      </w:r>
      <w:r>
        <w:t>а</w:t>
      </w:r>
      <w:r>
        <w:t>ция в стране характеризовалась отсутствием политической стабильности, а также внутренними и даже внешними конфликтами. Несмотря на чрезвыча</w:t>
      </w:r>
      <w:r>
        <w:t>й</w:t>
      </w:r>
      <w:r>
        <w:t>ное положение, в результате проведения в 1986 году общих муниципальных выборов в стране наметились признаки стабилизации и продвижения к откр</w:t>
      </w:r>
      <w:r>
        <w:t>ы</w:t>
      </w:r>
      <w:r>
        <w:t>тости, а с 1992 года в Мавритании установлен нормальный конституционный режим.</w:t>
      </w:r>
    </w:p>
    <w:p w:rsidR="00000000" w:rsidRDefault="00000000">
      <w:pPr>
        <w:pStyle w:val="SingleTxt"/>
      </w:pPr>
      <w:r>
        <w:t>27.</w:t>
      </w:r>
      <w:r>
        <w:tab/>
        <w:t>Благодаря созданию демократической и плюралистской системы после принятия Конституции 20 июля 1991 года в стране было проведено 19 выборов, последними из которых были: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муниципальные выборы и выборы в законодательные органы 2002 года;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выборы президента Республики 2003 года;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частичное обновления Сената (серия B) и избрание сенатора-представителя мавританцев, проживающих за границей (серия B).</w:t>
      </w:r>
    </w:p>
    <w:p w:rsidR="00000000" w:rsidRDefault="00000000">
      <w:pPr>
        <w:pStyle w:val="SingleTxt"/>
      </w:pPr>
      <w:r>
        <w:t>28.</w:t>
      </w:r>
      <w:r>
        <w:tab/>
        <w:t>Эти выборы характеризовались участием всех политических объединений страны и транспарентностью (проверенное гражданское состояние, подлинные удостоверения личности, списки избирателей в Интернете, присутствие пре</w:t>
      </w:r>
      <w:r>
        <w:t>д</w:t>
      </w:r>
      <w:r>
        <w:t>ставителей всех кандидатов на избирательных участках и т.п.), что было пр</w:t>
      </w:r>
      <w:r>
        <w:t>и</w:t>
      </w:r>
      <w:r>
        <w:t>знано самими политическими деятелями или их представителями.</w:t>
      </w:r>
    </w:p>
    <w:p w:rsidR="00000000" w:rsidRDefault="00000000">
      <w:pPr>
        <w:pStyle w:val="SingleTxt"/>
      </w:pPr>
      <w:r>
        <w:t>29.</w:t>
      </w:r>
      <w:r>
        <w:tab/>
        <w:t>Введение правила о пропорциональной представленности на уровне и</w:t>
      </w:r>
      <w:r>
        <w:t>з</w:t>
      </w:r>
      <w:r>
        <w:t>бирательных округов Нуакшота, Нуадхибу и Селибаби во время консультаций 2002 года способствовало увеличению числа депутатов оппозиционных партий и расширению их присутствия в руководстве некоторых муниципальных сов</w:t>
      </w:r>
      <w:r>
        <w:t>е</w:t>
      </w:r>
      <w:r>
        <w:t>тов.</w:t>
      </w:r>
    </w:p>
    <w:p w:rsidR="00000000" w:rsidRDefault="00000000">
      <w:pPr>
        <w:pStyle w:val="SingleTxt"/>
      </w:pPr>
      <w:r>
        <w:t>30.</w:t>
      </w:r>
      <w:r>
        <w:tab/>
        <w:t>Что касается президентских выборов 2003 года, то они характеризовались участием президента Республики, полномочия которого истекали, основных лидеров оппозиции, а также первой за все время кандидатуры женщины. Поя</w:t>
      </w:r>
      <w:r>
        <w:t>в</w:t>
      </w:r>
      <w:r>
        <w:t>ление женской кандидатуры на этих столь значительных выборах, безусловно, является отражением стремления мавританских женщин принимать всесторо</w:t>
      </w:r>
      <w:r>
        <w:t>н</w:t>
      </w:r>
      <w:r>
        <w:t>нее участие в политической жизни в условиях демокр</w:t>
      </w:r>
      <w:r>
        <w:t>а</w:t>
      </w:r>
      <w:r>
        <w:t>тии.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keepNext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D.</w:t>
      </w:r>
      <w:r>
        <w:tab/>
        <w:t>Административная структура</w:t>
      </w:r>
    </w:p>
    <w:p w:rsidR="00000000" w:rsidRDefault="00000000">
      <w:pPr>
        <w:pStyle w:val="SingleTxt"/>
        <w:keepNext/>
        <w:spacing w:after="0" w:line="120" w:lineRule="exact"/>
        <w:rPr>
          <w:sz w:val="10"/>
        </w:rPr>
      </w:pPr>
    </w:p>
    <w:p w:rsidR="00000000" w:rsidRDefault="00000000">
      <w:pPr>
        <w:pStyle w:val="SingleTxt"/>
        <w:keepNext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31.</w:t>
      </w:r>
      <w:r>
        <w:tab/>
        <w:t>Административная структура страны включает в себя три уровня: вилайя (область), мугхата (округ) и район. В стране насчитывается 13 вилайя, во главе каждой из которых находится вали (губернатор), представляющий централ</w:t>
      </w:r>
      <w:r>
        <w:t>ь</w:t>
      </w:r>
      <w:r>
        <w:t>ную власть. Вилайя разделена на мугхаты, которых в стране насчитывается 53, и во главе каждой из них находится хакем (префект). Во главе районов нах</w:t>
      </w:r>
      <w:r>
        <w:t>о</w:t>
      </w:r>
      <w:r>
        <w:t>дятся районные председатели, подчиняющиеся х</w:t>
      </w:r>
      <w:r>
        <w:t>а</w:t>
      </w:r>
      <w:r>
        <w:t>кему.</w:t>
      </w:r>
    </w:p>
    <w:p w:rsidR="00000000" w:rsidRDefault="00000000">
      <w:pPr>
        <w:pStyle w:val="SingleTxt"/>
      </w:pPr>
      <w:r>
        <w:t>32.</w:t>
      </w:r>
      <w:r>
        <w:tab/>
        <w:t>С 1986 года правительство проводит административную и институци</w:t>
      </w:r>
      <w:r>
        <w:t>о</w:t>
      </w:r>
      <w:r>
        <w:t>нальную реформу, призванную реорганизовать административную структуру страны таким образом, чтобы это отвечало потребностям населения. В качес</w:t>
      </w:r>
      <w:r>
        <w:t>т</w:t>
      </w:r>
      <w:r>
        <w:t>ве стратегического выбора рассматривается децентрализация, поскольку она позволяет обеспечить участие широких слоев населения в решении вопросов, затрагивающих их жизнь. В этой связи следует отметить, что децентрализация стала проводиться с 1986 года в преддверии демократизации мавританской п</w:t>
      </w:r>
      <w:r>
        <w:t>о</w:t>
      </w:r>
      <w:r>
        <w:t>литической системы. Благодаря этому для населения, находившегося в тру</w:t>
      </w:r>
      <w:r>
        <w:t>д</w:t>
      </w:r>
      <w:r>
        <w:t>ных условиях чрезвычайного положения, удалось обеспечить необходимые возможности для подготовки к переходу к демокр</w:t>
      </w:r>
      <w:r>
        <w:t>а</w:t>
      </w:r>
      <w:r>
        <w:t>тии.</w:t>
      </w:r>
    </w:p>
    <w:p w:rsidR="00000000" w:rsidRDefault="00000000">
      <w:pPr>
        <w:pStyle w:val="SingleTxt"/>
      </w:pPr>
      <w:r>
        <w:t>33.</w:t>
      </w:r>
      <w:r>
        <w:tab/>
        <w:t>В соответствии с указом №87-289 от 20 октября 1987 года, отменяющим и заменяющим собой указ № 86–134 от 13 августа 1986 года, полномочия по р</w:t>
      </w:r>
      <w:r>
        <w:t>е</w:t>
      </w:r>
      <w:r>
        <w:t>шению общинных вопросов были предоставлены общинам, которые согласно государственному праву являются территориальными единицами, имеющими статус юридического лица. Эти общины самостоятельно решают свои фина</w:t>
      </w:r>
      <w:r>
        <w:t>н</w:t>
      </w:r>
      <w:r>
        <w:t>совые вопросы и защищают свои интересы. При этом общины располагают полномочиями в отношении следующих вопросов: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надзор за местными путями сообщения, строительство, ремонт и обсл</w:t>
      </w:r>
      <w:r>
        <w:t>у</w:t>
      </w:r>
      <w:r>
        <w:t>живание школьных зданий, диспансеров и центров охраны здоровья мат</w:t>
      </w:r>
      <w:r>
        <w:t>е</w:t>
      </w:r>
      <w:r>
        <w:t>ри и ребенка;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городской транспорт;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гигиена и санитария;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вывоз бытового мусора;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рынки;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скотобойни;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организация спортивных и культурных общинных мероприятий;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парки и сады;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кладбища;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помощь неимущим;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уход за зонами, переданными общине государс</w:t>
      </w:r>
      <w:r>
        <w:t>т</w:t>
      </w:r>
      <w:r>
        <w:t>вом.</w:t>
      </w:r>
    </w:p>
    <w:p w:rsidR="00000000" w:rsidRDefault="00000000">
      <w:pPr>
        <w:pStyle w:val="SingleTxt"/>
      </w:pPr>
      <w:r>
        <w:t>34.</w:t>
      </w:r>
      <w:r>
        <w:tab/>
        <w:t>Кроме того, в соответствии с положениями статьи 6 вышеупомянутого указа муниципальные органы управления каждой общины включают в себя муниципальный совет, мэра и одного или нескольких помощников. На сег</w:t>
      </w:r>
      <w:r>
        <w:t>о</w:t>
      </w:r>
      <w:r>
        <w:t>дняшний день в стране насчитывается 216 городских и сельских общин, 9 из которых находятся в ведении городской общины Нуакшота.</w:t>
      </w:r>
    </w:p>
    <w:p w:rsidR="00000000" w:rsidRDefault="00000000">
      <w:pPr>
        <w:pStyle w:val="SingleTxt"/>
      </w:pPr>
      <w:r>
        <w:t>35.</w:t>
      </w:r>
      <w:r>
        <w:tab/>
        <w:t>Перспективы совершенствования деятельности общин являются довольно обнадеживающими с учетом осуществления различный широкомасштабных программ в области развития, в частности Программы развития городских районов (ПРГ) и Программы «Вэнкр» (содействие инициативам, направленным на обеспечение экономического роста) в соответствии с духом и целями СРБН и НПЭУ.</w:t>
      </w:r>
    </w:p>
    <w:p w:rsidR="00000000" w:rsidRDefault="00000000">
      <w:pPr>
        <w:pStyle w:val="SingleTxt"/>
      </w:pPr>
      <w:r>
        <w:t>36.</w:t>
      </w:r>
      <w:r>
        <w:tab/>
        <w:t>Программа развития городских районов направлена на создание основной инфраструктуры в различных общинах, расположенных в главных районах В</w:t>
      </w:r>
      <w:r>
        <w:t>и</w:t>
      </w:r>
      <w:r>
        <w:t>лайя, а программа «Вэнкр» ориентирована на расширение возможностей мэрий в вопросах управления проектами в области развития.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II.</w:t>
      </w:r>
      <w:r>
        <w:tab/>
        <w:t>Организационные рамки поощрения и защиты прав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А.</w:t>
      </w:r>
      <w:r>
        <w:tab/>
        <w:t>Административные органы, отвечающие за поощрение и защиту прав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1.</w:t>
      </w:r>
      <w:r>
        <w:tab/>
        <w:t>Государственный секретариат по делам женщин (ГСДЖ)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37.</w:t>
      </w:r>
      <w:r>
        <w:tab/>
        <w:t>В соответствии с декретом № 005-2005 от 23 января 2005 года Государс</w:t>
      </w:r>
      <w:r>
        <w:t>т</w:t>
      </w:r>
      <w:r>
        <w:t>венный секретариат по делам женщин обеспечивает поощрение прав женщин и их всестороннее участие в процессах принятия решений и в социал</w:t>
      </w:r>
      <w:r>
        <w:t>ь</w:t>
      </w:r>
      <w:r>
        <w:t>но-экономическом развитии, а также занимается вопросами защиты семьи, прав и благосостояния детей в соответствии с нашими исламскими ценностями и с учетом реалий нашей культуры и традиций и требований современной жизни. В связи с этим Государственный секретариат по делам женщин выполняет сл</w:t>
      </w:r>
      <w:r>
        <w:t>е</w:t>
      </w:r>
      <w:r>
        <w:t>дующие функции: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разработка и осуществление политики в области обеспечения равенства женщин и мужчин, поощрения прав женщин, защиты семьи, детей и мл</w:t>
      </w:r>
      <w:r>
        <w:t>а</w:t>
      </w:r>
      <w:r>
        <w:t>денцев, а также контроль за этой деятел</w:t>
      </w:r>
      <w:r>
        <w:t>ь</w:t>
      </w:r>
      <w:r>
        <w:t>ностью;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координация актуализации гендерного аспекта в рамках всех меропри</w:t>
      </w:r>
      <w:r>
        <w:t>я</w:t>
      </w:r>
      <w:r>
        <w:t>тий в области развития и контроль за ее осуществлением;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содействие разработке и осуществлению национальной политики, страт</w:t>
      </w:r>
      <w:r>
        <w:t>е</w:t>
      </w:r>
      <w:r>
        <w:t>гий и программ, а также проектов в области развития, влияющих на п</w:t>
      </w:r>
      <w:r>
        <w:t>о</w:t>
      </w:r>
      <w:r>
        <w:t>ложение женщин, семьи и детей и контроль за этой деятельностью;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поощрение прав женщин, семьи и детей;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содействие обеспечению информированности общества относительно прав женщин и детей, закрепленных в различных международно-правовых документах, ратифицированных нашей страной, а также в де</w:t>
      </w:r>
      <w:r>
        <w:t>й</w:t>
      </w:r>
      <w:r>
        <w:t>ствующих законах и постановлениях;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активизация и координация деятельности женских ассоциаций путем с</w:t>
      </w:r>
      <w:r>
        <w:t>о</w:t>
      </w:r>
      <w:r>
        <w:t>действия их самоорганизации и развитию женских ассоциаций солида</w:t>
      </w:r>
      <w:r>
        <w:t>р</w:t>
      </w:r>
      <w:r>
        <w:t>ности, как национальных, так и арабских, африканских и междунаро</w:t>
      </w:r>
      <w:r>
        <w:t>д</w:t>
      </w:r>
      <w:r>
        <w:t>ных;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выдвижение и практическое осуществление предложений относительно координации и согласования деятельности, касающейся женской, семе</w:t>
      </w:r>
      <w:r>
        <w:t>й</w:t>
      </w:r>
      <w:r>
        <w:t>ной и детской проблематики;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выдвижение различных инициатив в отношении проектов законов и п</w:t>
      </w:r>
      <w:r>
        <w:t>о</w:t>
      </w:r>
      <w:r>
        <w:t>становлений, касающихся женщин, семьи и детей, и обеспечение их ра</w:t>
      </w:r>
      <w:r>
        <w:t>с</w:t>
      </w:r>
      <w:r>
        <w:t>простр</w:t>
      </w:r>
      <w:r>
        <w:t>а</w:t>
      </w:r>
      <w:r>
        <w:t>нения и осуществления;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контроль за выполнением всех ратифицированных нашей страной ко</w:t>
      </w:r>
      <w:r>
        <w:t>н</w:t>
      </w:r>
      <w:r>
        <w:t>венций, имеющих отношение к правам женщин, семьи и ребенка.</w:t>
      </w:r>
    </w:p>
    <w:p w:rsidR="00000000" w:rsidRDefault="00000000">
      <w:pPr>
        <w:pStyle w:val="SingleTxt"/>
      </w:pPr>
      <w:r>
        <w:t>38.</w:t>
      </w:r>
      <w:r>
        <w:tab/>
        <w:t>После Пекинской конференции основные усилия Мавритании были н</w:t>
      </w:r>
      <w:r>
        <w:t>а</w:t>
      </w:r>
      <w:r>
        <w:t>правлены на закрепление достигнутых результатов и на укрепление инстит</w:t>
      </w:r>
      <w:r>
        <w:t>у</w:t>
      </w:r>
      <w:r>
        <w:t>циональных структур центрального и регионального уровней для осуществл</w:t>
      </w:r>
      <w:r>
        <w:t>е</w:t>
      </w:r>
      <w:r>
        <w:t>ния национальной стратегии поо</w:t>
      </w:r>
      <w:r>
        <w:t>щ</w:t>
      </w:r>
      <w:r>
        <w:t>рения прав женщин.</w:t>
      </w:r>
    </w:p>
    <w:p w:rsidR="00000000" w:rsidRDefault="00000000">
      <w:pPr>
        <w:pStyle w:val="SingleTxt"/>
      </w:pPr>
      <w:r>
        <w:t>39.</w:t>
      </w:r>
      <w:r>
        <w:tab/>
        <w:t>В рамках этой деятельности ГСДЖ приступил к перестройке системы центров профессиональной подготовки, с тем чтобы они более эффективно удовлетворяли потребности в том, что касается укрепления кадров технич</w:t>
      </w:r>
      <w:r>
        <w:t>е</w:t>
      </w:r>
      <w:r>
        <w:t>ских специалистов и управленцев, развития потенциала кооперативных орг</w:t>
      </w:r>
      <w:r>
        <w:t>а</w:t>
      </w:r>
      <w:r>
        <w:t>низаций, ассоциаций неправительственных организаций и микропредприятий женщин в таких областях, как сельское хозяйство, животноводство, торговля, здравоохранение и т.д. Эта деятельность обеспечивается путем использования в масштабах всей страны передвижных учебных це</w:t>
      </w:r>
      <w:r>
        <w:t>н</w:t>
      </w:r>
      <w:r>
        <w:t xml:space="preserve">тров. </w:t>
      </w:r>
    </w:p>
    <w:p w:rsidR="00000000" w:rsidRDefault="00000000">
      <w:pPr>
        <w:pStyle w:val="SingleTxt"/>
      </w:pPr>
      <w:r>
        <w:t>40.</w:t>
      </w:r>
      <w:r>
        <w:tab/>
        <w:t>В ходе перестройки предпринимались усилия по укреплению регионал</w:t>
      </w:r>
      <w:r>
        <w:t>ь</w:t>
      </w:r>
      <w:r>
        <w:t>ных филиалов (децентрализованных структур, подчиняющихся департаме</w:t>
      </w:r>
      <w:r>
        <w:t>н</w:t>
      </w:r>
      <w:r>
        <w:t>там), с тем чтобы они могли выполнять соответствующие функции в плане к</w:t>
      </w:r>
      <w:r>
        <w:t>о</w:t>
      </w:r>
      <w:r>
        <w:t>ординации, контроля и непосредственного руководства на местах. Помимо эт</w:t>
      </w:r>
      <w:r>
        <w:t>о</w:t>
      </w:r>
      <w:r>
        <w:t>го, Департамент по вопросам положения женщин оказывал поддержку таким центральным и региональным структурам путем выделения материальных средств, оборудования и помещений, необходимых для выполнения ими своих фун</w:t>
      </w:r>
      <w:r>
        <w:t>к</w:t>
      </w:r>
      <w:r>
        <w:t>ций.</w:t>
      </w:r>
    </w:p>
    <w:p w:rsidR="00000000" w:rsidRDefault="00000000">
      <w:pPr>
        <w:pStyle w:val="SingleTxt"/>
      </w:pPr>
      <w:r>
        <w:t>41.</w:t>
      </w:r>
      <w:r>
        <w:tab/>
        <w:t>Кроме того, в 1996 году премьер-министр направил ряду департаментов циркулярное письмо с предложением шире включать в их соответствующие программы вопросы, касающиеся поощрения прав женщин, на основе взаим</w:t>
      </w:r>
      <w:r>
        <w:t>о</w:t>
      </w:r>
      <w:r>
        <w:t>действия с Департ</w:t>
      </w:r>
      <w:r>
        <w:t>а</w:t>
      </w:r>
      <w:r>
        <w:t>ментом по вопросам положения женщин.</w:t>
      </w:r>
    </w:p>
    <w:p w:rsidR="00000000" w:rsidRDefault="00000000">
      <w:pPr>
        <w:pStyle w:val="SingleTxt"/>
      </w:pPr>
      <w:r>
        <w:t>42.</w:t>
      </w:r>
      <w:r>
        <w:tab/>
        <w:t>Наряду с этим, ГСДЖ организовал общенациональную дискуссию в целях разработки политики в отношении семьи. Проведение такой политики укрепит меры, принимаемые правительством в интересах поощрения прав женщин и защиты семьи. Она включает следующие аспекты: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кодификацию различных элементов семейной жизни;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расширение возможностей семьи в плане образования;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содействие обеспечению семьи устойчивыми экономическими ресурсами и укрепление ее потенциала в области производственной деятельности и управления;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улучшение санитарно-гигиенических и социальных условий в семье;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улучшение положения семей, находящихся в особых условиях.</w:t>
      </w:r>
    </w:p>
    <w:p w:rsidR="00000000" w:rsidRDefault="00000000">
      <w:pPr>
        <w:pStyle w:val="SingleTxt"/>
      </w:pPr>
      <w:r>
        <w:t>43.</w:t>
      </w:r>
      <w:r>
        <w:tab/>
        <w:t>В поддержку этих мер правительство, действуя в соответствии со своим руководящим планом, разработало и внедрило соответствующие учебные м</w:t>
      </w:r>
      <w:r>
        <w:t>а</w:t>
      </w:r>
      <w:r>
        <w:t>териалы и программы повышения информированности в таких вопросах, как защита семьи, образование девочек, работа для женщин, борьба с дискримин</w:t>
      </w:r>
      <w:r>
        <w:t>а</w:t>
      </w:r>
      <w:r>
        <w:t>ционной и наносящей ущерб практикой в отношении женщин и девочек, а та</w:t>
      </w:r>
      <w:r>
        <w:t>к</w:t>
      </w:r>
      <w:r>
        <w:t>же уч</w:t>
      </w:r>
      <w:r>
        <w:t>а</w:t>
      </w:r>
      <w:r>
        <w:t>стие женщин в политической жизни.</w:t>
      </w:r>
    </w:p>
    <w:p w:rsidR="00000000" w:rsidRDefault="00000000">
      <w:pPr>
        <w:pStyle w:val="SingleTxt"/>
      </w:pPr>
      <w:r>
        <w:t>44.</w:t>
      </w:r>
      <w:r>
        <w:tab/>
        <w:t>Кроме того, предпринимаются меры по повышению информированности сотрудников директивных органов, гражданского общества и партнеров по в</w:t>
      </w:r>
      <w:r>
        <w:t>о</w:t>
      </w:r>
      <w:r>
        <w:t>просам развития, с тем чтобы добиться большей поддержки программ поощр</w:t>
      </w:r>
      <w:r>
        <w:t>е</w:t>
      </w:r>
      <w:r>
        <w:t>ния прав женщин. Эти меры принимаются в целях улучшения условий жизни женщин, борьбы с нищетой и неграмотностью, расширения участия женщин в процессах принятия решений и устранения неравенства между мужчинами и женщинами.</w:t>
      </w:r>
    </w:p>
    <w:p w:rsidR="00000000" w:rsidRDefault="00000000">
      <w:pPr>
        <w:pStyle w:val="SingleTxt"/>
      </w:pPr>
      <w:r>
        <w:t>45.</w:t>
      </w:r>
      <w:r>
        <w:tab/>
        <w:t>Помимо этого, ГСДЖ укрепил Информационно-справочный центр по в</w:t>
      </w:r>
      <w:r>
        <w:t>о</w:t>
      </w:r>
      <w:r>
        <w:t>просам положения женщин, семьи и ребенка (ИСЦЖСР), обеспечив его нео</w:t>
      </w:r>
      <w:r>
        <w:t>б</w:t>
      </w:r>
      <w:r>
        <w:t>ходимой документацией, базой данных и кадрами, с тем чтобы он мог инфо</w:t>
      </w:r>
      <w:r>
        <w:t>р</w:t>
      </w:r>
      <w:r>
        <w:t>мировать политических деятелей и гражданское общество о положении же</w:t>
      </w:r>
      <w:r>
        <w:t>н</w:t>
      </w:r>
      <w:r>
        <w:t>щин в Мавритании и проводить соответствующие исследов</w:t>
      </w:r>
      <w:r>
        <w:t>а</w:t>
      </w:r>
      <w:r>
        <w:t>ния.</w:t>
      </w:r>
    </w:p>
    <w:p w:rsidR="00000000" w:rsidRDefault="00000000">
      <w:pPr>
        <w:pStyle w:val="SingleTxt"/>
      </w:pPr>
      <w:r>
        <w:t>46.</w:t>
      </w:r>
      <w:r>
        <w:tab/>
        <w:t>Несмотря на наличие законодательной основы и институциональных структур, благоприятствующих укреплению семьи в Мавритании, необходимо предпринять энергичные усилия в целях обеспечения координации, осущест</w:t>
      </w:r>
      <w:r>
        <w:t>в</w:t>
      </w:r>
      <w:r>
        <w:t>ления соответствующих юридических документов и обеспечения информир</w:t>
      </w:r>
      <w:r>
        <w:t>о</w:t>
      </w:r>
      <w:r>
        <w:t>ванности населения об их содержании, внедрения гендерного подхода, мобил</w:t>
      </w:r>
      <w:r>
        <w:t>и</w:t>
      </w:r>
      <w:r>
        <w:t>зации ресурсов и осуществления целей национальной стратегии улучшения положения женщин.</w:t>
      </w:r>
    </w:p>
    <w:p w:rsidR="00000000" w:rsidRDefault="00000000">
      <w:pPr>
        <w:pStyle w:val="SingleTxt"/>
      </w:pPr>
      <w:r>
        <w:t>47.</w:t>
      </w:r>
      <w:r>
        <w:tab/>
        <w:t>Уже более двух десятилетий в Мавритании существует общественное движение. Первоначально оно возникло в виде систем взаимопомощи в общ</w:t>
      </w:r>
      <w:r>
        <w:t>и</w:t>
      </w:r>
      <w:r>
        <w:t>нах и социальной солидарности в сельских районах. Впоследствии это движ</w:t>
      </w:r>
      <w:r>
        <w:t>е</w:t>
      </w:r>
      <w:r>
        <w:t>ние стало принимать различные организационные формы и преследовать ра</w:t>
      </w:r>
      <w:r>
        <w:t>з</w:t>
      </w:r>
      <w:r>
        <w:t>нообразные цели социального и экономического характера. Оно также превр</w:t>
      </w:r>
      <w:r>
        <w:t>а</w:t>
      </w:r>
      <w:r>
        <w:t>тилось в важный фактор мобилизации женщин страны, выступающих за эма</w:t>
      </w:r>
      <w:r>
        <w:t>н</w:t>
      </w:r>
      <w:r>
        <w:t>сипацию, защиту своих прав и улучшение условий их жизни.</w:t>
      </w:r>
    </w:p>
    <w:p w:rsidR="00000000" w:rsidRDefault="00000000">
      <w:pPr>
        <w:pStyle w:val="SingleTxt"/>
      </w:pPr>
      <w:r>
        <w:t>48.</w:t>
      </w:r>
      <w:r>
        <w:tab/>
        <w:t>Деятельность общественных объединений осуществляется в различных областях, включая сельское хозяйство, животноводство, торговлю, ремесле</w:t>
      </w:r>
      <w:r>
        <w:t>н</w:t>
      </w:r>
      <w:r>
        <w:t>ную деятельность, общинные работы, охрану окружающей среды, борьбу с нищетой, защиту прав женщин и т.д. Это движение, объединяющее коопер</w:t>
      </w:r>
      <w:r>
        <w:t>а</w:t>
      </w:r>
      <w:r>
        <w:t>тивные организации, тонтины, группы, ассоциации и неправительственные о</w:t>
      </w:r>
      <w:r>
        <w:t>р</w:t>
      </w:r>
      <w:r>
        <w:t>ганизации на национальном и региональном уровнях, продемонстрировало свою эффективность и самостоятельность, несмотря на нехватку технических кадров, на</w:t>
      </w:r>
      <w:r>
        <w:t>д</w:t>
      </w:r>
      <w:r>
        <w:t>лежащего контроля и надзора.</w:t>
      </w:r>
    </w:p>
    <w:p w:rsidR="00000000" w:rsidRDefault="00000000">
      <w:pPr>
        <w:pStyle w:val="SingleTxt"/>
      </w:pPr>
      <w:r>
        <w:t>49.</w:t>
      </w:r>
      <w:r>
        <w:tab/>
        <w:t>Сферы деятельности этого движения весьма разнообразны, что нашло о</w:t>
      </w:r>
      <w:r>
        <w:t>т</w:t>
      </w:r>
      <w:r>
        <w:t>ражение в различных формах его организации.</w:t>
      </w:r>
    </w:p>
    <w:p w:rsidR="00000000" w:rsidRDefault="00000000">
      <w:pPr>
        <w:pStyle w:val="SingleTxt"/>
      </w:pPr>
      <w:r>
        <w:t>50.</w:t>
      </w:r>
      <w:r>
        <w:tab/>
        <w:t>Б</w:t>
      </w:r>
      <w:r>
        <w:sym w:font="WP CyrillicA" w:char="F0CB"/>
      </w:r>
      <w:r>
        <w:t>льшая часть этих организаций создается для достижения целей пол</w:t>
      </w:r>
      <w:r>
        <w:t>и</w:t>
      </w:r>
      <w:r>
        <w:t>тического или экономического характера или для оказания поддержки проекту или технической структуре в какой-либо конкретной о</w:t>
      </w:r>
      <w:r>
        <w:t>б</w:t>
      </w:r>
      <w:r>
        <w:t>ласти.</w:t>
      </w:r>
    </w:p>
    <w:p w:rsidR="00000000" w:rsidRDefault="00000000">
      <w:pPr>
        <w:pStyle w:val="SingleTxt"/>
      </w:pPr>
      <w:r>
        <w:t>51.</w:t>
      </w:r>
      <w:r>
        <w:tab/>
        <w:t>Эти организации принимали участие в различных учебных практикумах по таким темам, как создание кооперативов, обязанности женщин, управление, составление документов с просьбами о выделении средств, проведение техн</w:t>
      </w:r>
      <w:r>
        <w:t>и</w:t>
      </w:r>
      <w:r>
        <w:t>ческих исследований, создание баз данных, подготовка инструкторов по в</w:t>
      </w:r>
      <w:r>
        <w:t>о</w:t>
      </w:r>
      <w:r>
        <w:t>просам прав женщин, разработка руководства по основам прав женщин, разр</w:t>
      </w:r>
      <w:r>
        <w:t>а</w:t>
      </w:r>
      <w:r>
        <w:t>ботка системы критериев для женских ко</w:t>
      </w:r>
      <w:r>
        <w:t>о</w:t>
      </w:r>
      <w:r>
        <w:t>перативов и т.д.</w:t>
      </w:r>
    </w:p>
    <w:p w:rsidR="00000000" w:rsidRDefault="00000000">
      <w:pPr>
        <w:pStyle w:val="SingleTxt"/>
      </w:pPr>
      <w:r>
        <w:t>52.</w:t>
      </w:r>
      <w:r>
        <w:tab/>
        <w:t>Благодаря технической, материальной и финансовой помощи различных партнеров в области развития все эти мероприятия позволили заметно улу</w:t>
      </w:r>
      <w:r>
        <w:t>ч</w:t>
      </w:r>
      <w:r>
        <w:t>шить механизмы работы этого движения и укрепить его технический потенц</w:t>
      </w:r>
      <w:r>
        <w:t>и</w:t>
      </w:r>
      <w:r>
        <w:t>ал в вопросах производства, функционирования и управления.</w:t>
      </w:r>
    </w:p>
    <w:p w:rsidR="00000000" w:rsidRDefault="00000000">
      <w:pPr>
        <w:pStyle w:val="SingleTxt"/>
      </w:pPr>
      <w:r>
        <w:t>53.</w:t>
      </w:r>
      <w:r>
        <w:tab/>
        <w:t>В этой деятельности участвует и ряд государственных структур, которые осуществляют юридическое оформление этих организаций и оказывают им техническое содействие.</w:t>
      </w:r>
    </w:p>
    <w:p w:rsidR="00000000" w:rsidRDefault="00000000">
      <w:pPr>
        <w:pStyle w:val="SingleTxt"/>
      </w:pPr>
      <w:r>
        <w:t>54.</w:t>
      </w:r>
      <w:r>
        <w:tab/>
        <w:t>По неполным данным обследования кооперативов, проведенного в 1966 году, их численность составляла 1294 и они объединили 73 590 женщин. Эти цифры свидетельствуют о том, что женским кооперативным движением охвачена зн</w:t>
      </w:r>
      <w:r>
        <w:t>а</w:t>
      </w:r>
      <w:r>
        <w:t>чительная часть женского населения страны.</w:t>
      </w:r>
    </w:p>
    <w:p w:rsidR="00000000" w:rsidRDefault="00000000">
      <w:pPr>
        <w:pStyle w:val="SingleTxt"/>
      </w:pPr>
      <w:r>
        <w:t>55.</w:t>
      </w:r>
      <w:r>
        <w:tab/>
        <w:t>Наряду с этим, по данным того же обследования, общий объем поступл</w:t>
      </w:r>
      <w:r>
        <w:t>е</w:t>
      </w:r>
      <w:r>
        <w:t>ний 1274 кооперативов (включая три рыболовецких кооператива) составлял 148 777 345 угий. Это примерно соответствует ежегодному обороту одной ко</w:t>
      </w:r>
      <w:r>
        <w:t>м</w:t>
      </w:r>
      <w:r>
        <w:t>пании, з</w:t>
      </w:r>
      <w:r>
        <w:t>а</w:t>
      </w:r>
      <w:r>
        <w:t>нимающейся рыбным промыслом.</w:t>
      </w:r>
    </w:p>
    <w:p w:rsidR="00000000" w:rsidRDefault="00000000">
      <w:pPr>
        <w:pStyle w:val="SingleTxt"/>
      </w:pPr>
      <w:r>
        <w:t>56.</w:t>
      </w:r>
      <w:r>
        <w:tab/>
        <w:t>Это движение делает все возможное для преодоления значительных тру</w:t>
      </w:r>
      <w:r>
        <w:t>д</w:t>
      </w:r>
      <w:r>
        <w:t>ностей, препятствующих его деятельности. По большей части они обусловл</w:t>
      </w:r>
      <w:r>
        <w:t>е</w:t>
      </w:r>
      <w:r>
        <w:t>ны проблемами в области управления, нехваткой кадров и материальных и ф</w:t>
      </w:r>
      <w:r>
        <w:t>и</w:t>
      </w:r>
      <w:r>
        <w:t>на</w:t>
      </w:r>
      <w:r>
        <w:t>н</w:t>
      </w:r>
      <w:r>
        <w:t>совых ресурсов у этих организаций.</w:t>
      </w:r>
    </w:p>
    <w:p w:rsidR="00000000" w:rsidRDefault="00000000">
      <w:pPr>
        <w:pStyle w:val="SingleTxt"/>
      </w:pPr>
      <w:r>
        <w:t>57.</w:t>
      </w:r>
      <w:r>
        <w:tab/>
        <w:t>Для повышения авторитета и обеспечения устойчивости этого движения правительство приняло правовые и институциональные меры в целях орган</w:t>
      </w:r>
      <w:r>
        <w:t>и</w:t>
      </w:r>
      <w:r>
        <w:t>зации, обеспечения кадрами и поддержки его мероприятий. Это позволило ему стать важной политической силой в общинах и на национальном уровне.</w:t>
      </w:r>
    </w:p>
    <w:p w:rsidR="00000000" w:rsidRDefault="00000000">
      <w:pPr>
        <w:pStyle w:val="SingleTxt"/>
      </w:pPr>
      <w:r>
        <w:t>58.</w:t>
      </w:r>
      <w:r>
        <w:tab/>
        <w:t>В 1996 году в стране насчитывалась лишь 31 неправительственная орг</w:t>
      </w:r>
      <w:r>
        <w:t>а</w:t>
      </w:r>
      <w:r>
        <w:t>низация, в настоящее время их значительно больше. В их число входят Мавр</w:t>
      </w:r>
      <w:r>
        <w:t>и</w:t>
      </w:r>
      <w:r>
        <w:t>танский союз женщин-предпринимателей и женщин-коммерсантов (МСЖПК) и Сеть по вопросам, касающимся женщин и развития (СЖР), а также другие профессиональные и профсоюзные организ</w:t>
      </w:r>
      <w:r>
        <w:t>а</w:t>
      </w:r>
      <w:r>
        <w:t>ции.</w:t>
      </w:r>
    </w:p>
    <w:p w:rsidR="00000000" w:rsidRDefault="00000000">
      <w:pPr>
        <w:pStyle w:val="SingleTxt"/>
      </w:pPr>
      <w:r>
        <w:t>59.</w:t>
      </w:r>
      <w:r>
        <w:tab/>
        <w:t>В целях расширения участия женщин в деятельности по обеспечению развития на низовом уровне МСЖПК содействует созданию национальных женских неправительственных организаций и укреплению их потенциала.</w:t>
      </w:r>
    </w:p>
    <w:p w:rsidR="00000000" w:rsidRDefault="00000000">
      <w:pPr>
        <w:pStyle w:val="SingleTxt"/>
      </w:pPr>
      <w:r>
        <w:t>60.</w:t>
      </w:r>
      <w:r>
        <w:tab/>
        <w:t>Кроме этого, система Организации Объединенных Наций, а также другие партнеры по вопросам, касающимся развития, обеспечили финансирование для участия неправительственных организаций в международных конференциях, включая Всемирную конференцию по положению женщин (Пекин, 1995 год) и Всемирную встречу на высшем уровне в интересах социального развития (К</w:t>
      </w:r>
      <w:r>
        <w:t>о</w:t>
      </w:r>
      <w:r>
        <w:t>пенгаген, 1995 год), а также в мероприятиях, проводившихся по итогам этих ко</w:t>
      </w:r>
      <w:r>
        <w:t>н</w:t>
      </w:r>
      <w:r>
        <w:t>ференций.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2.</w:t>
      </w:r>
      <w:r>
        <w:tab/>
        <w:t>Омбудсмен Республики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61.</w:t>
      </w:r>
      <w:r>
        <w:tab/>
        <w:t>В соответствии с законом № 93.027 от 7 июля 1993 года в стране была у</w:t>
      </w:r>
      <w:r>
        <w:t>ч</w:t>
      </w:r>
      <w:r>
        <w:t>реждена должность омбудсмена Республики, который назначается декретом президента и осуществляет свою деятельность независимо от других органов. Омбудсмен Республики рассматривает жалобы граждан по неурегулированным спорам, касающимся их взаимоотношений с государственными и администр</w:t>
      </w:r>
      <w:r>
        <w:t>а</w:t>
      </w:r>
      <w:r>
        <w:t>тивно-территориальными органами, государственными учреждениями и л</w:t>
      </w:r>
      <w:r>
        <w:t>ю</w:t>
      </w:r>
      <w:r>
        <w:t>быми другими органами, которые созданы для обслуживания населения. В с</w:t>
      </w:r>
      <w:r>
        <w:t>и</w:t>
      </w:r>
      <w:r>
        <w:t>лу этого к омбудсмену Республики могут обращаться парламентарии и мэры. К омбудсмену может также обратиться и президент Республики для получения заключения по каким</w:t>
      </w:r>
      <w:r>
        <w:noBreakHyphen/>
        <w:t>либо спорам между гражданами и административными органами.</w:t>
      </w:r>
    </w:p>
    <w:p w:rsidR="00000000" w:rsidRDefault="00000000">
      <w:pPr>
        <w:pStyle w:val="SingleTxt"/>
      </w:pPr>
      <w:r>
        <w:t>62.</w:t>
      </w:r>
      <w:r>
        <w:tab/>
        <w:t>Омбудсмен рассматривает представленные ему жалобы и в том случае, если он сочтет какую</w:t>
      </w:r>
      <w:r>
        <w:noBreakHyphen/>
        <w:t>либо жалобу обоснованной, он представляет письменное заключение с рекомендациями относительно урегулирования разногласий, а в соответствующих случаях предлагает меры, направленные на улучшение функционирования соответствующего органа. Если, по его мнению, причиной спора является очевидная несправедливость действующих законов или пост</w:t>
      </w:r>
      <w:r>
        <w:t>а</w:t>
      </w:r>
      <w:r>
        <w:t>новлений, он может предложить соответствующему компетентному органу л</w:t>
      </w:r>
      <w:r>
        <w:t>ю</w:t>
      </w:r>
      <w:r>
        <w:t>бые подходящие меры для исправления такой ситуации с изложением измен</w:t>
      </w:r>
      <w:r>
        <w:t>е</w:t>
      </w:r>
      <w:r>
        <w:t>ний, которые необходимо внести в эти законы или постановления. В том сл</w:t>
      </w:r>
      <w:r>
        <w:t>у</w:t>
      </w:r>
      <w:r>
        <w:t>чае, если соответствующий компетентный орган не принимает мер дисципл</w:t>
      </w:r>
      <w:r>
        <w:t>и</w:t>
      </w:r>
      <w:r>
        <w:t>нарного характера в отношении своих сотрудников, виновных в серьезных противоправных действиях против подчиненных им лиц, Омбудсмен Респу</w:t>
      </w:r>
      <w:r>
        <w:t>б</w:t>
      </w:r>
      <w:r>
        <w:t>лики готовит доклад по этому вопросу, который он направляет президенту Ре</w:t>
      </w:r>
      <w:r>
        <w:t>с</w:t>
      </w:r>
      <w:r>
        <w:t>публики.</w:t>
      </w:r>
    </w:p>
    <w:p w:rsidR="00000000" w:rsidRDefault="00000000">
      <w:pPr>
        <w:pStyle w:val="SingleTxt"/>
      </w:pPr>
      <w:r>
        <w:t>63.</w:t>
      </w:r>
      <w:r>
        <w:tab/>
        <w:t>Омбудсмен Республики не может ни вмешиваться в спор, рассматрива</w:t>
      </w:r>
      <w:r>
        <w:t>е</w:t>
      </w:r>
      <w:r>
        <w:t>мый судом, ни ставить под сомнение обоснованность решения, принятого с</w:t>
      </w:r>
      <w:r>
        <w:t>у</w:t>
      </w:r>
      <w:r>
        <w:t>дебным органом, однако он может выносить рекомендации в отношении соо</w:t>
      </w:r>
      <w:r>
        <w:t>т</w:t>
      </w:r>
      <w:r>
        <w:t>ветствующего органа.</w:t>
      </w:r>
    </w:p>
    <w:p w:rsidR="00000000" w:rsidRDefault="00000000">
      <w:pPr>
        <w:pStyle w:val="SingleTxt"/>
      </w:pPr>
      <w:r>
        <w:t>64.</w:t>
      </w:r>
      <w:r>
        <w:tab/>
        <w:t>В случае неисполнения судебного решения, вступившего в силу, Омбу</w:t>
      </w:r>
      <w:r>
        <w:t>д</w:t>
      </w:r>
      <w:r>
        <w:t>смен Республики предписывает соответствующему органу выполнить это р</w:t>
      </w:r>
      <w:r>
        <w:t>е</w:t>
      </w:r>
      <w:r>
        <w:t>шение в установленный им срок. Если такое предписание не выполняется, то в адрес президента Республики направляется специальный доклад о неисполн</w:t>
      </w:r>
      <w:r>
        <w:t>е</w:t>
      </w:r>
      <w:r>
        <w:t>нии решения суда. Независимость и авторитет этого института повышает его роль в деле урегулирования споров и выполнения посреднических функций в общес</w:t>
      </w:r>
      <w:r>
        <w:t>т</w:t>
      </w:r>
      <w:r>
        <w:t>ве.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3.</w:t>
      </w:r>
      <w:r>
        <w:tab/>
        <w:t>Комиссариат по правам человека, борьбе с нищетой и интеграции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65.</w:t>
      </w:r>
      <w:r>
        <w:tab/>
        <w:t>Учрежденному в соответствии с декретом № 89/98 от 2 июля 1998 года с изменениями, внесенными декретом № 094/2000 от 28 сентября 2000 года, К</w:t>
      </w:r>
      <w:r>
        <w:t>о</w:t>
      </w:r>
      <w:r>
        <w:t>миссариату по правам человека, борьбе с нищетой и социальной интеграции (КПЧНСИ) поручено разрабатывать и проводить национальную политику в о</w:t>
      </w:r>
      <w:r>
        <w:t>б</w:t>
      </w:r>
      <w:r>
        <w:t>ласти поощрения и защиты прав человека, борьбы с нищетой и интеграции на основе согласованного подхода, опирающегося на участие всех заинтересова</w:t>
      </w:r>
      <w:r>
        <w:t>н</w:t>
      </w:r>
      <w:r>
        <w:t>ных сторон.</w:t>
      </w:r>
    </w:p>
    <w:p w:rsidR="00000000" w:rsidRDefault="00000000">
      <w:pPr>
        <w:pStyle w:val="SingleTxt"/>
      </w:pPr>
      <w:r>
        <w:t>66.</w:t>
      </w:r>
      <w:r>
        <w:tab/>
        <w:t>Создание этого Комиссариата, сфера компетенции которого была распр</w:t>
      </w:r>
      <w:r>
        <w:t>о</w:t>
      </w:r>
      <w:r>
        <w:t>странена на несколько секторов, в первую очередь обусловлено взаимосвязью прав человека, политических и гражданских прав, а также экономических, с</w:t>
      </w:r>
      <w:r>
        <w:t>о</w:t>
      </w:r>
      <w:r>
        <w:t>циальных и культурных прав. Оно также свидетельствует о выборе единой концепции развития, в соответствии с которой экономический прогресс должен идти в ногу с политическим.</w:t>
      </w:r>
    </w:p>
    <w:p w:rsidR="00000000" w:rsidRDefault="00000000">
      <w:pPr>
        <w:pStyle w:val="SingleTxt"/>
      </w:pPr>
      <w:r>
        <w:t>67.</w:t>
      </w:r>
      <w:r>
        <w:tab/>
        <w:t>Что касается выбранных стратегий, то здесь особое внимание уделяется подходам, опирающимся на солидарность граждан, их эффективному осущес</w:t>
      </w:r>
      <w:r>
        <w:t>т</w:t>
      </w:r>
      <w:r>
        <w:t>влению и всесторонней мобилизации людских и финансовых ресурсов.</w:t>
      </w:r>
    </w:p>
    <w:p w:rsidR="00000000" w:rsidRDefault="00000000">
      <w:pPr>
        <w:pStyle w:val="SingleTxt"/>
      </w:pPr>
      <w:r>
        <w:t>68.</w:t>
      </w:r>
      <w:r>
        <w:tab/>
        <w:t>В вопросах прав человека Комиссариату по правам человека, борьбе с нищетой и интеграции поручено разрабатывать и осуществлять национальную политику в области прав ч</w:t>
      </w:r>
      <w:r>
        <w:t>е</w:t>
      </w:r>
      <w:r>
        <w:t>ловека путем: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осуществления всех надлежащих мер по укреплению и пропагандиров</w:t>
      </w:r>
      <w:r>
        <w:t>а</w:t>
      </w:r>
      <w:r>
        <w:t>нию принципов и ценностей в области прав чел</w:t>
      </w:r>
      <w:r>
        <w:t>о</w:t>
      </w:r>
      <w:r>
        <w:t>века;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укрепления диалога и сотрудничества между национальными ассоци</w:t>
      </w:r>
      <w:r>
        <w:t>а</w:t>
      </w:r>
      <w:r>
        <w:t>циями, зан</w:t>
      </w:r>
      <w:r>
        <w:t>и</w:t>
      </w:r>
      <w:r>
        <w:t>мающимися вопросами прав человека;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развития сотрудничества и обмена с организациями и региональными и международными учреждениями, занимающимися вопросами прав чел</w:t>
      </w:r>
      <w:r>
        <w:t>о</w:t>
      </w:r>
      <w:r>
        <w:t>века;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обеспечения выполнения обязательств Мавритании по конвенциям в о</w:t>
      </w:r>
      <w:r>
        <w:t>б</w:t>
      </w:r>
      <w:r>
        <w:t>ласти прав человека.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В.</w:t>
      </w:r>
      <w:r>
        <w:tab/>
        <w:t>Судебные органы, отвечающие за поощрение и защиту прав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1.</w:t>
      </w:r>
      <w:r>
        <w:tab/>
        <w:t>Конституционный совет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69.</w:t>
      </w:r>
      <w:r>
        <w:tab/>
        <w:t>Конституционный совет представляет собой независимый орган юстиции, учрежденный Конституцией от 20 июля 1991 года вместо существовавшей р</w:t>
      </w:r>
      <w:r>
        <w:t>а</w:t>
      </w:r>
      <w:r>
        <w:t>нее Конституционной палаты Верховного суда. Создание в рамках судебной системы Мавритании Конституционного совета является шагом вперед в деле обеспеч</w:t>
      </w:r>
      <w:r>
        <w:t>е</w:t>
      </w:r>
      <w:r>
        <w:t>ния гарантий прав человека.</w:t>
      </w:r>
    </w:p>
    <w:p w:rsidR="00000000" w:rsidRDefault="00000000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70.</w:t>
      </w:r>
      <w:r>
        <w:tab/>
        <w:t>В состав Конституционного совета входят шесть членов, которые назн</w:t>
      </w:r>
      <w:r>
        <w:t>а</w:t>
      </w:r>
      <w:r>
        <w:t>чаются: президентом Республики (три члена, включая председателя Констит</w:t>
      </w:r>
      <w:r>
        <w:t>у</w:t>
      </w:r>
      <w:r>
        <w:t>ционного совета), Председателем Национальной ассамблеи (два члена) и Пре</w:t>
      </w:r>
      <w:r>
        <w:t>д</w:t>
      </w:r>
      <w:r>
        <w:t>седателем Сената (один член). Члены Конституционного совета назначаются на девятилетний срок без права повторного назначения. Они несменяемы и пол</w:t>
      </w:r>
      <w:r>
        <w:t>ь</w:t>
      </w:r>
      <w:r>
        <w:t>зуются иммунитетами парламентариев. Конституционному совету поручено, в частности, проверять соответствие законов, международных договоров и р</w:t>
      </w:r>
      <w:r>
        <w:t>е</w:t>
      </w:r>
      <w:r>
        <w:t>шений парламентских ассамблей положениям Конституции страны. В связи с этим он может объявить неконституционными положения какого</w:t>
      </w:r>
      <w:r>
        <w:noBreakHyphen/>
        <w:t>либо закон</w:t>
      </w:r>
      <w:r>
        <w:t>о</w:t>
      </w:r>
      <w:r>
        <w:t>дательства, установив факт их несоотве</w:t>
      </w:r>
      <w:r>
        <w:t>т</w:t>
      </w:r>
      <w:r>
        <w:t>ствия Конституции.</w:t>
      </w:r>
    </w:p>
    <w:p w:rsidR="00000000" w:rsidRDefault="00000000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71.</w:t>
      </w:r>
      <w:r>
        <w:tab/>
        <w:t>В соответствии со статьей 87 Конституции «решения Конституционного совета приобретают силу судебного решения (…). Они не могут быть обжал</w:t>
      </w:r>
      <w:r>
        <w:t>о</w:t>
      </w:r>
      <w:r>
        <w:t>ваны, (и) все государственные, административные и судебные органы обязаны исполнять их». В данном случае уместно подчеркнуть особую роль Констит</w:t>
      </w:r>
      <w:r>
        <w:t>у</w:t>
      </w:r>
      <w:r>
        <w:t>ционного совета в деле защиты прав и свобод: этот орган уже объявил неко</w:t>
      </w:r>
      <w:r>
        <w:t>н</w:t>
      </w:r>
      <w:r>
        <w:t>ституционными несколько документов, в частности регламент Национальной ассамблеи, регламент Сената, органический закон о статусе магистратуры и органический закон об избрании сенаторов, представляющих мавританцев, проживающих за границей.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2.</w:t>
      </w:r>
      <w:r>
        <w:tab/>
        <w:t>Суды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72.</w:t>
      </w:r>
      <w:r>
        <w:tab/>
        <w:t>Судебная система Исламской Республики Мавритания основывается на законе № 99-039 от 24 июля 1999 года, который предусматривает следующее: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2.1</w:t>
      </w:r>
      <w:r>
        <w:tab/>
        <w:t>Суды первой инстанции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a)</w:t>
      </w:r>
      <w:r>
        <w:tab/>
        <w:t>Окружные суды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73.</w:t>
      </w:r>
      <w:r>
        <w:tab/>
        <w:t>В соответствии с положениями статьи 11 закона № 99-039 «в администр</w:t>
      </w:r>
      <w:r>
        <w:t>а</w:t>
      </w:r>
      <w:r>
        <w:t>тивном центре каждого округа создается окружной суд». Он уполномочен в</w:t>
      </w:r>
      <w:r>
        <w:t>ы</w:t>
      </w:r>
      <w:r>
        <w:t>носить решения по гражданским делам и делам, касающимся коммерческой деятельности, не относящимся к компетенции областных судов.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b)</w:t>
      </w:r>
      <w:r>
        <w:tab/>
        <w:t>Областные суды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74.</w:t>
      </w:r>
      <w:r>
        <w:tab/>
        <w:t>Эти суды включают: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административную палату;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палату по гражданским делам;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палату по делам, касающимся коммерческой деятельности;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одну или несколько палат по уголовным делам, одна из которых в обяз</w:t>
      </w:r>
      <w:r>
        <w:t>а</w:t>
      </w:r>
      <w:r>
        <w:t>тельном п</w:t>
      </w:r>
      <w:r>
        <w:t>о</w:t>
      </w:r>
      <w:r>
        <w:t>рядке занимается делами несовершеннолетних.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c)</w:t>
      </w:r>
      <w:r>
        <w:tab/>
        <w:t>Суды по трудовым спорам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75.</w:t>
      </w:r>
      <w:r>
        <w:tab/>
        <w:t>Такие суды создаются в административных центрах всех областей и им</w:t>
      </w:r>
      <w:r>
        <w:t>е</w:t>
      </w:r>
      <w:r>
        <w:t>ют в своем составе председательствующего судью-магистрата, которому ок</w:t>
      </w:r>
      <w:r>
        <w:t>а</w:t>
      </w:r>
      <w:r>
        <w:t>зывают содействие заседатели, назначаемые в соответствии с положениями трудового кодекса.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d)</w:t>
      </w:r>
      <w:r>
        <w:tab/>
        <w:t>Уголовные суды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76.</w:t>
      </w:r>
      <w:r>
        <w:tab/>
        <w:t>Уголовные суды создаются в административных центрах всех областей в качестве судов первой и последней инстанции по делам, которые отнесены з</w:t>
      </w:r>
      <w:r>
        <w:t>а</w:t>
      </w:r>
      <w:r>
        <w:t>коном к их компетенции. В уголовном суде председательствует председатель областного суда, а при большом объеме дел — специально назначенный с</w:t>
      </w:r>
      <w:r>
        <w:t>у</w:t>
      </w:r>
      <w:r>
        <w:t>дья-магистрат. Прокуратуру в нем представляет прокурор, а делопроизводство в</w:t>
      </w:r>
      <w:r>
        <w:t>е</w:t>
      </w:r>
      <w:r>
        <w:t>дет старший секретарь при содействии одного или н</w:t>
      </w:r>
      <w:r>
        <w:t>е</w:t>
      </w:r>
      <w:r>
        <w:t>скольких помощников.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2.2</w:t>
      </w:r>
      <w:r>
        <w:tab/>
        <w:t>Суды второй инстанции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a)</w:t>
      </w:r>
      <w:r>
        <w:tab/>
        <w:t>Апелляционные суды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77.</w:t>
      </w:r>
      <w:r>
        <w:tab/>
        <w:t>Апелляционные суды создаются в административных центрах всех обла</w:t>
      </w:r>
      <w:r>
        <w:t>с</w:t>
      </w:r>
      <w:r>
        <w:t>тей в составе сл</w:t>
      </w:r>
      <w:r>
        <w:t>е</w:t>
      </w:r>
      <w:r>
        <w:t>дующих судебных подразделений: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административная палата;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палата по гражданским и социальным делам;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палата по делам, касающимся коммерческой деятельности;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палата по уголовным делам.</w:t>
      </w:r>
    </w:p>
    <w:p w:rsidR="00000000" w:rsidRDefault="00000000">
      <w:pPr>
        <w:pStyle w:val="SingleTxt"/>
      </w:pPr>
      <w:r>
        <w:t>В соответствии с положениями статьи 30 нового закона эти различные палаты рассматривают в порядке апелляции с учетом своей специализации и в качес</w:t>
      </w:r>
      <w:r>
        <w:t>т</w:t>
      </w:r>
      <w:r>
        <w:t>ве суда последней инстанции решения и постановления, вынесенные судами первой инстанции.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b)</w:t>
      </w:r>
      <w:r>
        <w:tab/>
        <w:t>Верховный суд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78.</w:t>
      </w:r>
      <w:r>
        <w:tab/>
        <w:t>В соответствии с законом Верховный суд является судом высшей суде</w:t>
      </w:r>
      <w:r>
        <w:t>б</w:t>
      </w:r>
      <w:r>
        <w:t>ной надзорной инстанции. Правительство может предложить ему дать закл</w:t>
      </w:r>
      <w:r>
        <w:t>ю</w:t>
      </w:r>
      <w:r>
        <w:t>чение по «проектам законов или постановлений и по всем вопросам, в отнош</w:t>
      </w:r>
      <w:r>
        <w:t>е</w:t>
      </w:r>
      <w:r>
        <w:t>нии которых в законодательстве или постановлениях предусматриваются де</w:t>
      </w:r>
      <w:r>
        <w:t>й</w:t>
      </w:r>
      <w:r>
        <w:t>ствия правительства». Кроме того, министры могут обращаться в Верховный суд за консультацией «в случае трудностей юридического характера, возни</w:t>
      </w:r>
      <w:r>
        <w:t>к</w:t>
      </w:r>
      <w:r>
        <w:t>ших в связи с осуществлением функций государственными учреждениями». В состав Верховного суда входят председатель, четыре председателя палат в ра</w:t>
      </w:r>
      <w:r>
        <w:t>н</w:t>
      </w:r>
      <w:r>
        <w:t>ге заместителей председателя и нескольких советников. Суд состоит из сл</w:t>
      </w:r>
      <w:r>
        <w:t>е</w:t>
      </w:r>
      <w:r>
        <w:t>дующих подраздел</w:t>
      </w:r>
      <w:r>
        <w:t>е</w:t>
      </w:r>
      <w:r>
        <w:t>ний: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сводные палаты;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палата совета Верховного суда;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специальные палаты.</w:t>
      </w:r>
    </w:p>
    <w:p w:rsidR="00000000" w:rsidRDefault="00000000">
      <w:pPr>
        <w:pStyle w:val="SingleTxt"/>
      </w:pPr>
      <w:r>
        <w:t>79.</w:t>
      </w:r>
      <w:r>
        <w:tab/>
        <w:t>В соответствии с законом о судоустройстве женщины, права которых б</w:t>
      </w:r>
      <w:r>
        <w:t>ы</w:t>
      </w:r>
      <w:r>
        <w:t>ли нарушены, располагают всем комплексом средств внутренней правовой з</w:t>
      </w:r>
      <w:r>
        <w:t>а</w:t>
      </w:r>
      <w:r>
        <w:t>щиты, предоставляемых в рамках классической судебной системы. Так, они могут предъявлять иски в суде, обращаться в различные суды первой инста</w:t>
      </w:r>
      <w:r>
        <w:t>н</w:t>
      </w:r>
      <w:r>
        <w:t>ции и направлять апелляции или кассационные жалобы в суды второй инста</w:t>
      </w:r>
      <w:r>
        <w:t>н</w:t>
      </w:r>
      <w:r>
        <w:t>ции (Апелляционный суд и Верховный с</w:t>
      </w:r>
      <w:r>
        <w:t>у</w:t>
      </w:r>
      <w:r>
        <w:t>д).</w:t>
      </w:r>
    </w:p>
    <w:p w:rsidR="00000000" w:rsidRDefault="00000000">
      <w:pPr>
        <w:pStyle w:val="SingleTxt"/>
      </w:pPr>
      <w:r>
        <w:t>80.</w:t>
      </w:r>
      <w:r>
        <w:tab/>
        <w:t>Помимо этого, в случае исчерпания внутренних средств правовой защиты истцы могут обратиться в различные правозащитные механизмы региональн</w:t>
      </w:r>
      <w:r>
        <w:t>о</w:t>
      </w:r>
      <w:r>
        <w:t>го и международного уровня. Положения Конвенции (статьи 1–16) в знач</w:t>
      </w:r>
      <w:r>
        <w:t>и</w:t>
      </w:r>
      <w:r>
        <w:t>тельной степени защищены действующей Конституцией от 20 июля 1991 года. Так, в ее преамбуле говорится, что народ Мавритании торжественно заявляет о своей приверженности «… принципам демократии, закрепленным во Всео</w:t>
      </w:r>
      <w:r>
        <w:t>б</w:t>
      </w:r>
      <w:r>
        <w:t>щей декларации прав человека от 10 декабря 1948 года и Африканской хартии прав человека и народов от 28 июня 1981 года, а также в различных других межд</w:t>
      </w:r>
      <w:r>
        <w:t>у</w:t>
      </w:r>
      <w:r>
        <w:t>народных конвенциях, участником которых является Мавритания».</w:t>
      </w:r>
    </w:p>
    <w:p w:rsidR="00000000" w:rsidRDefault="00000000">
      <w:pPr>
        <w:pStyle w:val="SingleTxt"/>
      </w:pPr>
      <w:r>
        <w:t>81.</w:t>
      </w:r>
      <w:r>
        <w:tab/>
        <w:t>Кроме того, в статье 10 Конституции говорится, что «государство гара</w:t>
      </w:r>
      <w:r>
        <w:t>н</w:t>
      </w:r>
      <w:r>
        <w:t>тирует всем гражданам публичные и индивидуальные свободы…». Последу</w:t>
      </w:r>
      <w:r>
        <w:t>ю</w:t>
      </w:r>
      <w:r>
        <w:t>щая деятельность по осуществлению этих основополагающих положений б</w:t>
      </w:r>
      <w:r>
        <w:t>у</w:t>
      </w:r>
      <w:r>
        <w:t>дет способствовать дальнейшему информированию Комитета по данному в</w:t>
      </w:r>
      <w:r>
        <w:t>о</w:t>
      </w:r>
      <w:r>
        <w:t>просу. При обращении в национальные судебные органы можно ссылаться на положения Конвенции, которые могут непосредственно применяться ими.</w:t>
      </w:r>
    </w:p>
    <w:p w:rsidR="00000000" w:rsidRDefault="00000000">
      <w:pPr>
        <w:pStyle w:val="SingleTxt"/>
      </w:pPr>
      <w:r>
        <w:t>82.</w:t>
      </w:r>
      <w:r>
        <w:tab/>
        <w:t>Такая возможность вытекает из статьи 80 Конституции, которая пред</w:t>
      </w:r>
      <w:r>
        <w:t>у</w:t>
      </w:r>
      <w:r>
        <w:t>сматривает, что «международные договоры и соглашения, ратифицированные или утвержденные в установленном порядке, с момента своей публикации пользуются преимущественной силой по отношению к законам при условии выполнения каждого соглашения или международного договора другой стор</w:t>
      </w:r>
      <w:r>
        <w:t>о</w:t>
      </w:r>
      <w:r>
        <w:t>ной», что подтверждает монистический характер Конституции и в то же время позволяет потенциальным истцам ссылаться на них в судах, как и на нормы национального права.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360" w:lineRule="exact"/>
        <w:ind w:left="1267" w:right="1260" w:hanging="1267"/>
        <w:rPr>
          <w:sz w:val="34"/>
        </w:rPr>
      </w:pPr>
      <w:r>
        <w:rPr>
          <w:sz w:val="34"/>
        </w:rPr>
        <w:t>Часть II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360" w:lineRule="exact"/>
        <w:ind w:left="1267" w:right="1260" w:hanging="1267"/>
        <w:rPr>
          <w:sz w:val="34"/>
        </w:rPr>
      </w:pPr>
      <w:r>
        <w:rPr>
          <w:sz w:val="34"/>
        </w:rPr>
        <w:tab/>
      </w:r>
      <w:r>
        <w:rPr>
          <w:sz w:val="34"/>
        </w:rPr>
        <w:tab/>
        <w:t>Осуществление основных положений Конвенции (статьи 1–16)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I.</w:t>
      </w:r>
      <w:r>
        <w:tab/>
        <w:t>Законодательные, административные, правовые и другие меры, обеспечивающие осуществление положений статей 1, 2 и 3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83.</w:t>
      </w:r>
      <w:r>
        <w:tab/>
        <w:t>В законодательстве Мавритании содержатся положения, направленные на предотвращение дискриминации в отношении женщин, по ее определению, с</w:t>
      </w:r>
      <w:r>
        <w:t>о</w:t>
      </w:r>
      <w:r>
        <w:t>держащемуся в Конвенции. Так, в Конституции 20 июля 1991 года провозгл</w:t>
      </w:r>
      <w:r>
        <w:t>а</w:t>
      </w:r>
      <w:r>
        <w:t>шено равенство всех перед законом без различия по пр</w:t>
      </w:r>
      <w:r>
        <w:t>и</w:t>
      </w:r>
      <w:r>
        <w:t>знаку пола.</w:t>
      </w:r>
    </w:p>
    <w:p w:rsidR="00000000" w:rsidRDefault="00000000">
      <w:pPr>
        <w:pStyle w:val="SingleTxt"/>
      </w:pPr>
      <w:r>
        <w:t>84.</w:t>
      </w:r>
      <w:r>
        <w:tab/>
        <w:t>Пункт 2 статьи 1 Конституции гласит: «Республика обеспечивает равенс</w:t>
      </w:r>
      <w:r>
        <w:t>т</w:t>
      </w:r>
      <w:r>
        <w:t>во всех граждан перед законом без различия по происхождению, расовой пр</w:t>
      </w:r>
      <w:r>
        <w:t>и</w:t>
      </w:r>
      <w:r>
        <w:t>надлежности, полу или социальному положению».</w:t>
      </w:r>
    </w:p>
    <w:p w:rsidR="00000000" w:rsidRDefault="00000000">
      <w:pPr>
        <w:pStyle w:val="SingleTxt"/>
      </w:pPr>
      <w:r>
        <w:t>85.</w:t>
      </w:r>
      <w:r>
        <w:tab/>
        <w:t>Кроме того, статья 12 гласит: «все граждане могут выполнять функции и занимать государственные должности без каких-либо условий, кроме тех, к</w:t>
      </w:r>
      <w:r>
        <w:t>о</w:t>
      </w:r>
      <w:r>
        <w:t>торые определены законом».</w:t>
      </w:r>
    </w:p>
    <w:p w:rsidR="00000000" w:rsidRDefault="00000000">
      <w:pPr>
        <w:pStyle w:val="SingleTxt"/>
      </w:pPr>
      <w:r>
        <w:t>86.</w:t>
      </w:r>
      <w:r>
        <w:tab/>
        <w:t>Более того, в положениях 1 и 2 статьи 15 Конституция гарантирует всем гражданам без какого-либо различия право собственности и право наследов</w:t>
      </w:r>
      <w:r>
        <w:t>а</w:t>
      </w:r>
      <w:r>
        <w:t>ния.</w:t>
      </w:r>
    </w:p>
    <w:p w:rsidR="00000000" w:rsidRDefault="00000000">
      <w:pPr>
        <w:pStyle w:val="SingleTxt"/>
      </w:pPr>
      <w:r>
        <w:t>87.</w:t>
      </w:r>
      <w:r>
        <w:tab/>
        <w:t>Другие законодательные и регламентирующие документы закрепляют принцип недискриминации в отношении женщин.</w:t>
      </w:r>
    </w:p>
    <w:p w:rsidR="00000000" w:rsidRDefault="00000000">
      <w:pPr>
        <w:pStyle w:val="SingleTxt"/>
      </w:pPr>
      <w:r>
        <w:t>88.</w:t>
      </w:r>
      <w:r>
        <w:tab/>
        <w:t>Таким образом, мавританские женщины могут избирать и быть избра</w:t>
      </w:r>
      <w:r>
        <w:t>н</w:t>
      </w:r>
      <w:r>
        <w:t>ными на все выборные должности, включая должность президента Республики (циркуляр № 091-027 от 7 октября 1991 года), а также Национальную ассам</w:t>
      </w:r>
      <w:r>
        <w:t>б</w:t>
      </w:r>
      <w:r>
        <w:t>лею (циркуляр № 091-028 от 7 октября 1991 года об избрании депутатов), С</w:t>
      </w:r>
      <w:r>
        <w:t>е</w:t>
      </w:r>
      <w:r>
        <w:t>нат (циркуляр № 091-029 от 7 октября 1991 года, касающийся основного закона о выборе сенаторов) и в городские советы (циркуляр № 087-289 от 20 октября 1987 года).</w:t>
      </w:r>
    </w:p>
    <w:p w:rsidR="00000000" w:rsidRDefault="00000000">
      <w:pPr>
        <w:pStyle w:val="SingleTxt"/>
      </w:pPr>
      <w:r>
        <w:t>89.</w:t>
      </w:r>
      <w:r>
        <w:tab/>
        <w:t>Кроме того, закон № 093-009 от 18 января 1993 года об общем статусе г</w:t>
      </w:r>
      <w:r>
        <w:t>о</w:t>
      </w:r>
      <w:r>
        <w:t>сударственных служащих и служащих, нанимаемых на контрактной основе, гласит: «запрещается проводить какие-либо различия между служащими в з</w:t>
      </w:r>
      <w:r>
        <w:t>а</w:t>
      </w:r>
      <w:r>
        <w:t>висимости от их взглядов, пола или расовой принадлежности». Эти положения распространяются и на служащих, нанимаемых по контрактам, согласно ст</w:t>
      </w:r>
      <w:r>
        <w:t>а</w:t>
      </w:r>
      <w:r>
        <w:t>тье 105 того же закона.</w:t>
      </w:r>
    </w:p>
    <w:p w:rsidR="00000000" w:rsidRDefault="00000000">
      <w:pPr>
        <w:pStyle w:val="SingleTxt"/>
      </w:pPr>
      <w:r>
        <w:t>90.</w:t>
      </w:r>
      <w:r>
        <w:tab/>
        <w:t>Трудовой кодекс признает за замужней женщиной, занимающейся какой-либо профессиональной деятельностью или ремеслом, право вступать по св</w:t>
      </w:r>
      <w:r>
        <w:t>о</w:t>
      </w:r>
      <w:r>
        <w:t>ему выбору в профессиональный союз и участвовать также в его руководстве и управлении его деятельностью.</w:t>
      </w:r>
    </w:p>
    <w:p w:rsidR="00000000" w:rsidRDefault="00000000">
      <w:pPr>
        <w:pStyle w:val="SingleTxt"/>
      </w:pPr>
      <w:r>
        <w:t>91.</w:t>
      </w:r>
      <w:r>
        <w:tab/>
        <w:t>Закон 2001-054 от 19 июля 2001 года устанавливает в стране обязательное начальное образование и закрепляет правила и меры наказания за их несобл</w:t>
      </w:r>
      <w:r>
        <w:t>ю</w:t>
      </w:r>
      <w:r>
        <w:t>дение. В частности, статья 1 этого закона предусматривает обязательное н</w:t>
      </w:r>
      <w:r>
        <w:t>а</w:t>
      </w:r>
      <w:r>
        <w:t>чальное образование для всех мавританских детей «обоих полов в возрасте от 6 до 14 лет в ходе школьного обучения сроком не менее 6 лет».</w:t>
      </w:r>
    </w:p>
    <w:p w:rsidR="00000000" w:rsidRDefault="00000000">
      <w:pPr>
        <w:pStyle w:val="SingleTxt"/>
      </w:pPr>
      <w:r>
        <w:t>92.</w:t>
      </w:r>
      <w:r>
        <w:tab/>
        <w:t>Согласно положениям того же закона лицо, ответственное за ребенка (будь то отец, мать или опекун или же любое физическое или юридическое л</w:t>
      </w:r>
      <w:r>
        <w:t>и</w:t>
      </w:r>
      <w:r>
        <w:t>цо, уполномоченное по закону обеспечивать уход за ребенком), обязано зап</w:t>
      </w:r>
      <w:r>
        <w:t>и</w:t>
      </w:r>
      <w:r>
        <w:t>сать его в школу в течение 15 дней до начала школьного обучения (ст</w:t>
      </w:r>
      <w:r>
        <w:t>а</w:t>
      </w:r>
      <w:r>
        <w:t>тья 2).</w:t>
      </w:r>
    </w:p>
    <w:p w:rsidR="00000000" w:rsidRDefault="00000000">
      <w:pPr>
        <w:pStyle w:val="SingleTxt"/>
      </w:pPr>
      <w:r>
        <w:t>93.</w:t>
      </w:r>
      <w:r>
        <w:tab/>
        <w:t>Несоблюдение этих положений опекуном ребенка и невыполнение соо</w:t>
      </w:r>
      <w:r>
        <w:t>т</w:t>
      </w:r>
      <w:r>
        <w:t>ветствующего требования в течение пяти дней наказываются штрафом.</w:t>
      </w:r>
    </w:p>
    <w:p w:rsidR="00000000" w:rsidRDefault="00000000">
      <w:pPr>
        <w:pStyle w:val="SingleTxt"/>
      </w:pPr>
      <w:r>
        <w:t>94.</w:t>
      </w:r>
      <w:r>
        <w:tab/>
        <w:t>Согласно положениям статьи 10 указанного закона этот штраф может с</w:t>
      </w:r>
      <w:r>
        <w:t>о</w:t>
      </w:r>
      <w:r>
        <w:t>ставлять сумму в размере от 10 000 до 30 000 угий, если лицо, отвечающее за ребенка, без какой-либо уважительной причины отказывается зарегистрировать его, не позволяет ему посещать занятия в течение более чем 15 дней в течение четверти и, «пользуясь своим влиянием или своими действиями, прерывает временно или окончательно его школьное обучение». В случае повторения эта сумма может составлять от 50 000 до 100 000 угий.</w:t>
      </w:r>
    </w:p>
    <w:p w:rsidR="00000000" w:rsidRDefault="00000000">
      <w:pPr>
        <w:pStyle w:val="SingleTxt"/>
      </w:pPr>
      <w:r>
        <w:t>95.</w:t>
      </w:r>
      <w:r>
        <w:tab/>
        <w:t>Закон № 099–039 от 24 июля 1999 года о судебных органах устанавливает принцип равенства обращения с гражданами без каких-либо различий на осн</w:t>
      </w:r>
      <w:r>
        <w:t>о</w:t>
      </w:r>
      <w:r>
        <w:t>ве строгого соблюдения действующих законов и положений: «судебные органы рассматривают все административные, гражданские, коммерческие, уголовные и трудовые вопросы. Они руководствуются действующими законами и полож</w:t>
      </w:r>
      <w:r>
        <w:t>е</w:t>
      </w:r>
      <w:r>
        <w:t>ниями» (пункт 2 статья 1).</w:t>
      </w:r>
    </w:p>
    <w:p w:rsidR="00000000" w:rsidRDefault="00000000">
      <w:pPr>
        <w:pStyle w:val="SingleTxt"/>
      </w:pPr>
      <w:r>
        <w:t>96.</w:t>
      </w:r>
      <w:r>
        <w:tab/>
        <w:t>Закон № 2001–052 от 17 июля 2001 года о Кодексе законов о гражданском состоянии, признающий за вдовой и ее детьми права наследования, призна</w:t>
      </w:r>
      <w:r>
        <w:t>ю</w:t>
      </w:r>
      <w:r>
        <w:t>щий необходимость согласия на брак и возраст совершеннолетия для девушек, составляющий 18 лет, а также права усыновления и обеспечения доступа же</w:t>
      </w:r>
      <w:r>
        <w:t>н</w:t>
      </w:r>
      <w:r>
        <w:t>щин к органам правосудия, дополняет совокупность национальных законов, направленных на поощрение и защиту прав же</w:t>
      </w:r>
      <w:r>
        <w:t>н</w:t>
      </w:r>
      <w:r>
        <w:t>щин.</w:t>
      </w:r>
    </w:p>
    <w:p w:rsidR="00000000" w:rsidRDefault="00000000">
      <w:pPr>
        <w:pStyle w:val="SingleTxt"/>
      </w:pPr>
      <w:r>
        <w:t>97.</w:t>
      </w:r>
      <w:r>
        <w:tab/>
        <w:t>Что касается деятельности на международном уровне, то Исламская Ре</w:t>
      </w:r>
      <w:r>
        <w:t>с</w:t>
      </w:r>
      <w:r>
        <w:t>публика Мавритания присоединилась к ряду юридических документов, к</w:t>
      </w:r>
      <w:r>
        <w:t>а</w:t>
      </w:r>
      <w:r>
        <w:t>сающихся защиты прав женщин, которые содействуют укреплению действу</w:t>
      </w:r>
      <w:r>
        <w:t>ю</w:t>
      </w:r>
      <w:r>
        <w:t>щего позитивного права. Речь идет о Международных конвенциях об охране материнства (1919 года), о труде женщин (1948 года), о дискриминации в о</w:t>
      </w:r>
      <w:r>
        <w:t>б</w:t>
      </w:r>
      <w:r>
        <w:t>ласти труда и занятий (1958 года), о равноправии в области социального обе</w:t>
      </w:r>
      <w:r>
        <w:t>с</w:t>
      </w:r>
      <w:r>
        <w:t>печения (1962 года), а также о политических правах женщин (1953 года).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II.</w:t>
      </w:r>
      <w:r>
        <w:tab/>
        <w:t>Временные специальные меры по борьбе с дискриминацией в отношении женщин (статья 4)</w:t>
      </w:r>
    </w:p>
    <w:p w:rsidR="00000000" w:rsidRDefault="00000000">
      <w:pPr>
        <w:pStyle w:val="SingleTxt"/>
        <w:keepNext/>
        <w:spacing w:after="0" w:line="120" w:lineRule="exact"/>
        <w:rPr>
          <w:sz w:val="10"/>
        </w:rPr>
      </w:pPr>
    </w:p>
    <w:p w:rsidR="00000000" w:rsidRDefault="00000000">
      <w:pPr>
        <w:pStyle w:val="SingleTxt"/>
        <w:keepNext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98.</w:t>
      </w:r>
      <w:r>
        <w:tab/>
        <w:t>Конституция 20 июля 1991 года гарантирует женщинам гражданские, п</w:t>
      </w:r>
      <w:r>
        <w:t>о</w:t>
      </w:r>
      <w:r>
        <w:t>литические, экономические, социальные и культурные права, однако равенство прав, признаваемое в отношении женщин в Конституции, не гарантирует им автоматически равного обращения на практике. В связи с этим в 1992 году в стране был создан Государственный секретариат по вопросам, касающимся п</w:t>
      </w:r>
      <w:r>
        <w:t>о</w:t>
      </w:r>
      <w:r>
        <w:t>ложения женщин, призванный обеспечить улучшение положения женщин в Мавритании, а также их всестороннее участие в экономической и социальной жизни в соответствии с социальными и культурными реалиями страны при должном учете необходимости обеспечения открытости страны в отношении остального мира. Для осуществления этой задачи была разработана наци</w:t>
      </w:r>
      <w:r>
        <w:t>о</w:t>
      </w:r>
      <w:r>
        <w:t>нальная стратегия улучшения положения женщин, которая в свое время была одним из приоритетов программы действий нового министерского департаме</w:t>
      </w:r>
      <w:r>
        <w:t>н</w:t>
      </w:r>
      <w:r>
        <w:t>та на период 1992–1994 годов.</w:t>
      </w:r>
    </w:p>
    <w:p w:rsidR="00000000" w:rsidRDefault="00000000">
      <w:pPr>
        <w:pStyle w:val="SingleTxt"/>
      </w:pPr>
      <w:r>
        <w:t>99.</w:t>
      </w:r>
      <w:r>
        <w:tab/>
        <w:t>Эта стратегия была разработана, а затем принята правительством в 1995 году. Она была рассчитана на период 1995–2000 годов, однако будет ос</w:t>
      </w:r>
      <w:r>
        <w:t>у</w:t>
      </w:r>
      <w:r>
        <w:t>ществляться до тех пор, пока не начнется реализация новой стратегии (2005–2008 годов). Данная стратегия (1995–2000 годов) предусматривает следующие осно</w:t>
      </w:r>
      <w:r>
        <w:t>в</w:t>
      </w:r>
      <w:r>
        <w:t>ные направления деятельности: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женщины и охрана здоровья/репродуктивного здоровья;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женщины и образование/обучение;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женщины и общественная жизнь;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женщины и охрана окружающей среды.</w:t>
      </w:r>
    </w:p>
    <w:p w:rsidR="00000000" w:rsidRDefault="00000000">
      <w:pPr>
        <w:pStyle w:val="SingleTxt"/>
      </w:pPr>
      <w:r>
        <w:t>На уровне задач эта стратегия предусматривает: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проведение полного анализа положения женщин в Мавритании;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четкое определение ориентиров правительства в вопросе улучшения п</w:t>
      </w:r>
      <w:r>
        <w:t>о</w:t>
      </w:r>
      <w:r>
        <w:t>ложения женщин.</w:t>
      </w:r>
    </w:p>
    <w:p w:rsidR="00000000" w:rsidRDefault="00000000">
      <w:pPr>
        <w:pStyle w:val="SingleTxt"/>
      </w:pPr>
      <w:r>
        <w:t>100.</w:t>
      </w:r>
      <w:r>
        <w:tab/>
        <w:t>Наиболее важные меры, осуществлявшиеся Государственным секретари</w:t>
      </w:r>
      <w:r>
        <w:t>а</w:t>
      </w:r>
      <w:r>
        <w:t>том по вопросам, касающимся положения женщин, в рамках реализации Н</w:t>
      </w:r>
      <w:r>
        <w:t>а</w:t>
      </w:r>
      <w:r>
        <w:t>циональной стратегии улучшения положения женщин (НСУЖ) 1995–2000 годов, относятся в основном к следующим направлениям: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функциональное обучение и ликвидация неграмотности;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микрофинансирование и виды деятельности, приносящие доход;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укрепление женского общественного движения;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семья;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раннее детство;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информация, образование, коммуникация (ОИК);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организационное строительство.</w:t>
      </w:r>
    </w:p>
    <w:p w:rsidR="00000000" w:rsidRDefault="00000000">
      <w:pPr>
        <w:pStyle w:val="SingleTxt"/>
      </w:pPr>
      <w:r>
        <w:t>101.</w:t>
      </w:r>
      <w:r>
        <w:tab/>
        <w:t>Однако, несмотря на благоприятные условия, сложившиеся и на наци</w:t>
      </w:r>
      <w:r>
        <w:t>о</w:t>
      </w:r>
      <w:r>
        <w:t>нальном, и на международном уровнях и способствовавшие реализации НСУЖ (1995–2000 годов), результаты ее осуществления не полностью отвечали ож</w:t>
      </w:r>
      <w:r>
        <w:t>и</w:t>
      </w:r>
      <w:r>
        <w:t>даниям.</w:t>
      </w:r>
    </w:p>
    <w:p w:rsidR="00000000" w:rsidRDefault="00000000">
      <w:pPr>
        <w:pStyle w:val="SingleTxt"/>
      </w:pPr>
      <w:r>
        <w:t>102.</w:t>
      </w:r>
      <w:r>
        <w:tab/>
        <w:t>Для устранения отмеченных недостатков в рамках стратегии 2005–</w:t>
      </w:r>
      <w:r>
        <w:br/>
        <w:t>2008 годов учитываются все пробелы, выявленные в предыдущей стратегии, что способствует успешному осуществлению деятельности по улучшению п</w:t>
      </w:r>
      <w:r>
        <w:t>о</w:t>
      </w:r>
      <w:r>
        <w:t>ложения женщин. В числе выявленных пробелов можно отметить следующие: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незначительная доля женщин, охваченных программами, которые реал</w:t>
      </w:r>
      <w:r>
        <w:t>и</w:t>
      </w:r>
      <w:r>
        <w:t>зуются внутри страны;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неравное распределение ресурсов, выделяемых и распределяемых на уровне вилайя (провинции);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ограниченность программ обучения и поддержки;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недостаточное внимание, уделяемое Государственным секретариатом по вопросам, касающимся положения женщин, улучшению состояния окр</w:t>
      </w:r>
      <w:r>
        <w:t>у</w:t>
      </w:r>
      <w:r>
        <w:t>жающей среды;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сохранение социальных проблем, с которыми сталкивается большое чи</w:t>
      </w:r>
      <w:r>
        <w:t>с</w:t>
      </w:r>
      <w:r>
        <w:t>ло женщин (социальная инертность, сохранение устаревшей практики и обычаев, несоблюдение законов, экономическая зависимость и недостаток ресурсов и т.д.).</w:t>
      </w:r>
    </w:p>
    <w:p w:rsidR="00000000" w:rsidRDefault="00000000">
      <w:pPr>
        <w:pStyle w:val="SingleTxt"/>
      </w:pPr>
      <w:r>
        <w:t>103.</w:t>
      </w:r>
      <w:r>
        <w:tab/>
        <w:t>Что касается вопросов, затронутых в рамках стратегии 1995–2000 годов, и соответствующих пробелов, то в нижеследующих (пункты 1, 2 и 3) и посл</w:t>
      </w:r>
      <w:r>
        <w:t>е</w:t>
      </w:r>
      <w:r>
        <w:t>дующих разделах (пункты 5–16) представлена информация о деятельности г</w:t>
      </w:r>
      <w:r>
        <w:t>о</w:t>
      </w:r>
      <w:r>
        <w:t>сударственных органов, направленной на обеспечение улучшения положения женщин в различных сферах общественной, экономической, социальной и культурной жи</w:t>
      </w:r>
      <w:r>
        <w:t>з</w:t>
      </w:r>
      <w:r>
        <w:t>ни.</w:t>
      </w:r>
    </w:p>
    <w:p w:rsidR="00000000" w:rsidRDefault="00000000">
      <w:pPr>
        <w:pStyle w:val="SingleTxt"/>
      </w:pPr>
      <w:r>
        <w:t>104.</w:t>
      </w:r>
      <w:r>
        <w:tab/>
        <w:t>Что касается специальных и недискриминационных мер, принятых в ц</w:t>
      </w:r>
      <w:r>
        <w:t>е</w:t>
      </w:r>
      <w:r>
        <w:t>лях охраны здоровья матери, то они касаются обеспечения с</w:t>
      </w:r>
      <w:r>
        <w:t>а</w:t>
      </w:r>
      <w:r>
        <w:t>нитарно-гигиенических условий, охраны материнства и детства, профилактики эпид</w:t>
      </w:r>
      <w:r>
        <w:t>е</w:t>
      </w:r>
      <w:r>
        <w:t>мических заболеваний и борьбы с ними, а также кампаний в области ОИК.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A.</w:t>
      </w:r>
      <w:r>
        <w:tab/>
        <w:t>Санитария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105.</w:t>
      </w:r>
      <w:r>
        <w:tab/>
        <w:t>Говоря о мерах, принятых в целях уменьшения коэффициента младенч</w:t>
      </w:r>
      <w:r>
        <w:t>е</w:t>
      </w:r>
      <w:r>
        <w:t>ской смертности, следует отметить, что усилия, предпринимавшиеся прав</w:t>
      </w:r>
      <w:r>
        <w:t>и</w:t>
      </w:r>
      <w:r>
        <w:t>тельством в последние годы, позволили расширить охват санитарно-гигиеническими услугами большинства населения страны, в частности наиб</w:t>
      </w:r>
      <w:r>
        <w:t>о</w:t>
      </w:r>
      <w:r>
        <w:t>лее уя</w:t>
      </w:r>
      <w:r>
        <w:t>з</w:t>
      </w:r>
      <w:r>
        <w:t>вимых его слоев.</w:t>
      </w:r>
    </w:p>
    <w:p w:rsidR="00000000" w:rsidRDefault="00000000">
      <w:pPr>
        <w:pStyle w:val="SingleTxt"/>
      </w:pPr>
      <w:r>
        <w:t>106.</w:t>
      </w:r>
      <w:r>
        <w:tab/>
        <w:t>Кроме того, Программа расширенной вакцинации позволила сделать д</w:t>
      </w:r>
      <w:r>
        <w:t>е</w:t>
      </w:r>
      <w:r>
        <w:t>тям в возрасте до пяти лет прививки от шести конкретных болезней: коклюша, дифтерии, столбняка, краснухи, полиомиелита и туберкулеза. В марте 2005 года наряду с вакцинацией от шести этих болезней была проведена ва</w:t>
      </w:r>
      <w:r>
        <w:t>к</w:t>
      </w:r>
      <w:r>
        <w:t>цинация от гепатита В грудных детей в возрасте до 12 месяцев. Следует также отметить, что кампании вакцинации охватывают женщин детородного возра</w:t>
      </w:r>
      <w:r>
        <w:t>с</w:t>
      </w:r>
      <w:r>
        <w:t>та.</w:t>
      </w:r>
    </w:p>
    <w:p w:rsidR="00000000" w:rsidRDefault="00000000">
      <w:pPr>
        <w:pStyle w:val="SingleTxt"/>
        <w:keepNext/>
      </w:pPr>
      <w:r>
        <w:br w:type="page"/>
        <w:t>107.</w:t>
      </w:r>
      <w:r>
        <w:tab/>
        <w:t>С 1992 года основными элементами государственной санитарно-гигиени-ческой стратегии являются система возмещения затрат и выдачи ассигнований на обычные и необходимые медикаменты (Бамакская инициатива), децентрал</w:t>
      </w:r>
      <w:r>
        <w:t>и</w:t>
      </w:r>
      <w:r>
        <w:t>зация предоставления медицинских услуг и участие общин. В этой деятельн</w:t>
      </w:r>
      <w:r>
        <w:t>о</w:t>
      </w:r>
      <w:r>
        <w:t>сти был достигнут определенный прогресс как в плане развития с</w:t>
      </w:r>
      <w:r>
        <w:t>а</w:t>
      </w:r>
      <w:r>
        <w:t>нитарно-гигиенической системы, так и в плане улучшения основных медицинских п</w:t>
      </w:r>
      <w:r>
        <w:t>о</w:t>
      </w:r>
      <w:r>
        <w:t>казат</w:t>
      </w:r>
      <w:r>
        <w:t>е</w:t>
      </w:r>
      <w:r>
        <w:t>лей.</w:t>
      </w:r>
    </w:p>
    <w:p w:rsidR="00000000" w:rsidRDefault="00000000">
      <w:pPr>
        <w:pStyle w:val="SingleTxt"/>
      </w:pPr>
      <w:r>
        <w:t>108.</w:t>
      </w:r>
      <w:r>
        <w:tab/>
        <w:t>Государственные программы охраны здоровья в значительной степени способствовали улучшению здоровья населения в целом и женщин в частн</w:t>
      </w:r>
      <w:r>
        <w:t>о</w:t>
      </w:r>
      <w:r>
        <w:t>сти.</w:t>
      </w:r>
    </w:p>
    <w:p w:rsidR="00000000" w:rsidRDefault="00000000">
      <w:pPr>
        <w:pStyle w:val="SingleTxt"/>
      </w:pPr>
      <w:r>
        <w:t>109.</w:t>
      </w:r>
      <w:r>
        <w:tab/>
        <w:t>Осуществление политики в области первичного медико-санитарного о</w:t>
      </w:r>
      <w:r>
        <w:t>б</w:t>
      </w:r>
      <w:r>
        <w:t>служивания сопровождается мобилизацией финансовых ресурсов, имеющих важное значение для достижения целей различных директивных планов, кот</w:t>
      </w:r>
      <w:r>
        <w:t>о</w:t>
      </w:r>
      <w:r>
        <w:t>рые касаются охраны здоровья и социальных вопросов. В последние годы эти изменения нашли свое отражение в бюджете министерства здравоохранения и по с</w:t>
      </w:r>
      <w:r>
        <w:t>о</w:t>
      </w:r>
      <w:r>
        <w:t>циальным вопросам.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Таблица 1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Изменение объема государственных ассигнований на здравоохранение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2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53"/>
        <w:gridCol w:w="633"/>
        <w:gridCol w:w="633"/>
        <w:gridCol w:w="633"/>
        <w:gridCol w:w="634"/>
        <w:gridCol w:w="633"/>
        <w:gridCol w:w="633"/>
        <w:gridCol w:w="633"/>
        <w:gridCol w:w="634"/>
        <w:gridCol w:w="633"/>
        <w:gridCol w:w="633"/>
        <w:gridCol w:w="634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853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</w:p>
        </w:tc>
        <w:tc>
          <w:tcPr>
            <w:tcW w:w="69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Бюджетно-финансовый год (в млн. угий)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85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</w:p>
        </w:tc>
        <w:tc>
          <w:tcPr>
            <w:tcW w:w="63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1993 год</w:t>
            </w:r>
          </w:p>
        </w:tc>
        <w:tc>
          <w:tcPr>
            <w:tcW w:w="63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1994 год</w:t>
            </w:r>
          </w:p>
        </w:tc>
        <w:tc>
          <w:tcPr>
            <w:tcW w:w="63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1995 год</w:t>
            </w:r>
          </w:p>
        </w:tc>
        <w:tc>
          <w:tcPr>
            <w:tcW w:w="63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1996 год</w:t>
            </w:r>
          </w:p>
        </w:tc>
        <w:tc>
          <w:tcPr>
            <w:tcW w:w="63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1997 год</w:t>
            </w:r>
          </w:p>
        </w:tc>
        <w:tc>
          <w:tcPr>
            <w:tcW w:w="63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1998 год</w:t>
            </w:r>
          </w:p>
        </w:tc>
        <w:tc>
          <w:tcPr>
            <w:tcW w:w="63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1999 год</w:t>
            </w:r>
          </w:p>
        </w:tc>
        <w:tc>
          <w:tcPr>
            <w:tcW w:w="63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2000 год</w:t>
            </w:r>
          </w:p>
        </w:tc>
        <w:tc>
          <w:tcPr>
            <w:tcW w:w="63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2001 год</w:t>
            </w:r>
          </w:p>
        </w:tc>
        <w:tc>
          <w:tcPr>
            <w:tcW w:w="63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2002 год</w:t>
            </w:r>
          </w:p>
        </w:tc>
        <w:tc>
          <w:tcPr>
            <w:tcW w:w="63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2003 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</w:trPr>
        <w:tc>
          <w:tcPr>
            <w:tcW w:w="285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6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85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Функционирование системы здр</w:t>
            </w:r>
            <w:r>
              <w:rPr>
                <w:sz w:val="17"/>
              </w:rPr>
              <w:t>а</w:t>
            </w:r>
            <w:r>
              <w:rPr>
                <w:sz w:val="17"/>
              </w:rPr>
              <w:t>воохранения</w:t>
            </w:r>
          </w:p>
        </w:tc>
        <w:tc>
          <w:tcPr>
            <w:tcW w:w="6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1 340</w:t>
            </w:r>
          </w:p>
        </w:tc>
        <w:tc>
          <w:tcPr>
            <w:tcW w:w="6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1 651</w:t>
            </w:r>
          </w:p>
        </w:tc>
        <w:tc>
          <w:tcPr>
            <w:tcW w:w="6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1 775</w:t>
            </w:r>
          </w:p>
        </w:tc>
        <w:tc>
          <w:tcPr>
            <w:tcW w:w="6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1 602</w:t>
            </w:r>
          </w:p>
        </w:tc>
        <w:tc>
          <w:tcPr>
            <w:tcW w:w="6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1 732</w:t>
            </w:r>
          </w:p>
        </w:tc>
        <w:tc>
          <w:tcPr>
            <w:tcW w:w="6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2 082</w:t>
            </w:r>
          </w:p>
        </w:tc>
        <w:tc>
          <w:tcPr>
            <w:tcW w:w="6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2 287</w:t>
            </w:r>
          </w:p>
        </w:tc>
        <w:tc>
          <w:tcPr>
            <w:tcW w:w="6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2 387</w:t>
            </w:r>
          </w:p>
        </w:tc>
        <w:tc>
          <w:tcPr>
            <w:tcW w:w="6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2 641</w:t>
            </w:r>
          </w:p>
        </w:tc>
        <w:tc>
          <w:tcPr>
            <w:tcW w:w="6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5 445</w:t>
            </w:r>
          </w:p>
        </w:tc>
        <w:tc>
          <w:tcPr>
            <w:tcW w:w="6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5 485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85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Инвестиции в систему здравоохр</w:t>
            </w:r>
            <w:r>
              <w:rPr>
                <w:sz w:val="17"/>
              </w:rPr>
              <w:t>а</w:t>
            </w:r>
            <w:r>
              <w:rPr>
                <w:sz w:val="17"/>
              </w:rPr>
              <w:t>н</w:t>
            </w:r>
            <w:r>
              <w:rPr>
                <w:sz w:val="17"/>
              </w:rPr>
              <w:t>е</w:t>
            </w:r>
            <w:r>
              <w:rPr>
                <w:sz w:val="17"/>
              </w:rPr>
              <w:t>ния</w:t>
            </w:r>
          </w:p>
        </w:tc>
        <w:tc>
          <w:tcPr>
            <w:tcW w:w="6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769</w:t>
            </w:r>
          </w:p>
        </w:tc>
        <w:tc>
          <w:tcPr>
            <w:tcW w:w="6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1 525</w:t>
            </w:r>
          </w:p>
        </w:tc>
        <w:tc>
          <w:tcPr>
            <w:tcW w:w="6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1 929</w:t>
            </w:r>
          </w:p>
        </w:tc>
        <w:tc>
          <w:tcPr>
            <w:tcW w:w="6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600</w:t>
            </w:r>
          </w:p>
        </w:tc>
        <w:tc>
          <w:tcPr>
            <w:tcW w:w="6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1 014</w:t>
            </w:r>
          </w:p>
        </w:tc>
        <w:tc>
          <w:tcPr>
            <w:tcW w:w="6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1 430</w:t>
            </w:r>
          </w:p>
        </w:tc>
        <w:tc>
          <w:tcPr>
            <w:tcW w:w="6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2 884</w:t>
            </w:r>
          </w:p>
        </w:tc>
        <w:tc>
          <w:tcPr>
            <w:tcW w:w="6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2 800</w:t>
            </w:r>
          </w:p>
        </w:tc>
        <w:tc>
          <w:tcPr>
            <w:tcW w:w="6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4 360</w:t>
            </w:r>
          </w:p>
        </w:tc>
        <w:tc>
          <w:tcPr>
            <w:tcW w:w="6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4 794</w:t>
            </w:r>
          </w:p>
        </w:tc>
        <w:tc>
          <w:tcPr>
            <w:tcW w:w="6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5 115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85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left="288" w:right="40" w:hanging="288"/>
              <w:rPr>
                <w:b/>
                <w:sz w:val="17"/>
              </w:rPr>
            </w:pPr>
            <w:r>
              <w:rPr>
                <w:b/>
                <w:sz w:val="17"/>
              </w:rPr>
              <w:tab/>
              <w:t>Общий бюджет здравоохран</w:t>
            </w:r>
            <w:r>
              <w:rPr>
                <w:b/>
                <w:sz w:val="17"/>
              </w:rPr>
              <w:t>е</w:t>
            </w:r>
            <w:r>
              <w:rPr>
                <w:b/>
                <w:sz w:val="17"/>
              </w:rPr>
              <w:t>ния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2 109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3 176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3 704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2 202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2 746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3 512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5 171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5 187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7 001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10 239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10 600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85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Функционирование государстве</w:t>
            </w:r>
            <w:r>
              <w:rPr>
                <w:sz w:val="17"/>
              </w:rPr>
              <w:t>н</w:t>
            </w:r>
            <w:r>
              <w:rPr>
                <w:sz w:val="17"/>
              </w:rPr>
              <w:t>ного аппарата</w:t>
            </w:r>
          </w:p>
        </w:tc>
        <w:tc>
          <w:tcPr>
            <w:tcW w:w="6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19 482</w:t>
            </w:r>
          </w:p>
        </w:tc>
        <w:tc>
          <w:tcPr>
            <w:tcW w:w="6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19 573</w:t>
            </w:r>
          </w:p>
        </w:tc>
        <w:tc>
          <w:tcPr>
            <w:tcW w:w="6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20 240</w:t>
            </w:r>
          </w:p>
        </w:tc>
        <w:tc>
          <w:tcPr>
            <w:tcW w:w="6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21 252</w:t>
            </w:r>
          </w:p>
        </w:tc>
        <w:tc>
          <w:tcPr>
            <w:tcW w:w="6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22 164</w:t>
            </w:r>
          </w:p>
        </w:tc>
        <w:tc>
          <w:tcPr>
            <w:tcW w:w="6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23 985</w:t>
            </w:r>
          </w:p>
        </w:tc>
        <w:tc>
          <w:tcPr>
            <w:tcW w:w="6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25 184</w:t>
            </w:r>
          </w:p>
        </w:tc>
        <w:tc>
          <w:tcPr>
            <w:tcW w:w="6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26 443</w:t>
            </w:r>
          </w:p>
        </w:tc>
        <w:tc>
          <w:tcPr>
            <w:tcW w:w="6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27 766</w:t>
            </w:r>
          </w:p>
        </w:tc>
        <w:tc>
          <w:tcPr>
            <w:tcW w:w="6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29 154</w:t>
            </w:r>
          </w:p>
        </w:tc>
        <w:tc>
          <w:tcPr>
            <w:tcW w:w="6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30 612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85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left="288" w:right="40" w:hanging="288"/>
              <w:rPr>
                <w:b/>
                <w:sz w:val="17"/>
              </w:rPr>
            </w:pPr>
            <w:r>
              <w:rPr>
                <w:b/>
                <w:sz w:val="17"/>
              </w:rPr>
              <w:tab/>
              <w:t>Общий национальный бю</w:t>
            </w:r>
            <w:r>
              <w:rPr>
                <w:b/>
                <w:sz w:val="17"/>
              </w:rPr>
              <w:t>д</w:t>
            </w:r>
            <w:r>
              <w:rPr>
                <w:b/>
                <w:sz w:val="17"/>
              </w:rPr>
              <w:t>жет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37 486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34 624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36 658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38 491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40 415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43 262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45 425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47 696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48 650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49 623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50 616</w:t>
            </w:r>
          </w:p>
        </w:tc>
      </w:tr>
    </w:tbl>
    <w:p w:rsidR="00000000" w:rsidRDefault="00000000">
      <w:pPr>
        <w:spacing w:line="120" w:lineRule="exact"/>
        <w:rPr>
          <w:sz w:val="10"/>
        </w:rPr>
      </w:pPr>
    </w:p>
    <w:tbl>
      <w:tblPr>
        <w:tblW w:w="0" w:type="auto"/>
        <w:tblInd w:w="2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53"/>
        <w:gridCol w:w="633"/>
        <w:gridCol w:w="633"/>
        <w:gridCol w:w="633"/>
        <w:gridCol w:w="634"/>
        <w:gridCol w:w="633"/>
        <w:gridCol w:w="633"/>
        <w:gridCol w:w="633"/>
        <w:gridCol w:w="634"/>
        <w:gridCol w:w="633"/>
        <w:gridCol w:w="633"/>
        <w:gridCol w:w="634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85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rPr>
                <w:sz w:val="14"/>
              </w:rPr>
            </w:pPr>
          </w:p>
        </w:tc>
        <w:tc>
          <w:tcPr>
            <w:tcW w:w="6966" w:type="dxa"/>
            <w:gridSpan w:val="11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В процентах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85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Функционирование системы здр</w:t>
            </w:r>
            <w:r>
              <w:rPr>
                <w:sz w:val="17"/>
              </w:rPr>
              <w:t>а</w:t>
            </w:r>
            <w:r>
              <w:rPr>
                <w:sz w:val="17"/>
              </w:rPr>
              <w:t>воохранения/функционирование государственного апп</w:t>
            </w:r>
            <w:r>
              <w:rPr>
                <w:sz w:val="17"/>
              </w:rPr>
              <w:t>а</w:t>
            </w:r>
            <w:r>
              <w:rPr>
                <w:sz w:val="17"/>
              </w:rPr>
              <w:t>рата</w:t>
            </w:r>
          </w:p>
        </w:tc>
        <w:tc>
          <w:tcPr>
            <w:tcW w:w="6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7</w:t>
            </w:r>
          </w:p>
        </w:tc>
        <w:tc>
          <w:tcPr>
            <w:tcW w:w="6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8</w:t>
            </w:r>
          </w:p>
        </w:tc>
        <w:tc>
          <w:tcPr>
            <w:tcW w:w="6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9</w:t>
            </w:r>
          </w:p>
        </w:tc>
        <w:tc>
          <w:tcPr>
            <w:tcW w:w="6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8</w:t>
            </w:r>
          </w:p>
        </w:tc>
        <w:tc>
          <w:tcPr>
            <w:tcW w:w="6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8</w:t>
            </w:r>
          </w:p>
        </w:tc>
        <w:tc>
          <w:tcPr>
            <w:tcW w:w="6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9</w:t>
            </w:r>
          </w:p>
        </w:tc>
        <w:tc>
          <w:tcPr>
            <w:tcW w:w="6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9</w:t>
            </w:r>
          </w:p>
        </w:tc>
        <w:tc>
          <w:tcPr>
            <w:tcW w:w="6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9</w:t>
            </w:r>
          </w:p>
        </w:tc>
        <w:tc>
          <w:tcPr>
            <w:tcW w:w="6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6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19</w:t>
            </w:r>
          </w:p>
        </w:tc>
        <w:tc>
          <w:tcPr>
            <w:tcW w:w="6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85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Бюджет здравоохранения/общий национальный бю</w:t>
            </w:r>
            <w:r>
              <w:rPr>
                <w:sz w:val="17"/>
              </w:rPr>
              <w:t>д</w:t>
            </w:r>
            <w:r>
              <w:rPr>
                <w:sz w:val="17"/>
              </w:rPr>
              <w:t>жет</w:t>
            </w:r>
          </w:p>
        </w:tc>
        <w:tc>
          <w:tcPr>
            <w:tcW w:w="63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6</w:t>
            </w:r>
          </w:p>
        </w:tc>
        <w:tc>
          <w:tcPr>
            <w:tcW w:w="63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9</w:t>
            </w:r>
          </w:p>
        </w:tc>
        <w:tc>
          <w:tcPr>
            <w:tcW w:w="63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63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6</w:t>
            </w:r>
          </w:p>
        </w:tc>
        <w:tc>
          <w:tcPr>
            <w:tcW w:w="63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7</w:t>
            </w:r>
          </w:p>
        </w:tc>
        <w:tc>
          <w:tcPr>
            <w:tcW w:w="63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8</w:t>
            </w:r>
          </w:p>
        </w:tc>
        <w:tc>
          <w:tcPr>
            <w:tcW w:w="63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11</w:t>
            </w:r>
          </w:p>
        </w:tc>
        <w:tc>
          <w:tcPr>
            <w:tcW w:w="63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11</w:t>
            </w:r>
          </w:p>
        </w:tc>
        <w:tc>
          <w:tcPr>
            <w:tcW w:w="63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14</w:t>
            </w:r>
          </w:p>
        </w:tc>
        <w:tc>
          <w:tcPr>
            <w:tcW w:w="63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21</w:t>
            </w:r>
          </w:p>
        </w:tc>
        <w:tc>
          <w:tcPr>
            <w:tcW w:w="63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21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216"/>
          <w:tab w:val="left" w:pos="288"/>
          <w:tab w:val="right" w:pos="576"/>
          <w:tab w:val="left" w:pos="648"/>
        </w:tabs>
        <w:ind w:left="288" w:hanging="288"/>
      </w:pPr>
      <w:r>
        <w:rPr>
          <w:i/>
        </w:rPr>
        <w:tab/>
        <w:t>Источник</w:t>
      </w:r>
      <w:r>
        <w:t>: Министерство финансов.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  <w:t>В.</w:t>
      </w:r>
      <w:r>
        <w:tab/>
        <w:t>Охрана материнства и детства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110.</w:t>
      </w:r>
      <w:r>
        <w:tab/>
        <w:t>Обеспечение здорового развития детей осуществлялось на основе пол</w:t>
      </w:r>
      <w:r>
        <w:t>и</w:t>
      </w:r>
      <w:r>
        <w:t>тики охраны здоровья матери и ребенка. Она основана на первичном медико-санитарном обслуживании и предусматривает оказание соответствующих, до</w:t>
      </w:r>
      <w:r>
        <w:t>с</w:t>
      </w:r>
      <w:r>
        <w:t>тупных и качественных услуг этой группе населения. Охрана материнства и детства строится на четырех основных принципах: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дородовой уход;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квалифицированное акушерство, оказание услуг и неонатальная реаним</w:t>
      </w:r>
      <w:r>
        <w:t>а</w:t>
      </w:r>
      <w:r>
        <w:t>ция;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постнатальное наблюдение;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регулирование деторождения.</w:t>
      </w:r>
    </w:p>
    <w:p w:rsidR="00000000" w:rsidRDefault="00000000">
      <w:pPr>
        <w:pStyle w:val="SingleTxt"/>
      </w:pPr>
      <w:r>
        <w:t>Дородовые и родовые консультации предоставляются в различных медици</w:t>
      </w:r>
      <w:r>
        <w:t>н</w:t>
      </w:r>
      <w:r>
        <w:t>ских центрах страны.</w:t>
      </w:r>
    </w:p>
    <w:p w:rsidR="00000000" w:rsidRDefault="00000000">
      <w:pPr>
        <w:pStyle w:val="SingleTxt"/>
      </w:pPr>
      <w:r>
        <w:t>111.</w:t>
      </w:r>
      <w:r>
        <w:tab/>
        <w:t>Расширение географической доступности (создание различных здра</w:t>
      </w:r>
      <w:r>
        <w:t>в</w:t>
      </w:r>
      <w:r>
        <w:t>пунктов в сильно удаленных и изолированных районах) и направление врачей в медицинские округа способствует борьбе с заболеваниями детей и своевр</w:t>
      </w:r>
      <w:r>
        <w:t>е</w:t>
      </w:r>
      <w:r>
        <w:t>менному оказанию помощи в случая осложненной беременности, а также уменьшению заболеваемости/смертности женщин д</w:t>
      </w:r>
      <w:r>
        <w:t>е</w:t>
      </w:r>
      <w:r>
        <w:t>тородного возраста.</w:t>
      </w:r>
    </w:p>
    <w:p w:rsidR="00000000" w:rsidRDefault="00000000">
      <w:pPr>
        <w:pStyle w:val="SingleTxt"/>
      </w:pPr>
      <w:r>
        <w:t>112.</w:t>
      </w:r>
      <w:r>
        <w:tab/>
        <w:t>В рамках борьбы с острыми респираторными заболеваниями государс</w:t>
      </w:r>
      <w:r>
        <w:t>т</w:t>
      </w:r>
      <w:r>
        <w:t>венные органы приступили к реализации программы борьбы с туберкулезом благодаря наличию медицинской структуры, специализирующейся на лечении этой болезни, а также соответствующей стратегии, осуществляемой в интер</w:t>
      </w:r>
      <w:r>
        <w:t>е</w:t>
      </w:r>
      <w:r>
        <w:t>сах ребенка. Доступ к медицинским препаратам, необходимым для лечения этих инфекций, был расширен до 75 процентов населения, однако эти сме</w:t>
      </w:r>
      <w:r>
        <w:t>р</w:t>
      </w:r>
      <w:r>
        <w:t>тельные заболевания по</w:t>
      </w:r>
      <w:r>
        <w:noBreakHyphen/>
        <w:t>прежнему создают серьезную проблему для госуда</w:t>
      </w:r>
      <w:r>
        <w:t>р</w:t>
      </w:r>
      <w:r>
        <w:t>ственной системы охраны здоровья детей.</w:t>
      </w:r>
    </w:p>
    <w:p w:rsidR="00000000" w:rsidRDefault="00000000">
      <w:pPr>
        <w:pStyle w:val="SingleTxt"/>
      </w:pPr>
      <w:r>
        <w:t>113.</w:t>
      </w:r>
      <w:r>
        <w:tab/>
        <w:t>Серьезной причиной младенческой смертности/заболеваемости является также плохое питание.</w:t>
      </w:r>
    </w:p>
    <w:p w:rsidR="00000000" w:rsidRDefault="00000000">
      <w:pPr>
        <w:pStyle w:val="SingleTxt"/>
      </w:pPr>
      <w:r>
        <w:t>114.</w:t>
      </w:r>
      <w:r>
        <w:tab/>
        <w:t>Ряд мероприятий осуществляются государственными органами на уровне центров реадаптации и диетического просвещения (КРЕН) в рамках проекта школьных столовых программы «Продукты питания за работу», однако из</w:t>
      </w:r>
      <w:r>
        <w:noBreakHyphen/>
        <w:t>за больших потребностей в таких услугах эти мероприятия пока не позволяют достичь ощутимых результатов.</w:t>
      </w:r>
    </w:p>
    <w:p w:rsidR="00000000" w:rsidRDefault="00000000">
      <w:pPr>
        <w:pStyle w:val="SingleTxt"/>
      </w:pPr>
      <w:r>
        <w:t>115.</w:t>
      </w:r>
      <w:r>
        <w:tab/>
        <w:t>Несмотря на это положение, выявление случаев недоедания на основе а</w:t>
      </w:r>
      <w:r>
        <w:t>н</w:t>
      </w:r>
      <w:r>
        <w:t>тропометрических данных осуществляется в 67 процентах медицинских це</w:t>
      </w:r>
      <w:r>
        <w:t>н</w:t>
      </w:r>
      <w:r>
        <w:t>тров и 17 процентах здравпунктов.</w:t>
      </w:r>
    </w:p>
    <w:p w:rsidR="00000000" w:rsidRDefault="00000000">
      <w:pPr>
        <w:pStyle w:val="SingleTxt"/>
      </w:pPr>
      <w:r>
        <w:t>116.</w:t>
      </w:r>
      <w:r>
        <w:tab/>
        <w:t>Следует отметить, что Государственный секретариат по вопросам, к</w:t>
      </w:r>
      <w:r>
        <w:t>а</w:t>
      </w:r>
      <w:r>
        <w:t>сающимся положения женщин, приступил к реализации большой программы в рамках проекта «Тагхдия-Нутриком», который предусматривает улучшение п</w:t>
      </w:r>
      <w:r>
        <w:t>и</w:t>
      </w:r>
      <w:r>
        <w:t>тания детей в возрасте до трех лет. Этот проект реализуется на первом этапе на уровне пяти вилайя (провинций), участвующих в эксперименте, а затем он б</w:t>
      </w:r>
      <w:r>
        <w:t>у</w:t>
      </w:r>
      <w:r>
        <w:t>дет распространен на всю территорию страны.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С.</w:t>
      </w:r>
      <w:r>
        <w:tab/>
        <w:t>Профилактика эпидемических заболеваний и борьба с ними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117.</w:t>
      </w:r>
      <w:r>
        <w:tab/>
        <w:t>Что касается профилактики эпидемических и эндемических заболеваний и борьбы с ними, то в этой связи реализуются многочисленные программы, в частности Национальная программа борьбы со СПИДом и заболеваниями, п</w:t>
      </w:r>
      <w:r>
        <w:t>е</w:t>
      </w:r>
      <w:r>
        <w:t>редаваемыми половым путем (НПБС/ЗПП), в рамках которой принята страт</w:t>
      </w:r>
      <w:r>
        <w:t>е</w:t>
      </w:r>
      <w:r>
        <w:t>гия, основывающаяся на профилактике и лечении венерических заболев</w:t>
      </w:r>
      <w:r>
        <w:t>а</w:t>
      </w:r>
      <w:r>
        <w:t>ний.</w:t>
      </w:r>
    </w:p>
    <w:p w:rsidR="00000000" w:rsidRDefault="00000000">
      <w:pPr>
        <w:pStyle w:val="SingleTxt"/>
      </w:pPr>
      <w:r>
        <w:t>118.</w:t>
      </w:r>
      <w:r>
        <w:tab/>
        <w:t>Благодаря кампаниям повышения информированности, проводимым г</w:t>
      </w:r>
      <w:r>
        <w:t>о</w:t>
      </w:r>
      <w:r>
        <w:t>сударством, специалистами по мусульманскому праву и членами гражданского общества, степень осведомленности населения, и в частности молодых людей, которые составляют главный приоритет программы НПБС/ЗПП, в вопросах, касающихся перед</w:t>
      </w:r>
      <w:r>
        <w:t>а</w:t>
      </w:r>
      <w:r>
        <w:t>чи ВИЧ, значительно повысилась.</w:t>
      </w:r>
    </w:p>
    <w:p w:rsidR="00000000" w:rsidRDefault="00000000">
      <w:pPr>
        <w:pStyle w:val="SingleTxt"/>
      </w:pPr>
      <w:r>
        <w:t>119.</w:t>
      </w:r>
      <w:r>
        <w:tab/>
        <w:t>Деятельность по повышению осведомленности населения о смертельных заболеваниях, прежде всего СПИДе, охватывает и городские, и сельские ра</w:t>
      </w:r>
      <w:r>
        <w:t>й</w:t>
      </w:r>
      <w:r>
        <w:t>оны. Борьба со СПИДом усилилась в последние годы в результате ряда ин</w:t>
      </w:r>
      <w:r>
        <w:t>и</w:t>
      </w:r>
      <w:r>
        <w:t>циатив, направленных на ограничение, по мере возможности, его негативных и опустошительных последствий. Примерами таких инициатив являются мног</w:t>
      </w:r>
      <w:r>
        <w:t>о</w:t>
      </w:r>
      <w:r>
        <w:t>секторальная программа борьбы со СПИДом (НПБС), децентрализация этой деятельности на уровне всех вилайя страны и открытие в 2005 году в столице первого центра амбулаторного лечения этого заболевания.</w:t>
      </w:r>
    </w:p>
    <w:p w:rsidR="00000000" w:rsidRDefault="00000000">
      <w:pPr>
        <w:pStyle w:val="SingleTxt"/>
      </w:pPr>
      <w:r>
        <w:t>120.</w:t>
      </w:r>
      <w:r>
        <w:tab/>
        <w:t>Такое участие государственных органов в борьбе со СПИДом поддерж</w:t>
      </w:r>
      <w:r>
        <w:t>и</w:t>
      </w:r>
      <w:r>
        <w:t>вается многочисленными НПО, которые действуют на местах в рамках камп</w:t>
      </w:r>
      <w:r>
        <w:t>а</w:t>
      </w:r>
      <w:r>
        <w:t>ний повышения степени осведомленности, осуществляемых в интересах нас</w:t>
      </w:r>
      <w:r>
        <w:t>е</w:t>
      </w:r>
      <w:r>
        <w:t>ления, и в частности женщин.</w:t>
      </w:r>
    </w:p>
    <w:p w:rsidR="00000000" w:rsidRDefault="00000000">
      <w:pPr>
        <w:pStyle w:val="SingleTxt"/>
      </w:pPr>
      <w:r>
        <w:t>121.</w:t>
      </w:r>
      <w:r>
        <w:tab/>
        <w:t>Что касается малярии, то ежегодно накануне сезона дождей в стране пр</w:t>
      </w:r>
      <w:r>
        <w:t>о</w:t>
      </w:r>
      <w:r>
        <w:t>водится широкомасштабная информационная кампания в целях побуждения населения к использованию сеток от комаров, пропитанных специальным с</w:t>
      </w:r>
      <w:r>
        <w:t>о</w:t>
      </w:r>
      <w:r>
        <w:t>ставом. В настоящее время эти сетки являются наилучшим средством защиты прежде всего уязвимых групп женщин и детей от этой болезни, которая по</w:t>
      </w:r>
      <w:r>
        <w:noBreakHyphen/>
        <w:t>прежнему является одной из основных причин их смертн</w:t>
      </w:r>
      <w:r>
        <w:t>о</w:t>
      </w:r>
      <w:r>
        <w:t>сти в Африке.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D.</w:t>
      </w:r>
      <w:r>
        <w:tab/>
        <w:t>Кампании в области ОИК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122.</w:t>
      </w:r>
      <w:r>
        <w:tab/>
        <w:t>Служба «Медицинское просвещение», которая занимается этой деятел</w:t>
      </w:r>
      <w:r>
        <w:t>ь</w:t>
      </w:r>
      <w:r>
        <w:t>ностью, готовит медицинских специалистов для работы в области информации, образования и коммуникации (ОИК) и периодически организует информац</w:t>
      </w:r>
      <w:r>
        <w:t>и</w:t>
      </w:r>
      <w:r>
        <w:t>онные кампании, проводящиеся по всем каналам межличностной коммуник</w:t>
      </w:r>
      <w:r>
        <w:t>а</w:t>
      </w:r>
      <w:r>
        <w:t>ции и в средствах массовой информации (радио, телевидение и пресса).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III.</w:t>
      </w:r>
      <w:r>
        <w:tab/>
        <w:t>Изменение форм социально-культурного поведения (статья 5)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123.</w:t>
      </w:r>
      <w:r>
        <w:tab/>
        <w:t>Сохранение социальных предрассудков в отношении женщин как нес</w:t>
      </w:r>
      <w:r>
        <w:t>о</w:t>
      </w:r>
      <w:r>
        <w:t>стоявшихся личностей (в частности, тех из них, которые живут в трудных у</w:t>
      </w:r>
      <w:r>
        <w:t>с</w:t>
      </w:r>
      <w:r>
        <w:t>ловиях) создает серьезные препятствия на пути структурных изменений, нео</w:t>
      </w:r>
      <w:r>
        <w:t>б</w:t>
      </w:r>
      <w:r>
        <w:t>ходимых для скорейшего осуществления Конвенции о ликвидации всех форм дискриминации в отношении женщин. Однако это требует выполнения прав</w:t>
      </w:r>
      <w:r>
        <w:t>о</w:t>
      </w:r>
      <w:r>
        <w:t>вых обязательств, вытекающих из нее, в частности обязательств, касающихся организац</w:t>
      </w:r>
      <w:r>
        <w:t>и</w:t>
      </w:r>
      <w:r>
        <w:t>онных и правовых аспектов.</w:t>
      </w:r>
    </w:p>
    <w:p w:rsidR="00000000" w:rsidRDefault="00000000">
      <w:pPr>
        <w:pStyle w:val="SingleTxt"/>
      </w:pPr>
      <w:r>
        <w:t>124.</w:t>
      </w:r>
      <w:r>
        <w:tab/>
        <w:t>Без добровольного участия женщин невозможно добиться осуществления соответствующей политики. Необходимо, чтобы женщина сознавала свою роль и на практике использовала свое право на участие. Она не должна допускать закрепления, иногда даже неосознанного, предвзятого отношения к себе. И н</w:t>
      </w:r>
      <w:r>
        <w:t>а</w:t>
      </w:r>
      <w:r>
        <w:t>конец, необходимо добиться того, чтобы она подкрепляла своими конкретными действиями законодательные и организационные меры, принимаемые госуда</w:t>
      </w:r>
      <w:r>
        <w:t>р</w:t>
      </w:r>
      <w:r>
        <w:t>ственными о</w:t>
      </w:r>
      <w:r>
        <w:t>р</w:t>
      </w:r>
      <w:r>
        <w:t>ганами в ее интересах.</w:t>
      </w:r>
    </w:p>
    <w:p w:rsidR="00000000" w:rsidRDefault="00000000">
      <w:pPr>
        <w:pStyle w:val="SingleTxt"/>
      </w:pPr>
      <w:r>
        <w:t>125.</w:t>
      </w:r>
      <w:r>
        <w:tab/>
        <w:t>В связи с этим можно констатировать, что с начала демократического процесса, который позволил гражданам полностью воспользоваться всеми пр</w:t>
      </w:r>
      <w:r>
        <w:t>а</w:t>
      </w:r>
      <w:r>
        <w:t>вами и свободами, сектор информации и коммуникации является мощным средством улучшения п</w:t>
      </w:r>
      <w:r>
        <w:t>о</w:t>
      </w:r>
      <w:r>
        <w:t>ложения женщин.</w:t>
      </w:r>
    </w:p>
    <w:p w:rsidR="00000000" w:rsidRDefault="00000000">
      <w:pPr>
        <w:pStyle w:val="SingleTxt"/>
      </w:pPr>
      <w:r>
        <w:t>126.</w:t>
      </w:r>
      <w:r>
        <w:tab/>
        <w:t>В дальнейшем в целях эффективного осуществления политики, пред</w:t>
      </w:r>
      <w:r>
        <w:t>у</w:t>
      </w:r>
      <w:r>
        <w:t>сматривающей изменение форм социального поведения, женщины смогут ра</w:t>
      </w:r>
      <w:r>
        <w:t>с</w:t>
      </w:r>
      <w:r>
        <w:t>считывать на различные компоненты сектора средств массовой информации (радио, телевидение, пресса), для изменения мышления с учетом новых усл</w:t>
      </w:r>
      <w:r>
        <w:t>о</w:t>
      </w:r>
      <w:r>
        <w:t>вий.</w:t>
      </w:r>
    </w:p>
    <w:p w:rsidR="00000000" w:rsidRDefault="00000000">
      <w:pPr>
        <w:pStyle w:val="SingleTxt"/>
      </w:pPr>
      <w:r>
        <w:t>127.</w:t>
      </w:r>
      <w:r>
        <w:tab/>
        <w:t>Национальное радио и сельские радиостанции отводят значительную часть своего эфира передачам, способствующим ускорению социальных пр</w:t>
      </w:r>
      <w:r>
        <w:t>е</w:t>
      </w:r>
      <w:r>
        <w:t>образований и поощрению прав женщин.</w:t>
      </w:r>
    </w:p>
    <w:p w:rsidR="00000000" w:rsidRDefault="00000000">
      <w:pPr>
        <w:pStyle w:val="SingleTxt"/>
      </w:pPr>
      <w:r>
        <w:t>128.</w:t>
      </w:r>
      <w:r>
        <w:tab/>
        <w:t>Их передачи в основном посвящены разъяснению положений важных м</w:t>
      </w:r>
      <w:r>
        <w:t>е</w:t>
      </w:r>
      <w:r>
        <w:t>ждународно-правовых документов (Международной конвенции о правах р</w:t>
      </w:r>
      <w:r>
        <w:t>е</w:t>
      </w:r>
      <w:r>
        <w:t>бенка, Международной конвенции о ликвидации всех форм дискриминации в отношении женщин, Кодекса законов о личном статусе), а также тех докуме</w:t>
      </w:r>
      <w:r>
        <w:t>н</w:t>
      </w:r>
      <w:r>
        <w:t>тов, которые касаются школьного обучения девочек, планирования семьи и т.д. Для подтверждения своего твердого намерения достичь удовлетворительных результатов национальное радио организует ежегодную церемонию награжд</w:t>
      </w:r>
      <w:r>
        <w:t>е</w:t>
      </w:r>
      <w:r>
        <w:t>ния журналистов (мужчин и женщин), которые отличились в течение года в подготовке и предста</w:t>
      </w:r>
      <w:r>
        <w:t>в</w:t>
      </w:r>
      <w:r>
        <w:t>лении этих тематических материалов.</w:t>
      </w:r>
    </w:p>
    <w:p w:rsidR="00000000" w:rsidRDefault="00000000">
      <w:pPr>
        <w:pStyle w:val="SingleTxt"/>
      </w:pPr>
      <w:r>
        <w:t>129.</w:t>
      </w:r>
      <w:r>
        <w:tab/>
        <w:t>Кроме того, появились местные радиостанции, которые готовят разли</w:t>
      </w:r>
      <w:r>
        <w:t>ч</w:t>
      </w:r>
      <w:r>
        <w:t>ные сюжеты (о женщинах и развитии, женщинах и народонаселении и разр</w:t>
      </w:r>
      <w:r>
        <w:t>а</w:t>
      </w:r>
      <w:r>
        <w:t>ботке местных программ в интересах женщин и детей) и которые особенно з</w:t>
      </w:r>
      <w:r>
        <w:t>а</w:t>
      </w:r>
      <w:r>
        <w:t>интересованы в улучшении положения женщин.</w:t>
      </w:r>
    </w:p>
    <w:p w:rsidR="00000000" w:rsidRDefault="00000000">
      <w:pPr>
        <w:pStyle w:val="SingleTxt"/>
      </w:pPr>
      <w:r>
        <w:t>130.</w:t>
      </w:r>
      <w:r>
        <w:tab/>
        <w:t>Меры, принимаемые государственными органами, поддерживаются пар</w:t>
      </w:r>
      <w:r>
        <w:t>т</w:t>
      </w:r>
      <w:r>
        <w:t>нерами по вопросам развития. Так, ЮНФПА подарил министерству коммун</w:t>
      </w:r>
      <w:r>
        <w:t>и</w:t>
      </w:r>
      <w:r>
        <w:t>кации и по связям с парламентом 800 радиоприемников на солнечных батареях для проведения активных кампаний по повышению осведомленности в вопр</w:t>
      </w:r>
      <w:r>
        <w:t>о</w:t>
      </w:r>
      <w:r>
        <w:t>сах народонаселения и развития в интересах бенефициаров (800 семей), пр</w:t>
      </w:r>
      <w:r>
        <w:t>о</w:t>
      </w:r>
      <w:r>
        <w:t>живающих в удаленных районах страны.</w:t>
      </w:r>
    </w:p>
    <w:p w:rsidR="00000000" w:rsidRDefault="00000000">
      <w:pPr>
        <w:pStyle w:val="SingleTxt"/>
      </w:pPr>
      <w:r>
        <w:t>131.</w:t>
      </w:r>
      <w:r>
        <w:tab/>
        <w:t>Эти кампании проводятся в целях разъяснения положений Кодекса зак</w:t>
      </w:r>
      <w:r>
        <w:t>о</w:t>
      </w:r>
      <w:r>
        <w:t>нов о личном статусе, калечащих операциях на женских половых органах и гражданском состоянии. Для более эффективного выполнения этой задачи ус</w:t>
      </w:r>
      <w:r>
        <w:t>и</w:t>
      </w:r>
      <w:r>
        <w:t>лия ЮНФПА предусматривали создание пяти децентрализованных радиоста</w:t>
      </w:r>
      <w:r>
        <w:t>н</w:t>
      </w:r>
      <w:r>
        <w:t>ций, вещающих на всю страну, а также национального радио. Параллельно и в координации с радиотрансляционными кампаниями около 50 организаций, действующих в сфере базовой коммуникации, провели при поддержке ЮНФПА на уровне некоторых провинций страны кампании по аналогичным темам, касавшимся Кодекса законов о личном статусе, калечащих операциях на половых органах и гражданском состоянии. В рамках этих кампаний пресл</w:t>
      </w:r>
      <w:r>
        <w:t>е</w:t>
      </w:r>
      <w:r>
        <w:t>дуются следующие цели: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расширение доступа женщин к средствам массовой информации на осн</w:t>
      </w:r>
      <w:r>
        <w:t>о</w:t>
      </w:r>
      <w:r>
        <w:t>ве дифференцированных подходов с учетом уровня просвещения, места проживания и степени экономического развития;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привлечение большего внимания к положению женщин в различных сре</w:t>
      </w:r>
      <w:r>
        <w:t>д</w:t>
      </w:r>
      <w:r>
        <w:t>ствах массовой информации (радио, пресса и телевид</w:t>
      </w:r>
      <w:r>
        <w:t>е</w:t>
      </w:r>
      <w:r>
        <w:t>ние);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разработка стратегии глобальной и интегрированной коммуникации в ц</w:t>
      </w:r>
      <w:r>
        <w:t>е</w:t>
      </w:r>
      <w:r>
        <w:t>лях улучшения положения женщин на основе использования различных кан</w:t>
      </w:r>
      <w:r>
        <w:t>а</w:t>
      </w:r>
      <w:r>
        <w:t>лов связи (аудио, печатные и аудиовизуальные).</w:t>
      </w:r>
    </w:p>
    <w:p w:rsidR="00000000" w:rsidRDefault="00000000">
      <w:pPr>
        <w:pStyle w:val="SingleTxt"/>
      </w:pPr>
      <w:r>
        <w:t>132.</w:t>
      </w:r>
      <w:r>
        <w:tab/>
        <w:t>Положения, касающиеся преподавания по вопросам гражданского пр</w:t>
      </w:r>
      <w:r>
        <w:t>о</w:t>
      </w:r>
      <w:r>
        <w:t>свещения на всех уровнях национальной системы образования, о которых уп</w:t>
      </w:r>
      <w:r>
        <w:t>о</w:t>
      </w:r>
      <w:r>
        <w:t>минается в законе № 099-012 от 26 апреля 1999 года о реформе национальной системы образования, а также семинары, организованные Национальной шк</w:t>
      </w:r>
      <w:r>
        <w:t>о</w:t>
      </w:r>
      <w:r>
        <w:t>лой государственного управления (НШГУ) для сотрудников Администрации по вопросам прав человека, в частности тех из них, которые занимаются вопрос</w:t>
      </w:r>
      <w:r>
        <w:t>а</w:t>
      </w:r>
      <w:r>
        <w:t>ми равенства мужчин и женщин, способствуют усилиям, направленным на и</w:t>
      </w:r>
      <w:r>
        <w:t>з</w:t>
      </w:r>
      <w:r>
        <w:t>менение стереотипного представления о роли женщин.</w:t>
      </w:r>
    </w:p>
    <w:p w:rsidR="00000000" w:rsidRDefault="00000000">
      <w:pPr>
        <w:pStyle w:val="SingleTxt"/>
      </w:pPr>
      <w:r>
        <w:t>133.</w:t>
      </w:r>
      <w:r>
        <w:tab/>
        <w:t>В эту деятельность женщины также хотят внести свой вклад. С начала у</w:t>
      </w:r>
      <w:r>
        <w:t>с</w:t>
      </w:r>
      <w:r>
        <w:t>тановления в 1991 году демократии некоторые женщины создали газеты, мн</w:t>
      </w:r>
      <w:r>
        <w:t>о</w:t>
      </w:r>
      <w:r>
        <w:t>гие материалы которых посвящены женщинам. Кроме того, следует отметить, что одна из них возглавляет Ассоциацию журналистов-защитников прав же</w:t>
      </w:r>
      <w:r>
        <w:t>н</w:t>
      </w:r>
      <w:r>
        <w:t>щин.</w:t>
      </w:r>
    </w:p>
    <w:p w:rsidR="00000000" w:rsidRDefault="00000000">
      <w:pPr>
        <w:pStyle w:val="SingleTxt"/>
      </w:pPr>
      <w:r>
        <w:t>134.</w:t>
      </w:r>
      <w:r>
        <w:tab/>
        <w:t>Параллельно многие женщины, пользуясь наличием правовой основы, сформированной благодаря провозглашению свободы ассоциаций, создали НПО, которые занимаются вопросами эмансипации женщин в политическом, экономич</w:t>
      </w:r>
      <w:r>
        <w:t>е</w:t>
      </w:r>
      <w:r>
        <w:t>ском, социальном и культурном плане.</w:t>
      </w:r>
    </w:p>
    <w:p w:rsidR="00000000" w:rsidRDefault="00000000">
      <w:pPr>
        <w:pStyle w:val="SingleTxt"/>
      </w:pPr>
      <w:r>
        <w:t>135.</w:t>
      </w:r>
      <w:r>
        <w:tab/>
        <w:t>Положение, сложившееся в последние годы в связи с обеспечением до</w:t>
      </w:r>
      <w:r>
        <w:t>с</w:t>
      </w:r>
      <w:r>
        <w:t>тупа женщин ко всем компонентам в секторе государственных и частных (фо</w:t>
      </w:r>
      <w:r>
        <w:t>р</w:t>
      </w:r>
      <w:r>
        <w:t>мальных и неформальных) предприятий, сказывается на семейных отношениях и прежде всего на воспитании детей младшего возраста.</w:t>
      </w:r>
    </w:p>
    <w:p w:rsidR="00000000" w:rsidRDefault="00000000">
      <w:pPr>
        <w:pStyle w:val="SingleTxt"/>
      </w:pPr>
      <w:r>
        <w:t>136.</w:t>
      </w:r>
      <w:r>
        <w:tab/>
        <w:t>Для устранения неравенства, обусловленного этой ситуацией, государс</w:t>
      </w:r>
      <w:r>
        <w:t>т</w:t>
      </w:r>
      <w:r>
        <w:t>венные органы обеспечивают универсальный характер базового образования и уделяют особое внимание положению детей.</w:t>
      </w:r>
    </w:p>
    <w:p w:rsidR="00000000" w:rsidRDefault="00000000">
      <w:pPr>
        <w:pStyle w:val="SingleTxt"/>
      </w:pPr>
      <w:r>
        <w:t>137.</w:t>
      </w:r>
      <w:r>
        <w:tab/>
        <w:t>В рамках этой деятельности были предприняты многочисленные меры, направленные на улучшение их положения. Кроме того, следует отметить со</w:t>
      </w:r>
      <w:r>
        <w:t>з</w:t>
      </w:r>
      <w:r>
        <w:t>дание Национального совета по делам детей, развитие сети яслей и детских с</w:t>
      </w:r>
      <w:r>
        <w:t>а</w:t>
      </w:r>
      <w:r>
        <w:t>дов, реализацию программы подготовки педагогов и разработку учебно-методических мод</w:t>
      </w:r>
      <w:r>
        <w:t>у</w:t>
      </w:r>
      <w:r>
        <w:t>лей для воспитателей дошкольных учреждений.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IV.</w:t>
      </w:r>
      <w:r>
        <w:tab/>
        <w:t>Пресечение эксплуатации женщин (статья 6)</w:t>
      </w:r>
    </w:p>
    <w:p w:rsidR="00000000" w:rsidRDefault="00000000">
      <w:pPr>
        <w:pStyle w:val="SingleTxt"/>
        <w:keepNext/>
        <w:spacing w:after="0" w:line="120" w:lineRule="exact"/>
        <w:rPr>
          <w:sz w:val="10"/>
        </w:rPr>
      </w:pPr>
    </w:p>
    <w:p w:rsidR="00000000" w:rsidRDefault="00000000">
      <w:pPr>
        <w:pStyle w:val="SingleTxt"/>
        <w:keepNext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138.</w:t>
      </w:r>
      <w:r>
        <w:tab/>
        <w:t>С учетом соответствующих положений Конституции, касающихся обесп</w:t>
      </w:r>
      <w:r>
        <w:t>е</w:t>
      </w:r>
      <w:r>
        <w:t>чения «прав семьи как основной ячейки исламского общества» (преамбула), с одной стороны, и положения, в соответствии с которым «государство и общ</w:t>
      </w:r>
      <w:r>
        <w:t>е</w:t>
      </w:r>
      <w:r>
        <w:t>ство защищают интересы семьи» (статья 16 Конституции), с другой, а также в порядке выполнения взятых на себя международно-правовых обязательств мавританские власти недавно приняли ряд важных законодательных мер, н</w:t>
      </w:r>
      <w:r>
        <w:t>а</w:t>
      </w:r>
      <w:r>
        <w:t>правле</w:t>
      </w:r>
      <w:r>
        <w:t>н</w:t>
      </w:r>
      <w:r>
        <w:t>ных на борьбу с эксплуатацией женщин.</w:t>
      </w:r>
    </w:p>
    <w:p w:rsidR="00000000" w:rsidRDefault="00000000">
      <w:pPr>
        <w:pStyle w:val="SingleTxt"/>
      </w:pPr>
      <w:r>
        <w:t>139.</w:t>
      </w:r>
      <w:r>
        <w:tab/>
        <w:t>В рамках этой деятельности 17 июля 2003 года был принят з</w:t>
      </w:r>
      <w:r>
        <w:t>а</w:t>
      </w:r>
      <w:r>
        <w:t>кон № 025</w:t>
      </w:r>
      <w:r>
        <w:noBreakHyphen/>
        <w:t>2003 о борьбе с торговлей людьми. Этим законом запрещается пр</w:t>
      </w:r>
      <w:r>
        <w:t>и</w:t>
      </w:r>
      <w:r>
        <w:t>менять методы или совершать действия, которые считаются связанными с то</w:t>
      </w:r>
      <w:r>
        <w:t>р</w:t>
      </w:r>
      <w:r>
        <w:t>говлей людьми. Это касается осуществляемых в целях эксплуатации вербовки, перевозки и передачи людей путем угрозы силой или ее применения или др</w:t>
      </w:r>
      <w:r>
        <w:t>у</w:t>
      </w:r>
      <w:r>
        <w:t>гих форм принуждения через похищение, обман, злоупотребление властью или использование уязвимого положения либо путем подкупа в виде предложения взятки или выгод для получения согласия лица, контролирующего другое лицо.</w:t>
      </w:r>
    </w:p>
    <w:p w:rsidR="00000000" w:rsidRDefault="00000000">
      <w:pPr>
        <w:pStyle w:val="SingleTxt"/>
      </w:pPr>
      <w:r>
        <w:t>140.</w:t>
      </w:r>
      <w:r>
        <w:tab/>
        <w:t>Эксплуатация как таковая охватывает эксплуатацию проституции треть</w:t>
      </w:r>
      <w:r>
        <w:t>и</w:t>
      </w:r>
      <w:r>
        <w:t>ми лицами и другие формы сексуальной эксплуатации (статья 1). Уголовная ответственность за такие деяния дополняется положениями статьи 3, которые предусматривают, что «вербовка, передача, укрывательство или получение р</w:t>
      </w:r>
      <w:r>
        <w:t>е</w:t>
      </w:r>
      <w:r>
        <w:t>бенка в целях эксплуатации рассматриваются как «торговля людьми» даже в том случае, е</w:t>
      </w:r>
      <w:r>
        <w:t>с</w:t>
      </w:r>
      <w:r>
        <w:t>ли не используются средства, предусмотренные в статье 1».</w:t>
      </w:r>
    </w:p>
    <w:p w:rsidR="00000000" w:rsidRDefault="00000000">
      <w:pPr>
        <w:pStyle w:val="SingleTxt"/>
      </w:pPr>
      <w:r>
        <w:t>141.</w:t>
      </w:r>
      <w:r>
        <w:tab/>
        <w:t>Совершение любого из предусмотренных в статьях 1 и 3 деяний не по</w:t>
      </w:r>
      <w:r>
        <w:t>д</w:t>
      </w:r>
      <w:r>
        <w:t>падает ни под какие изъятия в плане предусмотренных в этой связи мер нак</w:t>
      </w:r>
      <w:r>
        <w:t>а</w:t>
      </w:r>
      <w:r>
        <w:t>зания.</w:t>
      </w:r>
    </w:p>
    <w:p w:rsidR="00000000" w:rsidRDefault="00000000">
      <w:pPr>
        <w:pStyle w:val="SingleTxt"/>
      </w:pPr>
      <w:r>
        <w:t>142.</w:t>
      </w:r>
      <w:r>
        <w:tab/>
        <w:t>Кроме того, в статье 2 вышеупомянутого закона говорится, что «согласие жертвы торговли людьми на эксплуатацию считается недействительным, если было использовано любое из средств, предусмотренных в предыдущей статье».</w:t>
      </w:r>
    </w:p>
    <w:p w:rsidR="00000000" w:rsidRDefault="00000000">
      <w:pPr>
        <w:pStyle w:val="SingleTxt"/>
      </w:pPr>
      <w:r>
        <w:t>143.</w:t>
      </w:r>
      <w:r>
        <w:tab/>
        <w:t>Поскольку государственные органы власти заинтересованы в укреплении правовых рамок борьбы против эксплуатации женщин, Мавритания ратифиц</w:t>
      </w:r>
      <w:r>
        <w:t>и</w:t>
      </w:r>
      <w:r>
        <w:t>ровала: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в 2004 году Дополнительный протокол к Международной конвенции о правах ребенка, касающийся эксплуатации детей в целях порнографии;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в 2005 году Дополнительный протокол к Конвенции Организации Объ</w:t>
      </w:r>
      <w:r>
        <w:t>е</w:t>
      </w:r>
      <w:r>
        <w:t>диненных Наций против организованной транснациональной преступн</w:t>
      </w:r>
      <w:r>
        <w:t>о</w:t>
      </w:r>
      <w:r>
        <w:t>сти, подписанной 15 ноября 2000 года в Нью-Йорке. Этот протокол кас</w:t>
      </w:r>
      <w:r>
        <w:t>а</w:t>
      </w:r>
      <w:r>
        <w:t>ется запрещения и пресечения торговли людьми, в особенности женщ</w:t>
      </w:r>
      <w:r>
        <w:t>и</w:t>
      </w:r>
      <w:r>
        <w:t>нами и детьми.</w:t>
      </w:r>
    </w:p>
    <w:p w:rsidR="00000000" w:rsidRDefault="00000000">
      <w:pPr>
        <w:pStyle w:val="SingleTxt"/>
      </w:pPr>
      <w:r>
        <w:t>144.</w:t>
      </w:r>
      <w:r>
        <w:tab/>
        <w:t>Ратификация этих многосторонних документов обусловлена политич</w:t>
      </w:r>
      <w:r>
        <w:t>е</w:t>
      </w:r>
      <w:r>
        <w:t>ской волей государственных органов власти, заинтересованных в том, чтобы защитить такие уязвимые категории населения, как женщины и дети, от ра</w:t>
      </w:r>
      <w:r>
        <w:t>з</w:t>
      </w:r>
      <w:r>
        <w:t>личного рода посягательств и насилия, которым они могут подвергнуться.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V.</w:t>
      </w:r>
      <w:r>
        <w:tab/>
        <w:t>Равноправие в политической и общественной жизни на национальном уровне (статья 7)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keepNext/>
        <w:keepLines/>
      </w:pPr>
      <w:r>
        <w:t>145.</w:t>
      </w:r>
      <w:r>
        <w:tab/>
        <w:t>В пункте 2 статьи 3 Конституции от 20 июля 1991 года предусматривае</w:t>
      </w:r>
      <w:r>
        <w:t>т</w:t>
      </w:r>
      <w:r>
        <w:t>ся, что «избирателями являются все граждане Республики совершеннолетнего возраста обоих полов, пользующиеся гражданскими и политическими прав</w:t>
      </w:r>
      <w:r>
        <w:t>а</w:t>
      </w:r>
      <w:r>
        <w:t>ми». Это положение дополняется статьей 12, которая предусматривает, что «все граждане могут занимать государственные посты и должности без огр</w:t>
      </w:r>
      <w:r>
        <w:t>а</w:t>
      </w:r>
      <w:r>
        <w:t>нич</w:t>
      </w:r>
      <w:r>
        <w:t>е</w:t>
      </w:r>
      <w:r>
        <w:t>ний, кроме тех, которые установлены законом».</w:t>
      </w:r>
    </w:p>
    <w:p w:rsidR="00000000" w:rsidRDefault="00000000">
      <w:pPr>
        <w:pStyle w:val="SingleTxt"/>
      </w:pPr>
      <w:r>
        <w:t>146.</w:t>
      </w:r>
      <w:r>
        <w:tab/>
        <w:t>Эти положения, содержащиеся в основном тексте, включены в целый ряд законодательных документов, в частности: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постановление № 091-027 от 7 октября 1991 года о выборах президента Республики;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постановление № 091-028 от 7 октября 1991 года о выборах депутатов;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постановление № 091-029 от 7 октября 1991 года о выборах сенаторов;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постановление № 087-289 от 20 октября 1987 года о выборах муниц</w:t>
      </w:r>
      <w:r>
        <w:t>и</w:t>
      </w:r>
      <w:r>
        <w:t>пальных советов;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закон № 093-009 от 18 января 1993 года об общем статусе государстве</w:t>
      </w:r>
      <w:r>
        <w:t>н</w:t>
      </w:r>
      <w:r>
        <w:t>ных должностных лиц и служащих, работающих по контракту (статьи 15 и 105).</w:t>
      </w:r>
    </w:p>
    <w:p w:rsidR="00000000" w:rsidRDefault="00000000">
      <w:pPr>
        <w:pStyle w:val="SingleTxt"/>
      </w:pPr>
      <w:r>
        <w:t>147.</w:t>
      </w:r>
      <w:r>
        <w:tab/>
        <w:t>Из имеющихся правовых документов вытекает, что мавританские женщ</w:t>
      </w:r>
      <w:r>
        <w:t>и</w:t>
      </w:r>
      <w:r>
        <w:t>ны имеют доступ ко всем выборным, а также государственным должностям. В этой связи следует отметить выдвижение кандидатуры женщины на президен</w:t>
      </w:r>
      <w:r>
        <w:t>т</w:t>
      </w:r>
      <w:r>
        <w:t>ских выборах 2003 года. Что касается политической жизни, то в 2005 году: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четыре женщины занимали в правительстве должности министров;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3,3 процента муниципальных выборных должностей занимают женщины (показатель, который в Нуакшоте достигает 19,1 процента, причем одним из девяти мэров является женщина);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3,7 процента депутатов составляют женщины;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женщины составляют 5 процентов сенаторов;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одну из политических партий возглавляет женщина.</w:t>
      </w:r>
    </w:p>
    <w:p w:rsidR="00000000" w:rsidRDefault="00000000">
      <w:pPr>
        <w:pStyle w:val="SingleTxt"/>
      </w:pPr>
      <w:r>
        <w:t>148.</w:t>
      </w:r>
      <w:r>
        <w:tab/>
        <w:t>Наряду с этим женщины представлены также на ответственных админ</w:t>
      </w:r>
      <w:r>
        <w:t>и</w:t>
      </w:r>
      <w:r>
        <w:t>стративных должностях (генеральные секретари министерств, генеральные д</w:t>
      </w:r>
      <w:r>
        <w:t>и</w:t>
      </w:r>
      <w:r>
        <w:t>ректора и директора государственных учреждений) и в сфере образования (преподаватели университетов, средних учебных заведений и начальных школ). Так же, как и мужчины, они занимаются всем спектром профессий, предста</w:t>
      </w:r>
      <w:r>
        <w:t>в</w:t>
      </w:r>
      <w:r>
        <w:t>ленных в государственном или полугосударственном секторе. Кроме того, они работают в полиции и жандармерии, на таможне, в пожарной охране, на флоте и т.д. Женщины возглавляют газеты, различные НПО и объединения.</w:t>
      </w:r>
    </w:p>
    <w:p w:rsidR="00000000" w:rsidRDefault="00000000">
      <w:pPr>
        <w:pStyle w:val="SingleTxt"/>
      </w:pPr>
      <w:r>
        <w:t>149.</w:t>
      </w:r>
      <w:r>
        <w:tab/>
        <w:t>В связи с вышеперечисленными видами деятельности они поддерживают партнерские отношения в рамках выполняемых ими обязанностей с различн</w:t>
      </w:r>
      <w:r>
        <w:t>ы</w:t>
      </w:r>
      <w:r>
        <w:t>ми государственными органами (министерство экономики и развития, госуда</w:t>
      </w:r>
      <w:r>
        <w:t>р</w:t>
      </w:r>
      <w:r>
        <w:t>ственный секретариат по делам женщин, комиссариат по правам человека, борьбе с нищетой и вопросам интеграции и т.д.). В то же время они нередко пользуются финансовой поддержкой со стороны партнеров по процессу разв</w:t>
      </w:r>
      <w:r>
        <w:t>и</w:t>
      </w:r>
      <w:r>
        <w:t>тия (ПРООН, ЮНФПА, ВОЗ, Всемирная лютеранская федерация и т.д.).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VI.</w:t>
      </w:r>
      <w:r>
        <w:tab/>
        <w:t>Равноправие в политической и общественной жизни на международном уровне (статья 8)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150.</w:t>
      </w:r>
      <w:r>
        <w:tab/>
        <w:t>В Мавритании женщины наравне с мужчинами представляют свою страну на международном уровне и участвуют в работе региональных и междунаро</w:t>
      </w:r>
      <w:r>
        <w:t>д</w:t>
      </w:r>
      <w:r>
        <w:t>ных организаций. Такое представительство может осуществляться как в рамках дипломатической работы, так и в рамках двустороннего и многостороннего с</w:t>
      </w:r>
      <w:r>
        <w:t>о</w:t>
      </w:r>
      <w:r>
        <w:t>трудничества. Необходимо, однако, отметить, что ответственные должности, особенно аналитические и руководящие должности в министерстве иностра</w:t>
      </w:r>
      <w:r>
        <w:t>н</w:t>
      </w:r>
      <w:r>
        <w:t>ных дел, фактически занимает небольшое число женщин. Также мало пре</w:t>
      </w:r>
      <w:r>
        <w:t>д</w:t>
      </w:r>
      <w:r>
        <w:t>ставлены они в качестве экспертов в субрегиональных, региональных и ме</w:t>
      </w:r>
      <w:r>
        <w:t>ж</w:t>
      </w:r>
      <w:r>
        <w:t>дународных организациях.</w:t>
      </w:r>
    </w:p>
    <w:p w:rsidR="00000000" w:rsidRDefault="00000000">
      <w:pPr>
        <w:pStyle w:val="SingleTxt"/>
      </w:pPr>
      <w:r>
        <w:t>151.</w:t>
      </w:r>
      <w:r>
        <w:tab/>
        <w:t>С другой стороны, женщины активно участвуют в деятельности неправ</w:t>
      </w:r>
      <w:r>
        <w:t>и</w:t>
      </w:r>
      <w:r>
        <w:t>тельственных организаций и объединений, которые занимаются проблемами, представляющими общий интерес, и политическими вопросами. Они пре</w:t>
      </w:r>
      <w:r>
        <w:t>д</w:t>
      </w:r>
      <w:r>
        <w:t>ставляют правительство Мавритании в целом ряде международных форумов. Они принимают также участие в различных международных конференциях, семинарах и практикумах, посвященных улучшению положения женщин и в</w:t>
      </w:r>
      <w:r>
        <w:t>о</w:t>
      </w:r>
      <w:r>
        <w:t>просам, которые касаются национальных, региональных и международных и</w:t>
      </w:r>
      <w:r>
        <w:t>н</w:t>
      </w:r>
      <w:r>
        <w:t>тересов.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VII.</w:t>
      </w:r>
      <w:r>
        <w:tab/>
        <w:t>Равноправие в вопросах гражданства (статья 9)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152.</w:t>
      </w:r>
      <w:r>
        <w:tab/>
        <w:t>Закон № 061-112 от 12 июня 1961 года о Кодексе о мавританском гра</w:t>
      </w:r>
      <w:r>
        <w:t>ж</w:t>
      </w:r>
      <w:r>
        <w:t>данстве и дополняющие его документы (законы № 073-010 от 23 января 1973 года; № 073-186 от 30 июля 1973 года; № 076-207 от 30 июля 1976 года; № 076-207 от 9 июля 1976 года и Декрет № 082-028 от 26 марта 1982 года) г</w:t>
      </w:r>
      <w:r>
        <w:t>а</w:t>
      </w:r>
      <w:r>
        <w:t>рантируют равные условия приобретения, сохранения и утраты мавританского гражданства для всех без исключения граждан, в частности без различий по признаку пола.</w:t>
      </w:r>
    </w:p>
    <w:p w:rsidR="00000000" w:rsidRDefault="00000000">
      <w:pPr>
        <w:pStyle w:val="SingleTxt"/>
      </w:pPr>
      <w:r>
        <w:t>153.</w:t>
      </w:r>
      <w:r>
        <w:tab/>
        <w:t>Что касается общих условий приобретения мавританского гражданства, основанных на праве крови (jus sanguinis) и на праве почвы (jus soli), то неди</w:t>
      </w:r>
      <w:r>
        <w:t>с</w:t>
      </w:r>
      <w:r>
        <w:t>криминационный правовой режим в отношении женщин регулируется разли</w:t>
      </w:r>
      <w:r>
        <w:t>ч</w:t>
      </w:r>
      <w:r>
        <w:t>ными положениями вышеупомянутого закона.</w:t>
      </w:r>
    </w:p>
    <w:p w:rsidR="00000000" w:rsidRDefault="00000000">
      <w:pPr>
        <w:pStyle w:val="SingleTxt"/>
      </w:pPr>
      <w:r>
        <w:t>154.</w:t>
      </w:r>
      <w:r>
        <w:tab/>
        <w:t>Таким образом, «иностранка, которая выходит замуж за мавританца, м</w:t>
      </w:r>
      <w:r>
        <w:t>о</w:t>
      </w:r>
      <w:r>
        <w:t>жет, с его четко выраженного согласия и спустя пять лет после заключения брака, приобрести мавританское гражданство» (статья 16). В статье 31 пред</w:t>
      </w:r>
      <w:r>
        <w:t>у</w:t>
      </w:r>
      <w:r>
        <w:t>сматривается также, что «мавританцу совершеннолетнего возраста, получи</w:t>
      </w:r>
      <w:r>
        <w:t>в</w:t>
      </w:r>
      <w:r>
        <w:t>шему иностранное гражданство, может быть разрешено, по его просьбе, утр</w:t>
      </w:r>
      <w:r>
        <w:t>а</w:t>
      </w:r>
      <w:r>
        <w:t>тить мавританское гражданство (…)». Это положение, которое касается всех без исключения мужчин и женщин, уточняется далее в статье 32, в которой ж</w:t>
      </w:r>
      <w:r>
        <w:t>е</w:t>
      </w:r>
      <w:r>
        <w:t>лание мавританской женщины отказаться от своего гражданства в связи с ее вступлением в брак с иностранцем ставится в зависимость от двух усл</w:t>
      </w:r>
      <w:r>
        <w:t>о</w:t>
      </w:r>
      <w:r>
        <w:t>вий: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наличия четко выраженного заявления об отказе от гражданства до ее всту</w:t>
      </w:r>
      <w:r>
        <w:t>п</w:t>
      </w:r>
      <w:r>
        <w:t>ления в брак;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наличия уверенности в том, что она может приобрести гражданство св</w:t>
      </w:r>
      <w:r>
        <w:t>о</w:t>
      </w:r>
      <w:r>
        <w:t>его супруга.</w:t>
      </w:r>
    </w:p>
    <w:p w:rsidR="00000000" w:rsidRDefault="00000000">
      <w:pPr>
        <w:pStyle w:val="SingleTxt"/>
      </w:pPr>
      <w:r>
        <w:t>155.</w:t>
      </w:r>
      <w:r>
        <w:tab/>
        <w:t>Вместе с тем согласно положениям статьи 71 закона о гражданстве, «ин</w:t>
      </w:r>
      <w:r>
        <w:t>о</w:t>
      </w:r>
      <w:r>
        <w:t>странка, которая выходит замуж за мавританца, может, если ей позволяет это закон, определяющий личный статус, сохранить за собой первоначальное гр</w:t>
      </w:r>
      <w:r>
        <w:t>а</w:t>
      </w:r>
      <w:r>
        <w:t>жданство и отказаться принимать мавританское гражданство в течение года с момента введения в действие настоящего закона».</w:t>
      </w:r>
    </w:p>
    <w:p w:rsidR="00000000" w:rsidRDefault="00000000">
      <w:pPr>
        <w:pStyle w:val="SingleTxt"/>
      </w:pPr>
      <w:r>
        <w:t>156.</w:t>
      </w:r>
      <w:r>
        <w:tab/>
        <w:t>Кроме того, «мавританка, которая выходит замуж за иностранца, наци</w:t>
      </w:r>
      <w:r>
        <w:t>о</w:t>
      </w:r>
      <w:r>
        <w:t>нальное законодательство которого разрешает женщине принимать гражданс</w:t>
      </w:r>
      <w:r>
        <w:t>т</w:t>
      </w:r>
      <w:r>
        <w:t>во своего супруга, может отказаться от мавританского гражданства с соблюд</w:t>
      </w:r>
      <w:r>
        <w:t>е</w:t>
      </w:r>
      <w:r>
        <w:t>нием условий и сроков, предусмотренных в предыдущей статье» (статья 72).</w:t>
      </w:r>
    </w:p>
    <w:p w:rsidR="00000000" w:rsidRDefault="00000000">
      <w:pPr>
        <w:pStyle w:val="SingleTxt"/>
      </w:pPr>
      <w:r>
        <w:t>157.</w:t>
      </w:r>
      <w:r>
        <w:tab/>
        <w:t>В законе № 061-112 от 12 июня 1961 года о Кодексе о мавританском гр</w:t>
      </w:r>
      <w:r>
        <w:t>а</w:t>
      </w:r>
      <w:r>
        <w:t>жданстве содержится ряд статей, согласно которым женщины имеют одинак</w:t>
      </w:r>
      <w:r>
        <w:t>о</w:t>
      </w:r>
      <w:r>
        <w:t>вые с мужчинами права в отношении гражданства своих детей. Именно об этом говорится в пункте 2 статьи 8 закона о Кодексе о гражданстве, согласно кот</w:t>
      </w:r>
      <w:r>
        <w:t>о</w:t>
      </w:r>
      <w:r>
        <w:t>рому является «мавританцем (…) ребенок, родившийся в Мавритании от мат</w:t>
      </w:r>
      <w:r>
        <w:t>е</w:t>
      </w:r>
      <w:r>
        <w:t>ри-мавританки и от отца без гражданства или с неизвестным гражданством». Та</w:t>
      </w:r>
      <w:r>
        <w:t>к</w:t>
      </w:r>
      <w:r>
        <w:t>же мавританцем является «ребенок, родившийся в Мавритании от матери-мавританки и от отца, имеющего иностранное гражданство, но он имеет во</w:t>
      </w:r>
      <w:r>
        <w:t>з</w:t>
      </w:r>
      <w:r>
        <w:t>можность отказаться от этого статуса в течение года, предшествующего его с</w:t>
      </w:r>
      <w:r>
        <w:t>о</w:t>
      </w:r>
      <w:r>
        <w:t>вершеннолетию» (пункт 3 статьи 8). В других статьях этого закона вопрос о гражданстве детей рассматривается в связи со статусом их родителей. Так, в статье 9 этого закона предусматривается, что «является мавританцем:</w:t>
      </w:r>
    </w:p>
    <w:p w:rsidR="00000000" w:rsidRDefault="00000000">
      <w:pPr>
        <w:pStyle w:val="SingleTxt"/>
        <w:ind w:left="2218" w:hanging="951"/>
      </w:pPr>
      <w:r>
        <w:tab/>
        <w:t>1.</w:t>
      </w:r>
      <w:r>
        <w:tab/>
        <w:t>ребенок, родившийся в Мавритании от отца-иностранца, который сам р</w:t>
      </w:r>
      <w:r>
        <w:t>о</w:t>
      </w:r>
      <w:r>
        <w:t>дился в Мавритании;</w:t>
      </w:r>
    </w:p>
    <w:p w:rsidR="00000000" w:rsidRDefault="00000000">
      <w:pPr>
        <w:pStyle w:val="SingleTxt"/>
        <w:ind w:left="2218" w:hanging="951"/>
      </w:pPr>
      <w:r>
        <w:tab/>
        <w:t>2.</w:t>
      </w:r>
      <w:r>
        <w:tab/>
        <w:t>ребенок, родившийся в Мавритании от матери-иностранки, которая сама родилась в Мавритании, за исключением возможности отк</w:t>
      </w:r>
      <w:r>
        <w:t>а</w:t>
      </w:r>
      <w:r>
        <w:t>заться от этого статуса в течение года, предшествующего соверше</w:t>
      </w:r>
      <w:r>
        <w:t>н</w:t>
      </w:r>
      <w:r>
        <w:t>нолетию (…)».</w:t>
      </w:r>
    </w:p>
    <w:p w:rsidR="00000000" w:rsidRDefault="00000000">
      <w:pPr>
        <w:pStyle w:val="SingleTxt"/>
      </w:pPr>
      <w:r>
        <w:t>158.</w:t>
      </w:r>
      <w:r>
        <w:tab/>
        <w:t>Мавританское гражданство может быть предоставлено «ребенку, роди</w:t>
      </w:r>
      <w:r>
        <w:t>в</w:t>
      </w:r>
      <w:r>
        <w:t>шемуся за границей от матери-мавританки и от отца, имеющего иностранное гражданство» с оговоркой, что он предпочтет приобрести это гражданство «в течение года, предшествующего его совершеннолетию» (пункт 1 статьи 13). Также в статье 15 говорится о том, что «с полным правом становится мавр</w:t>
      </w:r>
      <w:r>
        <w:t>и</w:t>
      </w:r>
      <w:r>
        <w:t>танцем, как и его родители, несовершеннолетний ребенок, отец или мать кот</w:t>
      </w:r>
      <w:r>
        <w:t>о</w:t>
      </w:r>
      <w:r>
        <w:t>рого приобретают мавританское гражданство». Однако это положение не ра</w:t>
      </w:r>
      <w:r>
        <w:t>с</w:t>
      </w:r>
      <w:r>
        <w:t>пространяется на две категории детей: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несовершеннолетних подростков, состоящих в браке;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несовершеннолетних детей, которые служат или служили в армии страны своего происхождения.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VIII.</w:t>
      </w:r>
      <w:r>
        <w:tab/>
        <w:t>Равноправие в сфере образования (статья 10)</w:t>
      </w:r>
    </w:p>
    <w:p w:rsidR="00000000" w:rsidRDefault="00000000">
      <w:pPr>
        <w:pStyle w:val="SingleTxt"/>
        <w:keepNext/>
        <w:spacing w:after="0" w:line="120" w:lineRule="exact"/>
        <w:rPr>
          <w:sz w:val="10"/>
        </w:rPr>
      </w:pPr>
    </w:p>
    <w:p w:rsidR="00000000" w:rsidRDefault="00000000">
      <w:pPr>
        <w:pStyle w:val="SingleTxt"/>
        <w:keepNext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159.</w:t>
      </w:r>
      <w:r>
        <w:tab/>
        <w:t>В нашем законодательстве право на образование является одним из о</w:t>
      </w:r>
      <w:r>
        <w:t>с</w:t>
      </w:r>
      <w:r>
        <w:t>новных прав, гарантированных Конституцией в ее преамбуле, как и все другие экономические и социальные права, а свобода творческой деятельности, кроме того, закреплена в статье 10 Конституции от 20 июля 1991 года. Сознавая тот интерес, который вызывает, в частности, это право, Исламская Республика Мавритания с 1987 года пытается осуществить программу реструктуризации системы образования и обучения, в которой упор делается на расширении н</w:t>
      </w:r>
      <w:r>
        <w:t>а</w:t>
      </w:r>
      <w:r>
        <w:t>чального образования, укреплении профессионально-технического образов</w:t>
      </w:r>
      <w:r>
        <w:t>а</w:t>
      </w:r>
      <w:r>
        <w:t>ния и рео</w:t>
      </w:r>
      <w:r>
        <w:t>р</w:t>
      </w:r>
      <w:r>
        <w:t>ганизации высшего образования.</w:t>
      </w:r>
    </w:p>
    <w:p w:rsidR="00000000" w:rsidRDefault="00000000">
      <w:pPr>
        <w:pStyle w:val="SingleTxt"/>
      </w:pPr>
      <w:r>
        <w:t>160.</w:t>
      </w:r>
      <w:r>
        <w:tab/>
        <w:t>С учетом этого в национальном законодательстве гарантируется соблюд</w:t>
      </w:r>
      <w:r>
        <w:t>е</w:t>
      </w:r>
      <w:r>
        <w:t>ние принципа равноправия полов на различных ступенях «дошкольного, н</w:t>
      </w:r>
      <w:r>
        <w:t>а</w:t>
      </w:r>
      <w:r>
        <w:t>чального, среднего, профессионально-технического и высшего» образования. Кроме того, в постановлении № 081-212 от 24 сентября 1981 года о статуте ч</w:t>
      </w:r>
      <w:r>
        <w:t>а</w:t>
      </w:r>
      <w:r>
        <w:t>стного образования учащимся и студентам гарантируются такие же условия обучения, которые предусматриваются в государственной сфере образования.</w:t>
      </w:r>
    </w:p>
    <w:p w:rsidR="00000000" w:rsidRDefault="00000000">
      <w:pPr>
        <w:pStyle w:val="SingleTxt"/>
      </w:pPr>
      <w:r>
        <w:t>161.</w:t>
      </w:r>
      <w:r>
        <w:tab/>
        <w:t>В то же время в статье 1 закона № 099-012 от 26 апреля 1999 года о р</w:t>
      </w:r>
      <w:r>
        <w:t>е</w:t>
      </w:r>
      <w:r>
        <w:t>форме системы образования предусматривается, что «система обучения на ра</w:t>
      </w:r>
      <w:r>
        <w:t>з</w:t>
      </w:r>
      <w:r>
        <w:t>личных ступенях получения начального, среднего и высшего образования н</w:t>
      </w:r>
      <w:r>
        <w:t>о</w:t>
      </w:r>
      <w:r>
        <w:t>сит единообразный характер. Она гарантирует одинаковые условия для всех учащихся и студентов, зачисленных в школьные учреждения и национальные университеты, как государственные, так и частные».</w:t>
      </w:r>
    </w:p>
    <w:p w:rsidR="00000000" w:rsidRDefault="00000000">
      <w:pPr>
        <w:pStyle w:val="SingleTxt"/>
      </w:pPr>
      <w:r>
        <w:t>162.</w:t>
      </w:r>
      <w:r>
        <w:tab/>
        <w:t>Эти положения дополняются положениями статьи 5 того же закона, с</w:t>
      </w:r>
      <w:r>
        <w:t>о</w:t>
      </w:r>
      <w:r>
        <w:t>гласно которым «в областях будут открываться центры профессионально-технического обучения с учетом экономических возможностей каждой из них, с тем чтобы охватить максимальное число учащихся, которые не смогли пост</w:t>
      </w:r>
      <w:r>
        <w:t>у</w:t>
      </w:r>
      <w:r>
        <w:t>пить в среднюю школу».</w:t>
      </w:r>
    </w:p>
    <w:p w:rsidR="00000000" w:rsidRDefault="00000000">
      <w:pPr>
        <w:pStyle w:val="SingleTxt"/>
      </w:pPr>
      <w:r>
        <w:t>163.</w:t>
      </w:r>
      <w:r>
        <w:tab/>
        <w:t>Равноправие обоих полов на различных ступенях образования подтве</w:t>
      </w:r>
      <w:r>
        <w:t>р</w:t>
      </w:r>
      <w:r>
        <w:t>ждается также законом № 2001-054 от 19 июля 2001 года об обязательном н</w:t>
      </w:r>
      <w:r>
        <w:t>а</w:t>
      </w:r>
      <w:r>
        <w:t>чальном образовании, в статье 1 которого предусматривается, что «начальное образование является обязательным для детей обоих полов в возрасте от 6 (шести) до полных 14 (четырнадцати) лет с продолжительностью обучения не менее шести лет. Это обучение осуществляется в государственных и частных учреждениях, медресе и всех других учебных заведениях, получивших соо</w:t>
      </w:r>
      <w:r>
        <w:t>т</w:t>
      </w:r>
      <w:r>
        <w:t>ветствующее разрешение на такую деятельность».</w:t>
      </w:r>
    </w:p>
    <w:p w:rsidR="00000000" w:rsidRDefault="00000000">
      <w:pPr>
        <w:pStyle w:val="SingleTxt"/>
      </w:pPr>
      <w:r>
        <w:t>164.</w:t>
      </w:r>
      <w:r>
        <w:tab/>
        <w:t>Под эгидой Государственного секретариата по делам женщин была разр</w:t>
      </w:r>
      <w:r>
        <w:t>а</w:t>
      </w:r>
      <w:r>
        <w:t>ботана национальная политика в области развития детей в раннем возрасте, акцент в которой делается на различных аспектах поддержки этой социальной категории населения. Некоторые из этих аспектов касаются охвата детей в во</w:t>
      </w:r>
      <w:r>
        <w:t>з</w:t>
      </w:r>
      <w:r>
        <w:t>расте до восьми лет. Речь идет о возрастной группе, которая требует особого внимания.</w:t>
      </w:r>
    </w:p>
    <w:p w:rsidR="00000000" w:rsidRDefault="00000000">
      <w:pPr>
        <w:pStyle w:val="SingleTxt"/>
      </w:pPr>
      <w:r>
        <w:t>165.</w:t>
      </w:r>
      <w:r>
        <w:tab/>
        <w:t>В этой связи в рамках национальной политики в области развития детей в раннем возрасте особое внимание уделяется следующим аспектам: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неделимости прав ребенка;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недискриминационному подходу к детям в рамках программ, которые н</w:t>
      </w:r>
      <w:r>
        <w:t>а</w:t>
      </w:r>
      <w:r>
        <w:t>м</w:t>
      </w:r>
      <w:r>
        <w:t>е</w:t>
      </w:r>
      <w:r>
        <w:t>чено осуществить;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учету наилучших интересов детей во всей будущей деятельности;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уменьшению социального неравенства среди детей в возрасте до вос</w:t>
      </w:r>
      <w:r>
        <w:t>ь</w:t>
      </w:r>
      <w:r>
        <w:t>ми лет.</w:t>
      </w:r>
    </w:p>
    <w:p w:rsidR="00000000" w:rsidRDefault="00000000">
      <w:pPr>
        <w:pStyle w:val="SingleTxt"/>
      </w:pPr>
      <w:r>
        <w:t>166.</w:t>
      </w:r>
      <w:r>
        <w:tab/>
        <w:t>Принцип гендерного равенства официально соблюдается также на уровне программ, экзаменов, персонала и структур, имеющих отношение к учащимся и студентам. Кроме того, эти различные аспекты охватываются целым рядом статей в постановлении № 081-212 от 24 сентября 1981 года о статуте образ</w:t>
      </w:r>
      <w:r>
        <w:t>о</w:t>
      </w:r>
      <w:r>
        <w:t>вания. В пункте 1 статьи 11 вышеупомянутого постановления предусматрив</w:t>
      </w:r>
      <w:r>
        <w:t>а</w:t>
      </w:r>
      <w:r>
        <w:t>ется, что «программы и расписания занятий частных учебных заведений не должны отличаться (…) от программ и расписаний занятий соответствующих государственных учебных заведений».</w:t>
      </w:r>
    </w:p>
    <w:p w:rsidR="00000000" w:rsidRDefault="00000000">
      <w:pPr>
        <w:pStyle w:val="SingleTxt"/>
      </w:pPr>
      <w:r>
        <w:t>167.</w:t>
      </w:r>
      <w:r>
        <w:tab/>
        <w:t>В то же время в пункте 1 статьи 13 вышеуказанного постановления по</w:t>
      </w:r>
      <w:r>
        <w:t>д</w:t>
      </w:r>
      <w:r>
        <w:t>черкивается, что условия набора учащихся или слушателей в частные учебные заведения не должны «отличаться (…) от условий в соответствующих госуда</w:t>
      </w:r>
      <w:r>
        <w:t>р</w:t>
      </w:r>
      <w:r>
        <w:t>ственных учебных заведениях». В пункте 2 статьи 13 говорится также о том, что «при наборе учащихся или слушателей частные учебные заведения должны гарантировать, что эти учащиеся или слушатели смогут в нормальном режиме пройти предусмотренный курс обучения и получить диплом или удостовер</w:t>
      </w:r>
      <w:r>
        <w:t>е</w:t>
      </w:r>
      <w:r>
        <w:t>ние, обладателями которых они правомерно надеются стать по окончании об</w:t>
      </w:r>
      <w:r>
        <w:t>у</w:t>
      </w:r>
      <w:r>
        <w:t>чения».</w:t>
      </w:r>
    </w:p>
    <w:p w:rsidR="00000000" w:rsidRDefault="00000000">
      <w:pPr>
        <w:pStyle w:val="SingleTxt"/>
      </w:pPr>
      <w:r>
        <w:t>168.</w:t>
      </w:r>
      <w:r>
        <w:tab/>
        <w:t>Согласно пункту 1 статьи 14 того же постановления, контроль за частн</w:t>
      </w:r>
      <w:r>
        <w:t>ы</w:t>
      </w:r>
      <w:r>
        <w:t>ми учебными заведениями осуществляется «сотрудниками контролирующих органов, проверяющих деятельность в сфере начального, среднего и профе</w:t>
      </w:r>
      <w:r>
        <w:t>с</w:t>
      </w:r>
      <w:r>
        <w:t>сионально-технического образования, в области школьной гигиены и админ</w:t>
      </w:r>
      <w:r>
        <w:t>и</w:t>
      </w:r>
      <w:r>
        <w:t>стр</w:t>
      </w:r>
      <w:r>
        <w:t>а</w:t>
      </w:r>
      <w:r>
        <w:t>ции».</w:t>
      </w:r>
    </w:p>
    <w:p w:rsidR="00000000" w:rsidRDefault="00000000">
      <w:pPr>
        <w:pStyle w:val="SingleTxt"/>
      </w:pPr>
      <w:r>
        <w:t>169.</w:t>
      </w:r>
      <w:r>
        <w:tab/>
        <w:t>Согласно пункту 2 статьи 14, осуществляется контроль «за педагогич</w:t>
      </w:r>
      <w:r>
        <w:t>е</w:t>
      </w:r>
      <w:r>
        <w:t>ской работой, соблюдением правил гигиены и обеспечением безопасности, с тем чтобы гарантировать учащимся хорошие материальные условия и морал</w:t>
      </w:r>
      <w:r>
        <w:t>ь</w:t>
      </w:r>
      <w:r>
        <w:t>ную атмосферу в процессе обучения». Во избежание любой возможности пр</w:t>
      </w:r>
      <w:r>
        <w:t>о</w:t>
      </w:r>
      <w:r>
        <w:t>явления необъективности, которая может подорвать с таким трудом выноше</w:t>
      </w:r>
      <w:r>
        <w:t>н</w:t>
      </w:r>
      <w:r>
        <w:t>ный принцип равенства, в статье 15 этого постановления оговаривается, что «частные учебные заведения не могут выдавать дипломы, поскольку мон</w:t>
      </w:r>
      <w:r>
        <w:t>о</w:t>
      </w:r>
      <w:r>
        <w:t>польное право на предоставление аттестатов принадлежит государству». Кроме того, эти заведения «обязаны подвергать своих учащихся открытым экзаменам (…)» (ст</w:t>
      </w:r>
      <w:r>
        <w:t>а</w:t>
      </w:r>
      <w:r>
        <w:t>тья 16).</w:t>
      </w:r>
    </w:p>
    <w:p w:rsidR="00000000" w:rsidRDefault="00000000">
      <w:pPr>
        <w:pStyle w:val="SingleTxt"/>
      </w:pPr>
      <w:r>
        <w:t>170.</w:t>
      </w:r>
      <w:r>
        <w:tab/>
        <w:t>Стремление к обеспечению гендерного равенства в отношении программ и в других сферах находит подтверждение также в законе № 099-012 от 26 апреля 1999 года о реформе системы образования.</w:t>
      </w:r>
    </w:p>
    <w:p w:rsidR="00000000" w:rsidRDefault="00000000">
      <w:pPr>
        <w:pStyle w:val="SingleTxt"/>
      </w:pPr>
      <w:r>
        <w:t>171.</w:t>
      </w:r>
      <w:r>
        <w:tab/>
        <w:t>В этой связи в статье 6 вышеупомянутого закона предусматривается, что «первый цикл среднего образования охватывает четырехгодичный период, с тем чтобы лучше подготовить проходящих этот курс учащихся либо к продо</w:t>
      </w:r>
      <w:r>
        <w:t>л</w:t>
      </w:r>
      <w:r>
        <w:t>жению их учебы на втором этапе среднего образования, либо к поступлению в профессионально-технические школы и центры среднего звена».</w:t>
      </w:r>
    </w:p>
    <w:p w:rsidR="00000000" w:rsidRDefault="00000000">
      <w:pPr>
        <w:pStyle w:val="SingleTxt"/>
      </w:pPr>
      <w:r>
        <w:t>172.</w:t>
      </w:r>
      <w:r>
        <w:tab/>
        <w:t>Эти положения дополняются статьей 9, которая предусматривает, что «по завершении четвертого года первого цикла среднего образования учащиеся, перешедшие в следующий класс, специализируются, в соответствии со своей у</w:t>
      </w:r>
      <w:r>
        <w:t>с</w:t>
      </w:r>
      <w:r>
        <w:t>певаемостью, по одному из следующих направлений профильного обучения: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классическая литература;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современная литература;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естественные науки;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математика;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технические науки».</w:t>
      </w:r>
    </w:p>
    <w:p w:rsidR="00000000" w:rsidRDefault="00000000">
      <w:pPr>
        <w:pStyle w:val="SingleTxt"/>
      </w:pPr>
      <w:r>
        <w:t>173.</w:t>
      </w:r>
      <w:r>
        <w:tab/>
        <w:t>В законе № 2001-054 об обязательном начальном образовании в дополн</w:t>
      </w:r>
      <w:r>
        <w:t>е</w:t>
      </w:r>
      <w:r>
        <w:t>ние к положениям статьи 1, когда речь идет об условиях приема в школьные заведения, подчеркивается, что «дети, которые проживают в населенных пун</w:t>
      </w:r>
      <w:r>
        <w:t>к</w:t>
      </w:r>
      <w:r>
        <w:t>тах, не имеющих собственных учебных заведений, принимаются по просьбе соответствующих административных муниципальных и школьных органов в ближайшие школы». В соответствии с этим законом положение с дошкольным обучением детей в раннем возрасте обусловлено наличием и созданием де</w:t>
      </w:r>
      <w:r>
        <w:t>т</w:t>
      </w:r>
      <w:r>
        <w:t>ских садов, расширением сети учреждений для таких детей, а также подгото</w:t>
      </w:r>
      <w:r>
        <w:t>в</w:t>
      </w:r>
      <w:r>
        <w:t>кой и обучением кадров, отвечающих за процесс развития этих детей.</w:t>
      </w:r>
    </w:p>
    <w:p w:rsidR="00000000" w:rsidRDefault="00000000">
      <w:pPr>
        <w:pStyle w:val="SingleTxt"/>
      </w:pPr>
      <w:r>
        <w:t>174.</w:t>
      </w:r>
      <w:r>
        <w:tab/>
        <w:t>Кроме того, в 2003 году при поддержке ЮНИСЕФ в стране введен в де</w:t>
      </w:r>
      <w:r>
        <w:t>й</w:t>
      </w:r>
      <w:r>
        <w:t>ствие Центр обучения детей в раннем возрасте — национальное ведомство, о</w:t>
      </w:r>
      <w:r>
        <w:t>т</w:t>
      </w:r>
      <w:r>
        <w:t>вечающее за подготовку кадров, работающих с детьми младшего возраста, к</w:t>
      </w:r>
      <w:r>
        <w:t>о</w:t>
      </w:r>
      <w:r>
        <w:t>торое уже имеет в своем активе целый ряд реализованных проектов, призва</w:t>
      </w:r>
      <w:r>
        <w:t>н</w:t>
      </w:r>
      <w:r>
        <w:t>ных способствовать процессу воспитания детей в раннем возрасте. Речь идет о проектах, предусматривающих: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обучение 65 общественных инструкторов в Киффе и еще 32 — в Канко</w:t>
      </w:r>
      <w:r>
        <w:t>с</w:t>
      </w:r>
      <w:r>
        <w:t>се;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обучение 53 воспитательниц детских садов;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обучение 120 сменных общественных инструкторов до августа 2005 года.</w:t>
      </w:r>
    </w:p>
    <w:p w:rsidR="00000000" w:rsidRDefault="00000000">
      <w:pPr>
        <w:pStyle w:val="SingleTxt"/>
      </w:pPr>
      <w:r>
        <w:t>175.</w:t>
      </w:r>
      <w:r>
        <w:tab/>
        <w:t>В целях обеспечения учащимся и студентам нормальных условий обуч</w:t>
      </w:r>
      <w:r>
        <w:t>е</w:t>
      </w:r>
      <w:r>
        <w:t>ния государство предоставляет некоторым категориям лиц стипендии. Это к</w:t>
      </w:r>
      <w:r>
        <w:t>а</w:t>
      </w:r>
      <w:r>
        <w:t>сается таких категорий учащихся и студентов, как выходцы из неимущих с</w:t>
      </w:r>
      <w:r>
        <w:t>е</w:t>
      </w:r>
      <w:r>
        <w:t>мей, и тех, кто приехал на учебу из других областей, а также тех, кто отправл</w:t>
      </w:r>
      <w:r>
        <w:t>я</w:t>
      </w:r>
      <w:r>
        <w:t>ется учиться в зарубежные университеты.</w:t>
      </w:r>
    </w:p>
    <w:p w:rsidR="00000000" w:rsidRDefault="00000000">
      <w:pPr>
        <w:pStyle w:val="SingleTxt"/>
      </w:pPr>
      <w:r>
        <w:t>176.</w:t>
      </w:r>
      <w:r>
        <w:tab/>
        <w:t>В министерстве национального образования создана Национальная к</w:t>
      </w:r>
      <w:r>
        <w:t>о</w:t>
      </w:r>
      <w:r>
        <w:t>миссия по распределению стипендий, которая выделяет стипендии в соотве</w:t>
      </w:r>
      <w:r>
        <w:t>т</w:t>
      </w:r>
      <w:r>
        <w:t>ствии с объективными критериями на основе принципов транспарентности и равенства без дискриминации по признаку пола.</w:t>
      </w: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Таблица 2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Показатели посещаемости школ в разбивке по половому признаку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(Процентная доля лиц, (действительно) проживающих в домашних хозяйствах, в возрасте от 6 до 24 лет, которые официально посещают школу, в разбивке по месту жительства и некоторым социо-демографическим характеристикам, по данным проведенного в Мавритании в 2000–2001 годах обследования по вопросам народонаселения и здравоохранения)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30"/>
        <w:gridCol w:w="1830"/>
        <w:gridCol w:w="1830"/>
        <w:gridCol w:w="189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18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Возрастная группа</w:t>
            </w:r>
          </w:p>
        </w:tc>
        <w:tc>
          <w:tcPr>
            <w:tcW w:w="18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Городское население</w:t>
            </w:r>
          </w:p>
        </w:tc>
        <w:tc>
          <w:tcPr>
            <w:tcW w:w="18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Сельское население</w:t>
            </w:r>
          </w:p>
        </w:tc>
        <w:tc>
          <w:tcPr>
            <w:tcW w:w="189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Совокупный показатель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89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>От 6 до 11 лет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Мальчики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60,4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37,1</w:t>
            </w:r>
          </w:p>
        </w:tc>
        <w:tc>
          <w:tcPr>
            <w:tcW w:w="1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45,9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Девочки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57,5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33,6</w:t>
            </w:r>
          </w:p>
        </w:tc>
        <w:tc>
          <w:tcPr>
            <w:tcW w:w="1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42,4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Соотношение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104,9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110,4</w:t>
            </w:r>
          </w:p>
        </w:tc>
        <w:tc>
          <w:tcPr>
            <w:tcW w:w="1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108,4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>От 12 до 17 лет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Юноши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68,7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39,8</w:t>
            </w:r>
          </w:p>
        </w:tc>
        <w:tc>
          <w:tcPr>
            <w:tcW w:w="1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52,3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Девушки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66,0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29,1</w:t>
            </w:r>
          </w:p>
        </w:tc>
        <w:tc>
          <w:tcPr>
            <w:tcW w:w="1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44,8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Соотношение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104,0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137,0</w:t>
            </w:r>
          </w:p>
        </w:tc>
        <w:tc>
          <w:tcPr>
            <w:tcW w:w="1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116,8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>От 6 до 17 лет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Мальчики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64,2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38,2</w:t>
            </w:r>
          </w:p>
        </w:tc>
        <w:tc>
          <w:tcPr>
            <w:tcW w:w="1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48,6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Девочки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61,7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31,7</w:t>
            </w:r>
          </w:p>
        </w:tc>
        <w:tc>
          <w:tcPr>
            <w:tcW w:w="1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43,4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Соотношение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104,0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120,6</w:t>
            </w:r>
          </w:p>
        </w:tc>
        <w:tc>
          <w:tcPr>
            <w:tcW w:w="1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111,9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>От 18 до 21 года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Мужчины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39,2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16,7</w:t>
            </w:r>
          </w:p>
        </w:tc>
        <w:tc>
          <w:tcPr>
            <w:tcW w:w="1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29,1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Женщины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35,6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9,3</w:t>
            </w:r>
          </w:p>
        </w:tc>
        <w:tc>
          <w:tcPr>
            <w:tcW w:w="1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21,9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Соотношение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110,2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181,0</w:t>
            </w:r>
          </w:p>
        </w:tc>
        <w:tc>
          <w:tcPr>
            <w:tcW w:w="1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132,9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>От 22 до 24 лет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Мужчины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23,9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8,4</w:t>
            </w:r>
          </w:p>
        </w:tc>
        <w:tc>
          <w:tcPr>
            <w:tcW w:w="1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Женщины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16,4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4,1</w:t>
            </w:r>
          </w:p>
        </w:tc>
        <w:tc>
          <w:tcPr>
            <w:tcW w:w="1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Соотношение</w:t>
            </w:r>
          </w:p>
        </w:tc>
        <w:tc>
          <w:tcPr>
            <w:tcW w:w="18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145,5</w:t>
            </w:r>
          </w:p>
        </w:tc>
        <w:tc>
          <w:tcPr>
            <w:tcW w:w="18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205,8</w:t>
            </w:r>
          </w:p>
        </w:tc>
        <w:tc>
          <w:tcPr>
            <w:tcW w:w="189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182,7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177.</w:t>
      </w:r>
      <w:r>
        <w:tab/>
        <w:t>Борьбе с неграмотностью в Мавритании в значительной мере способств</w:t>
      </w:r>
      <w:r>
        <w:t>у</w:t>
      </w:r>
      <w:r>
        <w:t>ет система базового образования. Обучение такого рода осуществляется в шк</w:t>
      </w:r>
      <w:r>
        <w:t>о</w:t>
      </w:r>
      <w:r>
        <w:t>лах неформальной системы образования, называемых медресе. К тому же в этих школах ведется дошкольное обучение, поскольку их посещают дети младшего возраста.</w:t>
      </w:r>
    </w:p>
    <w:p w:rsidR="00000000" w:rsidRDefault="00000000">
      <w:pPr>
        <w:pStyle w:val="SingleTxt"/>
      </w:pPr>
      <w:r>
        <w:t>178.</w:t>
      </w:r>
      <w:r>
        <w:tab/>
        <w:t>Государство проводит соответствующие мероприятия, призванные сп</w:t>
      </w:r>
      <w:r>
        <w:t>о</w:t>
      </w:r>
      <w:r>
        <w:t>собствовать позитивному вкладу базового образования в дело борьбы с негр</w:t>
      </w:r>
      <w:r>
        <w:t>а</w:t>
      </w:r>
      <w:r>
        <w:t>мотностью. Именно поэтому создан ведомственный департамент по борьбе с неграмотностью, исламской ориентации и базовому образованию, который з</w:t>
      </w:r>
      <w:r>
        <w:t>а</w:t>
      </w:r>
      <w:r>
        <w:t>нимается координацией и осуществлением рекомендованных мер.</w:t>
      </w:r>
    </w:p>
    <w:p w:rsidR="00000000" w:rsidRDefault="00000000">
      <w:pPr>
        <w:pStyle w:val="SingleTxt"/>
      </w:pPr>
      <w:r>
        <w:t>179.</w:t>
      </w:r>
      <w:r>
        <w:tab/>
        <w:t>Сегодня женщины Мавритании пользуются возможностью участвовать в широко развернутой кампании по борьбе с неграмотностью (2004–2006 годы), которую ведет этот департамент и которая призвана навсегда ликвидировать неграмотность среди всех слоев общества на всей территории страны.</w:t>
      </w:r>
    </w:p>
    <w:p w:rsidR="00000000" w:rsidRDefault="00000000">
      <w:pPr>
        <w:pStyle w:val="SingleTxt"/>
      </w:pPr>
      <w:r>
        <w:t>180.</w:t>
      </w:r>
      <w:r>
        <w:tab/>
        <w:t>Следует отметить, что благодаря осуществлению широкой программы по открытию читальных залов и проведению кампаний по обеспечению функци</w:t>
      </w:r>
      <w:r>
        <w:t>о</w:t>
      </w:r>
      <w:r>
        <w:t>нальной грамотности, охватывающих целевые категории населения (женщины, сельские жители…) в деле обучения женщин грамоте достигнут значительный прогресс. Однако в различных географических районах по</w:t>
      </w:r>
      <w:r>
        <w:noBreakHyphen/>
        <w:t>прежнему набл</w:t>
      </w:r>
      <w:r>
        <w:t>ю</w:t>
      </w:r>
      <w:r>
        <w:t>даются существенные расхождения между показателями грамотности среди мужчин и же</w:t>
      </w:r>
      <w:r>
        <w:t>н</w:t>
      </w:r>
      <w:r>
        <w:t>щин.</w:t>
      </w:r>
    </w:p>
    <w:p w:rsidR="00000000" w:rsidRDefault="00000000">
      <w:pPr>
        <w:pStyle w:val="SingleTxt"/>
      </w:pPr>
      <w:r>
        <w:t>181.</w:t>
      </w:r>
      <w:r>
        <w:tab/>
        <w:t>Хотя показатели грамотности среди женщин в возрасте свыше 10 лет, н</w:t>
      </w:r>
      <w:r>
        <w:t>е</w:t>
      </w:r>
      <w:r>
        <w:t>сомненно, возросли — с 30 процентов в 1988 году до 45,3 процента в 2000 г</w:t>
      </w:r>
      <w:r>
        <w:t>о</w:t>
      </w:r>
      <w:r>
        <w:t>ду, они по</w:t>
      </w:r>
      <w:r>
        <w:noBreakHyphen/>
        <w:t>прежнему отстают от показателей грамотности среди мужчин (пр</w:t>
      </w:r>
      <w:r>
        <w:t>и</w:t>
      </w:r>
      <w:r>
        <w:t>мерно 60 процентов). Разрыв увеличивается и по регионам. Так, в 2000 году показатели грамотности среди женщин соста</w:t>
      </w:r>
      <w:r>
        <w:t>в</w:t>
      </w:r>
      <w:r>
        <w:t>ляли: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68,4 процента в Нуакшоте (административная столица);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69,5 процента в Нуадибу (экономическая столица);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38,1 процента в области Ход-эль-Гарби;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28 процентов в области Гидимака;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20 процентов в области Куркул.</w:t>
      </w:r>
    </w:p>
    <w:p w:rsidR="00000000" w:rsidRDefault="00000000">
      <w:pPr>
        <w:pStyle w:val="SingleTxt"/>
      </w:pPr>
      <w:r>
        <w:t>182.</w:t>
      </w:r>
      <w:r>
        <w:tab/>
        <w:t>Столь низкие показатели грамотности были частично обусловлены огр</w:t>
      </w:r>
      <w:r>
        <w:t>а</w:t>
      </w:r>
      <w:r>
        <w:t>ниченным до сравнительно недавнего времени доступом женской части нас</w:t>
      </w:r>
      <w:r>
        <w:t>е</w:t>
      </w:r>
      <w:r>
        <w:t>ления к образованию, а также сохранением достаточно высоких общих показ</w:t>
      </w:r>
      <w:r>
        <w:t>а</w:t>
      </w:r>
      <w:r>
        <w:t>телей отсева в начальных школах, причем в большей степени это касается д</w:t>
      </w:r>
      <w:r>
        <w:t>е</w:t>
      </w:r>
      <w:r>
        <w:t>вочек, чем мальчиков. Эта тенденция по</w:t>
      </w:r>
      <w:r>
        <w:noBreakHyphen/>
        <w:t>прежнему довольно четко прослеж</w:t>
      </w:r>
      <w:r>
        <w:t>и</w:t>
      </w:r>
      <w:r>
        <w:t>вается в сельской местности. Результаты одного из обследований показывают также, что в сельских районах с дождевым орошением большинство домашних работников составляют женщины (58,5 процента) и что 41,1 процента из них никогда не посещали школу. Среди работников-мужчин этот показатель с</w:t>
      </w:r>
      <w:r>
        <w:t>о</w:t>
      </w:r>
      <w:r>
        <w:t>ставляет 19,7 процента (обследование сельских домашних хозяйств и земл</w:t>
      </w:r>
      <w:r>
        <w:t>е</w:t>
      </w:r>
      <w:r>
        <w:t>владельцев, 2000–2001 годы).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Таблица 3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Неграмотность в разбивке по признаку пола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(Доля неграмотных женщин в возрасте 15–49 лет и мужчин в возрасте</w:t>
      </w:r>
      <w:r>
        <w:br/>
        <w:t>15–59 лет в разбивке по определенным социально-демографическим показателям, ДМОМ, 2000–2001 годы)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20"/>
        <w:gridCol w:w="1426"/>
        <w:gridCol w:w="1424"/>
        <w:gridCol w:w="2"/>
        <w:gridCol w:w="68"/>
        <w:gridCol w:w="1358"/>
        <w:gridCol w:w="1422"/>
        <w:gridCol w:w="4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cantSplit/>
          <w:tblHeader/>
        </w:trPr>
        <w:tc>
          <w:tcPr>
            <w:tcW w:w="1620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Уровень образования</w:t>
            </w:r>
          </w:p>
        </w:tc>
        <w:tc>
          <w:tcPr>
            <w:tcW w:w="5700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Социально-демографические показатели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cantSplit/>
          <w:tblHeader/>
        </w:trPr>
        <w:tc>
          <w:tcPr>
            <w:tcW w:w="1620" w:type="dxa"/>
            <w:vMerge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</w:p>
        </w:tc>
        <w:tc>
          <w:tcPr>
            <w:tcW w:w="2850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7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</w:p>
        </w:tc>
        <w:tc>
          <w:tcPr>
            <w:tcW w:w="2780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620" w:type="dxa"/>
            <w:vMerge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</w:p>
        </w:tc>
        <w:tc>
          <w:tcPr>
            <w:tcW w:w="142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Процент</w:t>
            </w:r>
          </w:p>
        </w:tc>
        <w:tc>
          <w:tcPr>
            <w:tcW w:w="1426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Численность</w:t>
            </w:r>
          </w:p>
        </w:tc>
        <w:tc>
          <w:tcPr>
            <w:tcW w:w="1426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Процент</w:t>
            </w:r>
          </w:p>
        </w:tc>
        <w:tc>
          <w:tcPr>
            <w:tcW w:w="1426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Численность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162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42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426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426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426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Нулевой</w:t>
            </w:r>
          </w:p>
        </w:tc>
        <w:tc>
          <w:tcPr>
            <w:tcW w:w="142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93,6</w:t>
            </w:r>
          </w:p>
        </w:tc>
        <w:tc>
          <w:tcPr>
            <w:tcW w:w="1426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2 357</w:t>
            </w:r>
          </w:p>
        </w:tc>
        <w:tc>
          <w:tcPr>
            <w:tcW w:w="1426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94,6</w:t>
            </w:r>
          </w:p>
        </w:tc>
        <w:tc>
          <w:tcPr>
            <w:tcW w:w="1426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464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Духовное</w:t>
            </w:r>
          </w:p>
        </w:tc>
        <w:tc>
          <w:tcPr>
            <w:tcW w:w="142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57,8</w:t>
            </w:r>
          </w:p>
        </w:tc>
        <w:tc>
          <w:tcPr>
            <w:tcW w:w="1426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2 072</w:t>
            </w:r>
          </w:p>
        </w:tc>
        <w:tc>
          <w:tcPr>
            <w:tcW w:w="1426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46,6</w:t>
            </w:r>
          </w:p>
        </w:tc>
        <w:tc>
          <w:tcPr>
            <w:tcW w:w="1426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417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Начальное</w:t>
            </w:r>
          </w:p>
        </w:tc>
        <w:tc>
          <w:tcPr>
            <w:tcW w:w="142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32,9</w:t>
            </w:r>
          </w:p>
        </w:tc>
        <w:tc>
          <w:tcPr>
            <w:tcW w:w="1426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2 146</w:t>
            </w:r>
          </w:p>
        </w:tc>
        <w:tc>
          <w:tcPr>
            <w:tcW w:w="1426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23,4</w:t>
            </w:r>
          </w:p>
        </w:tc>
        <w:tc>
          <w:tcPr>
            <w:tcW w:w="1426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566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2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Среднее или +</w:t>
            </w:r>
          </w:p>
        </w:tc>
        <w:tc>
          <w:tcPr>
            <w:tcW w:w="142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–</w:t>
            </w:r>
          </w:p>
        </w:tc>
        <w:tc>
          <w:tcPr>
            <w:tcW w:w="1426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1 153</w:t>
            </w:r>
          </w:p>
        </w:tc>
        <w:tc>
          <w:tcPr>
            <w:tcW w:w="1426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–</w:t>
            </w:r>
          </w:p>
        </w:tc>
        <w:tc>
          <w:tcPr>
            <w:tcW w:w="1426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745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183.</w:t>
      </w:r>
      <w:r>
        <w:tab/>
        <w:t>Поэтому с целью снизить уровень школьного отсева государственные и частные субъекты предпринимают шаги по сокращению масштабов этого я</w:t>
      </w:r>
      <w:r>
        <w:t>в</w:t>
      </w:r>
      <w:r>
        <w:t>ления. Так, в процессе реализации проекта Нутриком осуществляется набор женщин, имеющих свидетельства, аттестаты или равнозначные им дипломы, с тем чтобы обеспечить некоторое сокращение масштабов школьного отсева. Эта политика предусматривает обучение женщин работе в соответствующих це</w:t>
      </w:r>
      <w:r>
        <w:t>н</w:t>
      </w:r>
      <w:r>
        <w:t>трах, с тем чтобы в дальнейшем они, пройдя конкурсные экзамены, могли р</w:t>
      </w:r>
      <w:r>
        <w:t>а</w:t>
      </w:r>
      <w:r>
        <w:t>ботать учителями начальных классов.</w:t>
      </w:r>
    </w:p>
    <w:p w:rsidR="00000000" w:rsidRDefault="00000000">
      <w:pPr>
        <w:pStyle w:val="SingleTxt"/>
      </w:pPr>
      <w:r>
        <w:t>184.</w:t>
      </w:r>
      <w:r>
        <w:tab/>
        <w:t>В области спорта правительство уделяет особое внимание физическому воспитанию. Подтверждением этой тенденции стало недавнее принятие н</w:t>
      </w:r>
      <w:r>
        <w:t>а</w:t>
      </w:r>
      <w:r>
        <w:t>циональной стратегии развития спорта в Мавритании. Среди намеченных ц</w:t>
      </w:r>
      <w:r>
        <w:t>е</w:t>
      </w:r>
      <w:r>
        <w:t>лей можно отметить следующие: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повышение значимости всестороннего и гармоничного развития жителей Мавритании;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обеспечение доступа молодых людей, девушек и подростков к активному гражданству в полном объеме, с тем чтобы они могли участвовать в ус</w:t>
      </w:r>
      <w:r>
        <w:t>и</w:t>
      </w:r>
      <w:r>
        <w:t>лиях по достижению целей в области развития, сформулированных в Декларации тысячелетия;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содействие шагам по мобилизации молодежи с помощью массового спо</w:t>
      </w:r>
      <w:r>
        <w:t>р</w:t>
      </w:r>
      <w:r>
        <w:t>та, улучшения спортивной работы и защиты спортсм</w:t>
      </w:r>
      <w:r>
        <w:t>е</w:t>
      </w:r>
      <w:r>
        <w:t>нов.</w:t>
      </w:r>
    </w:p>
    <w:p w:rsidR="00000000" w:rsidRDefault="00000000">
      <w:pPr>
        <w:pStyle w:val="SingleTxt"/>
      </w:pPr>
      <w:r>
        <w:t>185.</w:t>
      </w:r>
      <w:r>
        <w:tab/>
        <w:t>Эта стратегия будет, в частности, содействовать: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продвижению эффективных программ физического воспитания всей м</w:t>
      </w:r>
      <w:r>
        <w:t>о</w:t>
      </w:r>
      <w:r>
        <w:t>лодежи школьного возраста;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сокращению масштабов ухудшения физического здоровья населения и национальной системы здравоохранения;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пропаганде здорового отдыха.</w:t>
      </w:r>
    </w:p>
    <w:p w:rsidR="00000000" w:rsidRDefault="00000000">
      <w:pPr>
        <w:pStyle w:val="SingleTxt"/>
      </w:pPr>
      <w:r>
        <w:t>186.</w:t>
      </w:r>
      <w:r>
        <w:tab/>
        <w:t>Наконец, вопросам здоровья и благополучия семьи уделяется постоянное внимание в процессе гражданского воспитания, а также путем подготовки н</w:t>
      </w:r>
      <w:r>
        <w:t>а</w:t>
      </w:r>
      <w:r>
        <w:t>циональными средствами массовой информации материалов, посвященных этим вопросам.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IX.</w:t>
      </w:r>
      <w:r>
        <w:tab/>
        <w:t>Равные права на трудоустройство и труд (статья 11)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187.</w:t>
      </w:r>
      <w:r>
        <w:tab/>
        <w:t>Статья 12 конституции гарантирует всеобщее право на доступ к госуда</w:t>
      </w:r>
      <w:r>
        <w:t>р</w:t>
      </w:r>
      <w:r>
        <w:t>ственной службе. Так, согласно статье 15 закона 093-009 от 18 января 1993 года об общем статусе государственных служащих и лиц, работающих по контракту, «не должно проводиться никакого различия между сотрудниками на основании их взглядов, пола или расовой принадлежности». В соответствии со стат</w:t>
      </w:r>
      <w:r>
        <w:t>ь</w:t>
      </w:r>
      <w:r>
        <w:t>ей 105 того же закона эти положения распространяются и на лиц, работающих по контракту. Аналогичные положения содержатся также в коллективном тр</w:t>
      </w:r>
      <w:r>
        <w:t>у</w:t>
      </w:r>
      <w:r>
        <w:t>довом договоре и в трудовом кодексе, принятом совсем недавно, в 2004 году.</w:t>
      </w:r>
    </w:p>
    <w:p w:rsidR="00000000" w:rsidRDefault="00000000">
      <w:pPr>
        <w:pStyle w:val="SingleTxt"/>
      </w:pPr>
      <w:r>
        <w:t>188.</w:t>
      </w:r>
      <w:r>
        <w:tab/>
        <w:t>На практике органы государственной власти опираются на положения декрета № 96-021 от 19 марта 1996 года, устанавливающего состав и методы организации и функционирования Национальной конкурсной комиссии. Дейс</w:t>
      </w:r>
      <w:r>
        <w:t>т</w:t>
      </w:r>
      <w:r>
        <w:t>вующая при премьер-министре комиссия, которая обладает административной автономией, призвана «следить за транспарентностью конкурсного отбора г</w:t>
      </w:r>
      <w:r>
        <w:t>о</w:t>
      </w:r>
      <w:r>
        <w:t>сударственных служащих на административные должности» (ст. 2).</w:t>
      </w:r>
    </w:p>
    <w:p w:rsidR="00000000" w:rsidRDefault="00000000">
      <w:pPr>
        <w:pStyle w:val="SingleTxt"/>
      </w:pPr>
      <w:r>
        <w:t>189.</w:t>
      </w:r>
      <w:r>
        <w:tab/>
        <w:t>В соответствии с духом конституции и предусмотренным ею четким п</w:t>
      </w:r>
      <w:r>
        <w:t>о</w:t>
      </w:r>
      <w:r>
        <w:t>ложением о том, что ограничения в приеме на государственную службу «уст</w:t>
      </w:r>
      <w:r>
        <w:t>а</w:t>
      </w:r>
      <w:r>
        <w:t>навливает только закон» (ст. 12), и с целью гарантировать всеобщий доступ к продвижению по службе без каких бы то ни было различий женщинам предо</w:t>
      </w:r>
      <w:r>
        <w:t>с</w:t>
      </w:r>
      <w:r>
        <w:t>тавлена возможность обучаться в любом профессионально-техническом уче</w:t>
      </w:r>
      <w:r>
        <w:t>б</w:t>
      </w:r>
      <w:r>
        <w:t>ном заведении для прохождения курса профессиональной подготовки, пер</w:t>
      </w:r>
      <w:r>
        <w:t>е</w:t>
      </w:r>
      <w:r>
        <w:t>подготовки, повышения квалификации или дополнительной подг</w:t>
      </w:r>
      <w:r>
        <w:t>о</w:t>
      </w:r>
      <w:r>
        <w:t>товки.</w:t>
      </w:r>
    </w:p>
    <w:p w:rsidR="00000000" w:rsidRDefault="00000000">
      <w:pPr>
        <w:pStyle w:val="SingleTxt"/>
      </w:pPr>
      <w:r>
        <w:t>190.</w:t>
      </w:r>
      <w:r>
        <w:tab/>
        <w:t>Так, Высший центр технической подготовки (ВЦТП), центры подготовки и повышения квалификации (ЦППК), технический лицей, коммерческий лицей и многие другие учебные заведения доступны для женщин без какой бы то ни было дискриминации. В этой связи следует отметить, что на долю женщин приходится 26 процентов лиц, получивших дипломы в 2000–2001 годах, и 29 процентов лиц, поступивших во все профессионально-технические учебные заведения страны в 2001–2002 годах.</w:t>
      </w:r>
    </w:p>
    <w:p w:rsidR="00000000" w:rsidRDefault="00000000">
      <w:pPr>
        <w:pStyle w:val="SingleTxt"/>
      </w:pPr>
      <w:r>
        <w:t>191.</w:t>
      </w:r>
      <w:r>
        <w:tab/>
        <w:t>Работающие женщины имеют во всех отношениях равные с мужчинами права в области вознаграждения за труд и оценки его качества.</w:t>
      </w:r>
    </w:p>
    <w:p w:rsidR="00000000" w:rsidRDefault="00000000">
      <w:pPr>
        <w:pStyle w:val="SingleTxt"/>
      </w:pPr>
      <w:r>
        <w:t>192.</w:t>
      </w:r>
      <w:r>
        <w:tab/>
        <w:t>С этой целью мавританское законодательство закрепляет право на удовл</w:t>
      </w:r>
      <w:r>
        <w:t>е</w:t>
      </w:r>
      <w:r>
        <w:t>творительные условия труда. Кроме того, статут государственной службы з</w:t>
      </w:r>
      <w:r>
        <w:t>а</w:t>
      </w:r>
      <w:r>
        <w:t>крепляет право на вознаграждение, а декрет 99.01 от 11 января 1999 года уст</w:t>
      </w:r>
      <w:r>
        <w:t>а</w:t>
      </w:r>
      <w:r>
        <w:t>навливает режим вознаграждения государственных служащих. В соответствии с этим декретом размер вознаграждения определяется с учетом следующих с</w:t>
      </w:r>
      <w:r>
        <w:t>о</w:t>
      </w:r>
      <w:r>
        <w:t>ставляющих: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базовая зарплата;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дополнительные выплаты;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пособия и премии;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семейные пособия.</w:t>
      </w:r>
    </w:p>
    <w:p w:rsidR="00000000" w:rsidRDefault="00000000">
      <w:pPr>
        <w:pStyle w:val="SingleTxt"/>
      </w:pPr>
      <w:r>
        <w:t>193.</w:t>
      </w:r>
      <w:r>
        <w:tab/>
        <w:t>Статья 3 декрета 99.01 от 11 января 1999 года устанавливает методы по</w:t>
      </w:r>
      <w:r>
        <w:t>д</w:t>
      </w:r>
      <w:r>
        <w:t>счета базового оклада, корректива по месту службы, состав дополнительных надбавок, систему классификации должностей и соответствующие уровни. Г</w:t>
      </w:r>
      <w:r>
        <w:t>о</w:t>
      </w:r>
      <w:r>
        <w:t>сударственные служащие получают следующие надбавки и выплаты: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специальные должностные надбавки;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надбавки за работу в трудных условиях;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поощрительные выплаты;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надбавки на жилье;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надбавки на прислугу;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надбавки за дополнительную специализацию.</w:t>
      </w:r>
    </w:p>
    <w:p w:rsidR="00000000" w:rsidRDefault="00000000">
      <w:pPr>
        <w:pStyle w:val="SingleTxt"/>
      </w:pPr>
      <w:r>
        <w:t>194.</w:t>
      </w:r>
      <w:r>
        <w:tab/>
        <w:t>Государственные служащие делятся на категории A, B, C и лиц, работа</w:t>
      </w:r>
      <w:r>
        <w:t>ю</w:t>
      </w:r>
      <w:r>
        <w:t>щих по контракту. Размер зарплаты (базовый оклад и дополнительные надба</w:t>
      </w:r>
      <w:r>
        <w:t>в</w:t>
      </w:r>
      <w:r>
        <w:t>ки), за исключением надбавок и поощрительных выплат, явл</w:t>
      </w:r>
      <w:r>
        <w:t>я</w:t>
      </w:r>
      <w:r>
        <w:t>ется следующим: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36"/>
        <w:gridCol w:w="1854"/>
        <w:gridCol w:w="183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36" w:type="dxa"/>
          </w:tcPr>
          <w:p w:rsidR="00000000" w:rsidRDefault="00000000">
            <w:pPr>
              <w:pStyle w:val="DualTxt"/>
              <w:jc w:val="left"/>
            </w:pPr>
            <w:r>
              <w:tab/>
              <w:t>Категория A</w:t>
            </w:r>
          </w:p>
        </w:tc>
        <w:tc>
          <w:tcPr>
            <w:tcW w:w="1854" w:type="dxa"/>
          </w:tcPr>
          <w:p w:rsidR="00000000" w:rsidRDefault="00000000">
            <w:pPr>
              <w:pStyle w:val="DualTxt"/>
              <w:jc w:val="center"/>
            </w:pPr>
            <w:r>
              <w:t>19 483–51 806</w:t>
            </w:r>
          </w:p>
        </w:tc>
        <w:tc>
          <w:tcPr>
            <w:tcW w:w="1831" w:type="dxa"/>
          </w:tcPr>
          <w:p w:rsidR="00000000" w:rsidRDefault="00000000">
            <w:pPr>
              <w:pStyle w:val="DualTxt"/>
            </w:pPr>
            <w:r>
              <w:t>(индекс 101-342)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36" w:type="dxa"/>
          </w:tcPr>
          <w:p w:rsidR="00000000" w:rsidRDefault="00000000">
            <w:pPr>
              <w:pStyle w:val="DualTxt"/>
              <w:jc w:val="left"/>
            </w:pPr>
            <w:r>
              <w:tab/>
              <w:t>Категория B</w:t>
            </w:r>
          </w:p>
        </w:tc>
        <w:tc>
          <w:tcPr>
            <w:tcW w:w="1854" w:type="dxa"/>
          </w:tcPr>
          <w:p w:rsidR="00000000" w:rsidRDefault="00000000">
            <w:pPr>
              <w:pStyle w:val="DualTxt"/>
              <w:jc w:val="center"/>
            </w:pPr>
            <w:r>
              <w:t>16 822–34 063</w:t>
            </w:r>
          </w:p>
        </w:tc>
        <w:tc>
          <w:tcPr>
            <w:tcW w:w="1831" w:type="dxa"/>
          </w:tcPr>
          <w:p w:rsidR="00000000" w:rsidRDefault="00000000">
            <w:pPr>
              <w:pStyle w:val="DualTxt"/>
            </w:pPr>
            <w:r>
              <w:t>(индекс 71-193)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36" w:type="dxa"/>
          </w:tcPr>
          <w:p w:rsidR="00000000" w:rsidRDefault="00000000">
            <w:pPr>
              <w:pStyle w:val="DualTxt"/>
              <w:jc w:val="left"/>
            </w:pPr>
            <w:r>
              <w:tab/>
              <w:t>Категория C</w:t>
            </w:r>
          </w:p>
        </w:tc>
        <w:tc>
          <w:tcPr>
            <w:tcW w:w="1854" w:type="dxa"/>
          </w:tcPr>
          <w:p w:rsidR="00000000" w:rsidRDefault="00000000">
            <w:pPr>
              <w:pStyle w:val="DualTxt"/>
              <w:jc w:val="center"/>
            </w:pPr>
            <w:r>
              <w:t>13 390–24 833</w:t>
            </w:r>
          </w:p>
        </w:tc>
        <w:tc>
          <w:tcPr>
            <w:tcW w:w="1831" w:type="dxa"/>
          </w:tcPr>
          <w:p w:rsidR="00000000" w:rsidRDefault="00000000">
            <w:pPr>
              <w:pStyle w:val="DualTxt"/>
            </w:pPr>
            <w:r>
              <w:t>(индекс 43-132)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36" w:type="dxa"/>
          </w:tcPr>
          <w:p w:rsidR="00000000" w:rsidRDefault="00000000">
            <w:pPr>
              <w:pStyle w:val="DualTxt"/>
              <w:jc w:val="left"/>
            </w:pPr>
            <w:r>
              <w:tab/>
              <w:t>Лица, работающие по ко</w:t>
            </w:r>
            <w:r>
              <w:t>н</w:t>
            </w:r>
            <w:r>
              <w:t>тракту</w:t>
            </w:r>
          </w:p>
        </w:tc>
        <w:tc>
          <w:tcPr>
            <w:tcW w:w="1854" w:type="dxa"/>
            <w:vAlign w:val="bottom"/>
          </w:tcPr>
          <w:p w:rsidR="00000000" w:rsidRDefault="00000000">
            <w:pPr>
              <w:pStyle w:val="DualTxt"/>
              <w:jc w:val="center"/>
            </w:pPr>
            <w:r>
              <w:t>10 192–20 565</w:t>
            </w:r>
          </w:p>
        </w:tc>
        <w:tc>
          <w:tcPr>
            <w:tcW w:w="1831" w:type="dxa"/>
            <w:vAlign w:val="bottom"/>
          </w:tcPr>
          <w:p w:rsidR="00000000" w:rsidRDefault="00000000">
            <w:pPr>
              <w:pStyle w:val="DualTxt"/>
            </w:pPr>
            <w:r>
              <w:t>(индекс 23-98)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Вышеприведенный размер зарплаты не учитывает новые повышения зарплаты государственных служащих.</w:t>
      </w:r>
    </w:p>
    <w:p w:rsidR="00000000" w:rsidRDefault="00000000">
      <w:pPr>
        <w:pStyle w:val="SingleTxt"/>
      </w:pPr>
      <w:r>
        <w:t>195.</w:t>
      </w:r>
      <w:r>
        <w:tab/>
        <w:t>В частном и смешанном секторах зарплата каждого работника определ</w:t>
      </w:r>
      <w:r>
        <w:t>я</w:t>
      </w:r>
      <w:r>
        <w:t>ется в зависимости от выполняемой им на предприятии функции. Она не должна быть меньше минимального размера, предусмотренного для сотрудн</w:t>
      </w:r>
      <w:r>
        <w:t>и</w:t>
      </w:r>
      <w:r>
        <w:t>ков категории специалистов.</w:t>
      </w:r>
    </w:p>
    <w:p w:rsidR="00000000" w:rsidRDefault="00000000">
      <w:pPr>
        <w:pStyle w:val="SingleTxt"/>
      </w:pPr>
      <w:r>
        <w:t>196.</w:t>
      </w:r>
      <w:r>
        <w:tab/>
        <w:t>Классификационная комиссия под председательством Инспектора по тр</w:t>
      </w:r>
      <w:r>
        <w:t>у</w:t>
      </w:r>
      <w:r>
        <w:t>довым спорам, в состав которой входит равное число представителей работ</w:t>
      </w:r>
      <w:r>
        <w:t>о</w:t>
      </w:r>
      <w:r>
        <w:t>дателя и работников, следит за соблюдением этих положений (статья 34 и п</w:t>
      </w:r>
      <w:r>
        <w:t>о</w:t>
      </w:r>
      <w:r>
        <w:t>следующие статьи Коллективного трудового договора от 13 февраля 1974 года).</w:t>
      </w:r>
    </w:p>
    <w:p w:rsidR="00000000" w:rsidRDefault="00000000">
      <w:pPr>
        <w:pStyle w:val="SingleTxt"/>
      </w:pPr>
      <w:r>
        <w:t>197.</w:t>
      </w:r>
      <w:r>
        <w:tab/>
        <w:t>Зарплата работника частного сектора или смешанных предприятий не может быть меньше зарплаты, установленной для соответствующего или пр</w:t>
      </w:r>
      <w:r>
        <w:t>и</w:t>
      </w:r>
      <w:r>
        <w:t>равненного к нему вида работы в государственном секторе.</w:t>
      </w:r>
    </w:p>
    <w:p w:rsidR="00000000" w:rsidRDefault="00000000">
      <w:pPr>
        <w:pStyle w:val="SingleTxt"/>
      </w:pPr>
      <w:r>
        <w:t>198.</w:t>
      </w:r>
      <w:r>
        <w:tab/>
        <w:t>Размер вознаграждения работника складывается из следующих элеме</w:t>
      </w:r>
      <w:r>
        <w:t>н</w:t>
      </w:r>
      <w:r>
        <w:t>тов: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зарплата конкретной категории;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различные надбавки;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надбавки за выслугу лет.</w:t>
      </w:r>
    </w:p>
    <w:p w:rsidR="00000000" w:rsidRDefault="00000000">
      <w:pPr>
        <w:pStyle w:val="SingleTxt"/>
      </w:pPr>
      <w:r>
        <w:t>199.</w:t>
      </w:r>
      <w:r>
        <w:tab/>
        <w:t>Статьи 37–42 коллективного трудового договора устанавливают ориент</w:t>
      </w:r>
      <w:r>
        <w:t>и</w:t>
      </w:r>
      <w:r>
        <w:t>ровочный размер заработной платы, а также различных надбавок и выплат.</w:t>
      </w:r>
    </w:p>
    <w:p w:rsidR="00000000" w:rsidRDefault="00000000">
      <w:pPr>
        <w:pStyle w:val="SingleTxt"/>
      </w:pPr>
      <w:r>
        <w:t>200.</w:t>
      </w:r>
      <w:r>
        <w:tab/>
        <w:t>Размер вознаграждения определяется с учетом экономического и фина</w:t>
      </w:r>
      <w:r>
        <w:t>н</w:t>
      </w:r>
      <w:r>
        <w:t>сового положения в стране путем переговоров между социальными партнер</w:t>
      </w:r>
      <w:r>
        <w:t>а</w:t>
      </w:r>
      <w:r>
        <w:t>ми. Как правило, в последние годы размер вознаграждения мавританских р</w:t>
      </w:r>
      <w:r>
        <w:t>а</w:t>
      </w:r>
      <w:r>
        <w:t>ботников государственного и частного секторов постоянно пересматривается в сторону повышения.</w:t>
      </w:r>
    </w:p>
    <w:p w:rsidR="00000000" w:rsidRDefault="00000000">
      <w:pPr>
        <w:pStyle w:val="SingleTxt"/>
      </w:pPr>
      <w:r>
        <w:t>201.</w:t>
      </w:r>
      <w:r>
        <w:tab/>
        <w:t>Так, с января 2005 года произошло единовременное повышение на восемь (8) тысяч угий зарплаты гражданских и военных государственных служащих (что составляет 20–80 процентов средней и низкой заработной платы), а также на двадцать (20) процентов пенсии гражданских и военных пенсионеров. Это повышение имело место после того, как в январе 2004 года была повышена на дв</w:t>
      </w:r>
      <w:r>
        <w:t>а</w:t>
      </w:r>
      <w:r>
        <w:t>дцать восемь (28) процентов заработная плата работников всех категорий.</w:t>
      </w:r>
    </w:p>
    <w:p w:rsidR="00000000" w:rsidRDefault="00000000">
      <w:pPr>
        <w:pStyle w:val="SingleTxt"/>
      </w:pPr>
      <w:r>
        <w:t>202.</w:t>
      </w:r>
      <w:r>
        <w:tab/>
        <w:t>Одновременно с действиями в интересах государственного сектора гос</w:t>
      </w:r>
      <w:r>
        <w:t>у</w:t>
      </w:r>
      <w:r>
        <w:t>дарство, постоянно стремясь сократить разрыв между работниками государс</w:t>
      </w:r>
      <w:r>
        <w:t>т</w:t>
      </w:r>
      <w:r>
        <w:t>венного и частного секторов, создало механизм консультаций между предпр</w:t>
      </w:r>
      <w:r>
        <w:t>и</w:t>
      </w:r>
      <w:r>
        <w:t>нимателями и различными социальными партнерами. Эти консультации соде</w:t>
      </w:r>
      <w:r>
        <w:t>й</w:t>
      </w:r>
      <w:r>
        <w:t>ствуют социальному диалогу между предпринимателями и различными про</w:t>
      </w:r>
      <w:r>
        <w:t>ф</w:t>
      </w:r>
      <w:r>
        <w:t>союзными объединениями под контролем органов государственной власти. Благодаря этим консультациям объем производства малых и средних предпр</w:t>
      </w:r>
      <w:r>
        <w:t>и</w:t>
      </w:r>
      <w:r>
        <w:t>ятий в стоимостном выражении увеличился с 21 000 угия до 4312 угия (или на 397 процентов). В этой связи следует также напомнить о том, что Исламская Республика Мавритания 20 июня 1961 года ратифицировала Конвенцию № 26 о процедуре установления минимальной заработной платы от 1928 года.</w:t>
      </w:r>
    </w:p>
    <w:p w:rsidR="00000000" w:rsidRDefault="00000000">
      <w:pPr>
        <w:pStyle w:val="SingleTxt"/>
      </w:pPr>
      <w:r>
        <w:t>203.</w:t>
      </w:r>
      <w:r>
        <w:tab/>
        <w:t>В области социального обеспечения, здравоохранения и безопасности у</w:t>
      </w:r>
      <w:r>
        <w:t>с</w:t>
      </w:r>
      <w:r>
        <w:t>ловий труда права женщин гарантируют три основных документа: общий ст</w:t>
      </w:r>
      <w:r>
        <w:t>а</w:t>
      </w:r>
      <w:r>
        <w:t>тус государственных служащих, закон о режиме социального страхования и коллективный трудовой договор.</w:t>
      </w:r>
    </w:p>
    <w:p w:rsidR="00000000" w:rsidRDefault="00000000">
      <w:pPr>
        <w:pStyle w:val="SingleTxt"/>
      </w:pPr>
      <w:r>
        <w:t>204.</w:t>
      </w:r>
      <w:r>
        <w:tab/>
        <w:t>Согласно статье 38 закона 93.09 от 18 января 1993 года служащие имеют право на следующие пособия: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семейные пособия;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пособия по беременности и родам.</w:t>
      </w:r>
    </w:p>
    <w:p w:rsidR="00000000" w:rsidRDefault="00000000">
      <w:pPr>
        <w:pStyle w:val="SingleTxt"/>
      </w:pPr>
      <w:r>
        <w:t>205.</w:t>
      </w:r>
      <w:r>
        <w:tab/>
        <w:t>Служащий имеет право на пенсию по старости и, в случае необходим</w:t>
      </w:r>
      <w:r>
        <w:t>о</w:t>
      </w:r>
      <w:r>
        <w:t>сти, на пожизненную ренту по инвалидности на условиях, предусмотренных нормативными положениями, регулирующими деятельность Пенсионного фонда государственных служащих, если он проработал 30 лет, начиная с 18</w:t>
      </w:r>
      <w:r>
        <w:noBreakHyphen/>
        <w:t>летнего возраста, или по достижении 60 лет (статья 72 закона 93.09 от 18 января 1993 года).</w:t>
      </w:r>
    </w:p>
    <w:p w:rsidR="00000000" w:rsidRDefault="00000000">
      <w:pPr>
        <w:pStyle w:val="SingleTxt"/>
      </w:pPr>
      <w:r>
        <w:t>206.</w:t>
      </w:r>
      <w:r>
        <w:tab/>
        <w:t>Работник частного сектора имеет право на социальное обеспечение на у</w:t>
      </w:r>
      <w:r>
        <w:t>с</w:t>
      </w:r>
      <w:r>
        <w:t>ловиях, предусмотренных нормативными положениями, регулирующими раб</w:t>
      </w:r>
      <w:r>
        <w:t>о</w:t>
      </w:r>
      <w:r>
        <w:t>ту Национального фонда социального обеспечения (закон 67.039 от 2 февраля 1967 года, устанавливающий систему социального обеспечения, с поправками, внесенными в него законом 87.296 от 24 ноября 1982 года). В рамках этой си</w:t>
      </w:r>
      <w:r>
        <w:t>с</w:t>
      </w:r>
      <w:r>
        <w:t>темы предусмотрено право на следующие пособия: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пособия по беременности;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пособия в связи с рождением ребенка;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семейные пособия;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ежедневная компенсация по беременности и родам;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пособия матери и младенцам.</w:t>
      </w:r>
    </w:p>
    <w:p w:rsidR="00000000" w:rsidRDefault="00000000">
      <w:pPr>
        <w:pStyle w:val="SingleTxt"/>
      </w:pPr>
      <w:r>
        <w:t>207.</w:t>
      </w:r>
      <w:r>
        <w:tab/>
        <w:t>Медицинские центры, обслуживающие одно или несколько предприятий, обязаны проводить осмотр работников, которые жалуются на здоровье, и пр</w:t>
      </w:r>
      <w:r>
        <w:t>о</w:t>
      </w:r>
      <w:r>
        <w:t>водить или назначать необходимое лечение, следить за соблюдением санита</w:t>
      </w:r>
      <w:r>
        <w:t>р</w:t>
      </w:r>
      <w:r>
        <w:t>но-гигиенических норм по месту работы и, в случае необходимости, проводить медицинскую экспертизу.</w:t>
      </w:r>
    </w:p>
    <w:p w:rsidR="00000000" w:rsidRDefault="00000000">
      <w:pPr>
        <w:pStyle w:val="SingleTxt"/>
      </w:pPr>
      <w:r>
        <w:t>208.</w:t>
      </w:r>
      <w:r>
        <w:tab/>
        <w:t>Статьи 23–25 и 64–65 коллективного трудового договора устанавливают условия выплаты компенсации заболевшему или пострадавшему в результате аварии работнику, а также формы оказания помощи госпитализированному р</w:t>
      </w:r>
      <w:r>
        <w:t>а</w:t>
      </w:r>
      <w:r>
        <w:t>ботнику.</w:t>
      </w:r>
    </w:p>
    <w:p w:rsidR="00000000" w:rsidRDefault="00000000">
      <w:pPr>
        <w:pStyle w:val="SingleTxt"/>
      </w:pPr>
      <w:r>
        <w:t>209.</w:t>
      </w:r>
      <w:r>
        <w:tab/>
        <w:t>Наконец, различные справочные документы гарантируют работающей женщине право на отпуск по беременности и родам (статут служащих, труд</w:t>
      </w:r>
      <w:r>
        <w:t>о</w:t>
      </w:r>
      <w:r>
        <w:t>вой кодекс, коллективный трудовой договор и т.д.) и беспрепятственно выпо</w:t>
      </w:r>
      <w:r>
        <w:t>л</w:t>
      </w:r>
      <w:r>
        <w:t>нять свои профессиональные обязанности, под эгидой Государственного секр</w:t>
      </w:r>
      <w:r>
        <w:t>е</w:t>
      </w:r>
      <w:r>
        <w:t>тариата по вопросам положения женщин, пользоваться услугами постоянно действующих детских садов и яслей, укомплектованных надлежащими кадр</w:t>
      </w:r>
      <w:r>
        <w:t>а</w:t>
      </w:r>
      <w:r>
        <w:t>ми. Кроме того, Исламская Республика Мавритания 8 ноября 1963 года рат</w:t>
      </w:r>
      <w:r>
        <w:t>и</w:t>
      </w:r>
      <w:r>
        <w:t>фицировала Конвенцию № 003 об охране материнства от 1919 года.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Таблица 4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Работа за денежное вознаграждение и работа в течение всего года, в разбивке по полу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(Процент женщин и мужчин, которые работают за денежное вознаграждение, и процент женщин и мужчин, которые работают за денежное вознаграждение в течение всего года (в течение последних 12 месяцев), на основе социально-демографических показателей, ДМОМ, 2000–2001 годы)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99"/>
        <w:gridCol w:w="1053"/>
        <w:gridCol w:w="1179"/>
        <w:gridCol w:w="666"/>
        <w:gridCol w:w="90"/>
        <w:gridCol w:w="963"/>
        <w:gridCol w:w="1197"/>
        <w:gridCol w:w="67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2799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5823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Социально-демографические показатели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27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2898" w:type="dxa"/>
            <w:gridSpan w:val="3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</w:p>
        </w:tc>
        <w:tc>
          <w:tcPr>
            <w:tcW w:w="2835" w:type="dxa"/>
            <w:gridSpan w:val="3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27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105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Работа за д</w:t>
            </w:r>
            <w:r>
              <w:rPr>
                <w:i/>
                <w:sz w:val="14"/>
              </w:rPr>
              <w:t>е</w:t>
            </w:r>
            <w:r>
              <w:rPr>
                <w:i/>
                <w:sz w:val="14"/>
              </w:rPr>
              <w:t>нежное возн</w:t>
            </w:r>
            <w:r>
              <w:rPr>
                <w:i/>
                <w:sz w:val="14"/>
              </w:rPr>
              <w:t>а</w:t>
            </w:r>
            <w:r>
              <w:rPr>
                <w:i/>
                <w:sz w:val="14"/>
              </w:rPr>
              <w:t>гра</w:t>
            </w:r>
            <w:r>
              <w:rPr>
                <w:i/>
                <w:sz w:val="14"/>
              </w:rPr>
              <w:t>ж</w:t>
            </w:r>
            <w:r>
              <w:rPr>
                <w:i/>
                <w:sz w:val="14"/>
              </w:rPr>
              <w:t>дение</w:t>
            </w:r>
          </w:p>
        </w:tc>
        <w:tc>
          <w:tcPr>
            <w:tcW w:w="117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Работа за д</w:t>
            </w:r>
            <w:r>
              <w:rPr>
                <w:i/>
                <w:sz w:val="14"/>
              </w:rPr>
              <w:t>е</w:t>
            </w:r>
            <w:r>
              <w:rPr>
                <w:i/>
                <w:sz w:val="14"/>
              </w:rPr>
              <w:t>нежное возн</w:t>
            </w:r>
            <w:r>
              <w:rPr>
                <w:i/>
                <w:sz w:val="14"/>
              </w:rPr>
              <w:t>а</w:t>
            </w:r>
            <w:r>
              <w:rPr>
                <w:i/>
                <w:sz w:val="14"/>
              </w:rPr>
              <w:t>граждение в т</w:t>
            </w:r>
            <w:r>
              <w:rPr>
                <w:i/>
                <w:sz w:val="14"/>
              </w:rPr>
              <w:t>е</w:t>
            </w:r>
            <w:r>
              <w:rPr>
                <w:i/>
                <w:sz w:val="14"/>
              </w:rPr>
              <w:t>чение всего года</w:t>
            </w:r>
          </w:p>
        </w:tc>
        <w:tc>
          <w:tcPr>
            <w:tcW w:w="6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Числе</w:t>
            </w:r>
            <w:r>
              <w:rPr>
                <w:i/>
                <w:sz w:val="14"/>
              </w:rPr>
              <w:t>н</w:t>
            </w:r>
            <w:r>
              <w:rPr>
                <w:i/>
                <w:sz w:val="14"/>
              </w:rPr>
              <w:t>ность женщин</w:t>
            </w:r>
          </w:p>
        </w:tc>
        <w:tc>
          <w:tcPr>
            <w:tcW w:w="105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Работа за д</w:t>
            </w:r>
            <w:r>
              <w:rPr>
                <w:i/>
                <w:sz w:val="14"/>
              </w:rPr>
              <w:t>е</w:t>
            </w:r>
            <w:r>
              <w:rPr>
                <w:i/>
                <w:sz w:val="14"/>
              </w:rPr>
              <w:t>нежное возн</w:t>
            </w:r>
            <w:r>
              <w:rPr>
                <w:i/>
                <w:sz w:val="14"/>
              </w:rPr>
              <w:t>а</w:t>
            </w:r>
            <w:r>
              <w:rPr>
                <w:i/>
                <w:sz w:val="14"/>
              </w:rPr>
              <w:t>граждение</w:t>
            </w:r>
          </w:p>
        </w:tc>
        <w:tc>
          <w:tcPr>
            <w:tcW w:w="119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Работа за д</w:t>
            </w:r>
            <w:r>
              <w:rPr>
                <w:i/>
                <w:sz w:val="14"/>
              </w:rPr>
              <w:t>е</w:t>
            </w:r>
            <w:r>
              <w:rPr>
                <w:i/>
                <w:sz w:val="14"/>
              </w:rPr>
              <w:t>нежное возн</w:t>
            </w:r>
            <w:r>
              <w:rPr>
                <w:i/>
                <w:sz w:val="14"/>
              </w:rPr>
              <w:t>а</w:t>
            </w:r>
            <w:r>
              <w:rPr>
                <w:i/>
                <w:sz w:val="14"/>
              </w:rPr>
              <w:t>граждение в т</w:t>
            </w:r>
            <w:r>
              <w:rPr>
                <w:i/>
                <w:sz w:val="14"/>
              </w:rPr>
              <w:t>е</w:t>
            </w:r>
            <w:r>
              <w:rPr>
                <w:i/>
                <w:sz w:val="14"/>
              </w:rPr>
              <w:t>чение всего года</w:t>
            </w:r>
          </w:p>
        </w:tc>
        <w:tc>
          <w:tcPr>
            <w:tcW w:w="67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Числе</w:t>
            </w:r>
            <w:r>
              <w:rPr>
                <w:i/>
                <w:sz w:val="14"/>
              </w:rPr>
              <w:t>н</w:t>
            </w:r>
            <w:r>
              <w:rPr>
                <w:i/>
                <w:sz w:val="14"/>
              </w:rPr>
              <w:t>ность мужчин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2799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05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179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6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53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197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7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>Возрастная группа</w:t>
            </w:r>
          </w:p>
        </w:tc>
        <w:tc>
          <w:tcPr>
            <w:tcW w:w="105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17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5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19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7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15–19 лет</w:t>
            </w:r>
          </w:p>
        </w:tc>
        <w:tc>
          <w:tcPr>
            <w:tcW w:w="105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14,6</w:t>
            </w:r>
          </w:p>
        </w:tc>
        <w:tc>
          <w:tcPr>
            <w:tcW w:w="117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6,0</w:t>
            </w:r>
          </w:p>
        </w:tc>
        <w:tc>
          <w:tcPr>
            <w:tcW w:w="6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1 697</w:t>
            </w:r>
          </w:p>
        </w:tc>
        <w:tc>
          <w:tcPr>
            <w:tcW w:w="105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35,6</w:t>
            </w:r>
          </w:p>
        </w:tc>
        <w:tc>
          <w:tcPr>
            <w:tcW w:w="119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19,2</w:t>
            </w:r>
          </w:p>
        </w:tc>
        <w:tc>
          <w:tcPr>
            <w:tcW w:w="67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494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20–29 лет</w:t>
            </w:r>
          </w:p>
        </w:tc>
        <w:tc>
          <w:tcPr>
            <w:tcW w:w="105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24,0</w:t>
            </w:r>
          </w:p>
        </w:tc>
        <w:tc>
          <w:tcPr>
            <w:tcW w:w="117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9,1</w:t>
            </w:r>
          </w:p>
        </w:tc>
        <w:tc>
          <w:tcPr>
            <w:tcW w:w="6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2 773</w:t>
            </w:r>
          </w:p>
        </w:tc>
        <w:tc>
          <w:tcPr>
            <w:tcW w:w="105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70,0</w:t>
            </w:r>
          </w:p>
        </w:tc>
        <w:tc>
          <w:tcPr>
            <w:tcW w:w="119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44,9</w:t>
            </w:r>
          </w:p>
        </w:tc>
        <w:tc>
          <w:tcPr>
            <w:tcW w:w="67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618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30–39 лет</w:t>
            </w:r>
          </w:p>
        </w:tc>
        <w:tc>
          <w:tcPr>
            <w:tcW w:w="105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30,4</w:t>
            </w:r>
          </w:p>
        </w:tc>
        <w:tc>
          <w:tcPr>
            <w:tcW w:w="117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15,7</w:t>
            </w:r>
          </w:p>
        </w:tc>
        <w:tc>
          <w:tcPr>
            <w:tcW w:w="6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2 024</w:t>
            </w:r>
          </w:p>
        </w:tc>
        <w:tc>
          <w:tcPr>
            <w:tcW w:w="105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91,2</w:t>
            </w:r>
          </w:p>
        </w:tc>
        <w:tc>
          <w:tcPr>
            <w:tcW w:w="119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55,5</w:t>
            </w:r>
          </w:p>
        </w:tc>
        <w:tc>
          <w:tcPr>
            <w:tcW w:w="67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485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40–49 лет</w:t>
            </w:r>
          </w:p>
        </w:tc>
        <w:tc>
          <w:tcPr>
            <w:tcW w:w="105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28,0</w:t>
            </w:r>
          </w:p>
        </w:tc>
        <w:tc>
          <w:tcPr>
            <w:tcW w:w="117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12,9</w:t>
            </w:r>
          </w:p>
        </w:tc>
        <w:tc>
          <w:tcPr>
            <w:tcW w:w="6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1 234</w:t>
            </w:r>
          </w:p>
        </w:tc>
        <w:tc>
          <w:tcPr>
            <w:tcW w:w="105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89,2</w:t>
            </w:r>
          </w:p>
        </w:tc>
        <w:tc>
          <w:tcPr>
            <w:tcW w:w="119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61,8</w:t>
            </w:r>
          </w:p>
        </w:tc>
        <w:tc>
          <w:tcPr>
            <w:tcW w:w="67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390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>Семейное положение</w:t>
            </w:r>
          </w:p>
        </w:tc>
        <w:tc>
          <w:tcPr>
            <w:tcW w:w="105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17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5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19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7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Одинокие</w:t>
            </w:r>
          </w:p>
        </w:tc>
        <w:tc>
          <w:tcPr>
            <w:tcW w:w="105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19,6</w:t>
            </w:r>
          </w:p>
        </w:tc>
        <w:tc>
          <w:tcPr>
            <w:tcW w:w="117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8,7</w:t>
            </w:r>
          </w:p>
        </w:tc>
        <w:tc>
          <w:tcPr>
            <w:tcW w:w="6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2 211</w:t>
            </w:r>
          </w:p>
        </w:tc>
        <w:tc>
          <w:tcPr>
            <w:tcW w:w="105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53,3</w:t>
            </w:r>
          </w:p>
        </w:tc>
        <w:tc>
          <w:tcPr>
            <w:tcW w:w="119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31,6</w:t>
            </w:r>
          </w:p>
        </w:tc>
        <w:tc>
          <w:tcPr>
            <w:tcW w:w="67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1 067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Состоящие в браке</w:t>
            </w:r>
          </w:p>
        </w:tc>
        <w:tc>
          <w:tcPr>
            <w:tcW w:w="105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24,1</w:t>
            </w:r>
          </w:p>
        </w:tc>
        <w:tc>
          <w:tcPr>
            <w:tcW w:w="117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10,4</w:t>
            </w:r>
          </w:p>
        </w:tc>
        <w:tc>
          <w:tcPr>
            <w:tcW w:w="6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4 541</w:t>
            </w:r>
          </w:p>
        </w:tc>
        <w:tc>
          <w:tcPr>
            <w:tcW w:w="105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90,4</w:t>
            </w:r>
          </w:p>
        </w:tc>
        <w:tc>
          <w:tcPr>
            <w:tcW w:w="119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59,3</w:t>
            </w:r>
          </w:p>
        </w:tc>
        <w:tc>
          <w:tcPr>
            <w:tcW w:w="67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876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Разведенные, вдовцы, вдовы</w:t>
            </w:r>
          </w:p>
        </w:tc>
        <w:tc>
          <w:tcPr>
            <w:tcW w:w="105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35,4</w:t>
            </w:r>
          </w:p>
        </w:tc>
        <w:tc>
          <w:tcPr>
            <w:tcW w:w="117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17,2</w:t>
            </w:r>
          </w:p>
        </w:tc>
        <w:tc>
          <w:tcPr>
            <w:tcW w:w="6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976</w:t>
            </w:r>
          </w:p>
        </w:tc>
        <w:tc>
          <w:tcPr>
            <w:tcW w:w="105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86,8</w:t>
            </w:r>
          </w:p>
        </w:tc>
        <w:tc>
          <w:tcPr>
            <w:tcW w:w="119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57,5</w:t>
            </w:r>
          </w:p>
        </w:tc>
        <w:tc>
          <w:tcPr>
            <w:tcW w:w="67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>Количество детей</w:t>
            </w:r>
          </w:p>
        </w:tc>
        <w:tc>
          <w:tcPr>
            <w:tcW w:w="105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17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5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19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7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105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19,2</w:t>
            </w:r>
          </w:p>
        </w:tc>
        <w:tc>
          <w:tcPr>
            <w:tcW w:w="117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8,9</w:t>
            </w:r>
          </w:p>
        </w:tc>
        <w:tc>
          <w:tcPr>
            <w:tcW w:w="6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3 035</w:t>
            </w:r>
          </w:p>
        </w:tc>
        <w:tc>
          <w:tcPr>
            <w:tcW w:w="105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57,7</w:t>
            </w:r>
          </w:p>
        </w:tc>
        <w:tc>
          <w:tcPr>
            <w:tcW w:w="119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34,8</w:t>
            </w:r>
          </w:p>
        </w:tc>
        <w:tc>
          <w:tcPr>
            <w:tcW w:w="67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1 219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105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20,2</w:t>
            </w:r>
          </w:p>
        </w:tc>
        <w:tc>
          <w:tcPr>
            <w:tcW w:w="117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10,1</w:t>
            </w:r>
          </w:p>
        </w:tc>
        <w:tc>
          <w:tcPr>
            <w:tcW w:w="6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880</w:t>
            </w:r>
          </w:p>
        </w:tc>
        <w:tc>
          <w:tcPr>
            <w:tcW w:w="105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91,0</w:t>
            </w:r>
          </w:p>
        </w:tc>
        <w:tc>
          <w:tcPr>
            <w:tcW w:w="119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61,0</w:t>
            </w:r>
          </w:p>
        </w:tc>
        <w:tc>
          <w:tcPr>
            <w:tcW w:w="67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105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26,8</w:t>
            </w:r>
          </w:p>
        </w:tc>
        <w:tc>
          <w:tcPr>
            <w:tcW w:w="117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10,3</w:t>
            </w:r>
          </w:p>
        </w:tc>
        <w:tc>
          <w:tcPr>
            <w:tcW w:w="6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854</w:t>
            </w:r>
          </w:p>
        </w:tc>
        <w:tc>
          <w:tcPr>
            <w:tcW w:w="105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88,5</w:t>
            </w:r>
          </w:p>
        </w:tc>
        <w:tc>
          <w:tcPr>
            <w:tcW w:w="119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64,4</w:t>
            </w:r>
          </w:p>
        </w:tc>
        <w:tc>
          <w:tcPr>
            <w:tcW w:w="67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105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31,3</w:t>
            </w:r>
          </w:p>
        </w:tc>
        <w:tc>
          <w:tcPr>
            <w:tcW w:w="117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14,7</w:t>
            </w:r>
          </w:p>
        </w:tc>
        <w:tc>
          <w:tcPr>
            <w:tcW w:w="6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734</w:t>
            </w:r>
          </w:p>
        </w:tc>
        <w:tc>
          <w:tcPr>
            <w:tcW w:w="105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99,4</w:t>
            </w:r>
          </w:p>
        </w:tc>
        <w:tc>
          <w:tcPr>
            <w:tcW w:w="119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65,3</w:t>
            </w:r>
          </w:p>
        </w:tc>
        <w:tc>
          <w:tcPr>
            <w:tcW w:w="67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105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26,8</w:t>
            </w:r>
          </w:p>
        </w:tc>
        <w:tc>
          <w:tcPr>
            <w:tcW w:w="117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12,2</w:t>
            </w:r>
          </w:p>
        </w:tc>
        <w:tc>
          <w:tcPr>
            <w:tcW w:w="6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604</w:t>
            </w:r>
          </w:p>
        </w:tc>
        <w:tc>
          <w:tcPr>
            <w:tcW w:w="105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87,7</w:t>
            </w:r>
          </w:p>
        </w:tc>
        <w:tc>
          <w:tcPr>
            <w:tcW w:w="119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47,8</w:t>
            </w:r>
          </w:p>
        </w:tc>
        <w:tc>
          <w:tcPr>
            <w:tcW w:w="67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5+</w:t>
            </w:r>
          </w:p>
        </w:tc>
        <w:tc>
          <w:tcPr>
            <w:tcW w:w="105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30,3</w:t>
            </w:r>
          </w:p>
        </w:tc>
        <w:tc>
          <w:tcPr>
            <w:tcW w:w="117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12,7</w:t>
            </w:r>
          </w:p>
        </w:tc>
        <w:tc>
          <w:tcPr>
            <w:tcW w:w="6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1 621</w:t>
            </w:r>
          </w:p>
        </w:tc>
        <w:tc>
          <w:tcPr>
            <w:tcW w:w="105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88,2</w:t>
            </w:r>
          </w:p>
        </w:tc>
        <w:tc>
          <w:tcPr>
            <w:tcW w:w="119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58,2</w:t>
            </w:r>
          </w:p>
        </w:tc>
        <w:tc>
          <w:tcPr>
            <w:tcW w:w="67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255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>Место пр</w:t>
            </w:r>
            <w:r>
              <w:rPr>
                <w:b/>
                <w:sz w:val="17"/>
              </w:rPr>
              <w:t>о</w:t>
            </w:r>
            <w:r>
              <w:rPr>
                <w:b/>
                <w:sz w:val="17"/>
              </w:rPr>
              <w:t>живания</w:t>
            </w:r>
          </w:p>
        </w:tc>
        <w:tc>
          <w:tcPr>
            <w:tcW w:w="105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17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5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19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7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Город</w:t>
            </w:r>
          </w:p>
        </w:tc>
        <w:tc>
          <w:tcPr>
            <w:tcW w:w="105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33,8</w:t>
            </w:r>
          </w:p>
        </w:tc>
        <w:tc>
          <w:tcPr>
            <w:tcW w:w="117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17,3</w:t>
            </w:r>
          </w:p>
        </w:tc>
        <w:tc>
          <w:tcPr>
            <w:tcW w:w="6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3 554</w:t>
            </w:r>
          </w:p>
        </w:tc>
        <w:tc>
          <w:tcPr>
            <w:tcW w:w="105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70,8</w:t>
            </w:r>
          </w:p>
        </w:tc>
        <w:tc>
          <w:tcPr>
            <w:tcW w:w="119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51,3</w:t>
            </w:r>
          </w:p>
        </w:tc>
        <w:tc>
          <w:tcPr>
            <w:tcW w:w="67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1 135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Сельские районы</w:t>
            </w:r>
          </w:p>
        </w:tc>
        <w:tc>
          <w:tcPr>
            <w:tcW w:w="105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16,1</w:t>
            </w:r>
          </w:p>
        </w:tc>
        <w:tc>
          <w:tcPr>
            <w:tcW w:w="117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5,3</w:t>
            </w:r>
          </w:p>
        </w:tc>
        <w:tc>
          <w:tcPr>
            <w:tcW w:w="6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4 174</w:t>
            </w:r>
          </w:p>
        </w:tc>
        <w:tc>
          <w:tcPr>
            <w:tcW w:w="105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89,8</w:t>
            </w:r>
          </w:p>
        </w:tc>
        <w:tc>
          <w:tcPr>
            <w:tcW w:w="119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35,2</w:t>
            </w:r>
          </w:p>
        </w:tc>
        <w:tc>
          <w:tcPr>
            <w:tcW w:w="67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852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>Уровень образов</w:t>
            </w:r>
            <w:r>
              <w:rPr>
                <w:b/>
                <w:sz w:val="17"/>
              </w:rPr>
              <w:t>а</w:t>
            </w:r>
            <w:r>
              <w:rPr>
                <w:b/>
                <w:sz w:val="17"/>
              </w:rPr>
              <w:t>ния</w:t>
            </w:r>
          </w:p>
        </w:tc>
        <w:tc>
          <w:tcPr>
            <w:tcW w:w="105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17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5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19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7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Нулевой</w:t>
            </w:r>
          </w:p>
        </w:tc>
        <w:tc>
          <w:tcPr>
            <w:tcW w:w="105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22,1</w:t>
            </w:r>
          </w:p>
        </w:tc>
        <w:tc>
          <w:tcPr>
            <w:tcW w:w="117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8,3</w:t>
            </w:r>
          </w:p>
        </w:tc>
        <w:tc>
          <w:tcPr>
            <w:tcW w:w="6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2 357</w:t>
            </w:r>
          </w:p>
        </w:tc>
        <w:tc>
          <w:tcPr>
            <w:tcW w:w="105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78,9</w:t>
            </w:r>
          </w:p>
        </w:tc>
        <w:tc>
          <w:tcPr>
            <w:tcW w:w="119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39,7</w:t>
            </w:r>
          </w:p>
        </w:tc>
        <w:tc>
          <w:tcPr>
            <w:tcW w:w="67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386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Только духовная школа</w:t>
            </w:r>
          </w:p>
        </w:tc>
        <w:tc>
          <w:tcPr>
            <w:tcW w:w="105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23,7</w:t>
            </w:r>
          </w:p>
        </w:tc>
        <w:tc>
          <w:tcPr>
            <w:tcW w:w="117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9,3</w:t>
            </w:r>
          </w:p>
        </w:tc>
        <w:tc>
          <w:tcPr>
            <w:tcW w:w="6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2 072</w:t>
            </w:r>
          </w:p>
        </w:tc>
        <w:tc>
          <w:tcPr>
            <w:tcW w:w="105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85,1</w:t>
            </w:r>
          </w:p>
        </w:tc>
        <w:tc>
          <w:tcPr>
            <w:tcW w:w="119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46,6</w:t>
            </w:r>
          </w:p>
        </w:tc>
        <w:tc>
          <w:tcPr>
            <w:tcW w:w="67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355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Начальное образов</w:t>
            </w:r>
            <w:r>
              <w:rPr>
                <w:sz w:val="17"/>
              </w:rPr>
              <w:t>а</w:t>
            </w:r>
            <w:r>
              <w:rPr>
                <w:sz w:val="17"/>
              </w:rPr>
              <w:t>ние</w:t>
            </w:r>
          </w:p>
        </w:tc>
        <w:tc>
          <w:tcPr>
            <w:tcW w:w="105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25,8</w:t>
            </w:r>
          </w:p>
        </w:tc>
        <w:tc>
          <w:tcPr>
            <w:tcW w:w="117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11,6</w:t>
            </w:r>
          </w:p>
        </w:tc>
        <w:tc>
          <w:tcPr>
            <w:tcW w:w="6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2 146</w:t>
            </w:r>
          </w:p>
        </w:tc>
        <w:tc>
          <w:tcPr>
            <w:tcW w:w="105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70,9</w:t>
            </w:r>
          </w:p>
        </w:tc>
        <w:tc>
          <w:tcPr>
            <w:tcW w:w="119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46,2</w:t>
            </w:r>
          </w:p>
        </w:tc>
        <w:tc>
          <w:tcPr>
            <w:tcW w:w="67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540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Среднее или высшее о</w:t>
            </w:r>
            <w:r>
              <w:rPr>
                <w:sz w:val="17"/>
              </w:rPr>
              <w:t>б</w:t>
            </w:r>
            <w:r>
              <w:rPr>
                <w:sz w:val="17"/>
              </w:rPr>
              <w:t>разование</w:t>
            </w:r>
          </w:p>
        </w:tc>
        <w:tc>
          <w:tcPr>
            <w:tcW w:w="105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26,8</w:t>
            </w:r>
          </w:p>
        </w:tc>
        <w:tc>
          <w:tcPr>
            <w:tcW w:w="117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17,0</w:t>
            </w:r>
          </w:p>
        </w:tc>
        <w:tc>
          <w:tcPr>
            <w:tcW w:w="6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1 153</w:t>
            </w:r>
          </w:p>
        </w:tc>
        <w:tc>
          <w:tcPr>
            <w:tcW w:w="105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58,0</w:t>
            </w:r>
          </w:p>
        </w:tc>
        <w:tc>
          <w:tcPr>
            <w:tcW w:w="119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44,5</w:t>
            </w:r>
          </w:p>
        </w:tc>
        <w:tc>
          <w:tcPr>
            <w:tcW w:w="67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706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99" w:type="dxa"/>
            <w:vAlign w:val="bottom"/>
          </w:tcPr>
          <w:p w:rsidR="00000000" w:rsidRDefault="00000000">
            <w:pPr>
              <w:pageBreakBefore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b/>
                <w:sz w:val="17"/>
              </w:rPr>
            </w:pPr>
            <w:r>
              <w:rPr>
                <w:b/>
                <w:sz w:val="17"/>
              </w:rPr>
              <w:t>Индекс благососто</w:t>
            </w:r>
            <w:r>
              <w:rPr>
                <w:b/>
                <w:sz w:val="17"/>
              </w:rPr>
              <w:t>я</w:t>
            </w:r>
            <w:r>
              <w:rPr>
                <w:b/>
                <w:sz w:val="17"/>
              </w:rPr>
              <w:t>ния</w:t>
            </w:r>
          </w:p>
        </w:tc>
        <w:tc>
          <w:tcPr>
            <w:tcW w:w="105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17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5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19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7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 (наиболее нужда</w:t>
            </w:r>
            <w:r>
              <w:rPr>
                <w:sz w:val="17"/>
              </w:rPr>
              <w:t>ю</w:t>
            </w:r>
            <w:r>
              <w:rPr>
                <w:sz w:val="17"/>
              </w:rPr>
              <w:t>щиеся)</w:t>
            </w:r>
          </w:p>
        </w:tc>
        <w:tc>
          <w:tcPr>
            <w:tcW w:w="105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18,3</w:t>
            </w:r>
          </w:p>
        </w:tc>
        <w:tc>
          <w:tcPr>
            <w:tcW w:w="117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5,8</w:t>
            </w:r>
          </w:p>
        </w:tc>
        <w:tc>
          <w:tcPr>
            <w:tcW w:w="6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1 373</w:t>
            </w:r>
          </w:p>
        </w:tc>
        <w:tc>
          <w:tcPr>
            <w:tcW w:w="105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79,1</w:t>
            </w:r>
          </w:p>
        </w:tc>
        <w:tc>
          <w:tcPr>
            <w:tcW w:w="119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31,8</w:t>
            </w:r>
          </w:p>
        </w:tc>
        <w:tc>
          <w:tcPr>
            <w:tcW w:w="67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294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105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22,5</w:t>
            </w:r>
          </w:p>
        </w:tc>
        <w:tc>
          <w:tcPr>
            <w:tcW w:w="117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7,9</w:t>
            </w:r>
          </w:p>
        </w:tc>
        <w:tc>
          <w:tcPr>
            <w:tcW w:w="6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1 431</w:t>
            </w:r>
          </w:p>
        </w:tc>
        <w:tc>
          <w:tcPr>
            <w:tcW w:w="105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72,0</w:t>
            </w:r>
          </w:p>
        </w:tc>
        <w:tc>
          <w:tcPr>
            <w:tcW w:w="119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37,5</w:t>
            </w:r>
          </w:p>
        </w:tc>
        <w:tc>
          <w:tcPr>
            <w:tcW w:w="67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352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105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24,3</w:t>
            </w:r>
          </w:p>
        </w:tc>
        <w:tc>
          <w:tcPr>
            <w:tcW w:w="117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9,4</w:t>
            </w:r>
          </w:p>
        </w:tc>
        <w:tc>
          <w:tcPr>
            <w:tcW w:w="6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1 570</w:t>
            </w:r>
          </w:p>
        </w:tc>
        <w:tc>
          <w:tcPr>
            <w:tcW w:w="105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62,8</w:t>
            </w:r>
          </w:p>
        </w:tc>
        <w:tc>
          <w:tcPr>
            <w:tcW w:w="119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36,5</w:t>
            </w:r>
          </w:p>
        </w:tc>
        <w:tc>
          <w:tcPr>
            <w:tcW w:w="67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307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br w:type="page"/>
            </w:r>
            <w:r>
              <w:rPr>
                <w:sz w:val="17"/>
              </w:rPr>
              <w:t>4</w:t>
            </w:r>
          </w:p>
        </w:tc>
        <w:tc>
          <w:tcPr>
            <w:tcW w:w="105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24,1</w:t>
            </w:r>
          </w:p>
        </w:tc>
        <w:tc>
          <w:tcPr>
            <w:tcW w:w="117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11,4</w:t>
            </w:r>
          </w:p>
        </w:tc>
        <w:tc>
          <w:tcPr>
            <w:tcW w:w="6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1 634</w:t>
            </w:r>
          </w:p>
        </w:tc>
        <w:tc>
          <w:tcPr>
            <w:tcW w:w="105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70,1</w:t>
            </w:r>
          </w:p>
        </w:tc>
        <w:tc>
          <w:tcPr>
            <w:tcW w:w="119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51,0</w:t>
            </w:r>
          </w:p>
        </w:tc>
        <w:tc>
          <w:tcPr>
            <w:tcW w:w="67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409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5 (наиболее состоятел</w:t>
            </w:r>
            <w:r>
              <w:rPr>
                <w:sz w:val="17"/>
              </w:rPr>
              <w:t>ь</w:t>
            </w:r>
            <w:r>
              <w:rPr>
                <w:sz w:val="17"/>
              </w:rPr>
              <w:t>ные)</w:t>
            </w:r>
          </w:p>
        </w:tc>
        <w:tc>
          <w:tcPr>
            <w:tcW w:w="105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30,6</w:t>
            </w:r>
          </w:p>
        </w:tc>
        <w:tc>
          <w:tcPr>
            <w:tcW w:w="117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17,9</w:t>
            </w:r>
          </w:p>
        </w:tc>
        <w:tc>
          <w:tcPr>
            <w:tcW w:w="6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1 720</w:t>
            </w:r>
          </w:p>
        </w:tc>
        <w:tc>
          <w:tcPr>
            <w:tcW w:w="105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69,4</w:t>
            </w:r>
          </w:p>
        </w:tc>
        <w:tc>
          <w:tcPr>
            <w:tcW w:w="119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53,8</w:t>
            </w:r>
          </w:p>
        </w:tc>
        <w:tc>
          <w:tcPr>
            <w:tcW w:w="67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625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9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ab/>
              <w:t>Итого</w:t>
            </w:r>
          </w:p>
        </w:tc>
        <w:tc>
          <w:tcPr>
            <w:tcW w:w="105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24,2</w:t>
            </w:r>
          </w:p>
        </w:tc>
        <w:tc>
          <w:tcPr>
            <w:tcW w:w="117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10,8</w:t>
            </w:r>
          </w:p>
        </w:tc>
        <w:tc>
          <w:tcPr>
            <w:tcW w:w="66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7 728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70,4</w:t>
            </w:r>
          </w:p>
        </w:tc>
        <w:tc>
          <w:tcPr>
            <w:tcW w:w="119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44,4</w:t>
            </w:r>
          </w:p>
        </w:tc>
        <w:tc>
          <w:tcPr>
            <w:tcW w:w="67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1 987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Х.</w:t>
      </w:r>
      <w:r>
        <w:tab/>
        <w:t>Равный доступ к медицинскому обслуживанию (статья 12)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210.</w:t>
      </w:r>
      <w:r>
        <w:tab/>
        <w:t>Провозглашенный в преамбуле и подтвержденный в основном тексте ко</w:t>
      </w:r>
      <w:r>
        <w:t>н</w:t>
      </w:r>
      <w:r>
        <w:t>ституции от 20 июля 1991 года в связи с упоминанием об экономических и с</w:t>
      </w:r>
      <w:r>
        <w:t>о</w:t>
      </w:r>
      <w:r>
        <w:t>циальных правах принцип равного доступа ко всем видам медицинского о</w:t>
      </w:r>
      <w:r>
        <w:t>б</w:t>
      </w:r>
      <w:r>
        <w:t>служивания является одним из основных приоритетов правительства Маврит</w:t>
      </w:r>
      <w:r>
        <w:t>а</w:t>
      </w:r>
      <w:r>
        <w:t>нии.</w:t>
      </w:r>
    </w:p>
    <w:p w:rsidR="00000000" w:rsidRDefault="00000000">
      <w:pPr>
        <w:pStyle w:val="SingleTxt"/>
      </w:pPr>
      <w:r>
        <w:t>211.</w:t>
      </w:r>
      <w:r>
        <w:tab/>
        <w:t>В этой области государство обеспечивает защиту представителей всех слоев общества, и в частности женщин, учитывая их уязвимость, связанную с выполнением ими репродуктивной функции, и одновременно возложенную на них ответственность за воспитание здоровых детей.</w:t>
      </w:r>
    </w:p>
    <w:p w:rsidR="00000000" w:rsidRDefault="00000000">
      <w:pPr>
        <w:pStyle w:val="SingleTxt"/>
      </w:pPr>
      <w:r>
        <w:t>212.</w:t>
      </w:r>
      <w:r>
        <w:tab/>
        <w:t>Поэтому различные аспекты национальной политики Мавритании в о</w:t>
      </w:r>
      <w:r>
        <w:t>б</w:t>
      </w:r>
      <w:r>
        <w:t>ласти здравоохранения предусматривают сбалансированный подход к женщ</w:t>
      </w:r>
      <w:r>
        <w:t>и</w:t>
      </w:r>
      <w:r>
        <w:t>нам со стороны органов, занимающихся медицинским обслуживанием насел</w:t>
      </w:r>
      <w:r>
        <w:t>е</w:t>
      </w:r>
      <w:r>
        <w:t>ния. Эти аспекты касаются: a) дородового наблюдения, b) доступа женщин к медицинскому обслуживанию, c) ухода в дородовый период и противостол</w:t>
      </w:r>
      <w:r>
        <w:t>б</w:t>
      </w:r>
      <w:r>
        <w:t>нячной вакцинации, d) борьбы с вредными видами практики, e) расширенной программы вакцинации, f) программы репродуктивного здоровья, g) наци</w:t>
      </w:r>
      <w:r>
        <w:t>о</w:t>
      </w:r>
      <w:r>
        <w:t>нальной программы борьбы со СПИДом и болезнями, передаваемыми половым п</w:t>
      </w:r>
      <w:r>
        <w:t>у</w:t>
      </w:r>
      <w:r>
        <w:t>тем, и h) питания.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А.</w:t>
      </w:r>
      <w:r>
        <w:tab/>
        <w:t>Дородовое наблюдение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213.</w:t>
      </w:r>
      <w:r>
        <w:tab/>
        <w:t>Различные национальные ведомства, занимающиеся вопросами санит</w:t>
      </w:r>
      <w:r>
        <w:t>а</w:t>
      </w:r>
      <w:r>
        <w:t>рии, организуют дородовые и послеродовые консультации. Но чаще всего к ним прибегают женщины, живущие в городах. Внутри страны количество р</w:t>
      </w:r>
      <w:r>
        <w:t>о</w:t>
      </w:r>
      <w:r>
        <w:t>дов, проходящих под наблюдением медицинского персонала, по</w:t>
      </w:r>
      <w:r>
        <w:noBreakHyphen/>
        <w:t>прежнему н</w:t>
      </w:r>
      <w:r>
        <w:t>е</w:t>
      </w:r>
      <w:r>
        <w:t>велико. К тому же следует отметить, что 60 процентов акушерок сосредоточено в Нуа</w:t>
      </w:r>
      <w:r>
        <w:t>к</w:t>
      </w:r>
      <w:r>
        <w:t>шоте.</w:t>
      </w:r>
    </w:p>
    <w:p w:rsidR="00000000" w:rsidRDefault="00000000">
      <w:pPr>
        <w:pStyle w:val="SingleTxt"/>
      </w:pPr>
      <w:r>
        <w:t>214.</w:t>
      </w:r>
      <w:r>
        <w:tab/>
        <w:t>Что касается дородовых консультаций, то в отношении 65 процентов р</w:t>
      </w:r>
      <w:r>
        <w:t>о</w:t>
      </w:r>
      <w:r>
        <w:t>ждения детей матери хотя бы один раз консультировались с медицинским р</w:t>
      </w:r>
      <w:r>
        <w:t>а</w:t>
      </w:r>
      <w:r>
        <w:t>ботником, 37 процентов матерей заявили, что хотя бы один раз они консульт</w:t>
      </w:r>
      <w:r>
        <w:t>и</w:t>
      </w:r>
      <w:r>
        <w:t>ровались с акушеркой, и лишь 20 процентов заявили, что консультировались с врачом. Довольно редко женщины обращаются за консультациями к среднему медицинскому персоналу (8 процентов), а также к патронажным сестрам (м</w:t>
      </w:r>
      <w:r>
        <w:t>е</w:t>
      </w:r>
      <w:r>
        <w:t>нее 1 процента).</w:t>
      </w:r>
    </w:p>
    <w:p w:rsidR="00000000" w:rsidRDefault="00000000">
      <w:pPr>
        <w:pStyle w:val="SingleTxt"/>
      </w:pPr>
      <w:r>
        <w:t>215.</w:t>
      </w:r>
      <w:r>
        <w:tab/>
        <w:t>Процентная доля женщин, которые получали дородовый уход, зависит от определенных демографических факторов, в частности от места жительства и уровня образования: 84 процента женщин, живущих в Нуакшоте, и 85 процентов женщин, живущих в других городах, как минимум один раз ко</w:t>
      </w:r>
      <w:r>
        <w:t>н</w:t>
      </w:r>
      <w:r>
        <w:t>сультировались с медицинским работником, в то время как для женщин из сельской местности этот показатель составляет всего 50 процентов. С геогр</w:t>
      </w:r>
      <w:r>
        <w:t>а</w:t>
      </w:r>
      <w:r>
        <w:t>фической точки зрения реже всего к дородовому обслуживанию прибегают женщины, живущие в центральных районах (45 процентов) и на юге (35 процентов).</w:t>
      </w:r>
    </w:p>
    <w:p w:rsidR="00000000" w:rsidRDefault="00000000">
      <w:pPr>
        <w:pStyle w:val="SingleTxt"/>
      </w:pPr>
      <w:r>
        <w:t>216.</w:t>
      </w:r>
      <w:r>
        <w:tab/>
        <w:t>Однако следует отметить, что эта доля значительно возрастает по мере повышения уровня образования женщин. Так, 94 процента матерей, имеющих хотя бы среднее образование, обращались за консультациями в дородовый п</w:t>
      </w:r>
      <w:r>
        <w:t>е</w:t>
      </w:r>
      <w:r>
        <w:t>риод против 78 процентов женщин с начальным образованием и примерно 55 процентов матерей с нулевым или только с духовным образованием.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В.</w:t>
      </w:r>
      <w:r>
        <w:tab/>
        <w:t>Доступ женщин к медицинскому обслуживанию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217.</w:t>
      </w:r>
      <w:r>
        <w:tab/>
        <w:t>За последние пять лет менее половины всех родов проходили в медици</w:t>
      </w:r>
      <w:r>
        <w:t>н</w:t>
      </w:r>
      <w:r>
        <w:t>ских учреждениях и 51 процент — в домашних условиях. Наиболее высокий показатель родов в медицинских учреждениях отмечается в городах (82 процента) по сравнению с всего 23 процентами в сельской местности.</w:t>
      </w:r>
    </w:p>
    <w:p w:rsidR="00000000" w:rsidRDefault="00000000">
      <w:pPr>
        <w:pStyle w:val="SingleTxt"/>
      </w:pPr>
      <w:r>
        <w:t>218.</w:t>
      </w:r>
      <w:r>
        <w:tab/>
        <w:t>Кроме того, количество родов в медицинских учреждениях увеличивается по мере повышения уровня образования матерей: с минимального показателя на уровне 33 процентов применительно к женщинам без образования до ма</w:t>
      </w:r>
      <w:r>
        <w:t>к</w:t>
      </w:r>
      <w:r>
        <w:t>симального показателя на уровне 88 процентов применительно к женщинам со средним или высшим образованием. В предыдущие пять лет более половины родов проходило под наблюдением дипломированных специалистов (57 процентов), либо при помощи акушерки (36 процентов), либо под набл</w:t>
      </w:r>
      <w:r>
        <w:t>ю</w:t>
      </w:r>
      <w:r>
        <w:t>дением врача (10 процентов), среднего медицинского персонала (8 процентов) или патронажной сестры (4 процента).</w:t>
      </w:r>
    </w:p>
    <w:p w:rsidR="00000000" w:rsidRDefault="00000000">
      <w:pPr>
        <w:pStyle w:val="SingleTxt"/>
      </w:pPr>
      <w:r>
        <w:t>219.</w:t>
      </w:r>
      <w:r>
        <w:tab/>
        <w:t>Кроме того, 21 процент родов проходили под наблюдением традиционных акушерок и 15 процентов — под наблюдением родственников и, наконец, около 7 процентов рожениц обходились без какой-либо помощи. Уровень и качество медицинской помощи при родах  в значительной степени зависят от места проживания и уровня образования матери.</w:t>
      </w:r>
    </w:p>
    <w:p w:rsidR="00000000" w:rsidRDefault="00000000">
      <w:pPr>
        <w:pStyle w:val="SingleTxt"/>
      </w:pPr>
      <w:r>
        <w:t>220.</w:t>
      </w:r>
      <w:r>
        <w:tab/>
        <w:t>В городах 88 процентов женщин рожают под наблюдением дипломир</w:t>
      </w:r>
      <w:r>
        <w:t>о</w:t>
      </w:r>
      <w:r>
        <w:t>ванного медицинского персонала против 33 процентов в сельской местности. С региональной точки зрения помощь при родах оказывается в 92 процентах случаев в Нуакшоте, 74 процентах на севере и всего в 23 процентах на юге страны. Кроме того, 93 процента женщин, имеющих хотя бы среднее образов</w:t>
      </w:r>
      <w:r>
        <w:t>а</w:t>
      </w:r>
      <w:r>
        <w:t>ние, заявили, что во время родов им помогали дипломированные специалисты, против 71 процента женщин, имеющих только начальное образование, и менее 50 процентов женщин, получивших духовное образование или не имеющих никакого образов</w:t>
      </w:r>
      <w:r>
        <w:t>а</w:t>
      </w:r>
      <w:r>
        <w:t>ния.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С.</w:t>
      </w:r>
      <w:r>
        <w:tab/>
        <w:t xml:space="preserve">Дородовое обслуживание и противостолбнячная вакцинация 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221.</w:t>
      </w:r>
      <w:r>
        <w:tab/>
        <w:t>По данным ДМОМ, 40 процентов женщин, у которых за последние пять лет родился хотя бы один живой ребенок, во время беременности как минимум один раз прошли вакцинацию с целью профилактики неонатального столбняка у ребенка: 14 процентов получили одну дозу и 25 процентов — две и более. Отсутствует достаточный объем информации о масштабах вакцинации в ра</w:t>
      </w:r>
      <w:r>
        <w:t>з</w:t>
      </w:r>
      <w:r>
        <w:t>бивке по возрасту и количеству родов. В Нуакшоте 59 процентов женщин п</w:t>
      </w:r>
      <w:r>
        <w:t>о</w:t>
      </w:r>
      <w:r>
        <w:t>лучили хотя бы одну дозу противостолбнячной вакцины по сравнению с 48 процентами женщин, живущих в других городах, и всего 29 процентами — в сельской местн</w:t>
      </w:r>
      <w:r>
        <w:t>о</w:t>
      </w:r>
      <w:r>
        <w:t>сти.</w:t>
      </w:r>
    </w:p>
    <w:p w:rsidR="00000000" w:rsidRDefault="00000000">
      <w:pPr>
        <w:pStyle w:val="SingleTxt"/>
      </w:pPr>
      <w:r>
        <w:t>222.</w:t>
      </w:r>
      <w:r>
        <w:tab/>
        <w:t>Кроме того, минимальные показатели охвата противостолбнячной вакц</w:t>
      </w:r>
      <w:r>
        <w:t>и</w:t>
      </w:r>
      <w:r>
        <w:t>нацией колеблются от 59 процентов в Нуакшоте до 20 процентов на юге стр</w:t>
      </w:r>
      <w:r>
        <w:t>а</w:t>
      </w:r>
      <w:r>
        <w:t>ны. Следует отметить, что женщины со средним образованием чаще проходят вакцинацию (58 процентов), чем женщины, имеющие только начальное обр</w:t>
      </w:r>
      <w:r>
        <w:t>а</w:t>
      </w:r>
      <w:r>
        <w:t>зование (51 процент), и эта кривая еще больше снижается в отношении же</w:t>
      </w:r>
      <w:r>
        <w:t>н</w:t>
      </w:r>
      <w:r>
        <w:t>щин, имеющих только духовное образование (32 процента), и женщин без о</w:t>
      </w:r>
      <w:r>
        <w:t>б</w:t>
      </w:r>
      <w:r>
        <w:t>разов</w:t>
      </w:r>
      <w:r>
        <w:t>а</w:t>
      </w:r>
      <w:r>
        <w:t>ния (34 процента).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D.</w:t>
      </w:r>
      <w:r>
        <w:tab/>
        <w:t>Борьба с вредными видами практики: клиторотомия и принудительное кормление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223.</w:t>
      </w:r>
      <w:r>
        <w:tab/>
        <w:t>Практика клиторотомии, связанная с удалением части внешних половых органов, достаточно широко распространена в Мавритании. Помимо того, что она причиняет боль, эта практика может вызывать у женщин кровотечение и многочисленные инфекционные болезни.</w:t>
      </w:r>
    </w:p>
    <w:p w:rsidR="00000000" w:rsidRDefault="00000000">
      <w:pPr>
        <w:pStyle w:val="SingleTxt"/>
      </w:pPr>
      <w:r>
        <w:t>224.</w:t>
      </w:r>
      <w:r>
        <w:tab/>
        <w:t>По данным ДМОМ, эта практика охватывает 93 процента женщин, кот</w:t>
      </w:r>
      <w:r>
        <w:t>о</w:t>
      </w:r>
      <w:r>
        <w:t>рые сообщили о том, что им известно о клиторотомии. Окло 75 процентов ма</w:t>
      </w:r>
      <w:r>
        <w:t>в</w:t>
      </w:r>
      <w:r>
        <w:t>ританских женщин в возрасте 15–49 лет подвергаются клиторотомии. Эти п</w:t>
      </w:r>
      <w:r>
        <w:t>о</w:t>
      </w:r>
      <w:r>
        <w:t>казатели значительно разнятся в зависимости от этнической группы: клитор</w:t>
      </w:r>
      <w:r>
        <w:t>о</w:t>
      </w:r>
      <w:r>
        <w:t>томии подвергаются 92 процента женщин сонинке, 72 процента женщин пул</w:t>
      </w:r>
      <w:r>
        <w:t>а</w:t>
      </w:r>
      <w:r>
        <w:t>ар и 71 процент арабских женщин. В то же время среди женщин уолов этот п</w:t>
      </w:r>
      <w:r>
        <w:t>о</w:t>
      </w:r>
      <w:r>
        <w:t>казатель составляет всего 28 процентов. Однако следует отметить, что в теч</w:t>
      </w:r>
      <w:r>
        <w:t>е</w:t>
      </w:r>
      <w:r>
        <w:t>ние последних 15 лет наблюдается сокращение масштабов этой практики. Так, в городах клиторотомия проводится реже (45 процентов), чем в сельской мес</w:t>
      </w:r>
      <w:r>
        <w:t>т</w:t>
      </w:r>
      <w:r>
        <w:t>ности (77 процентов).</w:t>
      </w:r>
    </w:p>
    <w:p w:rsidR="00000000" w:rsidRDefault="00000000">
      <w:pPr>
        <w:pStyle w:val="SingleTxt"/>
      </w:pPr>
      <w:r>
        <w:t>225.</w:t>
      </w:r>
      <w:r>
        <w:tab/>
        <w:t>Что касается принудительного кормления, то эта практика заключается в принуждении малолетних девочек и девочек-подростков к чрезмерному п</w:t>
      </w:r>
      <w:r>
        <w:t>о</w:t>
      </w:r>
      <w:r>
        <w:t>треблению пищи, с тем чтобы они прибавляли в весе и становились тучными. Эта практика неблагоприятно влияет на их здоровье. Очень большое количес</w:t>
      </w:r>
      <w:r>
        <w:t>т</w:t>
      </w:r>
      <w:r>
        <w:t>во мавританских женщин знакомы с практикой принудительного кормления, и почти каждая пятая женщина в возрасте 15–49 лет подвергается такой практ</w:t>
      </w:r>
      <w:r>
        <w:t>и</w:t>
      </w:r>
      <w:r>
        <w:t>ке. Она чрезвычайно распространена среди мавров. Наиболее велика доля ту</w:t>
      </w:r>
      <w:r>
        <w:t>ч</w:t>
      </w:r>
      <w:r>
        <w:t>ных женщин в центральных районах (30 процентов) и на юге (36 процентов), в сельских районах (24 процента) и среди женщин, не имеющих образования (39 процентов).</w:t>
      </w:r>
    </w:p>
    <w:p w:rsidR="00000000" w:rsidRDefault="00000000">
      <w:pPr>
        <w:pStyle w:val="SingleTxt"/>
      </w:pPr>
      <w:r>
        <w:t>226.</w:t>
      </w:r>
      <w:r>
        <w:tab/>
        <w:t>Однако благодаря информационно-пропагандистским кампаниям, пров</w:t>
      </w:r>
      <w:r>
        <w:t>о</w:t>
      </w:r>
      <w:r>
        <w:t>димым соответствующими ведомствами, в ходе которых разъясняется негати</w:t>
      </w:r>
      <w:r>
        <w:t>в</w:t>
      </w:r>
      <w:r>
        <w:t>ное воздействие этой практики на здоровье девочек и женщин, масштабы ее распространения сокращаются.</w:t>
      </w:r>
    </w:p>
    <w:p w:rsidR="00000000" w:rsidRDefault="00000000">
      <w:pPr>
        <w:pStyle w:val="SingleTxt"/>
      </w:pPr>
      <w:r>
        <w:t>227.</w:t>
      </w:r>
      <w:r>
        <w:tab/>
        <w:t>Проект уголовно-процессуального кодекса в отношении несовершенн</w:t>
      </w:r>
      <w:r>
        <w:t>о</w:t>
      </w:r>
      <w:r>
        <w:t>летних предусматривает ужесточение наказания в связи с практикой провед</w:t>
      </w:r>
      <w:r>
        <w:t>е</w:t>
      </w:r>
      <w:r>
        <w:t>ния калечащих операций на женских половых органах.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Е.</w:t>
      </w:r>
      <w:r>
        <w:tab/>
        <w:t>Расширенная программа вакцинации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228.</w:t>
      </w:r>
      <w:r>
        <w:tab/>
        <w:t>По данным ДМОМ, различия в уровне охвата вакцинацией в зависимости от пола ребенка невелики, причем для девочек этот показатель несколько пр</w:t>
      </w:r>
      <w:r>
        <w:t>е</w:t>
      </w:r>
      <w:r>
        <w:t>вышает соответствующий показатель для мальчиков: вакцинацию прошли 34 процента девочек и 30 процентов мальчиков. Небольшие различия в уровне охвата вакцинацией отмечаются в городах: 36 процентов детей, живущих в Н</w:t>
      </w:r>
      <w:r>
        <w:t>у</w:t>
      </w:r>
      <w:r>
        <w:t>акшоте, в полном объеме получили вакцины в рамках расширенной программы вакцинации по сравнению с 41 процентом в других городах. В сельской мес</w:t>
      </w:r>
      <w:r>
        <w:t>т</w:t>
      </w:r>
      <w:r>
        <w:t>ности этот показатель значительно ниже (27 процентов).</w:t>
      </w:r>
    </w:p>
    <w:p w:rsidR="00000000" w:rsidRDefault="00000000">
      <w:pPr>
        <w:pStyle w:val="SingleTxt"/>
      </w:pPr>
      <w:r>
        <w:t>229.</w:t>
      </w:r>
      <w:r>
        <w:tab/>
        <w:t>Наконец, дети матерей с начальным образованием (40 процентов) и со среднем образованием (36 процентов) в большей степени охвачены процессом иммунизации от всех болезней, предусмотренных расширенной программой вакцинации, чем дети матерей, которые посещали только духовную школу (28 процентов) или не получили никакого образования (27 процентов).</w:t>
      </w:r>
    </w:p>
    <w:p w:rsidR="00000000" w:rsidRDefault="00000000">
      <w:pPr>
        <w:pStyle w:val="SingleTxt"/>
      </w:pPr>
      <w:r>
        <w:t>230.</w:t>
      </w:r>
      <w:r>
        <w:tab/>
        <w:t>Изучив положение в области охраны материнства и детства, правительс</w:t>
      </w:r>
      <w:r>
        <w:t>т</w:t>
      </w:r>
      <w:r>
        <w:t>во в рамках генерального плана охраны здоровья установило следу</w:t>
      </w:r>
      <w:r>
        <w:t>ю</w:t>
      </w:r>
      <w:r>
        <w:t>щие цели: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</w:r>
      <w:r>
        <w:rPr>
          <w:i/>
        </w:rPr>
        <w:t>снизить младенческую смертность</w:t>
      </w:r>
      <w:r>
        <w:t>: снижение уровня неонатальной смертности будет достигнуто не только путем наблюдения за ходом бер</w:t>
      </w:r>
      <w:r>
        <w:t>е</w:t>
      </w:r>
      <w:r>
        <w:t>менности и оказания помощи при родах, но и путем борьбы с гипоглик</w:t>
      </w:r>
      <w:r>
        <w:t>е</w:t>
      </w:r>
      <w:r>
        <w:t>мией, гипотермией, асфиксией и инфекционными болезнями новоро</w:t>
      </w:r>
      <w:r>
        <w:t>ж</w:t>
      </w:r>
      <w:r>
        <w:t>денных. Будет обеспечено эффективное наблюдение за случаями прежд</w:t>
      </w:r>
      <w:r>
        <w:t>е</w:t>
      </w:r>
      <w:r>
        <w:t>временных родов и низкого веса новорожденных. В рамках этих усилий будут проводиться подготовка всех работников системы здравоохранения, а также информационно-пропагандистская работа с семьями, оснащение медицинских учреждений надлежащим оборудованием и повсеместное и безотлагательное поощрение практики грудного вскармлив</w:t>
      </w:r>
      <w:r>
        <w:t>а</w:t>
      </w:r>
      <w:r>
        <w:t>ния;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</w:r>
      <w:r>
        <w:rPr>
          <w:i/>
        </w:rPr>
        <w:t>снизить материнскую смертность</w:t>
      </w:r>
      <w:r>
        <w:t>: уровень материнской смертности в связи с беременностью</w:t>
      </w:r>
      <w:bookmarkStart w:id="1" w:name="TmpSave"/>
      <w:bookmarkEnd w:id="1"/>
      <w:r>
        <w:t xml:space="preserve"> и родами будет снижен наполовину, в частности путем уменьшения числа случаев послеродовых инфекций, эклампсии, кровотечения и патологических родов, а также повышения ответственн</w:t>
      </w:r>
      <w:r>
        <w:t>о</w:t>
      </w:r>
      <w:r>
        <w:t>сти. Смертность, не связанная с беременностью и родами, будет снижена на 60 процентов. Масштабы анемии среди беременных женщин в резул</w:t>
      </w:r>
      <w:r>
        <w:t>ь</w:t>
      </w:r>
      <w:r>
        <w:t>тате недоедания (нехватка железа и фолиевой кислоты) сократятся на 33 процента — до уровня не выше 25 процентов.</w:t>
      </w:r>
    </w:p>
    <w:p w:rsidR="00000000" w:rsidRDefault="00000000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231.</w:t>
      </w:r>
      <w:r>
        <w:tab/>
        <w:t>Планируется значительно снизить заболеваемость малярией. С операти</w:t>
      </w:r>
      <w:r>
        <w:t>в</w:t>
      </w:r>
      <w:r>
        <w:t>ной точки зрения речь идет об обеспечении того, чтобы 80 процентов береме</w:t>
      </w:r>
      <w:r>
        <w:t>н</w:t>
      </w:r>
      <w:r>
        <w:t>ных женщин, живущих в сельской местности, и 100 процентов — в городах, имели доступ к высококачественному до- и послеродовому уходу максимально близко от дома, и о достижении 60-процентного охвата деятельности по оказ</w:t>
      </w:r>
      <w:r>
        <w:t>а</w:t>
      </w:r>
      <w:r>
        <w:t>нию квалифицированной помощи во время беременности и родов, протека</w:t>
      </w:r>
      <w:r>
        <w:t>ю</w:t>
      </w:r>
      <w:r>
        <w:t>щих с осложнениями и требующих неотложных мер акушерского характера. Очевидно, что без работы по повышению благосостояния семьи снизить мат</w:t>
      </w:r>
      <w:r>
        <w:t>е</w:t>
      </w:r>
      <w:r>
        <w:t>ринскую смертность невозмо</w:t>
      </w:r>
      <w:r>
        <w:t>ж</w:t>
      </w:r>
      <w:r>
        <w:t>но.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F.</w:t>
      </w:r>
      <w:r>
        <w:tab/>
        <w:t>Программа в области охраны репродуктивного здоровья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232.</w:t>
      </w:r>
      <w:r>
        <w:tab/>
        <w:t>Желающие того пары могут пользоваться средствами предохранения от слишком ранней беременности, беременности, следующей через слишком м</w:t>
      </w:r>
      <w:r>
        <w:t>а</w:t>
      </w:r>
      <w:r>
        <w:t>лые промежутки времени, слишком поздней или слишком частой беременн</w:t>
      </w:r>
      <w:r>
        <w:t>о</w:t>
      </w:r>
      <w:r>
        <w:t>сти. В настоящее время показатель использования противозачаточных средств является очень низким, составляя примерно 6 процентов.</w:t>
      </w:r>
    </w:p>
    <w:p w:rsidR="00000000" w:rsidRDefault="00000000">
      <w:pPr>
        <w:pStyle w:val="SingleTxt"/>
      </w:pPr>
      <w:r>
        <w:t>233.</w:t>
      </w:r>
      <w:r>
        <w:tab/>
        <w:t>Из результатов обследования в области народонаселения и охраны здор</w:t>
      </w:r>
      <w:r>
        <w:t>о</w:t>
      </w:r>
      <w:r>
        <w:t>вья (предварительный доклад Мавритании за 2000–2001 годы) следует, что уровень осведомленности о противозачаточных методах является относительно высоким среди женщин в целом и среди состоящих в браке в частности. Из общего числа опрошенных женщин 69 процентов заявили, что им известно по крайней мере об одном методе предохранения от беременности, а 67 процентов указали современный метод. Среди замужних женщин эти показатели соста</w:t>
      </w:r>
      <w:r>
        <w:t>в</w:t>
      </w:r>
      <w:r>
        <w:t>ляли соответс</w:t>
      </w:r>
      <w:r>
        <w:t>т</w:t>
      </w:r>
      <w:r>
        <w:t>венно 71 процент и 68 процентов.</w:t>
      </w:r>
    </w:p>
    <w:p w:rsidR="00000000" w:rsidRDefault="00000000">
      <w:pPr>
        <w:pStyle w:val="SingleTxt"/>
      </w:pPr>
      <w:r>
        <w:t>234.</w:t>
      </w:r>
      <w:r>
        <w:tab/>
        <w:t>Что касается пользования противозачаточными средствами, то каждая п</w:t>
      </w:r>
      <w:r>
        <w:t>я</w:t>
      </w:r>
      <w:r>
        <w:t>тая (20 процентов) замужняя женщина сообщила о том, что пользуется хотя бы одним из методов контрацепции. В отношении современных методов этот п</w:t>
      </w:r>
      <w:r>
        <w:t>о</w:t>
      </w:r>
      <w:r>
        <w:t>казатель составляет 13 процентов. Среди мужчин примерно 16 процентов о</w:t>
      </w:r>
      <w:r>
        <w:t>п</w:t>
      </w:r>
      <w:r>
        <w:t>рошенных сообщили, что пользуются по крайней мере одним из противозач</w:t>
      </w:r>
      <w:r>
        <w:t>а</w:t>
      </w:r>
      <w:r>
        <w:t>точных методов, а 13 процентов — что используют современный метод. Среди женатых мужчин эти показатели составляют соответственно 23 процента и 16 процентов.</w:t>
      </w:r>
    </w:p>
    <w:p w:rsidR="00000000" w:rsidRDefault="00000000">
      <w:pPr>
        <w:pStyle w:val="SingleTxt"/>
      </w:pPr>
      <w:r>
        <w:t>235.</w:t>
      </w:r>
      <w:r>
        <w:tab/>
        <w:t>За исключением женщин в возрасте 40–49 лет, показатель использования современных противозачаточных средств регулярно возрастает в зависимости от возрастных групп, составляя минимум 3 процента по группе 15–19 лет и максимум 8 процентов по группе 35–39 лет. Показатели использования прот</w:t>
      </w:r>
      <w:r>
        <w:t>и</w:t>
      </w:r>
      <w:r>
        <w:t>возачаточных методов в значительной степени различаются в зависимости от места проживания: 13 процентов в Нуакшоте, 10 процентов в других городах и 1 процент в сельской местности.</w:t>
      </w:r>
    </w:p>
    <w:p w:rsidR="00000000" w:rsidRDefault="00000000">
      <w:pPr>
        <w:pStyle w:val="SingleTxt"/>
      </w:pPr>
      <w:r>
        <w:t>236.</w:t>
      </w:r>
      <w:r>
        <w:tab/>
        <w:t>Показатели использования противозачаточных средств значительно ра</w:t>
      </w:r>
      <w:r>
        <w:t>з</w:t>
      </w:r>
      <w:r>
        <w:t>личаются по регионам: северная часть страны в этом отношении уступает лишь Нуакшоту — 12 процентов, и от них значительно отстают зоны долины реки, южные районы и центральная часть страны — 1 процент и 2 процента. Как представляется, одним из факторов, определяющих показатель использ</w:t>
      </w:r>
      <w:r>
        <w:t>о</w:t>
      </w:r>
      <w:r>
        <w:t>вания противозачаточных средств, является количество детей: среди женщин, не имеющих детей, показатель использования противозачаточных средств я</w:t>
      </w:r>
      <w:r>
        <w:t>в</w:t>
      </w:r>
      <w:r>
        <w:t>ляется крайне низким, в то время как среди женщин, имеющих от трех детей и больше, он составляет свыше 6 процентов.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G.</w:t>
      </w:r>
      <w:r>
        <w:tab/>
        <w:t>Национальная программа борьбы со СПИДом и венерическими заболеваниями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237.</w:t>
      </w:r>
      <w:r>
        <w:tab/>
        <w:t>Первый случай СПИДа был выявлен в 1987 году. В 1996 году насчитыва</w:t>
      </w:r>
      <w:r>
        <w:t>л</w:t>
      </w:r>
      <w:r>
        <w:t>ся 31 такой случай, а по состоянию на 31 декабря 1996 года — 532 случая ВИЧ и СПИДа. По оценкам, насчитывается в общей сложности более 10 000 лиц с сероположительной реакцией, что по отношению к общей численности нас</w:t>
      </w:r>
      <w:r>
        <w:t>е</w:t>
      </w:r>
      <w:r>
        <w:t>ления составляет порядка 0,5 процента. Среди доноров наблюдается тревожная тенденция: 0,3 процента в 1992 году, 0,5 процента в 1996 году и 1 процент в 1997 году; показатели 2005 года составляют приблизительно 1 процент.</w:t>
      </w:r>
    </w:p>
    <w:p w:rsidR="00000000" w:rsidRDefault="00000000">
      <w:pPr>
        <w:pStyle w:val="SingleTxt"/>
      </w:pPr>
      <w:r>
        <w:t>238.</w:t>
      </w:r>
      <w:r>
        <w:tab/>
        <w:t>В рамках Национальной программы борьбы со СПИДом и венерическими заболеваниями основное внимание уделяется профилактике и правильному п</w:t>
      </w:r>
      <w:r>
        <w:t>о</w:t>
      </w:r>
      <w:r>
        <w:t>ведению, позволяющему избегать венерических болезней. Уровень осведо</w:t>
      </w:r>
      <w:r>
        <w:t>м</w:t>
      </w:r>
      <w:r>
        <w:t>ленности населения о формах передачи ВИЧ значительно возрос после первых информационно-пропагандистских кампаний, в которых освещались ценности ислама, пути передачи и опасности этой болезни. Государственные власти приняли комплекс мер, позволивших придать новый импульс борьбе против венерических заболеваний/СПИДа путем создания благоприятных условий для этой борьбы.</w:t>
      </w:r>
    </w:p>
    <w:p w:rsidR="00000000" w:rsidRDefault="00000000">
      <w:pPr>
        <w:pStyle w:val="SingleTxt"/>
      </w:pPr>
      <w:r>
        <w:t>239.</w:t>
      </w:r>
      <w:r>
        <w:tab/>
        <w:t>Следует подчеркнуть, что относительно большое число как женщин, так и мужчин соглашаются говорить о ВИЧ/СПИДе. В то же время надо признать, что уровень знаний об этой проблеме несколько выше у мужчин, чем у же</w:t>
      </w:r>
      <w:r>
        <w:t>н</w:t>
      </w:r>
      <w:r>
        <w:t>щин, особенно в сельской местности. На национальном уровне 76 процентов от общего числа опрошенных женщин заявили, что уже слышали об этой б</w:t>
      </w:r>
      <w:r>
        <w:t>о</w:t>
      </w:r>
      <w:r>
        <w:t>лезни, по сравнению с 86 процентами среди мужчин. С другой стороны, в сельской местности о том, что слышали о проблеме ВИЧ/СПИДа заявили 75 процентов мужчин и лишь 63 процента женщин. Кроме того, более высокие показатели осведомленности о проблеме СПИДа, как среди женщин, так и ср</w:t>
      </w:r>
      <w:r>
        <w:t>е</w:t>
      </w:r>
      <w:r>
        <w:t>ди мужчин, отмечаются в Нуакшоте, по сравнению с другими городами.</w:t>
      </w:r>
    </w:p>
    <w:p w:rsidR="00000000" w:rsidRDefault="00000000">
      <w:pPr>
        <w:pStyle w:val="SingleTxt"/>
      </w:pPr>
      <w:r>
        <w:t>240.</w:t>
      </w:r>
      <w:r>
        <w:tab/>
        <w:t>Хотя значительное число мавританцев слышало о ВИЧ/СПИДе, лишь 34 процента женщин и 65 процентов от общего числа опрошенных смогли хотя бы назвать какое-либо средство предохранения от этой болезни. Уровень и</w:t>
      </w:r>
      <w:r>
        <w:t>н</w:t>
      </w:r>
      <w:r>
        <w:t>формированности о средствах предохранения от ВИЧ/СПИДа заметно разл</w:t>
      </w:r>
      <w:r>
        <w:t>и</w:t>
      </w:r>
      <w:r>
        <w:t>чается в зависимости от места проживания, и это не зависит от половой пр</w:t>
      </w:r>
      <w:r>
        <w:t>и</w:t>
      </w:r>
      <w:r>
        <w:t>надлежности. В Нуакшоте 54 процента от общего числа опрошенных женщин смогли указать по крайней мере одно средство защиты от этой болезни по сравнению с 46 процентами в других городах и лишь 19 процентами в сельской местности. Среди мужчин эти показатели составили соответственно 85 пр</w:t>
      </w:r>
      <w:r>
        <w:t>о</w:t>
      </w:r>
      <w:r>
        <w:t>центов, 71 процент и 46 процентов. При этом 43 процента женщин и 10 пр</w:t>
      </w:r>
      <w:r>
        <w:t>о</w:t>
      </w:r>
      <w:r>
        <w:t>центов мужчин считают, что от СПИДа невозможно предохраниться или не знают, можно ли избежать СПИДа.</w:t>
      </w:r>
    </w:p>
    <w:p w:rsidR="00000000" w:rsidRDefault="00000000">
      <w:pPr>
        <w:pStyle w:val="SingleTxt"/>
      </w:pPr>
      <w:r>
        <w:t>241.</w:t>
      </w:r>
      <w:r>
        <w:tab/>
        <w:t>Основное внимание в рамках кампаний программы борьбы со СПИДом уд</w:t>
      </w:r>
      <w:r>
        <w:t>е</w:t>
      </w:r>
      <w:r>
        <w:t>ляется информированию населения о: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формах передачи болезни, включая передачу от матери ребенку;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повышенном риске заражения среди женщин;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повышенном риске заражения среди проституток;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супружеской верности, воздержании и необходимости защиты при пол</w:t>
      </w:r>
      <w:r>
        <w:t>о</w:t>
      </w:r>
      <w:r>
        <w:t>вом акте для всех, кто подвергается риску такого заражения.</w:t>
      </w:r>
    </w:p>
    <w:p w:rsidR="00000000" w:rsidRDefault="00000000">
      <w:pPr>
        <w:pStyle w:val="SingleTxt"/>
      </w:pPr>
      <w:r>
        <w:t>242.</w:t>
      </w:r>
      <w:r>
        <w:tab/>
        <w:t>Органы власти разрабатывают методы санитарного просвещения в ко</w:t>
      </w:r>
      <w:r>
        <w:t>н</w:t>
      </w:r>
      <w:r>
        <w:t>тексте проблемы СПИДа. В рамках проводимых программ активное участие принимают ассоциации молодежи, неправительственные организации женщин и санитарно-просветительские структуры; особое значение в стране со 100</w:t>
      </w:r>
      <w:r>
        <w:noBreakHyphen/>
        <w:t>процентным мусульманским населением и исламом как главной религией имеет участие в проводимой деятельности группы имамов.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H.</w:t>
      </w:r>
      <w:r>
        <w:tab/>
        <w:t>Питание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243.</w:t>
      </w:r>
      <w:r>
        <w:tab/>
        <w:t>Положение в области питания в Мавритании характеризуется белково-энергетической недостаточностью продуктов питания, дефицитом питательных микроэлементов и вызванными этим заболеваниями. Проводившиеся до н</w:t>
      </w:r>
      <w:r>
        <w:t>а</w:t>
      </w:r>
      <w:r>
        <w:t>стоящего времени обследования свидетельствуют о достаточно тревожном п</w:t>
      </w:r>
      <w:r>
        <w:t>о</w:t>
      </w:r>
      <w:r>
        <w:t>ложении. Итоги проведенного в Мавритании обследования в области демогр</w:t>
      </w:r>
      <w:r>
        <w:t>а</w:t>
      </w:r>
      <w:r>
        <w:t>фии и здравоохранения свидетельствуют о том, что более 35 процентов детей в возрасте до пяти лет страдают от хронического недоедания, а 17 процентов — в острой форме. В настоящее время в стране не принимаются надлежащие м</w:t>
      </w:r>
      <w:r>
        <w:t>е</w:t>
      </w:r>
      <w:r>
        <w:t>ры по улучшению положения в области питания, что обусловливает необход</w:t>
      </w:r>
      <w:r>
        <w:t>и</w:t>
      </w:r>
      <w:r>
        <w:t>мость разработки национальной политики в области питания, которая стала бы основой для деятельности правительства, его партнеров в области развития и гражданского общества, стремящихся повысить качество жизни н</w:t>
      </w:r>
      <w:r>
        <w:t>а</w:t>
      </w:r>
      <w:r>
        <w:t>селения.</w:t>
      </w:r>
    </w:p>
    <w:p w:rsidR="00000000" w:rsidRDefault="00000000">
      <w:pPr>
        <w:pStyle w:val="SingleTxt"/>
      </w:pPr>
      <w:r>
        <w:t>244.</w:t>
      </w:r>
      <w:r>
        <w:tab/>
        <w:t>Несмотря на это, выявлением случаев недостаточного питания на основе антропометрических параметров занимаются 67 процентов от общего числа центров здравоохранения и 17 процентов от общего числа медпунктов.</w:t>
      </w:r>
    </w:p>
    <w:p w:rsidR="00000000" w:rsidRDefault="00000000">
      <w:pPr>
        <w:pStyle w:val="SingleTxt"/>
      </w:pPr>
      <w:r>
        <w:t>245.</w:t>
      </w:r>
      <w:r>
        <w:tab/>
        <w:t>Разработку мероприятий по борьбе с различными формами недостаточн</w:t>
      </w:r>
      <w:r>
        <w:t>о</w:t>
      </w:r>
      <w:r>
        <w:t>сти питания осуществляет целый ряд министерских департаментов.</w:t>
      </w:r>
    </w:p>
    <w:p w:rsidR="00000000" w:rsidRDefault="00000000">
      <w:pPr>
        <w:pStyle w:val="SingleTxt"/>
      </w:pPr>
      <w:r>
        <w:t>246.</w:t>
      </w:r>
      <w:r>
        <w:tab/>
        <w:t>Этим занимается министерство здравоохранения и по социальным вопр</w:t>
      </w:r>
      <w:r>
        <w:t>о</w:t>
      </w:r>
      <w:r>
        <w:t>сам на этапе подготовки и осуществления программ в области питания. Де</w:t>
      </w:r>
      <w:r>
        <w:t>я</w:t>
      </w:r>
      <w:r>
        <w:t>тельность по борьбе с проблемой недостаточности питания ведется через це</w:t>
      </w:r>
      <w:r>
        <w:t>н</w:t>
      </w:r>
      <w:r>
        <w:t>тры восстановления и просвещения по вопросам питания и через общинные центры обеспечения питания, занимающиеся просветительской работой в с</w:t>
      </w:r>
      <w:r>
        <w:t>а</w:t>
      </w:r>
      <w:r>
        <w:t>нитарных вопросах.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Диаграмма 1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Данные о создании общинных центров по вопросам питания/центров по вопросам восстановления и диетологического просвещения </w:t>
      </w:r>
      <w:r>
        <w:br/>
        <w:t>с разбивкой по вилайя в 2003 году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  <w:r>
        <w:rPr>
          <w:w w:val="1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0;text-align:left;margin-left:.85pt;margin-top:10.1pt;width:490.2pt;height:268.45pt;z-index:1;mso-position-horizontal:absolute;mso-position-horizontal-relative:text;mso-position-vertical:absolute;mso-position-vertical-relative:text" o:allowincell="f">
            <v:imagedata r:id="rId14" o:title=""/>
            <w10:wrap type="topAndBottom"/>
          </v:shape>
          <o:OLEObject Type="Embed" ProgID="MSGraph.Chart.8" ShapeID="_x0000_s2050" DrawAspect="Content" ObjectID="_1395246099" r:id="rId15">
            <o:FieldCodes>\s</o:FieldCodes>
          </o:OLEObject>
        </w:pic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216"/>
          <w:tab w:val="left" w:pos="288"/>
          <w:tab w:val="right" w:pos="576"/>
          <w:tab w:val="left" w:pos="648"/>
        </w:tabs>
        <w:ind w:left="288" w:hanging="288"/>
      </w:pPr>
      <w:r>
        <w:rPr>
          <w:i/>
        </w:rPr>
        <w:tab/>
      </w:r>
      <w:r>
        <w:rPr>
          <w:i/>
        </w:rPr>
        <w:tab/>
        <w:t>Источник</w:t>
      </w:r>
      <w:r>
        <w:t>: Управление санитарной защиты/министерство здравоохранения и по социальным вопросам.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247.</w:t>
      </w:r>
      <w:r>
        <w:tab/>
        <w:t>Имеющиеся на территории страны в общей сложности 702 общинных центра по вопросам питания и центра по вопросам восстановления предоста</w:t>
      </w:r>
      <w:r>
        <w:t>в</w:t>
      </w:r>
      <w:r>
        <w:t>ляют услуги по обеспечению нормального питания 19 325 детям, что в среднем составляет 27 детей на каждый центр; таким образом показатель охвата с</w:t>
      </w:r>
      <w:r>
        <w:t>о</w:t>
      </w:r>
      <w:r>
        <w:t>ставляет 2,8 процента от общего числа детей в возрасте до шести лет.</w:t>
      </w:r>
    </w:p>
    <w:p w:rsidR="00000000" w:rsidRDefault="00000000">
      <w:pPr>
        <w:pStyle w:val="SingleTxt"/>
      </w:pPr>
      <w:r>
        <w:t>248.</w:t>
      </w:r>
      <w:r>
        <w:tab/>
        <w:t>Министерство национального просвещения также проводит работу в этой области через школьные столовые. Министерство получает помощь от Мир</w:t>
      </w:r>
      <w:r>
        <w:t>о</w:t>
      </w:r>
      <w:r>
        <w:t>вой продовольственной программы в рамках проводимой ею деятельности по ликвидации проблемы недоедания с использованием школьных столовых. В 2002 году размер оказываемой Программой помощи составил 440,6 млн. угий. В этом же году программой обеспечения питания через школьные столовые было охвачено 1316 школ в восьми вилайя (в обоих Ход, Асабе, Куркуле, Бракне, Трарзе, Таганте и Гидимаке). В общей сложности в школьных столовых питалось 64 580 учащихся, из которых 62 600 приходилось на начальные классы, а 1980 — на махадры и исламские школы. Таким обр</w:t>
      </w:r>
      <w:r>
        <w:t>а</w:t>
      </w:r>
      <w:r>
        <w:t>зом, питание в школьных столовых было обеспечено в 40,3 процента от общего числа начальных школ и в 16,7 процента от общего числа учащихся начальных школ. На махадры и исламские школы приходится 4,6 процента от общего чи</w:t>
      </w:r>
      <w:r>
        <w:t>с</w:t>
      </w:r>
      <w:r>
        <w:t>ла столовых. Таким образом, представляется очевидным недостаточный охват школьным питанием на уровне начальных школ, особенно в структурах самого первого уровня образ</w:t>
      </w:r>
      <w:r>
        <w:t>о</w:t>
      </w:r>
      <w:r>
        <w:t>вания.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Диаграмма 2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Распределение столовых/обеспеченных питанием учащихся по в</w:t>
      </w:r>
      <w:r>
        <w:t>и</w:t>
      </w:r>
      <w:r>
        <w:t>лайя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line="240" w:lineRule="auto"/>
        <w:ind w:left="1742" w:hanging="475"/>
        <w:jc w:val="left"/>
      </w:pPr>
      <w:r>
        <w:object w:dxaOrig="8491" w:dyaOrig="4884">
          <v:shape id="_x0000_i1025" type="#_x0000_t75" style="width:424.5pt;height:244.5pt" o:ole="" fillcolor="window">
            <v:imagedata r:id="rId16" o:title=""/>
          </v:shape>
          <o:OLEObject Type="Embed" ProgID="MSGraph.Chart.8" ShapeID="_x0000_i1025" DrawAspect="Content" ObjectID="_1395246098" r:id="rId17">
            <o:FieldCodes>\s</o:FieldCodes>
          </o:OLEObject>
        </w:object>
      </w:r>
    </w:p>
    <w:p w:rsidR="00000000" w:rsidRDefault="00000000">
      <w:pPr>
        <w:pStyle w:val="SingleTxt"/>
      </w:pPr>
      <w:r>
        <w:t>249.</w:t>
      </w:r>
      <w:r>
        <w:tab/>
        <w:t>ГСПЖ приступил к осуществлению проекта в области питания в общинах «Нутриком», ориентированного на беременных женщин и детей в возрасте до трех лет. Цель этого проекта заключается в том, чтобы опробовать подход, о</w:t>
      </w:r>
      <w:r>
        <w:t>с</w:t>
      </w:r>
      <w:r>
        <w:t>нованный на обеспечении питания в общинах, с учетом двух различных прот</w:t>
      </w:r>
      <w:r>
        <w:t>о</w:t>
      </w:r>
      <w:r>
        <w:t>типов — в сельской местности и в городах, — с тем чтобы исправить крайне неблагоприятное положение в области питания детей-подростков и повысить качество охраны здоровья матерей. Этим проектом охватывается пять в</w:t>
      </w:r>
      <w:r>
        <w:t>и</w:t>
      </w:r>
      <w:r>
        <w:t>лайя — Ход-эль-Гарби, Асаба, Куркул, Нуакшот и Дахлет Нуадибу. Кроме того, проект предусматривает институциональную поддержку ГСПЖ в четырех о</w:t>
      </w:r>
      <w:r>
        <w:t>б</w:t>
      </w:r>
      <w:r>
        <w:t>ластях: питание, микропроекты, мобилизация общественного мнения и вне</w:t>
      </w:r>
      <w:r>
        <w:t>ш</w:t>
      </w:r>
      <w:r>
        <w:t>няя оценка. В результате осуществления проекта удалось открыть 117 общинных центров по вопросам питания в пяти вилайя, охваченных прое</w:t>
      </w:r>
      <w:r>
        <w:t>к</w:t>
      </w:r>
      <w:r>
        <w:t>том, которые в состоянии ежемесячно обслуживать 46 800 детей, что составл</w:t>
      </w:r>
      <w:r>
        <w:t>я</w:t>
      </w:r>
      <w:r>
        <w:t>ет 400 детей на каждый центр.</w:t>
      </w:r>
    </w:p>
    <w:p w:rsidR="00000000" w:rsidRDefault="00000000">
      <w:pPr>
        <w:pStyle w:val="SingleTxt"/>
      </w:pPr>
      <w:r>
        <w:t>250.</w:t>
      </w:r>
      <w:r>
        <w:tab/>
        <w:t>Проект «Нутриком» позволил добиться показателя охвата среди детей в возрасте до трех лет на уровне 11,2 процента. В рамках проекта также удалось провести консультационные беседы с 17 089 женщинами; было организовано обучение 234 общинных представителей по вопросам питания различных в</w:t>
      </w:r>
      <w:r>
        <w:t>и</w:t>
      </w:r>
      <w:r>
        <w:t>лайя по теме питания и ИКТ; в пяти вилайя, охватываемых проектом «Нутр</w:t>
      </w:r>
      <w:r>
        <w:t>и</w:t>
      </w:r>
      <w:r>
        <w:t>ком», было начато осуществление 116 микропроектов; было организовано об</w:t>
      </w:r>
      <w:r>
        <w:t>у</w:t>
      </w:r>
      <w:r>
        <w:t>чение по различным вопросам управления, идентификации, планирования, контроля за исполнением и оценки проектов в интересах бенефициаров ДПР; начато осуществление программы обеспечения функциональной грамотности; была организована подготовка учебно-методических материалов и приобрет</w:t>
      </w:r>
      <w:r>
        <w:t>е</w:t>
      </w:r>
      <w:r>
        <w:t>ны технические средства, необходимые для мобилизации общественного мн</w:t>
      </w:r>
      <w:r>
        <w:t>е</w:t>
      </w:r>
      <w:r>
        <w:t>ния; и было проведено обследование по показателям питания в сельской мес</w:t>
      </w:r>
      <w:r>
        <w:t>т</w:t>
      </w:r>
      <w:r>
        <w:t>ности.</w:t>
      </w:r>
    </w:p>
    <w:p w:rsidR="00000000" w:rsidRDefault="00000000">
      <w:pPr>
        <w:pStyle w:val="SingleTxt"/>
      </w:pPr>
      <w:r>
        <w:t>251.</w:t>
      </w:r>
      <w:r>
        <w:tab/>
        <w:t>КПБ занимается проведением последовательной деятельности по обесп</w:t>
      </w:r>
      <w:r>
        <w:t>е</w:t>
      </w:r>
      <w:r>
        <w:t>чению продовольственной безопасности населения. Кроме того, были пред</w:t>
      </w:r>
      <w:r>
        <w:t>у</w:t>
      </w:r>
      <w:r>
        <w:t>смотрены конкретные действия на случай чрезвычайного положения или ст</w:t>
      </w:r>
      <w:r>
        <w:t>и</w:t>
      </w:r>
      <w:r>
        <w:t>хийных бедствий.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Таблица 5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показатели в области питания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10"/>
        <w:gridCol w:w="900"/>
        <w:gridCol w:w="1530"/>
        <w:gridCol w:w="138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351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Показатели</w:t>
            </w:r>
          </w:p>
        </w:tc>
        <w:tc>
          <w:tcPr>
            <w:tcW w:w="90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Вел</w:t>
            </w:r>
            <w:r>
              <w:rPr>
                <w:i/>
                <w:sz w:val="14"/>
              </w:rPr>
              <w:t>и</w:t>
            </w:r>
            <w:r>
              <w:rPr>
                <w:i/>
                <w:sz w:val="14"/>
              </w:rPr>
              <w:t>чина</w:t>
            </w:r>
          </w:p>
        </w:tc>
        <w:tc>
          <w:tcPr>
            <w:tcW w:w="15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Средний показатель по региону (страны Африки, расположе</w:t>
            </w:r>
            <w:r>
              <w:rPr>
                <w:i/>
                <w:sz w:val="14"/>
              </w:rPr>
              <w:t>н</w:t>
            </w:r>
            <w:r>
              <w:rPr>
                <w:i/>
                <w:sz w:val="14"/>
              </w:rPr>
              <w:t>ные к югу от Сахары)</w:t>
            </w:r>
          </w:p>
        </w:tc>
        <w:tc>
          <w:tcPr>
            <w:tcW w:w="138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Источник данных по Мавр</w:t>
            </w:r>
            <w:r>
              <w:rPr>
                <w:i/>
                <w:sz w:val="14"/>
              </w:rPr>
              <w:t>и</w:t>
            </w:r>
            <w:r>
              <w:rPr>
                <w:i/>
                <w:sz w:val="14"/>
              </w:rPr>
              <w:t>тании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351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</w:p>
        </w:tc>
        <w:tc>
          <w:tcPr>
            <w:tcW w:w="2430" w:type="dxa"/>
            <w:gridSpan w:val="2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В процентах</w:t>
            </w:r>
          </w:p>
        </w:tc>
        <w:tc>
          <w:tcPr>
            <w:tcW w:w="13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35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90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5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38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Показатель железистой недостаточности среди беременных</w:t>
            </w:r>
          </w:p>
        </w:tc>
        <w:tc>
          <w:tcPr>
            <w:tcW w:w="9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53,0</w:t>
            </w:r>
          </w:p>
        </w:tc>
        <w:tc>
          <w:tcPr>
            <w:tcW w:w="15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–</w:t>
            </w:r>
          </w:p>
        </w:tc>
        <w:tc>
          <w:tcPr>
            <w:tcW w:w="13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ПНСР/МЗСВ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Недостаточный вес ребенка при рождении</w:t>
            </w:r>
          </w:p>
        </w:tc>
        <w:tc>
          <w:tcPr>
            <w:tcW w:w="90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9,2</w:t>
            </w:r>
          </w:p>
        </w:tc>
        <w:tc>
          <w:tcPr>
            <w:tcW w:w="153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15,0</w:t>
            </w:r>
          </w:p>
        </w:tc>
        <w:tc>
          <w:tcPr>
            <w:tcW w:w="138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ОДЗМ</w:t>
            </w:r>
            <w:r>
              <w:rPr>
                <w:sz w:val="17"/>
              </w:rPr>
              <w:br/>
              <w:t>2000–2001 годы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Хроническое недоедание</w:t>
            </w:r>
          </w:p>
        </w:tc>
        <w:tc>
          <w:tcPr>
            <w:tcW w:w="9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35,0</w:t>
            </w:r>
          </w:p>
        </w:tc>
        <w:tc>
          <w:tcPr>
            <w:tcW w:w="15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–</w:t>
            </w:r>
          </w:p>
        </w:tc>
        <w:tc>
          <w:tcPr>
            <w:tcW w:w="13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Острое недоедание</w:t>
            </w:r>
          </w:p>
        </w:tc>
        <w:tc>
          <w:tcPr>
            <w:tcW w:w="9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17,0</w:t>
            </w:r>
          </w:p>
        </w:tc>
        <w:tc>
          <w:tcPr>
            <w:tcW w:w="15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3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Недостаточный вес</w:t>
            </w:r>
          </w:p>
        </w:tc>
        <w:tc>
          <w:tcPr>
            <w:tcW w:w="9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32,0</w:t>
            </w:r>
          </w:p>
        </w:tc>
        <w:tc>
          <w:tcPr>
            <w:tcW w:w="15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20,5</w:t>
            </w:r>
          </w:p>
        </w:tc>
        <w:tc>
          <w:tcPr>
            <w:tcW w:w="13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Отставание в росте</w:t>
            </w:r>
          </w:p>
        </w:tc>
        <w:tc>
          <w:tcPr>
            <w:tcW w:w="9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35,0</w:t>
            </w:r>
          </w:p>
        </w:tc>
        <w:tc>
          <w:tcPr>
            <w:tcW w:w="15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37,0</w:t>
            </w:r>
          </w:p>
        </w:tc>
        <w:tc>
          <w:tcPr>
            <w:tcW w:w="13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Истощение</w:t>
            </w:r>
          </w:p>
        </w:tc>
        <w:tc>
          <w:tcPr>
            <w:tcW w:w="9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13,0</w:t>
            </w:r>
          </w:p>
        </w:tc>
        <w:tc>
          <w:tcPr>
            <w:tcW w:w="15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10,0</w:t>
            </w:r>
          </w:p>
        </w:tc>
        <w:tc>
          <w:tcPr>
            <w:tcW w:w="13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Грудное кормление</w:t>
            </w:r>
          </w:p>
        </w:tc>
        <w:tc>
          <w:tcPr>
            <w:tcW w:w="9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21,6</w:t>
            </w:r>
          </w:p>
        </w:tc>
        <w:tc>
          <w:tcPr>
            <w:tcW w:w="15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34, 60, 52</w:t>
            </w:r>
          </w:p>
        </w:tc>
        <w:tc>
          <w:tcPr>
            <w:tcW w:w="13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288" w:right="40" w:hanging="288"/>
              <w:rPr>
                <w:sz w:val="17"/>
              </w:rPr>
            </w:pPr>
            <w:r>
              <w:rPr>
                <w:sz w:val="17"/>
              </w:rPr>
              <w:tab/>
              <w:t>Исключительно грудное кормление</w:t>
            </w:r>
            <w:r>
              <w:rPr>
                <w:sz w:val="17"/>
              </w:rPr>
              <w:br/>
              <w:t>(от 0 до 3 месяцев)</w:t>
            </w:r>
          </w:p>
        </w:tc>
        <w:tc>
          <w:tcPr>
            <w:tcW w:w="9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96,7</w:t>
            </w:r>
          </w:p>
        </w:tc>
        <w:tc>
          <w:tcPr>
            <w:tcW w:w="15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3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288" w:right="40" w:hanging="288"/>
              <w:rPr>
                <w:sz w:val="17"/>
              </w:rPr>
            </w:pPr>
            <w:r>
              <w:rPr>
                <w:sz w:val="17"/>
              </w:rPr>
              <w:tab/>
              <w:t>Дополнительное питание при сохран</w:t>
            </w:r>
            <w:r>
              <w:rPr>
                <w:sz w:val="17"/>
              </w:rPr>
              <w:t>е</w:t>
            </w:r>
            <w:r>
              <w:rPr>
                <w:sz w:val="17"/>
              </w:rPr>
              <w:t>нии грудного кормления (от 20 до 23 месяцев)</w:t>
            </w:r>
          </w:p>
        </w:tc>
        <w:tc>
          <w:tcPr>
            <w:tcW w:w="9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49,6</w:t>
            </w:r>
          </w:p>
        </w:tc>
        <w:tc>
          <w:tcPr>
            <w:tcW w:w="15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3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Получение необходимого количества вит</w:t>
            </w:r>
            <w:r>
              <w:rPr>
                <w:sz w:val="17"/>
              </w:rPr>
              <w:t>а</w:t>
            </w:r>
            <w:r>
              <w:rPr>
                <w:sz w:val="17"/>
              </w:rPr>
              <w:t>мина A (от 6 до 59 месяцев)</w:t>
            </w:r>
          </w:p>
        </w:tc>
        <w:tc>
          <w:tcPr>
            <w:tcW w:w="9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57,8</w:t>
            </w:r>
          </w:p>
        </w:tc>
        <w:tc>
          <w:tcPr>
            <w:tcW w:w="15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54</w:t>
            </w:r>
          </w:p>
        </w:tc>
        <w:tc>
          <w:tcPr>
            <w:tcW w:w="13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1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Доля семей, употребляющих йодированную соль</w:t>
            </w:r>
          </w:p>
        </w:tc>
        <w:tc>
          <w:tcPr>
            <w:tcW w:w="90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1,1</w:t>
            </w:r>
          </w:p>
        </w:tc>
        <w:tc>
          <w:tcPr>
            <w:tcW w:w="15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64</w:t>
            </w:r>
          </w:p>
        </w:tc>
        <w:tc>
          <w:tcPr>
            <w:tcW w:w="138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Низкий показатель семей, употребляющих йодированную соль, отчасти объя</w:t>
      </w:r>
      <w:r>
        <w:t>с</w:t>
      </w:r>
      <w:r>
        <w:t>няет высокую распространенность заболеваний, вызванных йодистой недост</w:t>
      </w:r>
      <w:r>
        <w:t>а</w:t>
      </w:r>
      <w:r>
        <w:t>точностью.</w:t>
      </w:r>
    </w:p>
    <w:p w:rsidR="00000000" w:rsidRDefault="00000000">
      <w:pPr>
        <w:pStyle w:val="SingleTxt"/>
      </w:pPr>
      <w:r>
        <w:t>252.</w:t>
      </w:r>
      <w:r>
        <w:tab/>
        <w:t>Объем средств, выделенных в 2002 году для борьбы с проблемой недост</w:t>
      </w:r>
      <w:r>
        <w:t>а</w:t>
      </w:r>
      <w:r>
        <w:t>точного питания (государство и доноры), составил 1 185,85 млн. угий. Эта сумма не покрывает объем средств, мобилизованных КПБ. Указанные средства относятся к ресурсам, мобилизованным департаментами здравоохранения, о</w:t>
      </w:r>
      <w:r>
        <w:t>б</w:t>
      </w:r>
      <w:r>
        <w:t>разования и ГСП для различных программ в области питания. В этой связи следует, в частности, упомянуть проект «Школьные столовые», проект «Ну</w:t>
      </w:r>
      <w:r>
        <w:t>т</w:t>
      </w:r>
      <w:r>
        <w:t>риком» и национальную программу в области питания МЗСВ. Вклад ПДН в дело борьбы с проблемой недостаточного питания осуществляется через п</w:t>
      </w:r>
      <w:r>
        <w:t>о</w:t>
      </w:r>
      <w:r>
        <w:t>средство МНО в рамках проекта «Школьные столовые» в форме создания этих структур жизнеобеспечения.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Диаграмма 3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Разбивка бюджетных ассигнований на деятельность по борьбе с проблемой недоедания по источникам финансирования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  <w:r>
        <w:rPr>
          <w:noProof/>
          <w:w w:val="100"/>
        </w:rPr>
        <w:pict>
          <v:group id="_x0000_s2054" style="position:absolute;left:0;text-align:left;margin-left:55.45pt;margin-top:3.95pt;width:389.6pt;height:225.5pt;z-index:2" coordorigin="2304,3981" coordsize="7792,4510" o:allowincell="f">
            <v:shape id="_x0000_s2051" type="#_x0000_t75" style="position:absolute;left:2304;top:5277;width:7792;height:3214">
              <v:imagedata r:id="rId18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2" type="#_x0000_t202" style="position:absolute;left:2880;top:4032;width:6336;height:864" stroked="f">
              <v:textbox style="mso-next-textbox:#_x0000_s2052" inset=".72pt,,.72pt">
                <w:txbxContent>
                  <w:p w:rsidR="00000000" w:rsidRDefault="00000000">
                    <w:pPr>
                      <w:pStyle w:val="DualTxt"/>
                      <w:suppressAutoHyphens/>
                      <w:jc w:val="left"/>
                      <w:rPr>
                        <w:b/>
                      </w:rPr>
                    </w:pPr>
                    <w:r>
                      <w:rPr>
                        <w:b/>
                      </w:rPr>
                      <w:t>Разбивка бюджетных ассигнований на деятельность по борьбе с</w:t>
                    </w:r>
                    <w:r>
                      <w:rPr>
                        <w:b/>
                        <w:lang w:val="en-US"/>
                      </w:rPr>
                      <w:t> </w:t>
                    </w:r>
                    <w:r>
                      <w:rPr>
                        <w:b/>
                      </w:rPr>
                      <w:t>проблемой недоедания в 2002 г</w:t>
                    </w:r>
                    <w:r>
                      <w:rPr>
                        <w:b/>
                      </w:rPr>
                      <w:t>о</w:t>
                    </w:r>
                    <w:r>
                      <w:rPr>
                        <w:b/>
                      </w:rPr>
                      <w:t>ду</w:t>
                    </w:r>
                  </w:p>
                </w:txbxContent>
              </v:textbox>
            </v:shape>
            <v:rect id="_x0000_s2053" style="position:absolute;left:2448;top:3981;width:7632;height:4320" filled="f"/>
          </v:group>
          <o:OLEObject Type="Embed" ProgID="MSGraph.Chart.8" ShapeID="_x0000_s2051" DrawAspect="Content" ObjectID="_1395246100" r:id="rId19">
            <o:FieldCodes>\s</o:FieldCodes>
          </o:OLEObject>
        </w:pict>
      </w: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  <w:r>
        <w:t>253.</w:t>
      </w:r>
      <w:r>
        <w:tab/>
        <w:t>Что касается грудного кормления, то оно в Мавритании является весьма распространено, особенно в сельской местности. В то же время исключительно грудное кормление на протяжении первых шести месяцев жизни ребенка не является правилом, и часто довольно рано младенцам начинают давать пищ</w:t>
      </w:r>
      <w:r>
        <w:t>е</w:t>
      </w:r>
      <w:r>
        <w:t>вые добавки.</w:t>
      </w:r>
    </w:p>
    <w:p w:rsidR="00000000" w:rsidRDefault="00000000">
      <w:pPr>
        <w:pStyle w:val="SingleTxt"/>
      </w:pPr>
      <w:r>
        <w:t>254.</w:t>
      </w:r>
      <w:r>
        <w:tab/>
        <w:t>Кроме того, министерство здравоохранения и по социальным вопросам разработало ряд стратегий, предусмотренных в национальном плане действий в области обеспечения питанием. Эти стратегии, в частности, направлены на: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укрепление национального потенциала по оценке положения в области питания и контроля за ним;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включение связанных с продовольствием и питанием аспектов в цели в обла</w:t>
      </w:r>
      <w:r>
        <w:t>с</w:t>
      </w:r>
      <w:r>
        <w:t>ти развития;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повышение качества и уровня безопасности продуктов питания;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привлечение находящихся в неблагоприятном положении групп населения к разработке социально-экономических планов и планов в области обе</w:t>
      </w:r>
      <w:r>
        <w:t>с</w:t>
      </w:r>
      <w:r>
        <w:t>печения продовольствием;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просвещение участников процесса;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активизацию информационно-коммуникационной деятельности в интер</w:t>
      </w:r>
      <w:r>
        <w:t>е</w:t>
      </w:r>
      <w:r>
        <w:t>сах широких кругов населения;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укрепление институциональных рамок и межсекторальных связей.</w:t>
      </w:r>
    </w:p>
    <w:p w:rsidR="00000000" w:rsidRDefault="00000000">
      <w:pPr>
        <w:pStyle w:val="SingleTxt"/>
      </w:pPr>
      <w:r>
        <w:t>255.</w:t>
      </w:r>
      <w:r>
        <w:tab/>
        <w:t>Помимо этих мер общего характера для ликвидации проблемы дефицита питательных микроэлементов принимаются и конкретные меры. Так, напр</w:t>
      </w:r>
      <w:r>
        <w:t>и</w:t>
      </w:r>
      <w:r>
        <w:t>мер, программа по борьбе со слепотой была переориентирована борьбу с ав</w:t>
      </w:r>
      <w:r>
        <w:t>и</w:t>
      </w:r>
      <w:r>
        <w:t>таминозом, были определены продукты, богатые витамином A, и началась пр</w:t>
      </w:r>
      <w:r>
        <w:t>о</w:t>
      </w:r>
      <w:r>
        <w:t>паганда их употребления в пищу.</w:t>
      </w:r>
    </w:p>
    <w:p w:rsidR="00000000" w:rsidRDefault="00000000">
      <w:pPr>
        <w:pStyle w:val="SingleTxt"/>
      </w:pPr>
      <w:r>
        <w:t>256.</w:t>
      </w:r>
      <w:r>
        <w:tab/>
        <w:t>Также принимаются меры по ликвидации проблемы йодистой недост</w:t>
      </w:r>
      <w:r>
        <w:t>а</w:t>
      </w:r>
      <w:r>
        <w:t>точности. Например, был принят закон об использовании йодированной соли в продуктах питания и в корме для животных и о поощрении предприятий и НПО к производству йодированной соли; и, наконец, проводятся кампании и</w:t>
      </w:r>
      <w:r>
        <w:t>н</w:t>
      </w:r>
      <w:r>
        <w:t>формирования широких слоев населения об опасностях и проблемах, вызыва</w:t>
      </w:r>
      <w:r>
        <w:t>е</w:t>
      </w:r>
      <w:r>
        <w:t>мых йодистой недостаточностью, и о полезности йодированной соли. Прин</w:t>
      </w:r>
      <w:r>
        <w:t>и</w:t>
      </w:r>
      <w:r>
        <w:t>маются меры по поощрению исключительно грудного кормления детей в во</w:t>
      </w:r>
      <w:r>
        <w:t>з</w:t>
      </w:r>
      <w:r>
        <w:t>расте до шести месяцев.</w:t>
      </w:r>
    </w:p>
    <w:p w:rsidR="00000000" w:rsidRDefault="00000000">
      <w:pPr>
        <w:pStyle w:val="SingleTxt"/>
      </w:pPr>
      <w:r>
        <w:t>257.</w:t>
      </w:r>
      <w:r>
        <w:tab/>
        <w:t>В рамках этих программ удалось повысить уровень нескольких больниц, родильных домов, центров матери и ребенка, медицинских центров и пунктов, с тем чтобы их можно было назвать «детскими больницами», и пропагандир</w:t>
      </w:r>
      <w:r>
        <w:t>о</w:t>
      </w:r>
      <w:r>
        <w:t>вать пользу практики грудного кормления и недопущения раннего прекращ</w:t>
      </w:r>
      <w:r>
        <w:t>е</w:t>
      </w:r>
      <w:r>
        <w:t>ния такого кормления в целях борьбы с проблемой недостаточного питания. Проводимая при этом учебная работа уже охватывает персонал национальных и региональных больниц. В то же время еще не принят проект закона о ко</w:t>
      </w:r>
      <w:r>
        <w:t>м</w:t>
      </w:r>
      <w:r>
        <w:t>мерческом производстве зам</w:t>
      </w:r>
      <w:r>
        <w:t>е</w:t>
      </w:r>
      <w:r>
        <w:t>нителей грудного молока.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XI.</w:t>
      </w:r>
      <w:r>
        <w:tab/>
        <w:t>Финансирование и социальная защита (статья 13)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258.</w:t>
      </w:r>
      <w:r>
        <w:tab/>
        <w:t>В конституции от 20 июля 1991 года предусматривается полное равенство мужчин и женщин в отношении экономических и социальных прав (преамбула) и в отношении свободы торговли и производства, мнения и мысли, слова, и</w:t>
      </w:r>
      <w:r>
        <w:t>н</w:t>
      </w:r>
      <w:r>
        <w:t>теллектуального, художественного и научного творчества (статья 10).</w:t>
      </w:r>
    </w:p>
    <w:p w:rsidR="00000000" w:rsidRDefault="00000000">
      <w:pPr>
        <w:pStyle w:val="SingleTxt"/>
      </w:pPr>
      <w:r>
        <w:t>259.</w:t>
      </w:r>
      <w:r>
        <w:tab/>
        <w:t>Таким образом, женщины пользуются практически всеми правами, пр</w:t>
      </w:r>
      <w:r>
        <w:t>о</w:t>
      </w:r>
      <w:r>
        <w:t>возглашенными в различных документах (коллективный договор, трудовой к</w:t>
      </w:r>
      <w:r>
        <w:t>о</w:t>
      </w:r>
      <w:r>
        <w:t>декс, положение о социальной защите), связанных с их работой. Что касается семейных дотаций, то женщины имеют на них право согласно действующим нормативным док</w:t>
      </w:r>
      <w:r>
        <w:t>у</w:t>
      </w:r>
      <w:r>
        <w:t>ментам.</w:t>
      </w:r>
    </w:p>
    <w:p w:rsidR="00000000" w:rsidRDefault="00000000">
      <w:pPr>
        <w:pStyle w:val="SingleTxt"/>
      </w:pPr>
      <w:r>
        <w:t>260.</w:t>
      </w:r>
      <w:r>
        <w:tab/>
        <w:t>Что касается права на получение банковских кредитов, ипотечных кред</w:t>
      </w:r>
      <w:r>
        <w:t>и</w:t>
      </w:r>
      <w:r>
        <w:t>тов и других форм кредитования, то государство создает и развивает различные сети, позволяющие улучшить положение женщин и повысить степень их нез</w:t>
      </w:r>
      <w:r>
        <w:t>а</w:t>
      </w:r>
      <w:r>
        <w:t>висимости.</w:t>
      </w:r>
    </w:p>
    <w:p w:rsidR="00000000" w:rsidRDefault="00000000">
      <w:pPr>
        <w:pStyle w:val="SingleTxt"/>
      </w:pPr>
      <w:r>
        <w:t>261.</w:t>
      </w:r>
      <w:r>
        <w:tab/>
        <w:t>В контексте этой деятельности с 1996 года во многих населенных пунктах создаются Народные сберегательно-кредитные кассы (НСКК), и их услугами активно пользуется население в целом и женщины в частности. Прилагавшиеся с этого времени усилия принесли благоприятные результаты. Число клиентов таких касс составляет почти 37 000 человек, из которых 42 процента — же</w:t>
      </w:r>
      <w:r>
        <w:t>н</w:t>
      </w:r>
      <w:r>
        <w:t>щины, этими кассами выданы кредиты на сумму 3,5 млрд. угий, причем 38 процентов от этой суммы — женщинам, на сберегательные счета положено примерно 2 млрд. учий, а показатель возврата кредитов составил почти 98 процентов.</w:t>
      </w:r>
    </w:p>
    <w:p w:rsidR="00000000" w:rsidRDefault="00000000">
      <w:pPr>
        <w:pStyle w:val="SingleTxt"/>
      </w:pPr>
      <w:r>
        <w:t>262.</w:t>
      </w:r>
      <w:r>
        <w:tab/>
        <w:t>Накопленный в области финансирования опыт свидетельствует о том, что: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женщины несколько чаще, чем мужчины, прибегают к официальным формам микрокредитования (примерно 52 процента);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показатель возврата кредитов у женщин в целом значительно выше, чем у мужчин: в среднем невозвращаемая сумма составляет менее 10 проце</w:t>
      </w:r>
      <w:r>
        <w:t>н</w:t>
      </w:r>
      <w:r>
        <w:t>тов;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мероприятия, организуемые Женскими сберегательно-кредитными гру</w:t>
      </w:r>
      <w:r>
        <w:t>п</w:t>
      </w:r>
      <w:r>
        <w:t>пами (ЖСКГ) и банком Нисса, которые охватывают более 28 652 женщин (из которых 3495 — члены ЖСКГ, а 25 157 — члены банка Нисса), свид</w:t>
      </w:r>
      <w:r>
        <w:t>е</w:t>
      </w:r>
      <w:r>
        <w:t>тельствуют о том, что сумма выданных кредитов составляет примерно 10,8 процента от общей суммы кредитов, выданных в 2001 году на наци</w:t>
      </w:r>
      <w:r>
        <w:t>о</w:t>
      </w:r>
      <w:r>
        <w:t>нальном уровне всеми учреждениями микрофинансирования (1115 млн. учий).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Таблица 6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Деятельность ЖСКГ в вилайя Нуакшота, Куркула и Хош-эль-Гарби в 2001 году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40"/>
        <w:gridCol w:w="318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414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Разделы</w:t>
            </w:r>
          </w:p>
        </w:tc>
        <w:tc>
          <w:tcPr>
            <w:tcW w:w="318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Итого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414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318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14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Количество членов</w:t>
            </w:r>
          </w:p>
        </w:tc>
        <w:tc>
          <w:tcPr>
            <w:tcW w:w="31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1 129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14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Женщины в индивидуальном качестве</w:t>
            </w:r>
          </w:p>
        </w:tc>
        <w:tc>
          <w:tcPr>
            <w:tcW w:w="31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876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14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Группы</w:t>
            </w:r>
          </w:p>
        </w:tc>
        <w:tc>
          <w:tcPr>
            <w:tcW w:w="31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253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14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Количество женских проектов</w:t>
            </w:r>
          </w:p>
        </w:tc>
        <w:tc>
          <w:tcPr>
            <w:tcW w:w="31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1 433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14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Общая сумма предоставленных кредитов</w:t>
            </w:r>
          </w:p>
        </w:tc>
        <w:tc>
          <w:tcPr>
            <w:tcW w:w="31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121 330 960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14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Показатель возврата кредитов</w:t>
            </w:r>
          </w:p>
        </w:tc>
        <w:tc>
          <w:tcPr>
            <w:tcW w:w="31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В среднем более 80 процентов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140" w:type="dxa"/>
            <w:tcBorders>
              <w:bottom w:val="single" w:sz="12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Количество женщин-бенефициаров</w:t>
            </w:r>
          </w:p>
        </w:tc>
        <w:tc>
          <w:tcPr>
            <w:tcW w:w="318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30 613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rPr>
          <w:i/>
        </w:rPr>
        <w:t>Источник</w:t>
      </w:r>
      <w:r>
        <w:t>:</w:t>
      </w:r>
      <w:r>
        <w:rPr>
          <w:i/>
        </w:rPr>
        <w:t xml:space="preserve"> </w:t>
      </w:r>
      <w:r>
        <w:t>ГСПЖ, 2002 год.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263.</w:t>
      </w:r>
      <w:r>
        <w:tab/>
        <w:t>В рамках своей Программы по борьбе за ликвидацию нищеты и за соц</w:t>
      </w:r>
      <w:r>
        <w:t>и</w:t>
      </w:r>
      <w:r>
        <w:t>альную интеграцию (ПЛНСИ) Комиссариат по правам человека участвует в а</w:t>
      </w:r>
      <w:r>
        <w:t>к</w:t>
      </w:r>
      <w:r>
        <w:t>тивизации усилий государственных органов в области предоставления женщ</w:t>
      </w:r>
      <w:r>
        <w:t>и</w:t>
      </w:r>
      <w:r>
        <w:t>нам доступа к кредитам, с тем чтобы они могли заниматься деятельностью, приносящей доход. В этой связи при поддержке ПРООН, АфБР и МБТ в ра</w:t>
      </w:r>
      <w:r>
        <w:t>м</w:t>
      </w:r>
      <w:r>
        <w:t>ках Программы был инициирован процесс разработки стратегий микрофина</w:t>
      </w:r>
      <w:r>
        <w:t>н</w:t>
      </w:r>
      <w:r>
        <w:t>сирования и создания микропредприятий в качестве средств борьбы с нищ</w:t>
      </w:r>
      <w:r>
        <w:t>е</w:t>
      </w:r>
      <w:r>
        <w:t>той.</w:t>
      </w:r>
    </w:p>
    <w:p w:rsidR="00000000" w:rsidRDefault="00000000">
      <w:pPr>
        <w:pStyle w:val="SingleTxt"/>
      </w:pPr>
      <w:r>
        <w:t>264.</w:t>
      </w:r>
      <w:r>
        <w:tab/>
        <w:t>2002 год был посвящен организации практикумов по вопросам реализ</w:t>
      </w:r>
      <w:r>
        <w:t>а</w:t>
      </w:r>
      <w:r>
        <w:t>ции этих стр</w:t>
      </w:r>
      <w:r>
        <w:t>а</w:t>
      </w:r>
      <w:r>
        <w:t>тегий.</w:t>
      </w:r>
    </w:p>
    <w:p w:rsidR="00000000" w:rsidRDefault="00000000">
      <w:pPr>
        <w:pStyle w:val="SingleTxt"/>
      </w:pPr>
      <w:r>
        <w:t>265.</w:t>
      </w:r>
      <w:r>
        <w:tab/>
        <w:t>Кроме того, были выделены средства восьми учреждениям микрофина</w:t>
      </w:r>
      <w:r>
        <w:t>н</w:t>
      </w:r>
      <w:r>
        <w:t>сиров</w:t>
      </w:r>
      <w:r>
        <w:t>а</w:t>
      </w:r>
      <w:r>
        <w:t>ния.</w:t>
      </w:r>
    </w:p>
    <w:p w:rsidR="00000000" w:rsidRDefault="00000000">
      <w:pPr>
        <w:pStyle w:val="SingleTxt"/>
      </w:pPr>
      <w:r>
        <w:t>266.</w:t>
      </w:r>
      <w:r>
        <w:tab/>
        <w:t>Четырнадцати учреждениям микрофинансирования были выделены сре</w:t>
      </w:r>
      <w:r>
        <w:t>д</w:t>
      </w:r>
      <w:r>
        <w:t>ства в объеме 12 млн. угий, с тем чтобы создать возможности для выдачи ми</w:t>
      </w:r>
      <w:r>
        <w:t>к</w:t>
      </w:r>
      <w:r>
        <w:t>рокредитов представителям неимущих слоев населения, которые не имеют доступа к традиционной банковской системе.</w:t>
      </w:r>
    </w:p>
    <w:p w:rsidR="00000000" w:rsidRDefault="00000000">
      <w:pPr>
        <w:pStyle w:val="SingleTxt"/>
      </w:pPr>
      <w:r>
        <w:t>267.</w:t>
      </w:r>
      <w:r>
        <w:tab/>
        <w:t>Кроме того, в интересах укрепления технического потенциала этих учр</w:t>
      </w:r>
      <w:r>
        <w:t>е</w:t>
      </w:r>
      <w:r>
        <w:t>ждений к ним было направлено 63 дипломированных специалиста. В частн</w:t>
      </w:r>
      <w:r>
        <w:t>о</w:t>
      </w:r>
      <w:r>
        <w:t>сти, совместно с НБМ кредиты предоставлялись для создания 60 микро- и м</w:t>
      </w:r>
      <w:r>
        <w:t>а</w:t>
      </w:r>
      <w:r>
        <w:t>лых предприятий, управляемых диплом</w:t>
      </w:r>
      <w:r>
        <w:t>и</w:t>
      </w:r>
      <w:r>
        <w:t>рованными специалистами.</w:t>
      </w:r>
    </w:p>
    <w:p w:rsidR="00000000" w:rsidRDefault="00000000">
      <w:pPr>
        <w:pStyle w:val="SingleTxt"/>
      </w:pPr>
      <w:r>
        <w:t>268.</w:t>
      </w:r>
      <w:r>
        <w:tab/>
        <w:t>Параллельно этому вышеупомянутое учреждение осуществляет руков</w:t>
      </w:r>
      <w:r>
        <w:t>о</w:t>
      </w:r>
      <w:r>
        <w:t>дство проектом по уменьшению масштабов нищеты (ПУН), который финанс</w:t>
      </w:r>
      <w:r>
        <w:t>и</w:t>
      </w:r>
      <w:r>
        <w:t>руется АфБР и осуществляется при техническом содействии со стороны Вс</w:t>
      </w:r>
      <w:r>
        <w:t>е</w:t>
      </w:r>
      <w:r>
        <w:t>ми</w:t>
      </w:r>
      <w:r>
        <w:t>р</w:t>
      </w:r>
      <w:r>
        <w:t>ного банка и СИДА.</w:t>
      </w:r>
    </w:p>
    <w:p w:rsidR="00000000" w:rsidRDefault="00000000">
      <w:pPr>
        <w:pStyle w:val="SingleTxt"/>
      </w:pPr>
      <w:r>
        <w:t>269.</w:t>
      </w:r>
      <w:r>
        <w:tab/>
        <w:t>Проект ориентирован на достижение следующих целей: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укрепление возможностей целевых групп по организации и развитию ДПД;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поддержка ДПД в форме кредитования и укрепления потенциала пром</w:t>
      </w:r>
      <w:r>
        <w:t>е</w:t>
      </w:r>
      <w:r>
        <w:t>жуточного звена и конечных пользователей;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развитие сети кредитно-сберегательных касс, способных выдавать кра</w:t>
      </w:r>
      <w:r>
        <w:t>т</w:t>
      </w:r>
      <w:r>
        <w:t>косрочные кредиты на приемлемых условиях представителям неимущих слоев населения, не имеющим доступа к традиционной банковской си</w:t>
      </w:r>
      <w:r>
        <w:t>с</w:t>
      </w:r>
      <w:r>
        <w:t>теме.</w:t>
      </w:r>
    </w:p>
    <w:p w:rsidR="00000000" w:rsidRDefault="00000000">
      <w:pPr>
        <w:pStyle w:val="SingleTxt"/>
      </w:pPr>
      <w:r>
        <w:t>270.</w:t>
      </w:r>
      <w:r>
        <w:tab/>
        <w:t>Помощь, оказанная в 2002–2003 годах микропредприятиям, принесла сл</w:t>
      </w:r>
      <w:r>
        <w:t>е</w:t>
      </w:r>
      <w:r>
        <w:t>дующие результ</w:t>
      </w:r>
      <w:r>
        <w:t>а</w:t>
      </w:r>
      <w:r>
        <w:t>ты: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проведение информационно-коммуникационных кампаний в Нуакшоте и Россо в 2002 году, а в 2003 году, помимо этих двух городов, еще и в Атаре, Каэди, Киффе, Неме и Нуадибу;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обучение грамоте 4000 слушателей и учащихся институтов-партнеров по микрофинансированию (ИПМФ) в 2002 и 2003 годах;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принятие на работу в 2002 году 22 безработных дипломированных же</w:t>
      </w:r>
      <w:r>
        <w:t>н</w:t>
      </w:r>
      <w:r>
        <w:t>щин;</w:t>
      </w:r>
    </w:p>
    <w:p w:rsidR="00000000" w:rsidRDefault="00000000">
      <w:pPr>
        <w:pStyle w:val="SingleTxt"/>
        <w:tabs>
          <w:tab w:val="right" w:pos="1685"/>
        </w:tabs>
        <w:spacing w:line="240" w:lineRule="auto"/>
        <w:ind w:left="1742" w:hanging="475"/>
      </w:pPr>
      <w:r>
        <w:tab/>
        <w:t>•</w:t>
      </w:r>
      <w:r>
        <w:tab/>
        <w:t>выделение кредитов на сумму 180 млн. угий (2002 год) 31 УВМФ, в том числе 17 НКСК, что на 6 кредитов больше, чем было выдано в 2001 году, а в 2003 году УВМФ было выдано кредитов на сумму приблизительно 180 млн. угий.</w:t>
      </w:r>
    </w:p>
    <w:p w:rsidR="00000000" w:rsidRDefault="00000000">
      <w:pPr>
        <w:pStyle w:val="SingleTxt"/>
      </w:pPr>
      <w:r>
        <w:t>271.</w:t>
      </w:r>
      <w:r>
        <w:tab/>
        <w:t>Кроме того, следует отметить деятельность в 2002 году 20 НКСК с более чем 25 000 членов, 49 процентов из которых составляли женщины и на счета которых было положено 877 млн. угий и которые выдали кредиты на сумму 1 808 121 940 угий 25 084 предпринимателям, в том числе 8813 женщинам. В то же время в рамках проекта «Нутриком» в 117 общинных центрах по вопр</w:t>
      </w:r>
      <w:r>
        <w:t>о</w:t>
      </w:r>
      <w:r>
        <w:t>сам питания (ОЦП) началось проведение деятельности, приносящей доход (ДВД). В контексте этой деятельности было произведено финансирование 113 микропроектов, результатами которых воспользовались 12 914 женщин, и было подготовлено 244 руководителя микропроектов.</w:t>
      </w:r>
    </w:p>
    <w:p w:rsidR="00000000" w:rsidRDefault="00000000">
      <w:pPr>
        <w:pStyle w:val="SingleTxt"/>
      </w:pPr>
      <w:r>
        <w:t>272.</w:t>
      </w:r>
      <w:r>
        <w:tab/>
        <w:t>Наконец, Союз мавританских женщин-коммерсантов и предпринимателей (СМЖКП) приступил в 2004 году к созданию трех кредитно-сберегательных кооперативов в поддержку усилий государственных органов по улучшению п</w:t>
      </w:r>
      <w:r>
        <w:t>о</w:t>
      </w:r>
      <w:r>
        <w:t>ложения женщин в этом исключительно важном секторе. В то же время сущ</w:t>
      </w:r>
      <w:r>
        <w:t>е</w:t>
      </w:r>
      <w:r>
        <w:t>ствует целый ряд факторов, препятствующих доступу женщин к кредитам. Они в основном объясняются неподходящим для этой цели характером финансовых механизмов, создававшихся до сих пор формальными структурами, в частности в сельской местности, где, как представляется, они принимают форму росто</w:t>
      </w:r>
      <w:r>
        <w:t>в</w:t>
      </w:r>
      <w:r>
        <w:t>щичества (традиционные кредиторы, предоставляющие средства по высоким ставкам).</w:t>
      </w:r>
    </w:p>
    <w:p w:rsidR="00000000" w:rsidRDefault="00000000">
      <w:pPr>
        <w:pStyle w:val="SingleTxt"/>
      </w:pPr>
      <w:r>
        <w:t>273.</w:t>
      </w:r>
      <w:r>
        <w:tab/>
        <w:t>Что касается права участвовать в культурно-оздоровительных меропри</w:t>
      </w:r>
      <w:r>
        <w:t>я</w:t>
      </w:r>
      <w:r>
        <w:t>тиях, в спортивных соревнованиях и во всех аспектах культурной жизни, то женщины не подвергаются никакой дискриминации. Они могут участвовать в культурно-оздоровительных мероприятиях наравне с мужчинами в свои в</w:t>
      </w:r>
      <w:r>
        <w:t>ы</w:t>
      </w:r>
      <w:r>
        <w:t>ходные дни, которых в соответствии с указом № 2001-14 от 14 марта 2001 года установлено два (пятница и суббота) для всех трудящихся государственного и официального частного секторов.</w:t>
      </w:r>
    </w:p>
    <w:p w:rsidR="00000000" w:rsidRDefault="00000000">
      <w:pPr>
        <w:pStyle w:val="SingleTxt"/>
      </w:pPr>
      <w:r>
        <w:t>274.</w:t>
      </w:r>
      <w:r>
        <w:tab/>
        <w:t>Так, в сфере спорта и культуры государство с 2003 года проводит новую политику, основанную на разрабатываемых стратегиях (стратегии в области культурной жизни, в области положения молодежи и в области развития спо</w:t>
      </w:r>
      <w:r>
        <w:t>р</w:t>
      </w:r>
      <w:r>
        <w:t>та), которые охватывают всех граждан.</w:t>
      </w:r>
    </w:p>
    <w:p w:rsidR="00000000" w:rsidRDefault="00000000">
      <w:pPr>
        <w:pStyle w:val="SingleTxt"/>
      </w:pPr>
      <w:r>
        <w:t>275.</w:t>
      </w:r>
      <w:r>
        <w:tab/>
        <w:t>На практике в области культуры и спорта каких-либо секторов, не до</w:t>
      </w:r>
      <w:r>
        <w:t>с</w:t>
      </w:r>
      <w:r>
        <w:t>тупных для женщин, не существует. В силу своей широкой представленности в музыкальных ансамблях, в сфере искусства и во всех видах спорта, практику</w:t>
      </w:r>
      <w:r>
        <w:t>е</w:t>
      </w:r>
      <w:r>
        <w:t>мых в стране, женщины в достаточной степени защищены от каких бы то ни было форм дискриминации, которые могли бы препятствовать всестороннему раскрытию ими своих во</w:t>
      </w:r>
      <w:r>
        <w:t>з</w:t>
      </w:r>
      <w:r>
        <w:t>можностей.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XII.</w:t>
      </w:r>
      <w:r>
        <w:tab/>
        <w:t>Сельские женщины (статья 14)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276.</w:t>
      </w:r>
      <w:r>
        <w:tab/>
        <w:t>В сельских районах проживает 45 процентов всего населения страны, о</w:t>
      </w:r>
      <w:r>
        <w:t>д</w:t>
      </w:r>
      <w:r>
        <w:t>нако там сосредоточено 76,5 процента малоимущего населения. Столь высокие показатели нищеты и крайней нищеты в сельских районах обусловлены слаб</w:t>
      </w:r>
      <w:r>
        <w:t>о</w:t>
      </w:r>
      <w:r>
        <w:t>стью сельскохозяйственного сектора, низким уровнем развития экономической инфраструктуры и отсутствием доступа населения к основным социальным услугам. Однако сельские районы играют важную роль в экономике страны и в общенациональном масштабе обеспечивают доходами порядка 60 процентов трудоспособного населения.</w:t>
      </w:r>
    </w:p>
    <w:p w:rsidR="00000000" w:rsidRDefault="00000000">
      <w:pPr>
        <w:pStyle w:val="SingleTxt"/>
      </w:pPr>
      <w:r>
        <w:t>277.</w:t>
      </w:r>
      <w:r>
        <w:tab/>
        <w:t>Что касается сельского населения, то среди лиц, занимающихся сельским хозяйством и скотоводством, женщины составляют более 50 процентов. В этой связи уместно напомнить о том, что на протяжении 90</w:t>
      </w:r>
      <w:r>
        <w:noBreakHyphen/>
        <w:t>х годов темпы прироста в сельскохозяйственном секторе составляли около 4,2 процента в год, при этом его доля в валовом внутреннем продукте достигала порядка 20 процентов.</w:t>
      </w:r>
    </w:p>
    <w:p w:rsidR="00000000" w:rsidRDefault="00000000">
      <w:pPr>
        <w:pStyle w:val="SingleTxt"/>
      </w:pPr>
      <w:r>
        <w:t>278.</w:t>
      </w:r>
      <w:r>
        <w:tab/>
        <w:t>Сельскохозяйственный сектор располагает значительным потенциалом в плане создания рабочих мест, обеспечения продовольствием и уменьшения масштабов нищеты. Несмотря на это, сельское население сталкивается с мн</w:t>
      </w:r>
      <w:r>
        <w:t>о</w:t>
      </w:r>
      <w:r>
        <w:t>гочисленными трудностями, включая сезонный характер сельскохозяйственн</w:t>
      </w:r>
      <w:r>
        <w:t>о</w:t>
      </w:r>
      <w:r>
        <w:t>го производства, ограниченную доходность и низкую профессиональную по</w:t>
      </w:r>
      <w:r>
        <w:t>д</w:t>
      </w:r>
      <w:r>
        <w:t>готовку занятых в нем лиц.</w:t>
      </w:r>
    </w:p>
    <w:p w:rsidR="00000000" w:rsidRDefault="00000000">
      <w:pPr>
        <w:pStyle w:val="SingleTxt"/>
      </w:pPr>
      <w:r>
        <w:t>279.</w:t>
      </w:r>
      <w:r>
        <w:tab/>
        <w:t>В связи с этим государственные власти учитывают особые проблемы, с которыми сталкиваются женщины. Для этого они осуществляют в сельских районах различные мероприятия в таких важных областях, как здравоохран</w:t>
      </w:r>
      <w:r>
        <w:t>е</w:t>
      </w:r>
      <w:r>
        <w:t>ние, социальное обеспечение, борьба с неграмотностью, жилищное строител</w:t>
      </w:r>
      <w:r>
        <w:t>ь</w:t>
      </w:r>
      <w:r>
        <w:t>ство и другие (санитарное благоустройство, водоснабжение, электроснабж</w:t>
      </w:r>
      <w:r>
        <w:t>е</w:t>
      </w:r>
      <w:r>
        <w:t>ние, связь, транспорт).</w:t>
      </w:r>
    </w:p>
    <w:p w:rsidR="00000000" w:rsidRDefault="00000000">
      <w:pPr>
        <w:pStyle w:val="SingleTxt"/>
      </w:pPr>
      <w:r>
        <w:t>280.</w:t>
      </w:r>
      <w:r>
        <w:tab/>
        <w:t>В рамках осуществления такой широкомасштабной политики практически во всех районах страны созданы медицинские пункты, персонал которых сп</w:t>
      </w:r>
      <w:r>
        <w:t>о</w:t>
      </w:r>
      <w:r>
        <w:t>собен обеспечивать первичное медико-санитарное обслуживание и предоста</w:t>
      </w:r>
      <w:r>
        <w:t>в</w:t>
      </w:r>
      <w:r>
        <w:t>лять женщинам услуги по охране материнства (наблюдение во время береме</w:t>
      </w:r>
      <w:r>
        <w:t>н</w:t>
      </w:r>
      <w:r>
        <w:t>ности и постнатальный уход).</w:t>
      </w:r>
    </w:p>
    <w:p w:rsidR="00000000" w:rsidRDefault="00000000">
      <w:pPr>
        <w:pStyle w:val="SingleTxt"/>
      </w:pPr>
      <w:r>
        <w:t>281.</w:t>
      </w:r>
      <w:r>
        <w:tab/>
        <w:t>Помимо этого, государство стремится улучшить условия жизни в сел</w:t>
      </w:r>
      <w:r>
        <w:t>ь</w:t>
      </w:r>
      <w:r>
        <w:t>ских районах, прежде всего посредством их электрификации, опираясь при этом на деятельность, осуществляемую в рамках субрегионального сотрудн</w:t>
      </w:r>
      <w:r>
        <w:t>и</w:t>
      </w:r>
      <w:r>
        <w:t>чества совместно с системой электроснабжения Организации по освоению бассейна реки Сенегал (ООРС) в целях электрификации всех населенных пунктов, расположенных вдоль реки Сенегал ниже плотин Манантали и Ди</w:t>
      </w:r>
      <w:r>
        <w:t>а</w:t>
      </w:r>
      <w:r>
        <w:t>мы, с одной стороны, и посредством осуществления программ, разработанных соответствующими подразделениями министерства энергетики и нефти (со</w:t>
      </w:r>
      <w:r>
        <w:t>л</w:t>
      </w:r>
      <w:r>
        <w:t>нечная энергия и т.д.), с другой стороны.</w:t>
      </w:r>
    </w:p>
    <w:p w:rsidR="00000000" w:rsidRDefault="00000000">
      <w:pPr>
        <w:pStyle w:val="SingleTxt"/>
      </w:pPr>
      <w:r>
        <w:t>282.</w:t>
      </w:r>
      <w:r>
        <w:tab/>
        <w:t>Предпринимаются усилия по дальнейшему расширению доступа к без</w:t>
      </w:r>
      <w:r>
        <w:t>о</w:t>
      </w:r>
      <w:r>
        <w:t>пасной для питья воде. Для этого в дополнение к уже принятым мерам гос</w:t>
      </w:r>
      <w:r>
        <w:t>у</w:t>
      </w:r>
      <w:r>
        <w:t>дарственные органы создали в 2005 году буровую компанию, которой поручено к 2015 году пробурить скважины в количестве, необходимом для достижения целей в области развития, сформулированных в Декларации тысячелетия. Кр</w:t>
      </w:r>
      <w:r>
        <w:t>о</w:t>
      </w:r>
      <w:r>
        <w:t>ме того, в рамках проекта «Обеспечение чистой водой», осуществляемого под эгидой министерства сельского развития, водного хозяйства и охраны окр</w:t>
      </w:r>
      <w:r>
        <w:t>у</w:t>
      </w:r>
      <w:r>
        <w:t>жающей среды, продолжается создание инфраструктуры, способствующей расширению доступа к чистой воде сразу в нескольких областях (в сельских районах) страны в интересах сельского населения и прежде всего женщин, к</w:t>
      </w:r>
      <w:r>
        <w:t>о</w:t>
      </w:r>
      <w:r>
        <w:t>торые активно занимаются там выращиванием продовольственных культур.</w:t>
      </w:r>
    </w:p>
    <w:p w:rsidR="00000000" w:rsidRDefault="00000000">
      <w:pPr>
        <w:pStyle w:val="SingleTxt"/>
      </w:pPr>
      <w:r>
        <w:t>283.</w:t>
      </w:r>
      <w:r>
        <w:tab/>
        <w:t>Важное место в этой широкомасштабной деятельности занимает стро</w:t>
      </w:r>
      <w:r>
        <w:t>и</w:t>
      </w:r>
      <w:r>
        <w:t>тельство производственных коммуникаций и подъездных путей в целях пр</w:t>
      </w:r>
      <w:r>
        <w:t>е</w:t>
      </w:r>
      <w:r>
        <w:t>одоления изоляции сельских районов, к чему привлекаются и другие госуда</w:t>
      </w:r>
      <w:r>
        <w:t>р</w:t>
      </w:r>
      <w:r>
        <w:t>ственные учреждения, например Комиссариат по вопросам продовольственной безопасности и Комиссариат по правам человека, борьбе с нищетой и интегр</w:t>
      </w:r>
      <w:r>
        <w:t>а</w:t>
      </w:r>
      <w:r>
        <w:t>ции.</w:t>
      </w:r>
    </w:p>
    <w:p w:rsidR="00000000" w:rsidRDefault="00000000">
      <w:pPr>
        <w:pStyle w:val="SingleTxt"/>
      </w:pPr>
      <w:r>
        <w:t>284.</w:t>
      </w:r>
      <w:r>
        <w:tab/>
        <w:t>Обеспечение средствами связи всего сельского населения, и в частности женщин, является важным направлением деятельности государственных орг</w:t>
      </w:r>
      <w:r>
        <w:t>а</w:t>
      </w:r>
      <w:r>
        <w:t>нов, что выражается прежде всего в расширении телефонной сети, а также в максимальном охвате жителей удаленных районов сетью теле- и радиовещ</w:t>
      </w:r>
      <w:r>
        <w:t>а</w:t>
      </w:r>
      <w:r>
        <w:t>ния.</w:t>
      </w:r>
    </w:p>
    <w:p w:rsidR="00000000" w:rsidRDefault="00000000">
      <w:pPr>
        <w:pStyle w:val="SingleTxt"/>
      </w:pPr>
      <w:r>
        <w:t>285.</w:t>
      </w:r>
      <w:r>
        <w:tab/>
        <w:t>Кроме того, в Мавритании ведется широкомасштабная кампания борьбы с неграмотностью (2004–2006 годы), которая осуществляется на всей территории стр</w:t>
      </w:r>
      <w:r>
        <w:t>а</w:t>
      </w:r>
      <w:r>
        <w:t>ны и охватывает все возрастные группы населения обоих полов.</w:t>
      </w:r>
    </w:p>
    <w:p w:rsidR="00000000" w:rsidRDefault="00000000">
      <w:pPr>
        <w:pStyle w:val="SingleTxt"/>
      </w:pPr>
      <w:r>
        <w:t>286.</w:t>
      </w:r>
      <w:r>
        <w:tab/>
        <w:t>И наконец, следует отметить, что каждый год 5 марта в стране проводится Национальный день мавританской женщины (отмечается с 1986 года), который в 2005 году был посвящен теме «Вместе искореним неграмотность среди же</w:t>
      </w:r>
      <w:r>
        <w:t>н</w:t>
      </w:r>
      <w:r>
        <w:t>щин». Это свидетельствует о заинтересованности государства в искоренении этого явления.</w:t>
      </w:r>
    </w:p>
    <w:p w:rsidR="00000000" w:rsidRDefault="00000000">
      <w:pPr>
        <w:pStyle w:val="SingleTxt"/>
      </w:pPr>
      <w:r>
        <w:t>287.</w:t>
      </w:r>
      <w:r>
        <w:tab/>
        <w:t>При поддержке министерства сельского развития и охраны окружающей среды сельские женщины занимаются огородничеством (выращивание сел</w:t>
      </w:r>
      <w:r>
        <w:t>ь</w:t>
      </w:r>
      <w:r>
        <w:t>скохозяйственных культур, переработка и сбыт продукции), накапливая новые технические знания и опыт в интересах улучшения условий труда и обеспеч</w:t>
      </w:r>
      <w:r>
        <w:t>и</w:t>
      </w:r>
      <w:r>
        <w:t>вая свою финансовую независимость, что позволяет им успешно развивать н</w:t>
      </w:r>
      <w:r>
        <w:t>е</w:t>
      </w:r>
      <w:r>
        <w:t>обходимые им виды деятельности. Все проекты и все виды деятельности, ос</w:t>
      </w:r>
      <w:r>
        <w:t>у</w:t>
      </w:r>
      <w:r>
        <w:t>ществляемые как сельскими женщинами, так и в их интересах, способствуют борьбе с нищетой и, естественно, улучшению условий их жизни и труда и п</w:t>
      </w:r>
      <w:r>
        <w:t>о</w:t>
      </w:r>
      <w:r>
        <w:t>вышению их дох</w:t>
      </w:r>
      <w:r>
        <w:t>о</w:t>
      </w:r>
      <w:r>
        <w:t>дов.</w:t>
      </w:r>
    </w:p>
    <w:p w:rsidR="00000000" w:rsidRDefault="00000000">
      <w:pPr>
        <w:pStyle w:val="SingleTxt"/>
      </w:pPr>
      <w:r>
        <w:t>288.</w:t>
      </w:r>
      <w:r>
        <w:tab/>
        <w:t>Эта деятельность и проекты осуществляются в следующих областях.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А.</w:t>
      </w:r>
      <w:r>
        <w:tab/>
        <w:t>Развитие огородничества вблизи источников воды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289.</w:t>
      </w:r>
      <w:r>
        <w:tab/>
        <w:t>В 1999/2000 году огородничество было налажено в 145 женских коопер</w:t>
      </w:r>
      <w:r>
        <w:t>а</w:t>
      </w:r>
      <w:r>
        <w:t>тивах в 145 деревнях, расположенных в следующих областях: Такант, Ассаба, Худ-ал-Гарби и Худ-аш-Шарки.</w:t>
      </w:r>
    </w:p>
    <w:p w:rsidR="00000000" w:rsidRDefault="00000000">
      <w:pPr>
        <w:pStyle w:val="SingleTxt"/>
      </w:pPr>
      <w:r>
        <w:t>290.</w:t>
      </w:r>
      <w:r>
        <w:tab/>
        <w:t>Проведенная в мае и июне проверка и оценка хода осуществления этой инициативы показала, что женщины (3421 человек) также осваивают новые технологии производства, способы приготовления пищи и кустарные методы консервирования (прежде всего путем сушки). Помимо этого, в рамках данного обследования было установлено, что осуществление проектов в области оказ</w:t>
      </w:r>
      <w:r>
        <w:t>а</w:t>
      </w:r>
      <w:r>
        <w:t>ния сельскохозяйственных услуг (ПСУ) способствовало увеличению произво</w:t>
      </w:r>
      <w:r>
        <w:t>д</w:t>
      </w:r>
      <w:r>
        <w:t>ства сельскохозяйственной продукции с 265 тонн до 880 тонн на возделыва</w:t>
      </w:r>
      <w:r>
        <w:t>е</w:t>
      </w:r>
      <w:r>
        <w:t>мых женщинами участках в районах Ассабы и Худ-ал-Гарби и Худ-аш-Шарки.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В.</w:t>
      </w:r>
      <w:r>
        <w:tab/>
        <w:t>Внедрение прессов для отжима масла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291.</w:t>
      </w:r>
      <w:r>
        <w:tab/>
        <w:t>Было установлено, что жители некоторых сельских районов выращивают значительное количество арахиса, который они реализуют практически без прибыли, однако необходимое им для приготовления пищи растительное масло приобретают по завышенным ценам. В рамках проекта в области оказания сельскохозяйственных услуг началось осуществление программы, предусма</w:t>
      </w:r>
      <w:r>
        <w:t>т</w:t>
      </w:r>
      <w:r>
        <w:t>ривающей внедрение различных маслосодержащих сортов арахиса и использ</w:t>
      </w:r>
      <w:r>
        <w:t>о</w:t>
      </w:r>
      <w:r>
        <w:t>вание прессов для получения ра</w:t>
      </w:r>
      <w:r>
        <w:t>с</w:t>
      </w:r>
      <w:r>
        <w:t>тительного масла.</w:t>
      </w:r>
    </w:p>
    <w:p w:rsidR="00000000" w:rsidRDefault="00000000">
      <w:pPr>
        <w:pStyle w:val="SingleTxt"/>
      </w:pPr>
      <w:r>
        <w:t>292.</w:t>
      </w:r>
      <w:r>
        <w:tab/>
        <w:t>Эта программа предусматривает осуществление различных мероприятий, включая следующие: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внедрение различных маслосодержащих сортов арахиса в Ркизе и Фум-Глейте;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изготовление 20 прессов и 1 измельчителя в профессионально-техничес-ком училище в Боге;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обучение методам получения арахисового масла с помощью кустарного пресса 375 женщин в 162 деревнях следующих областей: Кудимага, Ку</w:t>
      </w:r>
      <w:r>
        <w:t>р</w:t>
      </w:r>
      <w:r>
        <w:t>кул, Бракна, Ассаба, Худ-ал-Гарби и Худ-аш-Шарки;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установка 22 прессов для отжима масла в населенных пунктах этих о</w:t>
      </w:r>
      <w:r>
        <w:t>б</w:t>
      </w:r>
      <w:r>
        <w:t>ластей (20 прессов произведено в стране и 2 прототипа закуплены за гр</w:t>
      </w:r>
      <w:r>
        <w:t>а</w:t>
      </w:r>
      <w:r>
        <w:t>ницей).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С.</w:t>
      </w:r>
      <w:r>
        <w:tab/>
        <w:t>Ремесленное производство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293.</w:t>
      </w:r>
      <w:r>
        <w:tab/>
        <w:t>В течение отчетного периода в центрах по улучшению положения же</w:t>
      </w:r>
      <w:r>
        <w:t>н</w:t>
      </w:r>
      <w:r>
        <w:t>щин, созданных при поддержке Международного союза охраны природы (МСОП) и при финансовом содействии со стороны правительства Нидерландов осуществлялись различные мероприятия по развитию ремесленного произво</w:t>
      </w:r>
      <w:r>
        <w:t>д</w:t>
      </w:r>
      <w:r>
        <w:t>ства. Из семи построенных центров четыре уже действуют. Эти центры созд</w:t>
      </w:r>
      <w:r>
        <w:t>а</w:t>
      </w:r>
      <w:r>
        <w:t>ны в Ндиаго, Эбден Зире II и Муадине. В этих центрах женщины занимаются производством циновок, п</w:t>
      </w:r>
      <w:r>
        <w:t>а</w:t>
      </w:r>
      <w:r>
        <w:t>латок и одежды.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1.</w:t>
      </w:r>
      <w:r>
        <w:tab/>
        <w:t>Производство циновок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294.</w:t>
      </w:r>
      <w:r>
        <w:tab/>
        <w:t>В целях организации производства циновок в Национальном парке Да</w:t>
      </w:r>
      <w:r>
        <w:t>у</w:t>
      </w:r>
      <w:r>
        <w:t>линг для женщин, проживающих в нижней дельте реки, были приобретены с</w:t>
      </w:r>
      <w:r>
        <w:t>ы</w:t>
      </w:r>
      <w:r>
        <w:t>рье (шкуры и споробол) и необходимое имущество (рабочая одежда, ножи, р</w:t>
      </w:r>
      <w:r>
        <w:t>у</w:t>
      </w:r>
      <w:r>
        <w:t>кавицы и скребки). Эти предметы и материалы были безвозмездно переданы жителям девяти деревень (Эбдерн, Кахара, Дар-Рахма, Муадина, Дар-Эслам, Хайя, Зире II, Зире I, Бирет и Бухажра). Из безвозмездно переданного сырья большинство женщин смогло изготовить шесть-семь циновок (в деревнях Б</w:t>
      </w:r>
      <w:r>
        <w:t>у</w:t>
      </w:r>
      <w:r>
        <w:t>хажра, Эбден и Зире II).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2.</w:t>
      </w:r>
      <w:r>
        <w:tab/>
        <w:t>Производство палаток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295.</w:t>
      </w:r>
      <w:r>
        <w:tab/>
        <w:t>По образцу проекта производства циновок пяти женским кооперативам были предоставлены материалы для производства пяти палаток. Эти палатки, изготовление которых еще не завершено, были распределены среди пяти ко</w:t>
      </w:r>
      <w:r>
        <w:t>о</w:t>
      </w:r>
      <w:r>
        <w:t>перативов (Майма, Сбейка-Лекса, Зире-Сбейка, Аси-Мару и Эль-Мохамед Амар).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3.</w:t>
      </w:r>
      <w:r>
        <w:tab/>
        <w:t>Пошив одежды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296.</w:t>
      </w:r>
      <w:r>
        <w:tab/>
        <w:t>Пошив одежды в этом районе был организован сотрудниками Национал</w:t>
      </w:r>
      <w:r>
        <w:t>ь</w:t>
      </w:r>
      <w:r>
        <w:t>ного парка Даулинг. Кроме того, жителям 8 деревень в этой зоне были предо</w:t>
      </w:r>
      <w:r>
        <w:t>с</w:t>
      </w:r>
      <w:r>
        <w:t>тавлены 12 швейных машин с комплектами различных приспособлений.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D.</w:t>
      </w:r>
      <w:r>
        <w:tab/>
        <w:t>Сектор микрофинансирования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297.</w:t>
      </w:r>
      <w:r>
        <w:tab/>
        <w:t>У многих занятых женщин возникают проблемы с получением кратко-, средне- и долгосрочных кредитов. Поскольку в подавляющем большинстве случаев безвозмездное обеспечение средствами производства прекращается, для приобретения определенных видов оборудования женщины вынуждены искать другие источники финансирования, в том числе нефо</w:t>
      </w:r>
      <w:r>
        <w:t>р</w:t>
      </w:r>
      <w:r>
        <w:t>мальные.</w:t>
      </w:r>
    </w:p>
    <w:p w:rsidR="00000000" w:rsidRDefault="00000000">
      <w:pPr>
        <w:pStyle w:val="SingleTxt"/>
      </w:pPr>
      <w:r>
        <w:t>298.</w:t>
      </w:r>
      <w:r>
        <w:tab/>
        <w:t>Существующие системы кредитования зависят от финансирующего учр</w:t>
      </w:r>
      <w:r>
        <w:t>е</w:t>
      </w:r>
      <w:r>
        <w:t>ждения (Всемирный банк, Международный фонд сельскохозяйственного ра</w:t>
      </w:r>
      <w:r>
        <w:t>з</w:t>
      </w:r>
      <w:r>
        <w:t>вития, Арабский фонд экономического и социального развития, Африканский банк развития и т.д.), однако довольно часто эта деятельность полностью д</w:t>
      </w:r>
      <w:r>
        <w:t>е</w:t>
      </w:r>
      <w:r>
        <w:t>централизована на уровне каждого района, где осуществляются мероприятия. Так, например, система оазисного хозяйства, основанная на сборе долгосро</w:t>
      </w:r>
      <w:r>
        <w:t>ч</w:t>
      </w:r>
      <w:r>
        <w:t>ных сбережений в виде паев, выдаваемых в зависимости от результатов кред</w:t>
      </w:r>
      <w:r>
        <w:t>и</w:t>
      </w:r>
      <w:r>
        <w:t>туемой деятельности, управляется самими членами кооператива.</w:t>
      </w:r>
    </w:p>
    <w:p w:rsidR="00000000" w:rsidRDefault="00000000">
      <w:pPr>
        <w:pStyle w:val="SingleTxt"/>
      </w:pPr>
      <w:r>
        <w:t>299.</w:t>
      </w:r>
      <w:r>
        <w:tab/>
        <w:t>С момента создания женских групп и начала их деятельности в рамках проекта ОАЗИС им было выделено в общей сложности 28 762 178 угий. Эти средства были израсходованы прежде всего на развитие огородничества, ж</w:t>
      </w:r>
      <w:r>
        <w:t>и</w:t>
      </w:r>
      <w:r>
        <w:t>вотноводства (выращивание мелкого скота), торговли и ремесленного прои</w:t>
      </w:r>
      <w:r>
        <w:t>з</w:t>
      </w:r>
      <w:r>
        <w:t>водства. Здесь следует указать на то, что эта деятельность финансируется как по линии проекта, так и самими женскими группами, которые вносят в сре</w:t>
      </w:r>
      <w:r>
        <w:t>д</w:t>
      </w:r>
      <w:r>
        <w:t>нем около трети средств, необходимых для осуществления согласованных м</w:t>
      </w:r>
      <w:r>
        <w:t>е</w:t>
      </w:r>
      <w:r>
        <w:t>ропри</w:t>
      </w:r>
      <w:r>
        <w:t>я</w:t>
      </w:r>
      <w:r>
        <w:t>тий.</w:t>
      </w:r>
    </w:p>
    <w:p w:rsidR="00000000" w:rsidRDefault="00000000">
      <w:pPr>
        <w:pStyle w:val="SingleTxt"/>
      </w:pPr>
      <w:r>
        <w:t>300.</w:t>
      </w:r>
      <w:r>
        <w:tab/>
        <w:t>Такое финансирование активизировало деятельность женщин в рамках проекта ОАЗИС. Была укреплена организационная структура женских групп, при этом проживающие в оазисах женщины принимают все более активное участие в экономической деятельности в рамках этого проекта, что позволяет им получать дополнительные доходы. Именно в этом ключе следует рассма</w:t>
      </w:r>
      <w:r>
        <w:t>т</w:t>
      </w:r>
      <w:r>
        <w:t>ривать открытие пяти общинных магазинов в области Иншири (деревни Бен</w:t>
      </w:r>
      <w:r>
        <w:t>е</w:t>
      </w:r>
      <w:r>
        <w:t>шааб, Лежваде, Либейдхатт, Бе</w:t>
      </w:r>
      <w:r>
        <w:t>р</w:t>
      </w:r>
      <w:r>
        <w:t>зеймат и Эльгара).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E.</w:t>
      </w:r>
      <w:r>
        <w:tab/>
        <w:t>Сотрудничество с неправительственными организациями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301.</w:t>
      </w:r>
      <w:r>
        <w:tab/>
        <w:t>Как было предусмотрено, продолжается сотрудничество с неправительс</w:t>
      </w:r>
      <w:r>
        <w:t>т</w:t>
      </w:r>
      <w:r>
        <w:t>венными организациями области Бракна, при этом по результатам этой де</w:t>
      </w:r>
      <w:r>
        <w:t>я</w:t>
      </w:r>
      <w:r>
        <w:t>тельности планируется распространить ее на область Куркул. Положительная отдача от проведенных мероприятий была получена в 40 деревнях, где работ</w:t>
      </w:r>
      <w:r>
        <w:t>а</w:t>
      </w:r>
      <w:r>
        <w:t>ют неправительственные организации. Речь идет прежде всего о следующих видах де</w:t>
      </w:r>
      <w:r>
        <w:t>я</w:t>
      </w:r>
      <w:r>
        <w:t>тельности: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строительство 143 усовершенствованных глиняных очагов в домашних хозяйствах 25 деревень;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проведение 122 демонстраций технологии кустарного производства к</w:t>
      </w:r>
      <w:r>
        <w:t>а</w:t>
      </w:r>
      <w:r>
        <w:t>менной соли в качестве пищевой добавки для мелкого скота в этом ра</w:t>
      </w:r>
      <w:r>
        <w:t>й</w:t>
      </w:r>
      <w:r>
        <w:t>оне;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создание 25 питомников в 20 деревнях для производства 6850 саженцев деревьев.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F.</w:t>
      </w:r>
      <w:r>
        <w:tab/>
        <w:t>Подготовка кадров пропагандистов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302.</w:t>
      </w:r>
      <w:r>
        <w:tab/>
        <w:t>Национальная компания по вопросам развития сельских районов (СОНАДЕР) разработала план обучения своих сотрудников и их периодической переподготовки, с тем чтобы обеспечить высокое качество обслуживания и о</w:t>
      </w:r>
      <w:r>
        <w:t>с</w:t>
      </w:r>
      <w:r>
        <w:t xml:space="preserve">воить новые функции. 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G.</w:t>
      </w:r>
      <w:r>
        <w:tab/>
        <w:t>Обучение производителей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303.</w:t>
      </w:r>
      <w:r>
        <w:tab/>
        <w:t>В 2000 году были проведены, в частности, следующие мероприятия: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внедрение согласованного подхода в отношении мероприятий, осущест</w:t>
      </w:r>
      <w:r>
        <w:t>в</w:t>
      </w:r>
      <w:r>
        <w:t>ляемых в рамках профессиональных организаций (ПО);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укрепление трех групп поддержки профессиональных организаций, в двух из которых стали работать по одному добровольцу;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организация двух учебных поездок для представителей профессионал</w:t>
      </w:r>
      <w:r>
        <w:t>ь</w:t>
      </w:r>
      <w:r>
        <w:t>ных организаций на субреги</w:t>
      </w:r>
      <w:r>
        <w:t>о</w:t>
      </w:r>
      <w:r>
        <w:t>нальном уровне (в Сенегал и Мали);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проведение исследования по вопросу о юридическом оформлении перед</w:t>
      </w:r>
      <w:r>
        <w:t>а</w:t>
      </w:r>
      <w:r>
        <w:t>чи основных об</w:t>
      </w:r>
      <w:r>
        <w:t>ъ</w:t>
      </w:r>
      <w:r>
        <w:t>ектов инфраструктуры;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непосредственная поддержка 180 кооперативов, 9 профессиональных о</w:t>
      </w:r>
      <w:r>
        <w:t>р</w:t>
      </w:r>
      <w:r>
        <w:t>ганизаций и 14 отдельных производителей. Форма такой поддержки, ра</w:t>
      </w:r>
      <w:r>
        <w:t>з</w:t>
      </w:r>
      <w:r>
        <w:t>личавшаяся в зависимости от конкретной профессиональной организ</w:t>
      </w:r>
      <w:r>
        <w:t>а</w:t>
      </w:r>
      <w:r>
        <w:t>ции, определялась на основе анализа следующих пар</w:t>
      </w:r>
      <w:r>
        <w:t>а</w:t>
      </w:r>
      <w:r>
        <w:t>метров:</w:t>
      </w:r>
    </w:p>
    <w:p w:rsidR="00000000" w:rsidRDefault="00000000">
      <w:pPr>
        <w:pStyle w:val="SingleTxt"/>
        <w:tabs>
          <w:tab w:val="right" w:pos="1685"/>
          <w:tab w:val="right" w:pos="2160"/>
        </w:tabs>
        <w:ind w:left="2218" w:hanging="475"/>
      </w:pPr>
      <w:r>
        <w:tab/>
        <w:t>–</w:t>
      </w:r>
      <w:r>
        <w:tab/>
        <w:t>экономические и организационные функции, выполняемые на да</w:t>
      </w:r>
      <w:r>
        <w:t>н</w:t>
      </w:r>
      <w:r>
        <w:t>ный момент;</w:t>
      </w:r>
    </w:p>
    <w:p w:rsidR="00000000" w:rsidRDefault="00000000">
      <w:pPr>
        <w:pStyle w:val="SingleTxt"/>
        <w:tabs>
          <w:tab w:val="right" w:pos="1685"/>
          <w:tab w:val="right" w:pos="2160"/>
        </w:tabs>
        <w:ind w:left="2218" w:hanging="475"/>
      </w:pPr>
      <w:r>
        <w:tab/>
        <w:t>–</w:t>
      </w:r>
      <w:r>
        <w:tab/>
        <w:t>обучение методам организационного строительства и управления членов бюро действующих низовых кооперативов в экспериме</w:t>
      </w:r>
      <w:r>
        <w:t>н</w:t>
      </w:r>
      <w:r>
        <w:t>тальных районах Куркула 1 (ЭРК-1) и 2 (ЭРК-2), а также в небол</w:t>
      </w:r>
      <w:r>
        <w:t>ь</w:t>
      </w:r>
      <w:r>
        <w:t>ших районах области Бракна;</w:t>
      </w:r>
    </w:p>
    <w:p w:rsidR="00000000" w:rsidRDefault="00000000">
      <w:pPr>
        <w:pStyle w:val="SingleTxt"/>
        <w:tabs>
          <w:tab w:val="right" w:pos="1685"/>
          <w:tab w:val="right" w:pos="2160"/>
        </w:tabs>
        <w:ind w:left="2218" w:hanging="475"/>
      </w:pPr>
      <w:r>
        <w:tab/>
        <w:t>–</w:t>
      </w:r>
      <w:r>
        <w:tab/>
        <w:t>обучение основным методам работы 230 членов 22 производстве</w:t>
      </w:r>
      <w:r>
        <w:t>н</w:t>
      </w:r>
      <w:r>
        <w:t>ных кооперативов, включая 8 женских;</w:t>
      </w:r>
    </w:p>
    <w:p w:rsidR="00000000" w:rsidRDefault="00000000">
      <w:pPr>
        <w:pStyle w:val="SingleTxt"/>
        <w:tabs>
          <w:tab w:val="right" w:pos="1685"/>
          <w:tab w:val="right" w:pos="2160"/>
        </w:tabs>
        <w:ind w:left="2218" w:hanging="475"/>
      </w:pPr>
      <w:r>
        <w:tab/>
        <w:t>–</w:t>
      </w:r>
      <w:r>
        <w:tab/>
        <w:t>обучение 123 сельских жителей в районе Фум-Глейты и 22 — в Ка</w:t>
      </w:r>
      <w:r>
        <w:t>е</w:t>
      </w:r>
      <w:r>
        <w:t>ди;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составление запросов о финансировании в адрес соответствующих учр</w:t>
      </w:r>
      <w:r>
        <w:t>е</w:t>
      </w:r>
      <w:r>
        <w:t>ждений для пол</w:t>
      </w:r>
      <w:r>
        <w:t>у</w:t>
      </w:r>
      <w:r>
        <w:t>чения материальной помощи;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поддержка в проведении судебных расследований в интересах 93 профессиональных организаций, 3 из которых — кооперативные со</w:t>
      </w:r>
      <w:r>
        <w:t>ю</w:t>
      </w:r>
      <w:r>
        <w:t>зы;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проведение ремонтных работ (на ирригационных участках и насосных станциях) для возобновления их функционирования;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содействие созданию сети партнеров прежней программы «Поддержка на уровне кооперативов и ассоциаций инициатив низовых организаций, ок</w:t>
      </w:r>
      <w:r>
        <w:t>а</w:t>
      </w:r>
      <w:r>
        <w:t>зываемая М</w:t>
      </w:r>
      <w:r>
        <w:t>е</w:t>
      </w:r>
      <w:r>
        <w:t>ждународным бюро труда» (МБТ/АКОПАМ).</w:t>
      </w:r>
    </w:p>
    <w:p w:rsidR="00000000" w:rsidRDefault="00000000">
      <w:pPr>
        <w:pStyle w:val="SingleTxt"/>
      </w:pPr>
      <w:r>
        <w:t>304.</w:t>
      </w:r>
      <w:r>
        <w:tab/>
        <w:t>Другие виды деятельности осуществляются в рамках Программы ко</w:t>
      </w:r>
      <w:r>
        <w:t>м</w:t>
      </w:r>
      <w:r>
        <w:t>плексного развития орошаемого сельского хозяйства в Мавритании (ПКРОЗМ) через Совет по сельскому хозяйству. Эти мероприятия включ</w:t>
      </w:r>
      <w:r>
        <w:t>а</w:t>
      </w:r>
      <w:r>
        <w:t>ют: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проведение учебно-пропагандистских мероприятий, рассчитанных на с</w:t>
      </w:r>
      <w:r>
        <w:t>о</w:t>
      </w:r>
      <w:r>
        <w:t>трудников СОНАДЕР на местах и производителей;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проведение 21–24 мая 2000 года национального информационного пра</w:t>
      </w:r>
      <w:r>
        <w:t>к</w:t>
      </w:r>
      <w:r>
        <w:t>тикума по вопросам поддержки в области организации сельскохозяйс</w:t>
      </w:r>
      <w:r>
        <w:t>т</w:t>
      </w:r>
      <w:r>
        <w:t>венных предприятий и управления ими;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распространение юридических и нормативных документов, с тем чтобы руководство регионов располагало сводными документами, регулиру</w:t>
      </w:r>
      <w:r>
        <w:t>ю</w:t>
      </w:r>
      <w:r>
        <w:t>щими деятельность различных профессиональных организаций;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изучение возможности создания правовой и законодательной базы для крупных территориальных образований.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H.</w:t>
      </w:r>
      <w:r>
        <w:tab/>
        <w:t>Занятость женщин в сельских районах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305.</w:t>
      </w:r>
      <w:r>
        <w:tab/>
        <w:t>Сельские районы, в которых проживает более половины экономически а</w:t>
      </w:r>
      <w:r>
        <w:t>к</w:t>
      </w:r>
      <w:r>
        <w:t>тивного населения страны, по</w:t>
      </w:r>
      <w:r>
        <w:noBreakHyphen/>
        <w:t>прежнему являются одним из основных исто</w:t>
      </w:r>
      <w:r>
        <w:t>ч</w:t>
      </w:r>
      <w:r>
        <w:t>ников производительной занятости в Мавритании. В период 1992–1998 годов в сельскохозяйственном секторе было создано более 22 000 рабочих мест. За п</w:t>
      </w:r>
      <w:r>
        <w:t>о</w:t>
      </w:r>
      <w:r>
        <w:t>следние шесть лет в секторе традиционного рыболовства было создано 9961 рабочее место, а в строительном секторе — 12 408 рабочих мест.</w:t>
      </w:r>
    </w:p>
    <w:p w:rsidR="00000000" w:rsidRDefault="00000000">
      <w:pPr>
        <w:pStyle w:val="SingleTxt"/>
      </w:pPr>
      <w:r>
        <w:t>306.</w:t>
      </w:r>
      <w:r>
        <w:tab/>
        <w:t>В целом, в структуре занятых в сельском хозяйстве (работающих лиц) наибольшая доля приходится на растениеводство, за которым следует живо</w:t>
      </w:r>
      <w:r>
        <w:t>т</w:t>
      </w:r>
      <w:r>
        <w:t>новодство. В этих отраслях занято 215 917 человек, или 78,5 процента всей р</w:t>
      </w:r>
      <w:r>
        <w:t>а</w:t>
      </w:r>
      <w:r>
        <w:t>б</w:t>
      </w:r>
      <w:r>
        <w:t>о</w:t>
      </w:r>
      <w:r>
        <w:t>чей силы.</w:t>
      </w:r>
    </w:p>
    <w:p w:rsidR="00000000" w:rsidRDefault="00000000">
      <w:pPr>
        <w:pStyle w:val="SingleTxt"/>
      </w:pPr>
      <w:r>
        <w:t>307.</w:t>
      </w:r>
      <w:r>
        <w:tab/>
        <w:t>И наконец, для обеспечения питьевой водой и водой для целей развития сельскохозяйственного производства важное значение имеет освоение водных ресурсов. С 2002 года на основе проведенных технических, педологических и экономических исследований осуществляется рассчитанная на 10 лет пр</w:t>
      </w:r>
      <w:r>
        <w:t>о</w:t>
      </w:r>
      <w:r>
        <w:t>грамма строительства плотин — по 10–15 в год. Она будет дополнена широк</w:t>
      </w:r>
      <w:r>
        <w:t>о</w:t>
      </w:r>
      <w:r>
        <w:t>масштабными программами строительства коллективных дамб, земляных в</w:t>
      </w:r>
      <w:r>
        <w:t>а</w:t>
      </w:r>
      <w:r>
        <w:t>лов и замедляющих порогов. Эти программы будут осуществляться с привл</w:t>
      </w:r>
      <w:r>
        <w:t>е</w:t>
      </w:r>
      <w:r>
        <w:t>чением различных заинтересованных сторон и неправительственных организ</w:t>
      </w:r>
      <w:r>
        <w:t>а</w:t>
      </w:r>
      <w:r>
        <w:t>ций, в частности, в рамках программ Комиссариата по правам человека, бор</w:t>
      </w:r>
      <w:r>
        <w:t>ь</w:t>
      </w:r>
      <w:r>
        <w:t>бы с нищетой и интеграции (КПЧБНИ) и Комиссариата по вопросам прод</w:t>
      </w:r>
      <w:r>
        <w:t>о</w:t>
      </w:r>
      <w:r>
        <w:t>вольственной безопасности (КПБ).</w:t>
      </w:r>
    </w:p>
    <w:p w:rsidR="00000000" w:rsidRDefault="00000000">
      <w:pPr>
        <w:pStyle w:val="SingleTxt"/>
      </w:pPr>
      <w:r>
        <w:t>308.</w:t>
      </w:r>
      <w:r>
        <w:tab/>
        <w:t>Так, Комиссариат по правам человека, борьбе с нищетой и интеграции я</w:t>
      </w:r>
      <w:r>
        <w:t>в</w:t>
      </w:r>
      <w:r>
        <w:t>ляется инициатором многосекторальных программ для сельских районов, в к</w:t>
      </w:r>
      <w:r>
        <w:t>о</w:t>
      </w:r>
      <w:r>
        <w:t>торых учтены проблемы женщин. Речь идет о следующих мероприятиях:</w:t>
      </w:r>
    </w:p>
    <w:p w:rsidR="00000000" w:rsidRDefault="00000000">
      <w:pPr>
        <w:pStyle w:val="SingleTxt"/>
        <w:tabs>
          <w:tab w:val="right" w:pos="1685"/>
          <w:tab w:val="right" w:pos="2160"/>
        </w:tabs>
        <w:ind w:left="1742" w:hanging="475"/>
      </w:pPr>
      <w:r>
        <w:tab/>
        <w:t>•</w:t>
      </w:r>
      <w:r>
        <w:tab/>
        <w:t>Программа «Тумза», которая предусматривает создание сети социальной защиты для сельского населения, а также, в частности, повышение уровня доходов малоимущих слоев населения посредством распределения мелк</w:t>
      </w:r>
      <w:r>
        <w:t>о</w:t>
      </w:r>
      <w:r>
        <w:t>го скота среди наиболее нуждающихся семей. Этой программой уже охв</w:t>
      </w:r>
      <w:r>
        <w:t>а</w:t>
      </w:r>
      <w:r>
        <w:t>чено более 835 семей, расселенных в 10 деревнях в районе Мале (Бракна), при этом она распространена на области Адрар и И</w:t>
      </w:r>
      <w:r>
        <w:t>н</w:t>
      </w:r>
      <w:r>
        <w:t>шири;</w:t>
      </w:r>
    </w:p>
    <w:p w:rsidR="00000000" w:rsidRDefault="00000000">
      <w:pPr>
        <w:pStyle w:val="SingleTxt"/>
        <w:tabs>
          <w:tab w:val="right" w:pos="1685"/>
          <w:tab w:val="right" w:pos="2160"/>
        </w:tabs>
        <w:ind w:left="1742" w:hanging="475"/>
      </w:pPr>
      <w:r>
        <w:tab/>
        <w:t>•</w:t>
      </w:r>
      <w:r>
        <w:tab/>
        <w:t>Программа поддержки нуждающихся сельскохозяйственных кооперативов (ППНСК). Созданная в 1999 году, когда бόльшая часть сельскохозяйс</w:t>
      </w:r>
      <w:r>
        <w:t>т</w:t>
      </w:r>
      <w:r>
        <w:t>венных кооперативов страны сталкивалась с финансовыми трудностями, угрожавшими самому их существованию, Программа поддержки ну</w:t>
      </w:r>
      <w:r>
        <w:t>ж</w:t>
      </w:r>
      <w:r>
        <w:t>дающихся сельскохозяйственных кооперативов содействует борьбе с н</w:t>
      </w:r>
      <w:r>
        <w:t>и</w:t>
      </w:r>
      <w:r>
        <w:t>щетой в сельских районах путем повышения производительности труда в небольших хозяйствах и получению доходов и созданию рабочих мест в интересах бедных сельских общин, расположенных в долине реки Сен</w:t>
      </w:r>
      <w:r>
        <w:t>е</w:t>
      </w:r>
      <w:r>
        <w:t>гал. Эта программа предусматривает возвращение в сельскохозяйстве</w:t>
      </w:r>
      <w:r>
        <w:t>н</w:t>
      </w:r>
      <w:r>
        <w:t>ный оборот окраинных или заложенных земель в интересах соответс</w:t>
      </w:r>
      <w:r>
        <w:t>т</w:t>
      </w:r>
      <w:r>
        <w:t>вующих общин. Результатами осуществления этой Программы уже во</w:t>
      </w:r>
      <w:r>
        <w:t>с</w:t>
      </w:r>
      <w:r>
        <w:t>пользовались многие кооперативы областей Бракна, Трарза, Кудимага и Куркул;</w:t>
      </w:r>
    </w:p>
    <w:p w:rsidR="00000000" w:rsidRDefault="00000000">
      <w:pPr>
        <w:pStyle w:val="SingleTxt"/>
        <w:tabs>
          <w:tab w:val="right" w:pos="1685"/>
          <w:tab w:val="right" w:pos="2160"/>
        </w:tabs>
        <w:ind w:left="1742" w:hanging="475"/>
      </w:pPr>
      <w:r>
        <w:tab/>
        <w:t>•</w:t>
      </w:r>
      <w:r>
        <w:tab/>
        <w:t>Программа «Лехдаба», которая осуществляется с 2004 года в целях удо</w:t>
      </w:r>
      <w:r>
        <w:t>в</w:t>
      </w:r>
      <w:r>
        <w:t>летворения потребностей населения в таких областях, как растениеводс</w:t>
      </w:r>
      <w:r>
        <w:t>т</w:t>
      </w:r>
      <w:r>
        <w:t>во, животноводство, обеспечение питьевой водой, создание базовой и</w:t>
      </w:r>
      <w:r>
        <w:t>н</w:t>
      </w:r>
      <w:r>
        <w:t>фраструктуры и организационное строительство, в четырнадцати (14) общинах, охватывающих сто сорок (140) деревень в Худ-ал-Гарби и Худ-аш-Шарки вдоль границы с Республ</w:t>
      </w:r>
      <w:r>
        <w:t>и</w:t>
      </w:r>
      <w:r>
        <w:t>кой Мали.</w:t>
      </w:r>
    </w:p>
    <w:p w:rsidR="00000000" w:rsidRDefault="00000000">
      <w:pPr>
        <w:pStyle w:val="SingleTxt"/>
      </w:pPr>
      <w:r>
        <w:t>309.</w:t>
      </w:r>
      <w:r>
        <w:tab/>
        <w:t>Несмотря на то, что эта программа была создана недавно, в ее рамках н</w:t>
      </w:r>
      <w:r>
        <w:t>а</w:t>
      </w:r>
      <w:r>
        <w:t>чалось осуществление конкретных мероприятий, включая создание в Бустейи мастерской по производству сельскохозяйственных орудий (плугов и тачек), распространение новых методов земледелия в связи с приобретением волов (по семь на деревню, которых в департаменте Бустейи насчитывается десять), в</w:t>
      </w:r>
      <w:r>
        <w:t>ы</w:t>
      </w:r>
      <w:r>
        <w:t>дачу пятидесяти (50) плугов каждому территориальному объединению и вн</w:t>
      </w:r>
      <w:r>
        <w:t>е</w:t>
      </w:r>
      <w:r>
        <w:t>дрение системы «Тлисса».</w:t>
      </w:r>
    </w:p>
    <w:p w:rsidR="00000000" w:rsidRDefault="00000000">
      <w:pPr>
        <w:pStyle w:val="SingleTxt"/>
      </w:pPr>
      <w:r>
        <w:t>310.</w:t>
      </w:r>
      <w:r>
        <w:tab/>
        <w:t>Эта система предусматривает предоставление сельским жителям кред</w:t>
      </w:r>
      <w:r>
        <w:t>и</w:t>
      </w:r>
      <w:r>
        <w:t>тов под невысокие проценты с их погашением после уборки урожая зерновыми культурами через управляющие этой системой деревенские комитеты. Из п</w:t>
      </w:r>
      <w:r>
        <w:t>о</w:t>
      </w:r>
      <w:r>
        <w:t>лученных таким образом зерновых в соответствующих общинах создаются продовольственные запасы для целей самообеспечения продовольствием и экспорта излишков. Все эти и перечисленные выше мероприятия проводятся при поддержке государственных органов, с тем чтобы обеспечить гармоничное развитие и полное равенство всех граждан.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XIII.</w:t>
      </w:r>
      <w:r>
        <w:tab/>
        <w:t>Равноправие в юридических и гражданских вопросах (статья 15)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311.</w:t>
      </w:r>
      <w:r>
        <w:tab/>
        <w:t>В Конституции от 20 июля 1991 года провозглашено равенство мужчин и женщин и запрещена любая дискриминация по признаку пола (статья 1, пункт 2). Таким образом, женщина правоспособна совершать любые действия, необх</w:t>
      </w:r>
      <w:r>
        <w:t>о</w:t>
      </w:r>
      <w:r>
        <w:t>димые для обеспечения защиты ее интересов.</w:t>
      </w:r>
    </w:p>
    <w:p w:rsidR="00000000" w:rsidRDefault="00000000">
      <w:pPr>
        <w:pStyle w:val="SingleTxt"/>
      </w:pPr>
      <w:r>
        <w:t>312.</w:t>
      </w:r>
      <w:r>
        <w:tab/>
        <w:t>В связи с этим в соответствии со статьей 15 Конституции ей гарантируе</w:t>
      </w:r>
      <w:r>
        <w:t>т</w:t>
      </w:r>
      <w:r>
        <w:t>ся «право собственности», а в пункте 2 статьи 24 кодекса обязательств и ко</w:t>
      </w:r>
      <w:r>
        <w:t>н</w:t>
      </w:r>
      <w:r>
        <w:t>трактов признается ее правоспособность обязывать и брать на себя обязател</w:t>
      </w:r>
      <w:r>
        <w:t>ь</w:t>
      </w:r>
      <w:r>
        <w:t>ства, за исключением тех случаев, когда в соответствии с законом она объявл</w:t>
      </w:r>
      <w:r>
        <w:t>е</w:t>
      </w:r>
      <w:r>
        <w:t>на неде</w:t>
      </w:r>
      <w:r>
        <w:t>е</w:t>
      </w:r>
      <w:r>
        <w:t>способной (статья 24, пункт 2).</w:t>
      </w:r>
    </w:p>
    <w:p w:rsidR="00000000" w:rsidRDefault="00000000">
      <w:pPr>
        <w:pStyle w:val="SingleTxt"/>
      </w:pPr>
      <w:r>
        <w:t>313.</w:t>
      </w:r>
      <w:r>
        <w:tab/>
        <w:t>Помимо этого, в статье 58 закона № 2001-052 от 19 июля 2001 года о к</w:t>
      </w:r>
      <w:r>
        <w:t>о</w:t>
      </w:r>
      <w:r>
        <w:t>дексе статута предусматривается, что «женщина свободно распоряжается св</w:t>
      </w:r>
      <w:r>
        <w:t>о</w:t>
      </w:r>
      <w:r>
        <w:t>им личным имуществом…», что предполагает наличие у нее правоспособности управлять своим имуществом. Муж не пользуется какими-либо правами в о</w:t>
      </w:r>
      <w:r>
        <w:t>т</w:t>
      </w:r>
      <w:r>
        <w:t>ношении управления имуществом своей супруги, если только она «не передает в дар более трети своего имущ</w:t>
      </w:r>
      <w:r>
        <w:t>е</w:t>
      </w:r>
      <w:r>
        <w:t>ства» (статья 58).</w:t>
      </w:r>
    </w:p>
    <w:p w:rsidR="00000000" w:rsidRDefault="00000000">
      <w:pPr>
        <w:pStyle w:val="SingleTxt"/>
      </w:pPr>
      <w:r>
        <w:t>314.</w:t>
      </w:r>
      <w:r>
        <w:tab/>
        <w:t>В праве Мавритании наследование носит неотчуждаемый и универсал</w:t>
      </w:r>
      <w:r>
        <w:t>ь</w:t>
      </w:r>
      <w:r>
        <w:t>ный характер. Это следует из кодекса персонального статута и отражено в мн</w:t>
      </w:r>
      <w:r>
        <w:t>о</w:t>
      </w:r>
      <w:r>
        <w:t>гочисленных статьях, ни одна из которых не ограничивает право женщины на наследование. Так, в кодексе персонального статута после определения насл</w:t>
      </w:r>
      <w:r>
        <w:t>е</w:t>
      </w:r>
      <w:r>
        <w:t>дования (статья 232) в статье 251 перечислены наследники мужского пола, а в статье 252 — вероятные насле</w:t>
      </w:r>
      <w:r>
        <w:t>д</w:t>
      </w:r>
      <w:r>
        <w:t>ники.</w:t>
      </w:r>
    </w:p>
    <w:p w:rsidR="00000000" w:rsidRDefault="00000000">
      <w:pPr>
        <w:pStyle w:val="SingleTxt"/>
      </w:pPr>
      <w:r>
        <w:t>315.</w:t>
      </w:r>
      <w:r>
        <w:tab/>
        <w:t>И наконец, всем гражданам независимо от их пола гарантируется доступ к правосудию. В этой связи в статье 13 Конституции для всех без исключения признается презумпция невиновности и гарантируются равные условия спр</w:t>
      </w:r>
      <w:r>
        <w:t>а</w:t>
      </w:r>
      <w:r>
        <w:t>ведливого судебного разбирательства. Закон № 99</w:t>
      </w:r>
      <w:r>
        <w:noBreakHyphen/>
        <w:t>039 от 24 июля 1999 года о судоустройстве гарантирует всем равное обращение в судах.</w:t>
      </w:r>
    </w:p>
    <w:p w:rsidR="00000000" w:rsidRDefault="00000000">
      <w:pPr>
        <w:pStyle w:val="SingleTxt"/>
      </w:pPr>
      <w:r>
        <w:t>316.</w:t>
      </w:r>
      <w:r>
        <w:tab/>
        <w:t>В Конституции признается право на свободное перемещение и выбор места жительства как для граждан (статья 10), так и для иностранцев (ст</w:t>
      </w:r>
      <w:r>
        <w:t>а</w:t>
      </w:r>
      <w:r>
        <w:t>тья 22). Эффективное осуществление этого права на постоянной основе обе</w:t>
      </w:r>
      <w:r>
        <w:t>с</w:t>
      </w:r>
      <w:r>
        <w:t>печивается следующими средствами: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незамедлительная выдача паспортов гражданам и видов на жительство иностранцам;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представление интересов проживающих за границей мавританцев одним из сен</w:t>
      </w:r>
      <w:r>
        <w:t>а</w:t>
      </w:r>
      <w:r>
        <w:t>торов;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простота процедур для прибывших в страну беженцев, которые пользую</w:t>
      </w:r>
      <w:r>
        <w:t>т</w:t>
      </w:r>
      <w:r>
        <w:t>ся льготами для перемещения, а также условиями для гармоничной инт</w:t>
      </w:r>
      <w:r>
        <w:t>е</w:t>
      </w:r>
      <w:r>
        <w:t>грации в общество принимающей страны.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XIV.</w:t>
      </w:r>
      <w:r>
        <w:tab/>
        <w:t>Равенство прав членов семьи (статья 16)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317.</w:t>
      </w:r>
      <w:r>
        <w:tab/>
        <w:t>Различные механизмы, обеспечивающие гармоничную жизнь в семье, предусмотрены прежде всего в законе № 2001</w:t>
      </w:r>
      <w:r>
        <w:noBreakHyphen/>
        <w:t>052 от 19 июля 2001 года, с</w:t>
      </w:r>
      <w:r>
        <w:t>о</w:t>
      </w:r>
      <w:r>
        <w:t>держащем кодекс персонального статута. Кроме того, в преамбуле к Констит</w:t>
      </w:r>
      <w:r>
        <w:t>у</w:t>
      </w:r>
      <w:r>
        <w:t>ции гарантируются «права семьи, являющейся основной ячейкой мусульма</w:t>
      </w:r>
      <w:r>
        <w:t>н</w:t>
      </w:r>
      <w:r>
        <w:t>ского общества», а в статье 16 говорится, что «семья охраняется государством и о</w:t>
      </w:r>
      <w:r>
        <w:t>б</w:t>
      </w:r>
      <w:r>
        <w:t>ществом».</w:t>
      </w:r>
    </w:p>
    <w:p w:rsidR="00000000" w:rsidRDefault="00000000">
      <w:pPr>
        <w:pStyle w:val="SingleTxt"/>
      </w:pPr>
      <w:r>
        <w:t>318.</w:t>
      </w:r>
      <w:r>
        <w:tab/>
        <w:t>В этой связи для обеспечения стабильности семьи предусмотрены ра</w:t>
      </w:r>
      <w:r>
        <w:t>з</w:t>
      </w:r>
      <w:r>
        <w:t>личные гарантии. Так, на основе принципа равенства мужчины и женщины право вступать в брак на равных условиях признается в соответствии с зак</w:t>
      </w:r>
      <w:r>
        <w:t>о</w:t>
      </w:r>
      <w:r>
        <w:t>ном № 2001</w:t>
      </w:r>
      <w:r>
        <w:noBreakHyphen/>
        <w:t>052 от 19 июля 2001 года, в котором изложен кодекс персональн</w:t>
      </w:r>
      <w:r>
        <w:t>о</w:t>
      </w:r>
      <w:r>
        <w:t>го статута, предусматривающий следующее: «брак представляет собой юрид</w:t>
      </w:r>
      <w:r>
        <w:t>и</w:t>
      </w:r>
      <w:r>
        <w:t>ческий договор, в силу которого мужчина и женщина объединяются для дл</w:t>
      </w:r>
      <w:r>
        <w:t>и</w:t>
      </w:r>
      <w:r>
        <w:t>тел</w:t>
      </w:r>
      <w:r>
        <w:t>ь</w:t>
      </w:r>
      <w:r>
        <w:t>ного совместного проживания» (статья 1).</w:t>
      </w:r>
    </w:p>
    <w:p w:rsidR="00000000" w:rsidRDefault="00000000">
      <w:pPr>
        <w:pStyle w:val="SingleTxt"/>
      </w:pPr>
      <w:r>
        <w:t>319.</w:t>
      </w:r>
      <w:r>
        <w:tab/>
        <w:t>Заключение брака, о котором идет речь, в качестве одного из условий его действительности требует свободного согласия каждого из супругов (статья 5, статья 9, пункты 2 и 3, и статья 26 кодекса). Кроме того, заключение брака о</w:t>
      </w:r>
      <w:r>
        <w:t>д</w:t>
      </w:r>
      <w:r>
        <w:t>новременно ведет к возникновению прав для супругов, как в период брака, так и при разводе. Помимо этого, в браке женщина может требовать, чтобы «ее муж не вступал в брак с другой женщиной, не отсутствовал дольше устано</w:t>
      </w:r>
      <w:r>
        <w:t>в</w:t>
      </w:r>
      <w:r>
        <w:t>ленного срока и не препятствовал прохождению обучения или работе …» (ст</w:t>
      </w:r>
      <w:r>
        <w:t>а</w:t>
      </w:r>
      <w:r>
        <w:t>тья 28).</w:t>
      </w:r>
    </w:p>
    <w:p w:rsidR="00000000" w:rsidRDefault="00000000">
      <w:pPr>
        <w:pStyle w:val="SingleTxt"/>
      </w:pPr>
      <w:r>
        <w:t>320.</w:t>
      </w:r>
      <w:r>
        <w:tab/>
        <w:t>В дополнение к этому в соответствии со статьей 55 указанного кодекса заключение брака влечет за собой возникновение следующих прав: содержание и обеспечение жильем, охрану чести, сохранение супружеской верности, вза</w:t>
      </w:r>
      <w:r>
        <w:t>и</w:t>
      </w:r>
      <w:r>
        <w:t>мопомощь и содействие. Дополнительно в статьях 56 и 57 указывается сл</w:t>
      </w:r>
      <w:r>
        <w:t>е</w:t>
      </w:r>
      <w:r>
        <w:t>дующее: «женщина оказывает содействие своему мужу в вопросах управления семьей» (статья 56) и она может «…выполнять в дополнение к совместному проживанию любые профессиональные функции» (статья 57). Многие полож</w:t>
      </w:r>
      <w:r>
        <w:t>е</w:t>
      </w:r>
      <w:r>
        <w:t>ния кодекса персонального статута регулируют также последствия расторж</w:t>
      </w:r>
      <w:r>
        <w:t>е</w:t>
      </w:r>
      <w:r>
        <w:t>ния брака, признавая наличие у женщины важных прав. Такие права возник</w:t>
      </w:r>
      <w:r>
        <w:t>а</w:t>
      </w:r>
      <w:r>
        <w:t>ют, например, при расторжении брака в следующем поря</w:t>
      </w:r>
      <w:r>
        <w:t>д</w:t>
      </w:r>
      <w:r>
        <w:t>ке: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отторжение (статья 84);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выкуп (статья 93);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разрешение (статья 96).</w:t>
      </w:r>
    </w:p>
    <w:p w:rsidR="00000000" w:rsidRDefault="00000000">
      <w:pPr>
        <w:pStyle w:val="SingleTxt"/>
      </w:pPr>
      <w:r>
        <w:t>321.</w:t>
      </w:r>
      <w:r>
        <w:tab/>
        <w:t>Так, в соответствии со статьей 119 кодекса «женщина в течение легальн</w:t>
      </w:r>
      <w:r>
        <w:t>о</w:t>
      </w:r>
      <w:r>
        <w:t>го вдовьего срока остается в месте проживания своего супруга, который не имеет права в течение этого срока выселить ее». И наконец, в статье 123, пункт 2, предусмотрено, что в случае расторжения брака «мать имеет преим</w:t>
      </w:r>
      <w:r>
        <w:t>у</w:t>
      </w:r>
      <w:r>
        <w:t>щественное право на проживание с ребенком…».</w:t>
      </w:r>
    </w:p>
    <w:p w:rsidR="00000000" w:rsidRDefault="00000000">
      <w:pPr>
        <w:pStyle w:val="SingleTxt"/>
      </w:pPr>
      <w:r>
        <w:t>322.</w:t>
      </w:r>
      <w:r>
        <w:tab/>
        <w:t>Что касается обязанностей родителей по отношению к своим детям, то различные документы (кодекс персонального статута, закон об обязательном начальном образовании) содержат соответствующие положения, носящие х</w:t>
      </w:r>
      <w:r>
        <w:t>а</w:t>
      </w:r>
      <w:r>
        <w:t>рактер обязанностей. Так, в статье 120 кодекса персонального статута пред</w:t>
      </w:r>
      <w:r>
        <w:t>у</w:t>
      </w:r>
      <w:r>
        <w:t>сматривается, что «мать обязана вскармливать своего ребенка, а отец обязан в течение периода грудного вскармливания обеспечивать его пропитанием».</w:t>
      </w:r>
    </w:p>
    <w:p w:rsidR="00000000" w:rsidRDefault="00000000">
      <w:pPr>
        <w:pStyle w:val="SingleTxt"/>
      </w:pPr>
      <w:r>
        <w:t>323.</w:t>
      </w:r>
      <w:r>
        <w:tab/>
        <w:t>Кроме того, после положений о том, что представляет собой забота о р</w:t>
      </w:r>
      <w:r>
        <w:t>е</w:t>
      </w:r>
      <w:r>
        <w:t>бенке (статья 121), и перечисления условий для ее осуществления (статья 122), в кодексе персонального статута устанавливается, что «забота … о ребенке я</w:t>
      </w:r>
      <w:r>
        <w:t>в</w:t>
      </w:r>
      <w:r>
        <w:t>ляется частью обязанностей отца и матери до тех пор, пока они совместно проживают в браке» (статья 123, пункт 1). В соответствии с этим принципом кодекс содержит одно важное положение, которое вступает в силу в случае расторжения брака. В этом случае «ребенок, как правило, передается мат</w:t>
      </w:r>
      <w:r>
        <w:t>е</w:t>
      </w:r>
      <w:r>
        <w:t>ри…» (статья 123, пункт 2).</w:t>
      </w:r>
    </w:p>
    <w:p w:rsidR="00000000" w:rsidRDefault="00000000">
      <w:pPr>
        <w:pStyle w:val="SingleTxt"/>
      </w:pPr>
      <w:r>
        <w:t>324.</w:t>
      </w:r>
      <w:r>
        <w:tab/>
        <w:t>В соответствии со статьей 126 того же кодекса, забота о ребенке продо</w:t>
      </w:r>
      <w:r>
        <w:t>л</w:t>
      </w:r>
      <w:r>
        <w:t>жается «для девушки — до фактического вступления в брак, а для юноши — до достижения совершеннолетия». Тем не менее в интересах ребенка в статьях кодекса персонального статута (статьи 126 (пункт 2)—134 кодекса) предусма</w:t>
      </w:r>
      <w:r>
        <w:t>т</w:t>
      </w:r>
      <w:r>
        <w:t>риваются некоторые компромиссные варианты в отношении ухода.</w:t>
      </w:r>
    </w:p>
    <w:p w:rsidR="00000000" w:rsidRDefault="00000000">
      <w:pPr>
        <w:pStyle w:val="SingleTxt"/>
      </w:pPr>
      <w:r>
        <w:t>325.</w:t>
      </w:r>
      <w:r>
        <w:tab/>
        <w:t>Кроме того, в статье 2 закона № 2001</w:t>
      </w:r>
      <w:r>
        <w:noBreakHyphen/>
        <w:t>054 от 19 июля 2001 года об обяз</w:t>
      </w:r>
      <w:r>
        <w:t>а</w:t>
      </w:r>
      <w:r>
        <w:t>тельном базовом образовании говорится о том, что «…за ребенка отвечает отец или мать…».</w:t>
      </w:r>
    </w:p>
    <w:p w:rsidR="00000000" w:rsidRDefault="00000000">
      <w:pPr>
        <w:pStyle w:val="SingleTxt"/>
      </w:pPr>
      <w:r>
        <w:t>326.</w:t>
      </w:r>
      <w:r>
        <w:tab/>
        <w:t>В этой связи в соответствии со статьей 4 указанного закона отвечающие за уход лица обязаны записать его в школу «в течение 15 дней, предшеству</w:t>
      </w:r>
      <w:r>
        <w:t>ю</w:t>
      </w:r>
      <w:r>
        <w:t>щих началу его обучения…». В случае невыполнения этих положений для в</w:t>
      </w:r>
      <w:r>
        <w:t>и</w:t>
      </w:r>
      <w:r>
        <w:t>новных в этом лиц законом предусматриваются наказания (статьи 5, 6 и 10 к</w:t>
      </w:r>
      <w:r>
        <w:t>о</w:t>
      </w:r>
      <w:r>
        <w:t>декса). В связи с родительскими обязанностями неизменно возникают вопр</w:t>
      </w:r>
      <w:r>
        <w:t>о</w:t>
      </w:r>
      <w:r>
        <w:t>сы, касающиеся размера семьи и, говоря более конкретно, интервалов между ро</w:t>
      </w:r>
      <w:r>
        <w:t>ж</w:t>
      </w:r>
      <w:r>
        <w:t>дением детей или ограничения их количества. Этим вопросам уделяется особое внимание как со стороны государственных властей, так и неправительственных орг</w:t>
      </w:r>
      <w:r>
        <w:t>а</w:t>
      </w:r>
      <w:r>
        <w:t>низаций.</w:t>
      </w:r>
    </w:p>
    <w:p w:rsidR="00000000" w:rsidRDefault="00000000">
      <w:pPr>
        <w:pStyle w:val="SingleTxt"/>
      </w:pPr>
      <w:r>
        <w:t>327.</w:t>
      </w:r>
      <w:r>
        <w:tab/>
        <w:t>Так, проведенные опросы и исследования показали, что среди семейных пар число женщин, не желающих больше иметь детей, в два-три раза превыш</w:t>
      </w:r>
      <w:r>
        <w:t>а</w:t>
      </w:r>
      <w:r>
        <w:t>ет число мужчин, не желающих больше иметь детей, причем данный разрыв растет с увеличением числа детей в семье. В целом «доля женатых мужчин, к</w:t>
      </w:r>
      <w:r>
        <w:t>о</w:t>
      </w:r>
      <w:r>
        <w:t>торые не хотят более иметь детей, в два-три раза меньше, чем доля таких же</w:t>
      </w:r>
      <w:r>
        <w:t>н</w:t>
      </w:r>
      <w:r>
        <w:t>щин. Лишь 9 процентов мужчин заявили о том, что они больше не хотят иметь детей, в то время как среди женщин этот показатель составляет 19 процентов.</w:t>
      </w:r>
    </w:p>
    <w:p w:rsidR="00000000" w:rsidRDefault="00000000">
      <w:pPr>
        <w:pStyle w:val="SingleTxt"/>
      </w:pPr>
      <w:r>
        <w:t>328.</w:t>
      </w:r>
      <w:r>
        <w:tab/>
        <w:t>Кроме того, в отличие от данных по женщинам доля мужчин, которые бы хотели ограничить число своих детей, в городских и сельских районах практ</w:t>
      </w:r>
      <w:r>
        <w:t>и</w:t>
      </w:r>
      <w:r>
        <w:t>чески одинакова (соответственно 9 и 8 процентов). В географическом плане данный показатель весьма различается: от 6–7 процентов в центральных ра</w:t>
      </w:r>
      <w:r>
        <w:t>й</w:t>
      </w:r>
      <w:r>
        <w:t>онах, в долине реки Сенегал и на севере страны до 10–12 процентов на юго-востоке и в Нуакшоте. Здесь следует отметить, что с повышением уровня обр</w:t>
      </w:r>
      <w:r>
        <w:t>а</w:t>
      </w:r>
      <w:r>
        <w:t>зования доля мужчин, желающих ограничить количество своих детей, пропо</w:t>
      </w:r>
      <w:r>
        <w:t>р</w:t>
      </w:r>
      <w:r>
        <w:t>ционально возрастает, и для мужчин со среднем образованием и выше достиг</w:t>
      </w:r>
      <w:r>
        <w:t>а</w:t>
      </w:r>
      <w:r>
        <w:t>ет 13 процентов.</w:t>
      </w:r>
    </w:p>
    <w:p w:rsidR="00000000" w:rsidRDefault="00000000">
      <w:pPr>
        <w:pStyle w:val="SingleTxt"/>
      </w:pPr>
      <w:r>
        <w:t>329.</w:t>
      </w:r>
      <w:r>
        <w:tab/>
        <w:t>Сохраняющуюся среди мужчин тенденцию отказываться от регулиров</w:t>
      </w:r>
      <w:r>
        <w:t>а</w:t>
      </w:r>
      <w:r>
        <w:t>ния интервалов между деторождениями следует учитывать при подготовке пропагандистских кампаний в пользу регулирования интервалов между дет</w:t>
      </w:r>
      <w:r>
        <w:t>о</w:t>
      </w:r>
      <w:r>
        <w:t>рождениями, эффективность которых будет зависеть от того, насколько ими будут охвачены не только женщины, но и му</w:t>
      </w:r>
      <w:r>
        <w:t>ж</w:t>
      </w:r>
      <w:r>
        <w:t>чины.</w:t>
      </w:r>
    </w:p>
    <w:p w:rsidR="00000000" w:rsidRDefault="00000000">
      <w:pPr>
        <w:pStyle w:val="SingleTxt"/>
      </w:pPr>
      <w:r>
        <w:t>330.</w:t>
      </w:r>
      <w:r>
        <w:tab/>
        <w:t>За всеми лицами признается право владения, пользования и распоряжения имуществом. Статья 15 Конституции от 20 июля 1991 года «гарантирует право собственности» без каких-либо исключений. В соответствии с этим констит</w:t>
      </w:r>
      <w:r>
        <w:t>у</w:t>
      </w:r>
      <w:r>
        <w:t>ционным положением в статье 58 кодекса персонального статута уточняется, что «женщина свободно распоряжается своим личным имуществом…». Что к</w:t>
      </w:r>
      <w:r>
        <w:t>а</w:t>
      </w:r>
      <w:r>
        <w:t>сается помолвки, заключения брака и вытекающих из этого последствий, то в Мавритании действует соответствующее законодательство, которое в первую очередь защищает интересы девушки.</w:t>
      </w:r>
    </w:p>
    <w:p w:rsidR="00000000" w:rsidRDefault="00000000">
      <w:pPr>
        <w:pStyle w:val="SingleTxt"/>
      </w:pPr>
      <w:r>
        <w:t>331.</w:t>
      </w:r>
      <w:r>
        <w:tab/>
        <w:t>В этой связи в статье 6 кодекса персонального статута говорится следу</w:t>
      </w:r>
      <w:r>
        <w:t>ю</w:t>
      </w:r>
      <w:r>
        <w:t>щее: «в брак может вступить любое дееспособное лицо, достигшее 18 лет». В статье 75 кодекса подтверждается, что «брак заключается в присутствии оф</w:t>
      </w:r>
      <w:r>
        <w:t>и</w:t>
      </w:r>
      <w:r>
        <w:t>циального лица или представителя, осуществляющего запись актов гражда</w:t>
      </w:r>
      <w:r>
        <w:t>н</w:t>
      </w:r>
      <w:r>
        <w:t>ского состояния, который его и оформляет». Эта статья дополняется стат</w:t>
      </w:r>
      <w:r>
        <w:t>ь</w:t>
      </w:r>
      <w:r>
        <w:t>ей 76, в которой указывается, что заключение брака «регистрируется в соотве</w:t>
      </w:r>
      <w:r>
        <w:t>т</w:t>
      </w:r>
      <w:r>
        <w:t>ствии с положениями статьи 65 закона № 96-019 от 19 июня 1996 года о коде</w:t>
      </w:r>
      <w:r>
        <w:t>к</w:t>
      </w:r>
      <w:r>
        <w:t>се гражданского состояния.</w:t>
      </w:r>
    </w:p>
    <w:p w:rsidR="00000000" w:rsidRDefault="00000000">
      <w:pPr>
        <w:pStyle w:val="SingleTxt"/>
      </w:pPr>
      <w:r>
        <w:t>332.</w:t>
      </w:r>
      <w:r>
        <w:tab/>
        <w:t>И наконец, в статье 77 кодекса говорится о том, что «бракосочетания ма</w:t>
      </w:r>
      <w:r>
        <w:t>в</w:t>
      </w:r>
      <w:r>
        <w:t>ританцев, проживающих за границей, оформляются в соответствии с полож</w:t>
      </w:r>
      <w:r>
        <w:t>е</w:t>
      </w:r>
      <w:r>
        <w:t>ниями кодекса гражданского состояния. В соответствии со статьей 3 этого к</w:t>
      </w:r>
      <w:r>
        <w:t>о</w:t>
      </w:r>
      <w:r>
        <w:t>декса заключение брака осуществляется в присутствии компетентных властей принимающей страны и регистрируется в дипломатических и консульских представительствах. С тем чтобы оградить женщин от любых форм дискрим</w:t>
      </w:r>
      <w:r>
        <w:t>и</w:t>
      </w:r>
      <w:r>
        <w:t>нации, органы государственного управления опираются на деятельность мн</w:t>
      </w:r>
      <w:r>
        <w:t>о</w:t>
      </w:r>
      <w:r>
        <w:t>гочисленных неправительственных организаций, выступающих против нас</w:t>
      </w:r>
      <w:r>
        <w:t>и</w:t>
      </w:r>
      <w:r>
        <w:t>лия в отношении женщин.</w:t>
      </w:r>
    </w:p>
    <w:p w:rsidR="00000000" w:rsidRDefault="00000000">
      <w:pPr>
        <w:pStyle w:val="SingleTxt"/>
      </w:pPr>
      <w:r>
        <w:t>333.</w:t>
      </w:r>
      <w:r>
        <w:tab/>
        <w:t>В рамках партнерского сотрудничества с государственными властями т</w:t>
      </w:r>
      <w:r>
        <w:t>а</w:t>
      </w:r>
      <w:r>
        <w:t>кие неправительственные организации действуют на местах в интересах иск</w:t>
      </w:r>
      <w:r>
        <w:t>о</w:t>
      </w:r>
      <w:r>
        <w:t>ренения насилия в отношении женщин и девочек, дополняя инициативы гос</w:t>
      </w:r>
      <w:r>
        <w:t>у</w:t>
      </w:r>
      <w:r>
        <w:t>дарства в данной области. Эти инициативы прежде всего касаются стратегии борьбы с практикой, угрожающей здоровью матерей и девочек.</w:t>
      </w:r>
    </w:p>
    <w:p w:rsidR="00000000" w:rsidRDefault="00000000">
      <w:pPr>
        <w:pStyle w:val="SingleTxt"/>
      </w:pPr>
      <w:r>
        <w:t>334.</w:t>
      </w:r>
      <w:r>
        <w:tab/>
        <w:t>Деятельность этих неправительственных организаций стала особенно з</w:t>
      </w:r>
      <w:r>
        <w:t>а</w:t>
      </w:r>
      <w:r>
        <w:t>метной в 2003–2004 годах, когда они провели ряд семинаров по привлечению внимания к этой проблеме различных должностных лиц (магистратов, имамов, врачей и полицейских), которые способны повлиять на общественное мнение и деятельность которых может содействовать обращению вспять неблагоприя</w:t>
      </w:r>
      <w:r>
        <w:t>т</w:t>
      </w:r>
      <w:r>
        <w:t>ных тенденций.</w:t>
      </w:r>
    </w:p>
    <w:p w:rsidR="00000000" w:rsidRDefault="00000000">
      <w:pPr>
        <w:pStyle w:val="SingleTxt"/>
      </w:pPr>
      <w:r>
        <w:t>335.</w:t>
      </w:r>
      <w:r>
        <w:tab/>
        <w:t>Наряду с этим необходимо предпринять усилия, с тем чтобы положить конец всем видам практики (принудительное питание, принуждение к браку и калечащие операции на женских половых органах), наносящим ущерб здор</w:t>
      </w:r>
      <w:r>
        <w:t>о</w:t>
      </w:r>
      <w:r>
        <w:t>вью женщины, которые по</w:t>
      </w:r>
      <w:r>
        <w:noBreakHyphen/>
        <w:t>прежнему распространены среди некоторых групп населения.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Выводы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336.</w:t>
      </w:r>
      <w:r>
        <w:tab/>
        <w:t>Представив свой первый доклад об осуществлении положений Междун</w:t>
      </w:r>
      <w:r>
        <w:t>а</w:t>
      </w:r>
      <w:r>
        <w:t>родной конвенции о ликвидации всех форм дискриминации в отношении же</w:t>
      </w:r>
      <w:r>
        <w:t>н</w:t>
      </w:r>
      <w:r>
        <w:t>щин, Исламская Республика Мавритания хотела бы заявить о своей твердой решимости выполнять свои обязательства в деле поощрения и защиты прав ч</w:t>
      </w:r>
      <w:r>
        <w:t>е</w:t>
      </w:r>
      <w:r>
        <w:t>ловека, и прежде всего прав же</w:t>
      </w:r>
      <w:r>
        <w:t>н</w:t>
      </w:r>
      <w:r>
        <w:t>щин.</w:t>
      </w:r>
    </w:p>
    <w:p w:rsidR="00000000" w:rsidRDefault="00000000">
      <w:pPr>
        <w:pStyle w:val="SingleTxt"/>
      </w:pPr>
      <w:r>
        <w:t>337.</w:t>
      </w:r>
      <w:r>
        <w:tab/>
        <w:t>В настоящее время это находит свое отражение в тех мерах институци</w:t>
      </w:r>
      <w:r>
        <w:t>о</w:t>
      </w:r>
      <w:r>
        <w:t>нального, законодательного, административного, судебного и иного характера, которые принимаются в целях улучшения условий жизни женщин, а также в создании атмосферы, способствующей осуществлению свобод и реализации всей совокупности прав, предусмотренных в Международной конвенции о л</w:t>
      </w:r>
      <w:r>
        <w:t>и</w:t>
      </w:r>
      <w:r>
        <w:t>квидации всех форм дискриминации в отношении женщин. Конечно же, в у</w:t>
      </w:r>
      <w:r>
        <w:t>с</w:t>
      </w:r>
      <w:r>
        <w:t>ловиях глобализации и с учетом слабости национальной экономики в стране по-прежнему сохраняются определенные недостатки, однако мавританское г</w:t>
      </w:r>
      <w:r>
        <w:t>о</w:t>
      </w:r>
      <w:r>
        <w:t>сударство обязуется принять все необходимые меры для ускорения деятельн</w:t>
      </w:r>
      <w:r>
        <w:t>о</w:t>
      </w:r>
      <w:r>
        <w:t>сти, направленной на поощрение политических, экономических, социальных и культу</w:t>
      </w:r>
      <w:r>
        <w:t>р</w:t>
      </w:r>
      <w:r>
        <w:t>ных прав мавританской женщины.</w:t>
      </w:r>
    </w:p>
    <w:p w:rsidR="00000000" w:rsidRDefault="00000000">
      <w:pPr>
        <w:pStyle w:val="SingleTxt"/>
      </w:pPr>
      <w:r>
        <w:t>338.</w:t>
      </w:r>
      <w:r>
        <w:tab/>
        <w:t>И наконец, Исламская Республика Мавритания вновь подтверждает свою приверженность идеалам, закрепленным в указанной международной конве</w:t>
      </w:r>
      <w:r>
        <w:t>н</w:t>
      </w:r>
      <w:r>
        <w:t>ции, и выражает готовность поддерживать плодотворный и постоянный диалог со всеми членами Комитета.</w:t>
      </w:r>
    </w:p>
    <w:p w:rsidR="00000000" w:rsidRDefault="00000000">
      <w:pPr>
        <w:pStyle w:val="SingleTxt"/>
        <w:spacing w:after="0" w:line="240" w:lineRule="auto"/>
      </w:pPr>
      <w:r>
        <w:rPr>
          <w:w w:val="100"/>
        </w:rPr>
        <w:pict>
          <v:line id="_x0000_s2055" style="position:absolute;left:0;text-align:left;z-index:3;mso-position-horizontal:absolute;mso-position-horizontal-relative:text;mso-position-vertical:absolute;mso-position-vertical-relative:text" from="210.25pt,30pt" to="282.25pt,30pt" o:allowincell="f" strokeweight=".25pt"/>
        </w:pic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NO&gt;&gt;N0545302R&lt;&lt;ODS JOB NO&gt;&gt;</w:t>
      </w:r>
    </w:p>
    <w:p w:rsidR="00000000" w:rsidRDefault="00000000">
      <w:pPr>
        <w:pStyle w:val="CommentText"/>
      </w:pPr>
      <w:r>
        <w:t>&lt;&lt;ODS DOC SYMBOL1&gt;&gt;CEDAW/C/MRT/1&lt;&lt;ODS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WP CyrillicA"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70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69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 xml:space="preserve">05-45302 (R)    011205    </w:t>
    </w:r>
    <w:r>
      <w:rPr>
        <w:b w:val="0"/>
        <w:noProof w:val="0"/>
        <w:sz w:val="20"/>
        <w:lang w:val="ru-RU"/>
      </w:rPr>
      <w:t>27</w:t>
    </w:r>
    <w:r>
      <w:rPr>
        <w:b w:val="0"/>
        <w:sz w:val="20"/>
      </w:rPr>
      <w:t>1205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*0545302*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Separator" w:id="0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id="1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ab/>
        <w:t>Настоящий доклад издается без официального редактирования.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CEDAW/C/MRT/1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  <w10:wrap type="topAndBottom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CEDAW/C/MRT/1</w:t>
                      </w:r>
                    </w:p>
                  </w:tc>
                </w:tr>
              </w:tbl>
              <w:p w:rsidR="00000000" w:rsidRDefault="00000000"/>
            </w:txbxContent>
          </v:textbox>
          <w10:wrap type="topAndBottom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/C/MRT/1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56.25pt;height:47.2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</w:t>
          </w:r>
          <w:r>
            <w:rPr>
              <w:sz w:val="34"/>
              <w:lang w:val="en-US"/>
            </w:rPr>
            <w:t> </w:t>
          </w:r>
          <w:r>
            <w:rPr>
              <w:sz w:val="34"/>
            </w:rPr>
            <w:t>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 August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French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ECD07A3"/>
    <w:multiLevelType w:val="multilevel"/>
    <w:tmpl w:val="D1AE76A8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suff w:val="nothing"/>
      <w:lvlText w:val=""/>
      <w:lvlJc w:val="left"/>
      <w:pPr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>
    <w:nsid w:val="28F91C4B"/>
    <w:multiLevelType w:val="multilevel"/>
    <w:tmpl w:val="D1AE76A8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suff w:val="nothing"/>
      <w:lvlText w:val=""/>
      <w:lvlJc w:val="left"/>
      <w:pPr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7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8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9">
    <w:nsid w:val="5D8E59D5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8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10"/>
  </w:num>
  <w:num w:numId="13">
    <w:abstractNumId w:val="7"/>
  </w:num>
  <w:num w:numId="14">
    <w:abstractNumId w:val="5"/>
  </w:num>
  <w:num w:numId="15">
    <w:abstractNumId w:val="6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9/12/2005 11:42:37"/>
    <w:docVar w:name="DocCategory" w:val="Doc"/>
    <w:docVar w:name="DocType" w:val="Final"/>
    <w:docVar w:name="JobNo" w:val="0545302R"/>
    <w:docVar w:name="OandT" w:val=" "/>
    <w:docVar w:name="Symbol1" w:val="CEDAW/C/MRT/1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image" Target="media/image4.w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oleObject" Target="embeddings/oleObject2.bin"/><Relationship Id="rId2" Type="http://schemas.openxmlformats.org/officeDocument/2006/relationships/styles" Target="styles.xml"/><Relationship Id="rId16" Type="http://schemas.openxmlformats.org/officeDocument/2006/relationships/image" Target="media/image3.w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oleObject" Target="embeddings/oleObject1.bin"/><Relationship Id="rId10" Type="http://schemas.openxmlformats.org/officeDocument/2006/relationships/footer" Target="footer2.xml"/><Relationship Id="rId19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2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70</Pages>
  <Words>24195</Words>
  <Characters>137916</Characters>
  <Application>Microsoft Office Word</Application>
  <DocSecurity>4</DocSecurity>
  <Lines>1149</Lines>
  <Paragraphs>275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169370</CharactersWithSpaces>
  <SharedDoc>false</SharedDoc>
  <HLinks>
    <vt:vector size="6" baseType="variant">
      <vt:variant>
        <vt:i4>4522087</vt:i4>
      </vt:variant>
      <vt:variant>
        <vt:i4>335986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Ekaterina.Alexeenko</dc:creator>
  <cp:keywords/>
  <dc:description/>
  <cp:lastModifiedBy>DGAACS User</cp:lastModifiedBy>
  <cp:revision>5</cp:revision>
  <cp:lastPrinted>2005-12-27T10:44:00Z</cp:lastPrinted>
  <dcterms:created xsi:type="dcterms:W3CDTF">2005-12-27T10:43:00Z</dcterms:created>
  <dcterms:modified xsi:type="dcterms:W3CDTF">2005-12-27T12:12:00Z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0545302</vt:lpwstr>
  </property>
  <property fmtid="{D5CDD505-2E9C-101B-9397-08002B2CF9AE}" pid="3" name="Symbol1">
    <vt:lpwstr>CEDAW/C/MRT/1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70</vt:lpwstr>
  </property>
  <property fmtid="{D5CDD505-2E9C-101B-9397-08002B2CF9AE}" pid="8" name="Operator">
    <vt:lpwstr>Fedorova</vt:lpwstr>
  </property>
</Properties>
</file>