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2"/>
          <w:rtl/>
          <w:lang w:eastAsia="en-US"/>
        </w:rPr>
      </w:pPr>
      <w:r>
        <w:rPr>
          <w:noProof/>
          <w:sz w:val="32"/>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E/1990/6/Add.31</w:t>
                  </w:r>
                  <w:r>
                    <w:rPr>
                      <w:szCs w:val="22"/>
                      <w:lang w:eastAsia="en-US"/>
                    </w:rPr>
                    <w:br/>
                    <w:t>10 August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RUSSIAN</w:t>
                  </w:r>
                </w:p>
              </w:txbxContent>
            </v:textbox>
            <w10:wrap anchorx="page"/>
            <w10:anchorlock/>
          </v:shape>
        </w:pict>
      </w:r>
      <w:r>
        <w:rPr>
          <w:rFonts w:hint="cs"/>
          <w:sz w:val="32"/>
          <w:rtl/>
          <w:lang w:eastAsia="en-US"/>
        </w:rPr>
        <w:t>الدورة الموضوعية لعام 2002</w:t>
      </w:r>
    </w:p>
    <w:p w:rsidR="00000000" w:rsidRDefault="00000000">
      <w:pPr>
        <w:spacing w:after="0"/>
        <w:jc w:val="center"/>
        <w:rPr>
          <w:rFonts w:hint="cs"/>
          <w:sz w:val="36"/>
          <w:szCs w:val="36"/>
          <w:rtl/>
        </w:rPr>
      </w:pPr>
    </w:p>
    <w:p w:rsidR="00000000" w:rsidRDefault="00000000">
      <w:pPr>
        <w:spacing w:after="0"/>
        <w:jc w:val="center"/>
        <w:rPr>
          <w:rFonts w:hint="cs"/>
          <w:b/>
          <w:bCs/>
          <w:sz w:val="36"/>
          <w:szCs w:val="36"/>
          <w:rtl/>
        </w:rPr>
      </w:pPr>
      <w:r>
        <w:rPr>
          <w:rFonts w:hint="cs"/>
          <w:b/>
          <w:bCs/>
          <w:sz w:val="36"/>
          <w:szCs w:val="36"/>
          <w:rtl/>
        </w:rPr>
        <w:t>تنفيذ العهد الدولي الخاص بالحقوق الاقتصادية</w:t>
      </w:r>
      <w:r>
        <w:rPr>
          <w:b/>
          <w:bCs/>
          <w:sz w:val="36"/>
          <w:szCs w:val="36"/>
          <w:rtl/>
        </w:rPr>
        <w:br/>
      </w:r>
      <w:r>
        <w:rPr>
          <w:rFonts w:hint="cs"/>
          <w:b/>
          <w:bCs/>
          <w:sz w:val="36"/>
          <w:szCs w:val="36"/>
          <w:rtl/>
        </w:rPr>
        <w:t>والاجتماعية والثقافية</w:t>
      </w:r>
    </w:p>
    <w:p w:rsidR="00000000" w:rsidRDefault="00000000">
      <w:pPr>
        <w:spacing w:after="0"/>
        <w:jc w:val="center"/>
        <w:rPr>
          <w:rFonts w:hint="cs"/>
          <w:b/>
          <w:bCs/>
          <w:sz w:val="30"/>
          <w:rtl/>
        </w:rPr>
      </w:pPr>
    </w:p>
    <w:p w:rsidR="00000000" w:rsidRDefault="00000000">
      <w:pPr>
        <w:jc w:val="center"/>
        <w:rPr>
          <w:rFonts w:hint="cs"/>
          <w:b/>
          <w:bCs/>
          <w:sz w:val="30"/>
          <w:rtl/>
        </w:rPr>
      </w:pPr>
      <w:r>
        <w:rPr>
          <w:rFonts w:hint="cs"/>
          <w:b/>
          <w:bCs/>
          <w:sz w:val="30"/>
          <w:rtl/>
        </w:rPr>
        <w:t>التقارير الدورية الثانية المقدمة من الدول الأطراف بموجب المادتين</w:t>
      </w:r>
      <w:r>
        <w:rPr>
          <w:b/>
          <w:bCs/>
          <w:sz w:val="30"/>
          <w:rtl/>
        </w:rPr>
        <w:br/>
      </w:r>
      <w:r>
        <w:rPr>
          <w:rFonts w:hint="cs"/>
          <w:b/>
          <w:bCs/>
          <w:sz w:val="30"/>
          <w:rtl/>
        </w:rPr>
        <w:t>16 و17 من العهد</w:t>
      </w:r>
    </w:p>
    <w:p w:rsidR="00000000" w:rsidRDefault="00000000">
      <w:pPr>
        <w:jc w:val="center"/>
        <w:rPr>
          <w:rFonts w:hint="cs"/>
          <w:b/>
          <w:bCs/>
          <w:sz w:val="30"/>
          <w:rtl/>
        </w:rPr>
      </w:pPr>
      <w:r>
        <w:rPr>
          <w:rFonts w:hint="cs"/>
          <w:b/>
          <w:bCs/>
          <w:sz w:val="30"/>
          <w:rtl/>
        </w:rPr>
        <w:t>إضافة</w:t>
      </w:r>
    </w:p>
    <w:p w:rsidR="00000000" w:rsidRDefault="00000000">
      <w:pPr>
        <w:jc w:val="center"/>
        <w:rPr>
          <w:rFonts w:hint="cs"/>
          <w:sz w:val="30"/>
          <w:rtl/>
        </w:rPr>
      </w:pPr>
      <w:r>
        <w:rPr>
          <w:rFonts w:hint="cs"/>
          <w:b/>
          <w:bCs/>
          <w:sz w:val="36"/>
          <w:szCs w:val="36"/>
          <w:rtl/>
        </w:rPr>
        <w:t>جورجيا</w:t>
      </w:r>
      <w:r>
        <w:rPr>
          <w:rFonts w:hint="cs"/>
          <w:sz w:val="30"/>
          <w:rtl/>
        </w:rPr>
        <w:t xml:space="preserve"> * **</w:t>
      </w:r>
    </w:p>
    <w:p w:rsidR="00000000" w:rsidRDefault="00000000">
      <w:pPr>
        <w:jc w:val="right"/>
        <w:rPr>
          <w:rFonts w:hint="cs"/>
          <w:sz w:val="30"/>
          <w:rtl/>
        </w:rPr>
      </w:pPr>
      <w:r>
        <w:rPr>
          <w:rFonts w:hint="cs"/>
          <w:sz w:val="30"/>
          <w:rtl/>
        </w:rPr>
        <w:t>[19 حزيران/يونيه 2001]</w:t>
      </w:r>
    </w:p>
    <w:p w:rsidR="00000000" w:rsidRDefault="00000000">
      <w:pPr>
        <w:spacing w:before="120" w:after="120"/>
        <w:jc w:val="both"/>
        <w:rPr>
          <w:rFonts w:hint="cs"/>
          <w:sz w:val="30"/>
          <w:rtl/>
        </w:rPr>
      </w:pPr>
      <w:r>
        <w:rPr>
          <w:rFonts w:hint="cs"/>
          <w:sz w:val="30"/>
          <w:rtl/>
        </w:rPr>
        <w:t>ــــــــــــ</w:t>
      </w:r>
    </w:p>
    <w:p w:rsidR="00000000" w:rsidRDefault="00000000">
      <w:pPr>
        <w:spacing w:before="120" w:after="120"/>
        <w:jc w:val="both"/>
        <w:rPr>
          <w:sz w:val="28"/>
          <w:szCs w:val="28"/>
          <w:rtl/>
        </w:rPr>
      </w:pPr>
      <w:r>
        <w:rPr>
          <w:rFonts w:hint="cs"/>
          <w:sz w:val="30"/>
          <w:rtl/>
        </w:rPr>
        <w:tab/>
        <w:t>*</w:t>
      </w:r>
      <w:r>
        <w:rPr>
          <w:rFonts w:hint="cs"/>
          <w:sz w:val="30"/>
          <w:rtl/>
        </w:rPr>
        <w:tab/>
        <w:t xml:space="preserve">نظرت لجنة الحقوق الاقتصادية والاجتماعية والثقافية، في دورتها الثانية والعشرين المعقودة في عام 2000، في التقرير الأولي المقدم من حكومة جورجيا (انظر </w:t>
      </w:r>
      <w:r>
        <w:rPr>
          <w:szCs w:val="22"/>
        </w:rPr>
        <w:t>E/C.12/2000/SR.3-5</w:t>
      </w:r>
      <w:r>
        <w:rPr>
          <w:rFonts w:hint="cs"/>
          <w:szCs w:val="22"/>
          <w:rtl/>
        </w:rPr>
        <w:t xml:space="preserve"> </w:t>
      </w:r>
      <w:r>
        <w:rPr>
          <w:rFonts w:hint="cs"/>
          <w:sz w:val="28"/>
          <w:szCs w:val="28"/>
          <w:rtl/>
        </w:rPr>
        <w:t xml:space="preserve">والملاحظات الختامية في الوثيقة </w:t>
      </w:r>
      <w:r>
        <w:rPr>
          <w:szCs w:val="22"/>
        </w:rPr>
        <w:t>E/C.12/1/Add.42</w:t>
      </w:r>
      <w:r>
        <w:rPr>
          <w:rFonts w:hint="cs"/>
          <w:sz w:val="28"/>
          <w:szCs w:val="28"/>
          <w:rtl/>
        </w:rPr>
        <w:t>).</w:t>
      </w:r>
    </w:p>
    <w:p w:rsidR="00000000" w:rsidRDefault="00000000">
      <w:pPr>
        <w:jc w:val="both"/>
        <w:rPr>
          <w:rFonts w:hint="cs"/>
          <w:sz w:val="30"/>
          <w:rtl/>
        </w:rPr>
      </w:pPr>
      <w:r>
        <w:rPr>
          <w:rFonts w:hint="cs"/>
          <w:sz w:val="30"/>
          <w:rtl/>
        </w:rPr>
        <w:tab/>
        <w:t>**</w:t>
      </w:r>
      <w:r>
        <w:rPr>
          <w:rFonts w:hint="cs"/>
          <w:sz w:val="30"/>
          <w:rtl/>
        </w:rPr>
        <w:tab/>
        <w:t>ترد المعلومات المقدمة من جورجيا وفقاً للمبادئ التوجيهية المتعلقة بالجزء الأولي من تقارير الدول الأطراف، في الوثيقة الأساسية (</w:t>
      </w:r>
      <w:r>
        <w:rPr>
          <w:szCs w:val="22"/>
        </w:rPr>
        <w:t>HRI/CORE/1/Add.90/Rev.1</w:t>
      </w:r>
      <w:r>
        <w:rPr>
          <w:rFonts w:hint="cs"/>
          <w:sz w:val="30"/>
          <w:rtl/>
        </w:rPr>
        <w:t>).</w:t>
      </w:r>
    </w:p>
    <w:p w:rsidR="00000000" w:rsidRDefault="00000000">
      <w:pPr>
        <w:spacing w:before="120" w:after="120"/>
        <w:jc w:val="center"/>
        <w:rPr>
          <w:b/>
          <w:bCs/>
          <w:szCs w:val="28"/>
          <w:rtl/>
          <w:lang w:eastAsia="en-US"/>
        </w:rPr>
      </w:pPr>
      <w:r>
        <w:rPr>
          <w:rtl/>
        </w:rPr>
        <w:br w:type="page"/>
      </w:r>
      <w:r>
        <w:rPr>
          <w:b/>
          <w:bCs/>
          <w:sz w:val="36"/>
          <w:szCs w:val="36"/>
          <w:rtl/>
          <w:lang w:eastAsia="en-US"/>
        </w:rPr>
        <w:t>المحتويات</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leader="dot" w:pos="6790"/>
          <w:tab w:val="left" w:pos="7371"/>
          <w:tab w:val="center" w:pos="9043"/>
        </w:tabs>
        <w:spacing w:before="120" w:after="120"/>
        <w:jc w:val="both"/>
        <w:rPr>
          <w:rFonts w:hint="cs"/>
          <w:rtl/>
          <w:lang w:eastAsia="en-US"/>
        </w:rPr>
      </w:pPr>
      <w:r>
        <w:rPr>
          <w:rFonts w:hint="cs"/>
          <w:rtl/>
          <w:lang w:eastAsia="en-US"/>
        </w:rPr>
        <w:t xml:space="preserve">مقدمة </w:t>
      </w:r>
      <w:r>
        <w:rPr>
          <w:rFonts w:hint="cs"/>
          <w:rtl/>
          <w:lang w:eastAsia="en-US"/>
        </w:rPr>
        <w:tab/>
      </w:r>
      <w:r>
        <w:rPr>
          <w:rFonts w:hint="cs"/>
          <w:rtl/>
          <w:lang w:eastAsia="en-US"/>
        </w:rPr>
        <w:tab/>
        <w:t>1  -15</w:t>
      </w:r>
      <w:r>
        <w:rPr>
          <w:rFonts w:hint="cs"/>
          <w:rtl/>
          <w:lang w:eastAsia="en-US"/>
        </w:rPr>
        <w:tab/>
        <w:t>3</w:t>
      </w:r>
    </w:p>
    <w:p w:rsidR="00000000" w:rsidRDefault="00000000">
      <w:pPr>
        <w:tabs>
          <w:tab w:val="left" w:leader="dot" w:pos="6790"/>
          <w:tab w:val="left" w:pos="7371"/>
          <w:tab w:val="center" w:pos="9043"/>
        </w:tabs>
        <w:spacing w:before="120" w:after="120"/>
        <w:jc w:val="both"/>
        <w:rPr>
          <w:rFonts w:hint="cs"/>
          <w:rtl/>
          <w:lang w:eastAsia="en-US"/>
        </w:rPr>
      </w:pPr>
      <w:r>
        <w:rPr>
          <w:rFonts w:hint="cs"/>
          <w:rtl/>
          <w:lang w:eastAsia="en-US"/>
        </w:rPr>
        <w:t xml:space="preserve">المادة 1 </w:t>
      </w:r>
      <w:r>
        <w:rPr>
          <w:rFonts w:hint="cs"/>
          <w:rtl/>
          <w:lang w:eastAsia="en-US"/>
        </w:rPr>
        <w:tab/>
      </w:r>
      <w:r>
        <w:rPr>
          <w:rFonts w:hint="cs"/>
          <w:rtl/>
          <w:lang w:eastAsia="en-US"/>
        </w:rPr>
        <w:tab/>
        <w:t xml:space="preserve">   16</w:t>
      </w:r>
      <w:r>
        <w:rPr>
          <w:rFonts w:hint="cs"/>
          <w:rtl/>
          <w:lang w:eastAsia="en-US"/>
        </w:rPr>
        <w:tab/>
        <w:t>6</w:t>
      </w:r>
    </w:p>
    <w:p w:rsidR="00000000" w:rsidRDefault="00000000">
      <w:pPr>
        <w:tabs>
          <w:tab w:val="left" w:leader="dot" w:pos="6790"/>
          <w:tab w:val="left" w:pos="7371"/>
          <w:tab w:val="center" w:pos="9043"/>
        </w:tabs>
        <w:spacing w:before="120" w:after="120"/>
        <w:jc w:val="both"/>
        <w:rPr>
          <w:rFonts w:hint="cs"/>
          <w:rtl/>
          <w:lang w:eastAsia="en-US"/>
        </w:rPr>
      </w:pPr>
      <w:r>
        <w:rPr>
          <w:rFonts w:hint="cs"/>
          <w:rtl/>
          <w:lang w:eastAsia="en-US"/>
        </w:rPr>
        <w:t xml:space="preserve">المادة 2 </w:t>
      </w:r>
      <w:r>
        <w:rPr>
          <w:rFonts w:hint="cs"/>
          <w:rtl/>
          <w:lang w:eastAsia="en-US"/>
        </w:rPr>
        <w:tab/>
      </w:r>
      <w:r>
        <w:rPr>
          <w:rFonts w:hint="cs"/>
          <w:rtl/>
          <w:lang w:eastAsia="en-US"/>
        </w:rPr>
        <w:tab/>
        <w:t xml:space="preserve">   17</w:t>
      </w:r>
      <w:r>
        <w:rPr>
          <w:rFonts w:hint="cs"/>
          <w:rtl/>
          <w:lang w:eastAsia="en-US"/>
        </w:rPr>
        <w:tab/>
        <w:t>6</w:t>
      </w:r>
    </w:p>
    <w:p w:rsidR="00000000" w:rsidRDefault="00000000">
      <w:pPr>
        <w:tabs>
          <w:tab w:val="left" w:leader="dot" w:pos="6790"/>
          <w:tab w:val="left" w:pos="7371"/>
          <w:tab w:val="center" w:pos="9043"/>
        </w:tabs>
        <w:spacing w:before="120" w:after="120"/>
        <w:jc w:val="both"/>
        <w:rPr>
          <w:rFonts w:hint="cs"/>
          <w:rtl/>
          <w:lang w:eastAsia="en-US"/>
        </w:rPr>
      </w:pPr>
      <w:r>
        <w:rPr>
          <w:rFonts w:hint="cs"/>
          <w:rtl/>
          <w:lang w:eastAsia="en-US"/>
        </w:rPr>
        <w:t xml:space="preserve">المادة 3 </w:t>
      </w:r>
      <w:r>
        <w:rPr>
          <w:rFonts w:hint="cs"/>
          <w:rtl/>
          <w:lang w:eastAsia="en-US"/>
        </w:rPr>
        <w:tab/>
      </w:r>
      <w:r>
        <w:rPr>
          <w:rFonts w:hint="cs"/>
          <w:rtl/>
          <w:lang w:eastAsia="en-US"/>
        </w:rPr>
        <w:tab/>
        <w:t xml:space="preserve">   18</w:t>
      </w:r>
      <w:r>
        <w:rPr>
          <w:rFonts w:hint="cs"/>
          <w:rtl/>
          <w:lang w:eastAsia="en-US"/>
        </w:rPr>
        <w:tab/>
        <w:t>6</w:t>
      </w:r>
    </w:p>
    <w:p w:rsidR="00000000" w:rsidRDefault="00000000">
      <w:pPr>
        <w:tabs>
          <w:tab w:val="left" w:leader="dot" w:pos="6790"/>
          <w:tab w:val="left" w:pos="7371"/>
          <w:tab w:val="center" w:pos="9043"/>
        </w:tabs>
        <w:spacing w:before="120" w:after="120"/>
        <w:jc w:val="both"/>
        <w:rPr>
          <w:rFonts w:hint="cs"/>
          <w:rtl/>
          <w:lang w:eastAsia="en-US"/>
        </w:rPr>
      </w:pPr>
      <w:r>
        <w:rPr>
          <w:rFonts w:hint="cs"/>
          <w:rtl/>
          <w:lang w:eastAsia="en-US"/>
        </w:rPr>
        <w:t xml:space="preserve">المادة 6 </w:t>
      </w:r>
      <w:r>
        <w:rPr>
          <w:rFonts w:hint="cs"/>
          <w:rtl/>
          <w:lang w:eastAsia="en-US"/>
        </w:rPr>
        <w:tab/>
      </w:r>
      <w:r>
        <w:rPr>
          <w:rFonts w:hint="cs"/>
          <w:rtl/>
          <w:lang w:eastAsia="en-US"/>
        </w:rPr>
        <w:tab/>
        <w:t>19 -78</w:t>
      </w:r>
      <w:r>
        <w:rPr>
          <w:rFonts w:hint="cs"/>
          <w:rtl/>
          <w:lang w:eastAsia="en-US"/>
        </w:rPr>
        <w:tab/>
        <w:t>6</w:t>
      </w:r>
    </w:p>
    <w:p w:rsidR="00000000" w:rsidRDefault="00000000">
      <w:pPr>
        <w:tabs>
          <w:tab w:val="left" w:leader="dot" w:pos="6790"/>
          <w:tab w:val="left" w:pos="7371"/>
          <w:tab w:val="center" w:pos="9043"/>
        </w:tabs>
        <w:spacing w:before="120" w:after="120"/>
        <w:jc w:val="both"/>
        <w:rPr>
          <w:rFonts w:hint="cs"/>
          <w:rtl/>
          <w:lang w:eastAsia="en-US"/>
        </w:rPr>
      </w:pPr>
      <w:r>
        <w:rPr>
          <w:rFonts w:hint="cs"/>
          <w:rtl/>
          <w:lang w:eastAsia="en-US"/>
        </w:rPr>
        <w:t xml:space="preserve">المادة 7 </w:t>
      </w:r>
      <w:r>
        <w:rPr>
          <w:rFonts w:hint="cs"/>
          <w:rtl/>
          <w:lang w:eastAsia="en-US"/>
        </w:rPr>
        <w:tab/>
      </w:r>
      <w:r>
        <w:rPr>
          <w:rFonts w:hint="cs"/>
          <w:rtl/>
          <w:lang w:eastAsia="en-US"/>
        </w:rPr>
        <w:tab/>
        <w:t>79 -99</w:t>
      </w:r>
      <w:r>
        <w:rPr>
          <w:rFonts w:hint="cs"/>
          <w:rtl/>
          <w:lang w:eastAsia="en-US"/>
        </w:rPr>
        <w:tab/>
        <w:t>18</w:t>
      </w:r>
    </w:p>
    <w:p w:rsidR="00000000" w:rsidRDefault="00000000">
      <w:pPr>
        <w:tabs>
          <w:tab w:val="left" w:leader="dot" w:pos="6790"/>
          <w:tab w:val="left" w:pos="7371"/>
          <w:tab w:val="center" w:pos="9043"/>
        </w:tabs>
        <w:spacing w:before="120" w:after="120"/>
        <w:jc w:val="both"/>
        <w:rPr>
          <w:rFonts w:hint="cs"/>
          <w:rtl/>
          <w:lang w:eastAsia="en-US"/>
        </w:rPr>
      </w:pPr>
      <w:r>
        <w:rPr>
          <w:rFonts w:hint="cs"/>
          <w:rtl/>
          <w:lang w:eastAsia="en-US"/>
        </w:rPr>
        <w:t xml:space="preserve">المادة 8 </w:t>
      </w:r>
      <w:r>
        <w:rPr>
          <w:rFonts w:hint="cs"/>
          <w:rtl/>
          <w:lang w:eastAsia="en-US"/>
        </w:rPr>
        <w:tab/>
      </w:r>
      <w:r>
        <w:rPr>
          <w:rFonts w:hint="cs"/>
          <w:rtl/>
          <w:lang w:eastAsia="en-US"/>
        </w:rPr>
        <w:tab/>
        <w:t xml:space="preserve">   100</w:t>
      </w:r>
      <w:r>
        <w:rPr>
          <w:rFonts w:hint="cs"/>
          <w:rtl/>
          <w:lang w:eastAsia="en-US"/>
        </w:rPr>
        <w:tab/>
        <w:t>21</w:t>
      </w:r>
    </w:p>
    <w:p w:rsidR="00000000" w:rsidRDefault="00000000">
      <w:pPr>
        <w:tabs>
          <w:tab w:val="left" w:leader="dot" w:pos="6790"/>
          <w:tab w:val="left" w:pos="7371"/>
          <w:tab w:val="center" w:pos="9043"/>
        </w:tabs>
        <w:spacing w:before="120" w:after="120"/>
        <w:jc w:val="both"/>
        <w:rPr>
          <w:rFonts w:hint="cs"/>
          <w:rtl/>
          <w:lang w:eastAsia="en-US"/>
        </w:rPr>
      </w:pPr>
      <w:r>
        <w:rPr>
          <w:rFonts w:hint="cs"/>
          <w:rtl/>
          <w:lang w:eastAsia="en-US"/>
        </w:rPr>
        <w:t xml:space="preserve">المادة 9 </w:t>
      </w:r>
      <w:r>
        <w:rPr>
          <w:rFonts w:hint="cs"/>
          <w:rtl/>
          <w:lang w:eastAsia="en-US"/>
        </w:rPr>
        <w:tab/>
      </w:r>
      <w:r>
        <w:rPr>
          <w:rFonts w:hint="cs"/>
          <w:rtl/>
          <w:lang w:eastAsia="en-US"/>
        </w:rPr>
        <w:tab/>
        <w:t>101-124</w:t>
      </w:r>
      <w:r>
        <w:rPr>
          <w:rFonts w:hint="cs"/>
          <w:rtl/>
          <w:lang w:eastAsia="en-US"/>
        </w:rPr>
        <w:tab/>
        <w:t>22</w:t>
      </w:r>
    </w:p>
    <w:p w:rsidR="00000000" w:rsidRDefault="00000000">
      <w:pPr>
        <w:tabs>
          <w:tab w:val="left" w:leader="dot" w:pos="6790"/>
          <w:tab w:val="left" w:pos="7371"/>
          <w:tab w:val="center" w:pos="9043"/>
        </w:tabs>
        <w:spacing w:before="120" w:after="120"/>
        <w:jc w:val="both"/>
        <w:rPr>
          <w:rFonts w:hint="cs"/>
          <w:rtl/>
          <w:lang w:eastAsia="en-US"/>
        </w:rPr>
      </w:pPr>
      <w:r>
        <w:rPr>
          <w:rFonts w:hint="cs"/>
          <w:rtl/>
          <w:lang w:eastAsia="en-US"/>
        </w:rPr>
        <w:t xml:space="preserve">المادة 10 </w:t>
      </w:r>
      <w:r>
        <w:rPr>
          <w:rFonts w:hint="cs"/>
          <w:rtl/>
          <w:lang w:eastAsia="en-US"/>
        </w:rPr>
        <w:tab/>
      </w:r>
      <w:r>
        <w:rPr>
          <w:rFonts w:hint="cs"/>
          <w:rtl/>
          <w:lang w:eastAsia="en-US"/>
        </w:rPr>
        <w:tab/>
        <w:t>125-141</w:t>
      </w:r>
      <w:r>
        <w:rPr>
          <w:rFonts w:hint="cs"/>
          <w:rtl/>
          <w:lang w:eastAsia="en-US"/>
        </w:rPr>
        <w:tab/>
        <w:t>27</w:t>
      </w:r>
    </w:p>
    <w:p w:rsidR="00000000" w:rsidRDefault="00000000">
      <w:pPr>
        <w:tabs>
          <w:tab w:val="left" w:leader="dot" w:pos="6790"/>
          <w:tab w:val="left" w:pos="7371"/>
          <w:tab w:val="center" w:pos="9043"/>
        </w:tabs>
        <w:spacing w:before="120" w:after="120"/>
        <w:jc w:val="both"/>
        <w:rPr>
          <w:rFonts w:hint="cs"/>
          <w:rtl/>
          <w:lang w:eastAsia="en-US"/>
        </w:rPr>
      </w:pPr>
      <w:r>
        <w:rPr>
          <w:rFonts w:hint="cs"/>
          <w:rtl/>
          <w:lang w:eastAsia="en-US"/>
        </w:rPr>
        <w:t xml:space="preserve">المادة 11 </w:t>
      </w:r>
      <w:r>
        <w:rPr>
          <w:rFonts w:hint="cs"/>
          <w:rtl/>
          <w:lang w:eastAsia="en-US"/>
        </w:rPr>
        <w:tab/>
      </w:r>
      <w:r>
        <w:rPr>
          <w:rFonts w:hint="cs"/>
          <w:rtl/>
          <w:lang w:eastAsia="en-US"/>
        </w:rPr>
        <w:tab/>
        <w:t>142-186</w:t>
      </w:r>
      <w:r>
        <w:rPr>
          <w:rFonts w:hint="cs"/>
          <w:rtl/>
          <w:lang w:eastAsia="en-US"/>
        </w:rPr>
        <w:tab/>
        <w:t>30</w:t>
      </w:r>
    </w:p>
    <w:p w:rsidR="00000000" w:rsidRDefault="00000000">
      <w:pPr>
        <w:tabs>
          <w:tab w:val="left" w:leader="dot" w:pos="6790"/>
          <w:tab w:val="left" w:pos="7371"/>
          <w:tab w:val="center" w:pos="9043"/>
        </w:tabs>
        <w:spacing w:before="120" w:after="120"/>
        <w:jc w:val="both"/>
        <w:rPr>
          <w:rFonts w:hint="cs"/>
          <w:rtl/>
          <w:lang w:eastAsia="en-US"/>
        </w:rPr>
      </w:pPr>
      <w:r>
        <w:rPr>
          <w:rFonts w:hint="cs"/>
          <w:rtl/>
          <w:lang w:eastAsia="en-US"/>
        </w:rPr>
        <w:t xml:space="preserve">المادة 12 </w:t>
      </w:r>
      <w:r>
        <w:rPr>
          <w:rFonts w:hint="cs"/>
          <w:rtl/>
          <w:lang w:eastAsia="en-US"/>
        </w:rPr>
        <w:tab/>
      </w:r>
      <w:r>
        <w:rPr>
          <w:rFonts w:hint="cs"/>
          <w:rtl/>
          <w:lang w:eastAsia="en-US"/>
        </w:rPr>
        <w:tab/>
        <w:t>187-225</w:t>
      </w:r>
      <w:r>
        <w:rPr>
          <w:rFonts w:hint="cs"/>
          <w:rtl/>
          <w:lang w:eastAsia="en-US"/>
        </w:rPr>
        <w:tab/>
        <w:t>42</w:t>
      </w:r>
    </w:p>
    <w:p w:rsidR="00000000" w:rsidRDefault="00000000">
      <w:pPr>
        <w:tabs>
          <w:tab w:val="left" w:leader="dot" w:pos="6790"/>
          <w:tab w:val="left" w:pos="7371"/>
          <w:tab w:val="center" w:pos="9043"/>
        </w:tabs>
        <w:spacing w:before="120" w:after="120"/>
        <w:jc w:val="both"/>
        <w:rPr>
          <w:rFonts w:hint="cs"/>
          <w:rtl/>
          <w:lang w:eastAsia="en-US"/>
        </w:rPr>
      </w:pPr>
      <w:r>
        <w:rPr>
          <w:rFonts w:hint="cs"/>
          <w:rtl/>
          <w:lang w:eastAsia="en-US"/>
        </w:rPr>
        <w:t xml:space="preserve">المادة 13 </w:t>
      </w:r>
      <w:r>
        <w:rPr>
          <w:rFonts w:hint="cs"/>
          <w:rtl/>
          <w:lang w:eastAsia="en-US"/>
        </w:rPr>
        <w:tab/>
      </w:r>
      <w:r>
        <w:rPr>
          <w:rFonts w:hint="cs"/>
          <w:rtl/>
          <w:lang w:eastAsia="en-US"/>
        </w:rPr>
        <w:tab/>
        <w:t>226-242</w:t>
      </w:r>
      <w:r>
        <w:rPr>
          <w:rFonts w:hint="cs"/>
          <w:rtl/>
          <w:lang w:eastAsia="en-US"/>
        </w:rPr>
        <w:tab/>
        <w:t>55</w:t>
      </w:r>
    </w:p>
    <w:p w:rsidR="00000000" w:rsidRDefault="00000000">
      <w:pPr>
        <w:tabs>
          <w:tab w:val="left" w:leader="dot" w:pos="6790"/>
          <w:tab w:val="left" w:pos="7371"/>
          <w:tab w:val="center" w:pos="9043"/>
        </w:tabs>
        <w:spacing w:before="120" w:after="120"/>
        <w:jc w:val="both"/>
        <w:rPr>
          <w:rFonts w:hint="cs"/>
          <w:rtl/>
          <w:lang w:eastAsia="en-US"/>
        </w:rPr>
      </w:pPr>
      <w:r>
        <w:rPr>
          <w:rFonts w:hint="cs"/>
          <w:rtl/>
          <w:lang w:eastAsia="en-US"/>
        </w:rPr>
        <w:t xml:space="preserve">المادة 15 </w:t>
      </w:r>
      <w:r>
        <w:rPr>
          <w:rFonts w:hint="cs"/>
          <w:rtl/>
          <w:lang w:eastAsia="en-US"/>
        </w:rPr>
        <w:tab/>
      </w:r>
      <w:r>
        <w:rPr>
          <w:rFonts w:hint="cs"/>
          <w:rtl/>
          <w:lang w:eastAsia="en-US"/>
        </w:rPr>
        <w:tab/>
        <w:t>243-288</w:t>
      </w:r>
      <w:r>
        <w:rPr>
          <w:rFonts w:hint="cs"/>
          <w:rtl/>
          <w:lang w:eastAsia="en-US"/>
        </w:rPr>
        <w:tab/>
        <w:t>60</w:t>
      </w:r>
    </w:p>
    <w:p w:rsidR="00000000" w:rsidRDefault="00000000">
      <w:pPr>
        <w:tabs>
          <w:tab w:val="left" w:leader="dot" w:pos="8329"/>
          <w:tab w:val="center" w:pos="9043"/>
        </w:tabs>
        <w:spacing w:before="120" w:after="120"/>
        <w:jc w:val="both"/>
        <w:rPr>
          <w:rFonts w:hint="cs"/>
          <w:rtl/>
          <w:lang w:eastAsia="en-US"/>
        </w:rPr>
      </w:pPr>
      <w:r>
        <w:rPr>
          <w:rFonts w:hint="cs"/>
          <w:rtl/>
          <w:lang w:eastAsia="en-US"/>
        </w:rPr>
        <w:t xml:space="preserve">المرفق </w:t>
      </w:r>
      <w:r>
        <w:rPr>
          <w:rFonts w:hint="cs"/>
          <w:rtl/>
          <w:lang w:eastAsia="en-US"/>
        </w:rPr>
        <w:tab/>
      </w:r>
      <w:r>
        <w:rPr>
          <w:rFonts w:hint="cs"/>
          <w:rtl/>
          <w:lang w:eastAsia="en-US"/>
        </w:rPr>
        <w:tab/>
        <w:t>69</w:t>
      </w:r>
    </w:p>
    <w:p w:rsidR="00000000" w:rsidRDefault="00000000">
      <w:pPr>
        <w:tabs>
          <w:tab w:val="left" w:leader="dot" w:pos="8329"/>
          <w:tab w:val="center" w:pos="9043"/>
        </w:tabs>
        <w:spacing w:before="120" w:after="120"/>
        <w:jc w:val="both"/>
        <w:rPr>
          <w:rFonts w:hint="cs"/>
          <w:rtl/>
          <w:lang w:eastAsia="en-US"/>
        </w:rPr>
      </w:pPr>
      <w:r>
        <w:rPr>
          <w:rFonts w:hint="cs"/>
          <w:rtl/>
          <w:lang w:eastAsia="en-US"/>
        </w:rPr>
        <w:t xml:space="preserve">قائمة بالوثائق </w:t>
      </w:r>
      <w:r>
        <w:rPr>
          <w:rFonts w:hint="cs"/>
          <w:rtl/>
          <w:lang w:eastAsia="en-US"/>
        </w:rPr>
        <w:tab/>
      </w:r>
      <w:r>
        <w:rPr>
          <w:rFonts w:hint="cs"/>
          <w:rtl/>
          <w:lang w:eastAsia="en-US"/>
        </w:rPr>
        <w:tab/>
        <w:t>70</w:t>
      </w:r>
    </w:p>
    <w:p w:rsidR="00000000" w:rsidRDefault="00000000">
      <w:pPr>
        <w:jc w:val="both"/>
        <w:rPr>
          <w:rFonts w:hint="cs"/>
          <w:rtl/>
        </w:rPr>
      </w:pPr>
    </w:p>
    <w:p w:rsidR="00000000" w:rsidRDefault="00000000">
      <w:pPr>
        <w:jc w:val="center"/>
        <w:rPr>
          <w:rFonts w:hint="cs"/>
          <w:b/>
          <w:bCs/>
          <w:rtl/>
        </w:rPr>
      </w:pPr>
      <w:r>
        <w:rPr>
          <w:rtl/>
        </w:rPr>
        <w:br w:type="page"/>
      </w:r>
      <w:r>
        <w:rPr>
          <w:rFonts w:hint="cs"/>
          <w:b/>
          <w:bCs/>
          <w:rtl/>
        </w:rPr>
        <w:t>مقدمة</w:t>
      </w:r>
    </w:p>
    <w:p w:rsidR="00000000" w:rsidRDefault="00000000">
      <w:pPr>
        <w:jc w:val="both"/>
        <w:rPr>
          <w:rFonts w:hint="cs"/>
          <w:rtl/>
        </w:rPr>
      </w:pPr>
      <w:r>
        <w:rPr>
          <w:rFonts w:hint="cs"/>
          <w:rtl/>
        </w:rPr>
        <w:t>1-</w:t>
      </w:r>
      <w:r>
        <w:rPr>
          <w:rFonts w:hint="cs"/>
          <w:rtl/>
        </w:rPr>
        <w:tab/>
        <w:t xml:space="preserve">في 25 كانون الثاني/يناير 1994، اعتمد البرلمان الجورجي قراراً انضمت جورجيا بموجبه إلى العهد الدولي الخاص بالحقوق الاقتصادية والاجتماعية والثقافية (المشار إليه فيما يأتي باسم "العهد"). ودخل العهد حيز التنفيذ في 3 آب/أغسطس 1994. وعملاً بالمادتين 16 و17 من العهد، قدمت جورجيا إلى لجنة الحقوق الاقتصادية والاجتماعية والثقافية في آب/أغسطس 1997 تقريرها الأولي (الوثيقة، </w:t>
      </w:r>
      <w:r>
        <w:rPr>
          <w:szCs w:val="22"/>
        </w:rPr>
        <w:t>E/1990/5/Add.37</w:t>
      </w:r>
      <w:r>
        <w:rPr>
          <w:rFonts w:hint="cs"/>
          <w:rtl/>
        </w:rPr>
        <w:t xml:space="preserve">) بشأن التدابير المتخذة لتنفيذ التزاماتها بموجب العهد. وتم استعراض التقرير في نيسان/أبريل 2000. واعتمدت اللجنة ملاحظاتها الختامية في أيار/مايو 2000 (انظر الوثيقة، </w:t>
      </w:r>
      <w:r>
        <w:rPr>
          <w:szCs w:val="22"/>
        </w:rPr>
        <w:t>E/C.12/1/Add.42</w:t>
      </w:r>
      <w:r>
        <w:rPr>
          <w:rFonts w:hint="cs"/>
          <w:rtl/>
        </w:rPr>
        <w:t>).</w:t>
      </w:r>
    </w:p>
    <w:p w:rsidR="00000000" w:rsidRDefault="00000000">
      <w:pPr>
        <w:jc w:val="both"/>
        <w:rPr>
          <w:rFonts w:hint="cs"/>
          <w:rtl/>
        </w:rPr>
      </w:pPr>
      <w:r>
        <w:rPr>
          <w:rFonts w:hint="cs"/>
          <w:rtl/>
        </w:rPr>
        <w:t>2-</w:t>
      </w:r>
      <w:r>
        <w:rPr>
          <w:rFonts w:hint="cs"/>
          <w:rtl/>
        </w:rPr>
        <w:tab/>
        <w:t>وقد نُشرت الملاحظات الختامية لجنة الحقوق الاقتصادية والاجتماعية والثقافية في الصحافة الرسمية لجورجيا وأصبحت بذلك متاحة على نطاق واسع لجميع قطاعات السكان في هذا البلد.</w:t>
      </w:r>
    </w:p>
    <w:p w:rsidR="00000000" w:rsidRDefault="00000000">
      <w:pPr>
        <w:jc w:val="both"/>
        <w:rPr>
          <w:rFonts w:hint="cs"/>
          <w:rtl/>
        </w:rPr>
      </w:pPr>
      <w:r>
        <w:rPr>
          <w:rFonts w:hint="cs"/>
          <w:rtl/>
        </w:rPr>
        <w:t>3-</w:t>
      </w:r>
      <w:r>
        <w:rPr>
          <w:rFonts w:hint="cs"/>
          <w:rtl/>
        </w:rPr>
        <w:tab/>
        <w:t>وهذا التقرير هو التقرير الدوري الثاني الذي يغطي الفترة الممتدة من تاريخ تقديم التقرير الأولي إلى غاية كانون الثاني/يناير 2001. وقد أُعد هذا التقرير وفقاً للمبادئ التوجيهية العامة التي اعتمدتها لجنة الحقوق الاقتصادية والاجتماعية والثقافية.</w:t>
      </w:r>
    </w:p>
    <w:p w:rsidR="00000000" w:rsidRDefault="00000000">
      <w:pPr>
        <w:jc w:val="both"/>
        <w:rPr>
          <w:rFonts w:hint="cs"/>
          <w:rtl/>
        </w:rPr>
      </w:pPr>
      <w:r>
        <w:rPr>
          <w:rFonts w:hint="cs"/>
          <w:rtl/>
        </w:rPr>
        <w:t>4-</w:t>
      </w:r>
      <w:r>
        <w:rPr>
          <w:rFonts w:hint="cs"/>
          <w:rtl/>
        </w:rPr>
        <w:tab/>
        <w:t>وتولت دائرة حماية حقوق الإنسان إعداد هذا التقرير تحت إشراف نائب أمين مجلس الأمن القومي الجورجي. وهذا المجلس هو هيئة دستورية يرأسها الرئيس. وابتداءً من كانون الثاني/يناير 2001، كُلّفت الدائرة سالفة الذكر بمسؤولية إعداد كل تقارير جورجيا بشأن تنفيذ الصكوك الدولية لحقوق الإنسان وكل العروض المماثلة المقدمة إلى الهيئات التعاهدية ذات الصلة.</w:t>
      </w:r>
    </w:p>
    <w:p w:rsidR="00000000" w:rsidRDefault="00000000">
      <w:pPr>
        <w:jc w:val="both"/>
        <w:rPr>
          <w:rFonts w:hint="cs"/>
          <w:rtl/>
        </w:rPr>
      </w:pPr>
      <w:r>
        <w:rPr>
          <w:rFonts w:hint="cs"/>
          <w:rtl/>
        </w:rPr>
        <w:t>5-</w:t>
      </w:r>
      <w:r>
        <w:rPr>
          <w:rFonts w:hint="cs"/>
          <w:rtl/>
        </w:rPr>
        <w:tab/>
        <w:t>واشتركت في تقديم المعلومات الوقائعية المدرجة في التقرير كل من وزارة العمل، ووزارة الصحة والرعاية الاجتماعية، ووزارة التعليم، ووزارة تخطيط المدن والبناء، ووزارة الزراعة وإنتاج الأغذية، ووزارة الثقافة، ووزارة العدل، والأكاديمية الجورجية للعلوم.</w:t>
      </w:r>
    </w:p>
    <w:p w:rsidR="00000000" w:rsidRDefault="00000000">
      <w:pPr>
        <w:jc w:val="both"/>
        <w:rPr>
          <w:rFonts w:hint="cs"/>
          <w:rtl/>
        </w:rPr>
      </w:pPr>
      <w:r>
        <w:rPr>
          <w:rFonts w:hint="cs"/>
          <w:rtl/>
        </w:rPr>
        <w:t>6-</w:t>
      </w:r>
      <w:r>
        <w:rPr>
          <w:rFonts w:hint="cs"/>
          <w:rtl/>
        </w:rPr>
        <w:tab/>
        <w:t>وخلال الفترة التي تناولها التقرير، مضت جورجيا قدماً في عملية إصلاح الجهاز القضائي من أجل جعل المحاكم مستقلة وعادلة ونزيهة بالفعل وفقا لمبدأ سيادة القانون. واعتمد البرلمان قانون المحاكم العامة وقانون المحكمة العليا في سياق هذا الإصلاح على وجه التحديد ووُضع نظام لاختبار مؤهلات المرشحين للالتحاق بسلك القضاء. ويتناول أحد مواضيع الاختبار "الصكوك الدولية والمعاهدات والاتفاقيات الدولية التي أبرمتها جورجيا في مجال حقوق الإنسان" (الفقرة 3 من المادة 68 في قانون المحاكم العامة). وأدت اختبارات التأهيل المنبثقة عن عملية الإصلاح إلى استبدال ثلثي القضاة في المحاكم المحلية والبلدية والدورية، والمحاكم العليا في الجمهوريات المستقلة ذاتياً والمحكمة العليا في جورجيا.</w:t>
      </w:r>
    </w:p>
    <w:p w:rsidR="00000000" w:rsidRDefault="00000000">
      <w:pPr>
        <w:jc w:val="both"/>
        <w:rPr>
          <w:rFonts w:hint="cs"/>
          <w:rtl/>
        </w:rPr>
      </w:pPr>
      <w:r>
        <w:rPr>
          <w:rFonts w:hint="cs"/>
          <w:rtl/>
        </w:rPr>
        <w:t>7-</w:t>
      </w:r>
      <w:r>
        <w:rPr>
          <w:rFonts w:hint="cs"/>
          <w:rtl/>
        </w:rPr>
        <w:tab/>
        <w:t xml:space="preserve">وقد شكل اعتماد البرلمان للقانونين الجديدين بشأن الإجراءات الجنائية والمدنية، بما يؤكد على أن المحاكم هي أهم سبل التصدي لانتهاكات حقوق الإنسان وحرياته، إسهاماً مهما في الإصلاح القانوني لنظام المحاكم. وبالإضافة إلى ذلك، شهدت الفترة التي تناولها التقرير اعتماد صكوك تشريعية مهمة مثل قوانين الإجراءات المدنية والجنائية والإدارية العامة. </w:t>
      </w:r>
    </w:p>
    <w:p w:rsidR="00000000" w:rsidRDefault="00000000">
      <w:pPr>
        <w:jc w:val="both"/>
        <w:rPr>
          <w:rFonts w:hint="cs"/>
          <w:rtl/>
        </w:rPr>
      </w:pPr>
      <w:r>
        <w:rPr>
          <w:rFonts w:hint="cs"/>
          <w:rtl/>
        </w:rPr>
        <w:t>8-</w:t>
      </w:r>
      <w:r>
        <w:rPr>
          <w:rFonts w:hint="cs"/>
          <w:rtl/>
        </w:rPr>
        <w:tab/>
        <w:t>وتتّسم المحكمة الدستورية في جورجيا، وهي الهيئة التي تسهر على رصد الالتزام بالدستور، بالحزم والصرامة. وتعمل المحكمة الدستورية في إطار السلطات التي يخولها لها الدستور والتشريع التمكيني المقابل. وإلى هذا التاريخ، رُفعت قرابة 140 دعوى إلى المحكمة، تم الفصل في 15 منها لصالح مقدمي الدعاوى.</w:t>
      </w:r>
    </w:p>
    <w:p w:rsidR="00000000" w:rsidRDefault="00000000">
      <w:pPr>
        <w:jc w:val="both"/>
        <w:rPr>
          <w:rFonts w:hint="cs"/>
          <w:rtl/>
        </w:rPr>
      </w:pPr>
      <w:r>
        <w:rPr>
          <w:rFonts w:hint="cs"/>
          <w:rtl/>
        </w:rPr>
        <w:t>9-</w:t>
      </w:r>
      <w:r>
        <w:rPr>
          <w:rFonts w:hint="cs"/>
          <w:rtl/>
        </w:rPr>
        <w:tab/>
        <w:t xml:space="preserve">وخلال الفترة التي تناولها التقرير، أصبحت جورجيا (في حزيران/يونيه 1999) طرفاً في صك آخر من صكوك الأمم المتحدة في مجال حقوق الإنسان وهو اتفاقية القضاء على جميع أشكال التمييز العنصري. وقدمت جورجيا إلى لجنة القضاء على التمييز العنصري، في حينه، تقريرها الأولي بشأن الجهود المكرسة لتنفيذ الاتفاقية، ونظرت اللجنة في التقرير في آذار/مارس 2001. وناقش مجلس الأمن القومي الجورجي في أيار/مايو من هذه السنة الاهتمامات القائمة والتوصيات التي اعتمدتها لجنة القضاء على التمييز العنصري. </w:t>
      </w:r>
    </w:p>
    <w:p w:rsidR="00000000" w:rsidRDefault="00000000">
      <w:pPr>
        <w:jc w:val="both"/>
        <w:rPr>
          <w:rFonts w:hint="cs"/>
          <w:rtl/>
        </w:rPr>
      </w:pPr>
      <w:r>
        <w:rPr>
          <w:rFonts w:hint="cs"/>
          <w:rtl/>
        </w:rPr>
        <w:t>10-</w:t>
      </w:r>
      <w:r>
        <w:rPr>
          <w:rFonts w:hint="cs"/>
          <w:rtl/>
        </w:rPr>
        <w:tab/>
        <w:t xml:space="preserve">وفي نيسان/أبريل 1999، أصبحت جورجيا أول دولة قوقازية تنضم إلى مجلس أوروبا كعضو كامل. وليس هذا إلا دليلا على اعتراف الجماعة الأوروبية بالتقدم الذي أحرزته جورجيا في بناء دولة يحكمها سلطان القانون. وفي غضون ذلك، أخذت جورجيا على عاتقها مسؤوليات كبيرة لا سيما فيما يتعلق بالاعتراف بحقوق الإنسان واحترامها وممارستها. وانضمت جورجيا إلى الاتفاقية الأوروبية لحماية حقوق الإنسان والحريات الأساسية والبروتوكولات الملحقة بها بعد أن صدّق عليها البرلمان الجورجي باستثناء البروتوكول الأول. وفي إطار تلك الاتفاقية، اعترفت جورجيا بالاختصاص القضائي الذي تتمتع به المحكمة الأوروبية لحقوق الإنسان وتم، بالفعل اختيار ممثل لجورجيا لدى المحكمة وهو الرئيس السابق للمحكة العليا في جورجيا. </w:t>
      </w:r>
    </w:p>
    <w:p w:rsidR="00000000" w:rsidRDefault="00000000">
      <w:pPr>
        <w:jc w:val="both"/>
        <w:rPr>
          <w:rFonts w:hint="cs"/>
          <w:rtl/>
        </w:rPr>
      </w:pPr>
      <w:r>
        <w:rPr>
          <w:rFonts w:hint="cs"/>
          <w:rtl/>
        </w:rPr>
        <w:t>11-</w:t>
      </w:r>
      <w:r>
        <w:rPr>
          <w:rFonts w:hint="cs"/>
          <w:rtl/>
        </w:rPr>
        <w:tab/>
        <w:t>وفي تشرين الأول/أكتوبر 1999، وقّعت جورجيا على بروتوكول بشأن الانضمام لاتفاق مراكش المنشئ لمنظمة التجارة العالمية. وصدّق البرلمان على البروتوكول وأصبحت جورجيا عضواً كاملا في منظمة التجارة العالمية.</w:t>
      </w:r>
    </w:p>
    <w:p w:rsidR="00000000" w:rsidRDefault="00000000">
      <w:pPr>
        <w:jc w:val="both"/>
        <w:rPr>
          <w:rFonts w:hint="cs"/>
          <w:rtl/>
        </w:rPr>
      </w:pPr>
      <w:r>
        <w:rPr>
          <w:rFonts w:hint="cs"/>
          <w:rtl/>
        </w:rPr>
        <w:t>12-</w:t>
      </w:r>
      <w:r>
        <w:rPr>
          <w:rFonts w:hint="cs"/>
          <w:rtl/>
        </w:rPr>
        <w:tab/>
        <w:t xml:space="preserve">وفي تشرين الثاني/نوفمبر 1998، نُظمت الانتخابات الأولى من نوعها في جورجيا لاختيار هيئات محلية للحكم الذاتي. وفي العديد من الحالات، أنشأت الهيئات الممثِلة التي تشكلت إثر تلك الانتخابات على مستوى الدائرة لجاناً معنية بحقوق الإنسان تباشر عملها بالفعل. وتَحدد موعد تنظيم الانتخابات القادمة لهيئات الحكم الذاتي المحلي في خريف عام 2001. </w:t>
      </w:r>
    </w:p>
    <w:p w:rsidR="00000000" w:rsidRDefault="00000000">
      <w:pPr>
        <w:jc w:val="both"/>
        <w:rPr>
          <w:rFonts w:hint="cs"/>
          <w:rtl/>
        </w:rPr>
      </w:pPr>
      <w:r>
        <w:rPr>
          <w:rFonts w:hint="cs"/>
          <w:rtl/>
        </w:rPr>
        <w:t>13-</w:t>
      </w:r>
      <w:r>
        <w:rPr>
          <w:rFonts w:hint="cs"/>
          <w:rtl/>
        </w:rPr>
        <w:tab/>
        <w:t>وتنص المادة 6 من الدستور على أن المعاهدات والاتفاقات الدولية التي تكون جورجيا طرفاً فيها تعلو على التشريع الداخلي ما لم تكن متنافية مع الدستور. وبناء على قانون الصكوك التشريعية، تعتبر المعاهدات الدولية التي تكون جورجيا طرفاً فيها قوانين شارعة، أي أن أحكام المعاهدات الدولية التي أبرمتها جورجيا تطبق على قدم المساواة مع أحكام التشريع الداخلي. وفي النظام القانوني الجورجي، تأتي المعاهدات الدولية التي تبرمها جورجيا في المرتبة الثالثة بعد الدستور والاتفاق الدستوري. وفضلا عن ذلك، ينص القانون المتعلق بالمعاهدات الدولية على أن كل معاهدة دولية توقع (تصدّق) عليها جورجيا تصبح على الفور جزءاً لا يتجزأ من القانون الداخلي. وليس من الضروري اعتماد صكوك تشريعية داخلية تفصّل فيها المعاهدات الدولية التي تنشئ حقوقاً والتزامات محددة لأن تلك المعاهدات تدخل حيز التنفيذ فور التوقيع عليها. ولذلك، فإن من الجائز تماماً الاستناد إلى العهد والاستشهاد به أمام المحكمة مباشرة. ولم ترد أية حالة اقتضت الرجوع إلى ذلك العهد في المحاكم الجورجية خلال الفترة المشمولة بهذا التقرير.</w:t>
      </w:r>
    </w:p>
    <w:p w:rsidR="00000000" w:rsidRDefault="00000000">
      <w:pPr>
        <w:jc w:val="both"/>
        <w:rPr>
          <w:rFonts w:hint="cs"/>
          <w:rtl/>
        </w:rPr>
      </w:pPr>
      <w:r>
        <w:rPr>
          <w:rFonts w:hint="cs"/>
          <w:rtl/>
        </w:rPr>
        <w:t>14-</w:t>
      </w:r>
      <w:r>
        <w:rPr>
          <w:rFonts w:hint="cs"/>
          <w:rtl/>
        </w:rPr>
        <w:tab/>
        <w:t>وتشكل ضرورة التغلب على الفقر إحدى المشكلات الرئيسية التي تواجهها الدولة الجورجية في المستقبل القريب. وتبيّن أقسام التقرير المتصلة بالموضوع التدابير اللازم اتخاذها لتحقيق ذلك الهدف. وفي هذا الشأن، تجدر الإشارة إلى أن الحكومة الجورجية اعتمدت في كانون الثاني/يناير 2000 وثيقة بعنوان "مخطط للتنمية الاجتماعية" ترسي الأسس الضرورية لوضع برنامج جديد طويل الأجل يرمي إلى تحويل المجتمع الجورجي.</w:t>
      </w:r>
    </w:p>
    <w:p w:rsidR="00000000" w:rsidRDefault="00000000">
      <w:pPr>
        <w:jc w:val="both"/>
        <w:rPr>
          <w:rFonts w:hint="cs"/>
          <w:rtl/>
        </w:rPr>
      </w:pPr>
      <w:r>
        <w:rPr>
          <w:rFonts w:hint="cs"/>
          <w:rtl/>
        </w:rPr>
        <w:t>15-</w:t>
      </w:r>
      <w:r>
        <w:rPr>
          <w:rFonts w:hint="cs"/>
          <w:rtl/>
        </w:rPr>
        <w:tab/>
        <w:t>ويحدد البرنامج الأهداف الاستراتيجية التالية:</w:t>
      </w:r>
    </w:p>
    <w:p w:rsidR="00000000" w:rsidRDefault="00000000">
      <w:pPr>
        <w:jc w:val="both"/>
        <w:rPr>
          <w:rFonts w:hint="cs"/>
          <w:rtl/>
        </w:rPr>
      </w:pPr>
      <w:r>
        <w:rPr>
          <w:rFonts w:hint="cs"/>
          <w:rtl/>
        </w:rPr>
        <w:tab/>
        <w:t>•</w:t>
      </w:r>
      <w:r>
        <w:rPr>
          <w:rFonts w:hint="cs"/>
          <w:rtl/>
        </w:rPr>
        <w:tab/>
        <w:t>تحسين الظروف المعيشية والحالة المادية للسكان إلى حد بعيد؛</w:t>
      </w:r>
    </w:p>
    <w:p w:rsidR="00000000" w:rsidRDefault="00000000">
      <w:pPr>
        <w:ind w:left="1440" w:hanging="720"/>
        <w:jc w:val="both"/>
        <w:rPr>
          <w:rFonts w:hint="cs"/>
          <w:rtl/>
        </w:rPr>
      </w:pPr>
      <w:r>
        <w:rPr>
          <w:rFonts w:hint="cs"/>
          <w:rtl/>
        </w:rPr>
        <w:t>•</w:t>
      </w:r>
      <w:r>
        <w:rPr>
          <w:rFonts w:hint="cs"/>
          <w:rtl/>
        </w:rPr>
        <w:tab/>
        <w:t>اتخاذ تدابير فعالة على صعيد التوظيف واستحداث فرص العمل وتحسين نوعية القوة العاملة وقدرتها على المنافسة؛</w:t>
      </w:r>
    </w:p>
    <w:p w:rsidR="00000000" w:rsidRDefault="00000000">
      <w:pPr>
        <w:ind w:left="1440" w:hanging="720"/>
        <w:jc w:val="both"/>
        <w:rPr>
          <w:rFonts w:hint="cs"/>
          <w:rtl/>
        </w:rPr>
      </w:pPr>
      <w:r>
        <w:rPr>
          <w:rFonts w:hint="cs"/>
          <w:rtl/>
        </w:rPr>
        <w:t>•</w:t>
      </w:r>
      <w:r>
        <w:rPr>
          <w:rFonts w:hint="cs"/>
          <w:rtl/>
        </w:rPr>
        <w:tab/>
        <w:t>اتخاذ التدابير اللازمة لتعزيز الضمانات الدستورية في مجالات العمالة، والضمان الاجتماعي، والتعليم، والرعاية الصحية، والثقافة؛</w:t>
      </w:r>
    </w:p>
    <w:p w:rsidR="00000000" w:rsidRDefault="00000000">
      <w:pPr>
        <w:ind w:left="1440" w:hanging="720"/>
        <w:jc w:val="both"/>
        <w:rPr>
          <w:rFonts w:hint="cs"/>
          <w:rtl/>
        </w:rPr>
      </w:pPr>
      <w:r>
        <w:rPr>
          <w:rFonts w:hint="cs"/>
          <w:rtl/>
        </w:rPr>
        <w:t>•</w:t>
      </w:r>
      <w:r>
        <w:rPr>
          <w:rFonts w:hint="cs"/>
          <w:rtl/>
        </w:rPr>
        <w:tab/>
        <w:t>تحويل اهتمام السياسات الاجتماعية نحو الأسرة والتدابير الرامية إلى إعمال الحقوق والضمانات الاجتماعية للأسرة والمرأة والطفل والشباب؛</w:t>
      </w:r>
    </w:p>
    <w:p w:rsidR="00000000" w:rsidRDefault="00000000">
      <w:pPr>
        <w:jc w:val="both"/>
        <w:rPr>
          <w:rFonts w:hint="cs"/>
          <w:rtl/>
        </w:rPr>
      </w:pPr>
      <w:r>
        <w:rPr>
          <w:rFonts w:hint="cs"/>
          <w:rtl/>
        </w:rPr>
        <w:tab/>
        <w:t>•</w:t>
      </w:r>
      <w:r>
        <w:rPr>
          <w:rFonts w:hint="cs"/>
          <w:rtl/>
        </w:rPr>
        <w:tab/>
        <w:t>تحسين الوضع الديموغرافي وتطوير الهياكل الأساسية الاجتماعية.</w:t>
      </w:r>
    </w:p>
    <w:p w:rsidR="00000000" w:rsidRDefault="00000000">
      <w:pPr>
        <w:jc w:val="both"/>
        <w:rPr>
          <w:rFonts w:hint="cs"/>
          <w:b/>
          <w:bCs/>
          <w:rtl/>
        </w:rPr>
      </w:pPr>
      <w:r>
        <w:rPr>
          <w:b/>
          <w:bCs/>
          <w:rtl/>
        </w:rPr>
        <w:br w:type="page"/>
      </w:r>
      <w:r>
        <w:rPr>
          <w:rFonts w:hint="cs"/>
          <w:b/>
          <w:bCs/>
          <w:rtl/>
        </w:rPr>
        <w:t>المادة 1</w:t>
      </w:r>
    </w:p>
    <w:p w:rsidR="00000000" w:rsidRDefault="00000000">
      <w:pPr>
        <w:jc w:val="both"/>
        <w:rPr>
          <w:rFonts w:hint="cs"/>
          <w:rtl/>
        </w:rPr>
      </w:pPr>
      <w:r>
        <w:rPr>
          <w:rFonts w:hint="cs"/>
          <w:rtl/>
        </w:rPr>
        <w:t>16-</w:t>
      </w:r>
      <w:r>
        <w:rPr>
          <w:rFonts w:hint="cs"/>
          <w:rtl/>
        </w:rPr>
        <w:tab/>
        <w:t>يمكن الاطلاع على المعلومات المتعلقة بممارسة حق جميع الشعوب في تقرير مصيرها في الفقرات من 22 إلى 41 من التقرير الدوري الثاني المقدم من جورجيا بموجب العهد الدولي الخاص بالحقوق المدنية والسياسية.</w:t>
      </w:r>
    </w:p>
    <w:p w:rsidR="00000000" w:rsidRDefault="00000000">
      <w:pPr>
        <w:jc w:val="both"/>
        <w:rPr>
          <w:rFonts w:hint="cs"/>
          <w:b/>
          <w:bCs/>
          <w:rtl/>
        </w:rPr>
      </w:pPr>
      <w:r>
        <w:rPr>
          <w:rFonts w:hint="cs"/>
          <w:b/>
          <w:bCs/>
          <w:rtl/>
        </w:rPr>
        <w:t>المادة 2</w:t>
      </w:r>
    </w:p>
    <w:p w:rsidR="00000000" w:rsidRDefault="00000000">
      <w:pPr>
        <w:jc w:val="both"/>
        <w:rPr>
          <w:rFonts w:hint="cs"/>
          <w:rtl/>
        </w:rPr>
      </w:pPr>
      <w:r>
        <w:rPr>
          <w:rFonts w:hint="cs"/>
          <w:rtl/>
        </w:rPr>
        <w:t>17-</w:t>
      </w:r>
      <w:r>
        <w:rPr>
          <w:rFonts w:hint="cs"/>
          <w:rtl/>
        </w:rPr>
        <w:tab/>
        <w:t>فيما يتعلق بالفقرتين 2 و3 من المادة 2 من العهد (بشأن ضمان مبدأ عدم التمييز وحقوق غير المواطنين)، يُسترعى الانتباه إلى الفقرات 42 و43 و45 و46 من التقرير الدوري الثاني المقدم من جورجيا بموجب العهد الدولي الخاص بالحقوق المدنية والسياسية، وإلى الفقرات من 9 إلى 18 من التقرير الأولي المقدم بموجب الاتفاقية الدولية للقضاء على جميع أشكال التمييز العنصري.</w:t>
      </w:r>
    </w:p>
    <w:p w:rsidR="00000000" w:rsidRDefault="00000000">
      <w:pPr>
        <w:jc w:val="both"/>
        <w:rPr>
          <w:rFonts w:hint="cs"/>
          <w:b/>
          <w:bCs/>
          <w:rtl/>
        </w:rPr>
      </w:pPr>
      <w:r>
        <w:rPr>
          <w:rFonts w:hint="cs"/>
          <w:b/>
          <w:bCs/>
          <w:rtl/>
        </w:rPr>
        <w:t>المادة 3</w:t>
      </w:r>
    </w:p>
    <w:p w:rsidR="00000000" w:rsidRDefault="00000000">
      <w:pPr>
        <w:jc w:val="both"/>
        <w:rPr>
          <w:rFonts w:hint="cs"/>
          <w:rtl/>
        </w:rPr>
      </w:pPr>
      <w:r>
        <w:rPr>
          <w:rFonts w:hint="cs"/>
          <w:rtl/>
        </w:rPr>
        <w:t>18-</w:t>
      </w:r>
      <w:r>
        <w:rPr>
          <w:rFonts w:hint="cs"/>
          <w:rtl/>
        </w:rPr>
        <w:tab/>
        <w:t>ترد مناقشة مفصلة لمسألة ضمان المساواة بين الرجال والنساء في ممارستهم لحقوقهم المنصوص عليها في العهد وغيرها من حقوق الإنسان وحرياته وذلك في التقرير الدوري الثاني المقدم من جورجيا بموجب العهد الدولي الخاص بالحقوق المدنية والسياسية (الفقرات من 53 إلى 59). كما يمكن الاطلاع على المعلومات المتعلقة بهذه المسألة في التقرير الدوري الذي قدمته جورجيا، بموجب اتفاقية القضاء على جميع أشكال التمييز ضد المرأة، إلى الهيئة التعاهدية المختصة في الأمم المتحدة في أيلول/سبتمبر 2000.</w:t>
      </w:r>
    </w:p>
    <w:p w:rsidR="00000000" w:rsidRDefault="00000000">
      <w:pPr>
        <w:jc w:val="both"/>
        <w:rPr>
          <w:rFonts w:hint="cs"/>
          <w:b/>
          <w:bCs/>
          <w:rtl/>
        </w:rPr>
      </w:pPr>
      <w:r>
        <w:rPr>
          <w:rFonts w:hint="cs"/>
          <w:b/>
          <w:bCs/>
          <w:rtl/>
        </w:rPr>
        <w:t>المادة 6</w:t>
      </w:r>
    </w:p>
    <w:p w:rsidR="00000000" w:rsidRDefault="00000000">
      <w:pPr>
        <w:jc w:val="both"/>
        <w:rPr>
          <w:rFonts w:hint="cs"/>
          <w:rtl/>
        </w:rPr>
      </w:pPr>
      <w:r>
        <w:rPr>
          <w:rFonts w:hint="cs"/>
          <w:rtl/>
        </w:rPr>
        <w:t>19-</w:t>
      </w:r>
      <w:r>
        <w:rPr>
          <w:rFonts w:hint="cs"/>
          <w:rtl/>
        </w:rPr>
        <w:tab/>
        <w:t xml:space="preserve">يتضمن التقرير الأولي المقدم من جورجيا بموجب العهد (الفقرات 35 و36 و38) دراسة مفصلة عن المسائل المتصلة بالضمانات التي ينص عليها القانون فيما يتعلق بالحق في العمل. ولم يخضع تشريع العمل في جورجيا لأية تعديلات خلال الفترة قيد الاستعراض. </w:t>
      </w:r>
    </w:p>
    <w:p w:rsidR="00000000" w:rsidRDefault="00000000">
      <w:pPr>
        <w:jc w:val="both"/>
        <w:rPr>
          <w:rFonts w:hint="cs"/>
          <w:rtl/>
        </w:rPr>
      </w:pPr>
      <w:r>
        <w:rPr>
          <w:rFonts w:hint="cs"/>
          <w:rtl/>
        </w:rPr>
        <w:t>20-</w:t>
      </w:r>
      <w:r>
        <w:rPr>
          <w:rFonts w:hint="cs"/>
          <w:rtl/>
        </w:rPr>
        <w:tab/>
        <w:t>وجورجيا طرف في إحدى عشرة اتفاقية من اتفاقيات منظمة العمل الدولية كما هو مبيّن بالتفصيل في التعليقات الواردة أدناه في إطار المادة 7 من العهد. وتكفي الإشارة في هذا المقام إلى أن التقارير الخاصة بالتزام جورجيا بمقتضيات الاتفاقية رقم 122 فيما يتعلق بسياسات العمالة والاتفاقية رقم 111 فيما يتعلق بالتمييز في العمالة والمهن، قد أعدتها إدارة العمالة وعلاقات العمل في وزارة العمل والصحة والرعاية الاجتماعية لتقديمها إلى مكتب العمل الدولي.</w:t>
      </w:r>
    </w:p>
    <w:p w:rsidR="00000000" w:rsidRDefault="00000000">
      <w:pPr>
        <w:jc w:val="both"/>
        <w:rPr>
          <w:rFonts w:hint="cs"/>
          <w:rtl/>
        </w:rPr>
      </w:pPr>
      <w:r>
        <w:rPr>
          <w:rFonts w:hint="cs"/>
          <w:rtl/>
        </w:rPr>
        <w:t>21-</w:t>
      </w:r>
      <w:r>
        <w:rPr>
          <w:rFonts w:hint="cs"/>
          <w:rtl/>
        </w:rPr>
        <w:tab/>
        <w:t>وفي عام 2000، أعدت جورجيا تقريرها الأولي وفقاً لأحكام الاتفاقية الدولية للقضاء على جميع أشكال التمييز العنصري التي انضمت إليها في حزيران/يونيه 1999، وتقريرها الدوري الثاني بشأن تنفيذ أحكام اتفاقية القضاء على جميع أشكال التمييز ضد المرأة، وقدمتهما إلى الهيئتين التعاهديتين المختصتين في الأمم المتحدة. وبالإشارة إلى هذه المادة من العهد، تجدر ملاحظة أن مناقشة مسألة تعزيز الحق في العمل دون أي تمييز ترد في التقرير المقدم بموجب الاتفاقية الدولية للقضاء على جميع أشكال التمييز العنصري (الفقرات من 190 إلى 197) والتقرير المقدم بموجب اتفاقية القضاء على جميع أشكال التمييز ضد المرأة (الفقرات من 82 إلى 93). وفي التعليقات المقدمة بشأن مواد العهد التي تتناول جوانب الحق في العمل على نحو أكثر تحديداً، ترد إشارات إضافية إلى الفقرات ذات الصلة من التقرير المقدم بموجب الاتفاقية الدولية للقضاء على جميع أشكال التمييز العنصري.</w:t>
      </w:r>
    </w:p>
    <w:p w:rsidR="00000000" w:rsidRDefault="00000000">
      <w:pPr>
        <w:jc w:val="both"/>
        <w:rPr>
          <w:rFonts w:hint="cs"/>
          <w:i/>
          <w:iCs/>
          <w:rtl/>
        </w:rPr>
      </w:pPr>
      <w:r>
        <w:rPr>
          <w:rFonts w:hint="cs"/>
          <w:i/>
          <w:iCs/>
          <w:rtl/>
        </w:rPr>
        <w:t>الوضع المتعلق بالعمالة (استعراض عام)</w:t>
      </w:r>
    </w:p>
    <w:p w:rsidR="00000000" w:rsidRDefault="00000000">
      <w:pPr>
        <w:jc w:val="both"/>
        <w:rPr>
          <w:rFonts w:hint="cs"/>
          <w:rtl/>
        </w:rPr>
      </w:pPr>
      <w:r>
        <w:rPr>
          <w:rFonts w:hint="cs"/>
          <w:rtl/>
        </w:rPr>
        <w:t>22-</w:t>
      </w:r>
      <w:r>
        <w:rPr>
          <w:rFonts w:hint="cs"/>
          <w:rtl/>
        </w:rPr>
        <w:tab/>
        <w:t>ترد فيما يلي المعلومات المقدمة من وزارة العمل والصحة والضمان الاجتماعي.</w:t>
      </w:r>
    </w:p>
    <w:p w:rsidR="00000000" w:rsidRDefault="00000000">
      <w:pPr>
        <w:jc w:val="both"/>
        <w:rPr>
          <w:rFonts w:hint="cs"/>
          <w:rtl/>
        </w:rPr>
      </w:pPr>
      <w:r>
        <w:rPr>
          <w:rFonts w:hint="cs"/>
          <w:rtl/>
        </w:rPr>
        <w:t>23-</w:t>
      </w:r>
      <w:r>
        <w:rPr>
          <w:rFonts w:hint="cs"/>
          <w:rtl/>
        </w:rPr>
        <w:tab/>
        <w:t>خلال السنوات الأخيرة، أصبحت مشكلة البطالة في جورجيا حادة بشكل خاص. إذ أدت العمليات المنجزة على الصعيد الاجتماعي والاقتصادي والسياسي على مدى السنوات العشر الأخيرة إلى تراجع كبير في المؤشرات الاقتصادية الأساسية للبلد. فقد انخفض الناتج المحلي الإجمالي في عام 1999 إلى ما نسبته 37.1 في المائة من مستواه في عام 1990. وأدى هذا التراجع إلى تقويض آفاق العمالة بشكل خطير. كما انخفض عدد العاملين بنسبة 37.2 في المائة على امتداد فترة السنتين 1990-1991. وانتشرت ظاهرة شبه البطالة والبطالة الجزئية على نطاق واسع. وقد اضطر عدد متزايد من الباحثين عن العمل لمغادرة البلد نظراً لآفاق العمالة المحدودة. وحسب تقديرات الخبراء، غادر ما بين 000 500 شخص ومليون شخص جورجيا للبحث عن عمل. وأدى الانخفاض الهائل في معدل الولادة في التسعينات، علاوة على الاتجاهات السلبية للهجرة، إلى تقلص كبير في قوة العمل في جورجيا، على أن الانخفاض الموازي في الطلب على العمل فاق بكثير معدل الانخفاض في جانب العرض، وهو ما يتجلى في مستويات البطالة المرتفعة.</w:t>
      </w:r>
    </w:p>
    <w:p w:rsidR="00000000" w:rsidRDefault="00000000">
      <w:pPr>
        <w:jc w:val="both"/>
        <w:rPr>
          <w:rFonts w:hint="cs"/>
          <w:rtl/>
        </w:rPr>
      </w:pPr>
      <w:r>
        <w:rPr>
          <w:rFonts w:hint="cs"/>
          <w:rtl/>
        </w:rPr>
        <w:t>24-</w:t>
      </w:r>
      <w:r>
        <w:rPr>
          <w:rFonts w:hint="cs"/>
          <w:rtl/>
        </w:rPr>
        <w:tab/>
        <w:t>وفي عام 1999، كان هناك 300 056 2 شخص نشط اقتصادياً وهذا الرقم يمثل ما نستبه 39.5 في المائة من مجموع السكان (مقارنة بنسبة قدرها 50.6 في المائة في عام 1990). وكان 67.5 في المائة من السكان الذين يبلغ عمرهم 15 سنة أو أكثر نشطين اقتصادياً. وبلغ عدد العاملين منهم 600 732 1 شخص (84.2 في المائة) بينما وصل عدد العاطلين عن العمل إلى 800 323 (13.8 في المائة). و قُدر مستوى البطالة في البلد بنسبة 13.8 في المائة وفقاً للمعايير التي وضعها مكتب العمل الدولي وبلغت هذه النسبة 15.7 في المائة وفقاً لما يسمى بالمعايير "الليّنة". وبالمقارنة مع متوسط البطالة على مستوى البلد ككل، سُجّل أعلى مستويات البطالة في العاصمة تبيليسي إذ بلغ 29.3 في المائة.</w:t>
      </w:r>
    </w:p>
    <w:p w:rsidR="00000000" w:rsidRDefault="00000000">
      <w:pPr>
        <w:jc w:val="both"/>
        <w:rPr>
          <w:rFonts w:hint="cs"/>
          <w:rtl/>
        </w:rPr>
      </w:pPr>
      <w:r>
        <w:rPr>
          <w:rFonts w:hint="cs"/>
          <w:rtl/>
        </w:rPr>
        <w:t>25-</w:t>
      </w:r>
      <w:r>
        <w:rPr>
          <w:rFonts w:hint="cs"/>
          <w:rtl/>
        </w:rPr>
        <w:tab/>
        <w:t>وتصل نسبة الأُجراء والموظفين ذوي المرتبات، من بين العاملين، إلى 42.2 في المائة من المجموع، بينما تبلغ نسبة أصحاب المهن الحرة 57.8 في المائة. ويرجع سبب الارتفاع في نسبة أصحاب المهن الحرة إلى أن أفراد الأسر التي تملك قطع أراض تبلغ مساحتها هكتارا واحدا أو أكثر والقادرين على العمل يعتبرون من العاملين الذين يزاولون عملاً مربحا بصرف النظر عما إذا كانت الأسرة تستغل الأرض أو تستمد أي دخل منها. وهذا ما يفسر أيضا كون مستويات البطالة في المدن (24.8 في المائة) تفوق كثيراً مستوياتها في الأرياف، مع أن فرص العمل المربح المتاحة في المدن هي، في الواقع، أكثر بكثير منها في الأرياف.</w:t>
      </w:r>
    </w:p>
    <w:p w:rsidR="00000000" w:rsidRDefault="00000000">
      <w:pPr>
        <w:jc w:val="both"/>
        <w:rPr>
          <w:rFonts w:hint="cs"/>
          <w:rtl/>
        </w:rPr>
      </w:pPr>
      <w:r>
        <w:rPr>
          <w:rFonts w:hint="cs"/>
          <w:rtl/>
        </w:rPr>
        <w:t>26-</w:t>
      </w:r>
      <w:r>
        <w:rPr>
          <w:rFonts w:hint="cs"/>
          <w:rtl/>
        </w:rPr>
        <w:tab/>
        <w:t>وينبغي التذكير أيضا بأن 63 في المائة من الأُجراء والموظفين ذوي المرتبات يعملون في القطاع الحكومي وهذا ما يدل على تدني مستويات مساهمة القطاع الخاص في سوق العمل.</w:t>
      </w:r>
    </w:p>
    <w:p w:rsidR="00000000" w:rsidRDefault="00000000">
      <w:pPr>
        <w:jc w:val="both"/>
        <w:rPr>
          <w:rFonts w:hint="cs"/>
          <w:rtl/>
        </w:rPr>
      </w:pPr>
      <w:r>
        <w:rPr>
          <w:rFonts w:hint="cs"/>
          <w:rtl/>
        </w:rPr>
        <w:t>27-</w:t>
      </w:r>
      <w:r>
        <w:rPr>
          <w:rFonts w:hint="cs"/>
          <w:rtl/>
        </w:rPr>
        <w:tab/>
        <w:t>وتشير الإحصائيات الرسمية إلى أن مستوى البطالة بين الرجال يصل إلى 15.3 في المائة بينما يبلغ 12.1 في المائة بين النساء. ويبدو أن تلك الإحصائيات توحي بأن مؤشرات العمالة المتعلقة بالنساء أعلى من المؤشرات المتعلقة بالرجال مع أن الواقع يدل على خلاف ذلك. إذ إن نسبة كبيرة جدا من النساء يُحسبن خارج قوة العمل؛ وعليه، فإن عدد النساء غير النشطات اقتصادياً في البلد هو ضعف عدد الرجال. وفي الوقت نفسه، هناك نسبة كبيرة جدا من النساء اللاتي يعملن في المزارع العائلية (40.2 في المائة) دون أن يتقاضين، في الواقع، أجراً مقابل ذلك وتبلغ هذه النسبة عند الرجال 21.4 في المائة فقط.</w:t>
      </w:r>
    </w:p>
    <w:p w:rsidR="00000000" w:rsidRDefault="00000000">
      <w:pPr>
        <w:jc w:val="both"/>
        <w:rPr>
          <w:rFonts w:hint="cs"/>
          <w:rtl/>
        </w:rPr>
      </w:pPr>
      <w:r>
        <w:rPr>
          <w:rFonts w:hint="cs"/>
          <w:rtl/>
        </w:rPr>
        <w:t>28-</w:t>
      </w:r>
      <w:r>
        <w:rPr>
          <w:rFonts w:hint="cs"/>
          <w:rtl/>
        </w:rPr>
        <w:tab/>
        <w:t>ويمكن الاطلاع على مزيد من الإحصائيات بشأن العمالة في التقرير الأولي المقدم من جورجيا بموجب الاتفاقية الدولية للقضاء على جميع أشكال التمييز العنصري (الفقرات من 208 إلى 210).</w:t>
      </w:r>
    </w:p>
    <w:p w:rsidR="00000000" w:rsidRDefault="00000000">
      <w:pPr>
        <w:jc w:val="both"/>
        <w:rPr>
          <w:rFonts w:hint="cs"/>
          <w:rtl/>
        </w:rPr>
      </w:pPr>
      <w:r>
        <w:rPr>
          <w:rFonts w:hint="cs"/>
          <w:rtl/>
        </w:rPr>
        <w:t>29-</w:t>
      </w:r>
      <w:r>
        <w:rPr>
          <w:rFonts w:hint="cs"/>
          <w:rtl/>
        </w:rPr>
        <w:tab/>
        <w:t>وعند التحليل على أساس العمر، يتضح أن مستويات البطالة مرتفعة بصفة خاصة في صفوف الشباب الذين تتراوح أعمارهم بين 20 و25 عاماً (28.8 في المائة) وبين 25 و29 عاماً (22.5 في المائة). وتنخفض مستويات البطالة في الفئات الأكبر سناً، وهي ظاهرة يمكن عزوها إلى عاملين اثنين. ففي المقام الأول، يتبيّن أن مستوى النشاط منخفض بشكل طفيف عند الشباب مقارنة بفئات الأشخاص الأكبر سناً، ويرجع ذلك إلى أن معظم الشباب يتابعون شكلاً أو آخر من أشكال التعليم بما يتسبب في انقطاعهم عن العمل. وفي المقام الثاني، يتضح أن فرص عمل الشباب محدودة في سوق العمل بسبب تشديدهم المفرط على تفاصيل ظروف العمل وافتقادهم لخبرة الإنتاج والعمل الضرورية، إضافة إلى أسباب أخرى.</w:t>
      </w:r>
    </w:p>
    <w:p w:rsidR="00000000" w:rsidRDefault="00000000">
      <w:pPr>
        <w:jc w:val="both"/>
        <w:rPr>
          <w:rFonts w:hint="cs"/>
          <w:rtl/>
        </w:rPr>
      </w:pPr>
      <w:r>
        <w:rPr>
          <w:rFonts w:hint="cs"/>
          <w:rtl/>
        </w:rPr>
        <w:t>30-</w:t>
      </w:r>
      <w:r>
        <w:rPr>
          <w:rFonts w:hint="cs"/>
          <w:rtl/>
        </w:rPr>
        <w:tab/>
        <w:t>وتشير البيانات المقدمة من صندوق الدولة الموحد للعمالة إلى أن عدد العاطلين عن العمل المسجلين رسمياً بلغ 800 113 شخص في أيلول/سبتمبر 2000. وخلال الفترة الممتدة من كانون الثاني/يناير إلى أيلول/سبتمبر 2000، سجّل لدى المكاتب المحلية للصندوق عدد إضافي من العاطلين عن العمل بلغ 200 20 شخص وتم شطب قرابة 200 9 من القائمة. وبصورة إجمالية، استفاد 550 شخصاً من العاطلين عن العمل من فرصة إعادة التدريب المهني. ومن بين 100 8 شخص من الباحثين عن عمل والذين استطاعوا أن يجدوا عملاً خلال هذه الفترة، تم تعيين 100 1 شخص في وظائف الخدمات المجتمعية بصفة مؤقتة. وجاء تعيين أغلبية الأشخاص الذين حصلوا على وظائف ضمن قطاع الخدمات بصورة عامة.</w:t>
      </w:r>
    </w:p>
    <w:p w:rsidR="00000000" w:rsidRDefault="00000000">
      <w:pPr>
        <w:jc w:val="both"/>
        <w:rPr>
          <w:rFonts w:hint="cs"/>
          <w:rtl/>
        </w:rPr>
      </w:pPr>
      <w:r>
        <w:rPr>
          <w:rFonts w:hint="cs"/>
          <w:rtl/>
        </w:rPr>
        <w:t>31-</w:t>
      </w:r>
      <w:r>
        <w:rPr>
          <w:rFonts w:hint="cs"/>
          <w:rtl/>
        </w:rPr>
        <w:tab/>
        <w:t>وحتى أيلول/سبتمبر 2000، بلغ عدد العاطلين عن العمل الذين يحصلون على إعانات بطالة نحو 300 3 شخص. وعلى مدى تلك الفترة، كان المبلغ الإجمالي المدفوع مقابل هذه الاستحقاقات 000 212 لاري. ويمكن الاطلاع على معلومات عن هذا الموضوع في التقرير الأولي المقدم من جورجيا بموجب الاتفاقية الدولية للقضاء على جميع أشكال التمييز العنصري (الفقرات من 211 إلى 213).</w:t>
      </w:r>
    </w:p>
    <w:p w:rsidR="00000000" w:rsidRDefault="00000000">
      <w:pPr>
        <w:jc w:val="both"/>
        <w:rPr>
          <w:rFonts w:hint="cs"/>
          <w:rtl/>
        </w:rPr>
      </w:pPr>
      <w:r>
        <w:rPr>
          <w:rFonts w:hint="cs"/>
          <w:rtl/>
        </w:rPr>
        <w:t>32-</w:t>
      </w:r>
      <w:r>
        <w:rPr>
          <w:rFonts w:hint="cs"/>
          <w:rtl/>
        </w:rPr>
        <w:tab/>
        <w:t>وعلى مدى الفترة الممتدة من 1997 إلى 2000، نفذت جورجيا برنامجاً حكوميا في مجال الرعاية الاجتماعية وإعادة تأهيل المعوقين. وشمل البرنامج تعداداً للمعوقين أجري باستخدام الحاسوب وقد بلغ عددهم نحو 000 200 معوق كان من بينهم 000 30 طفل. وخلال الفترة التي تناولها التقرير، تلقى 277 معوقاً التدريب المهني في المركز الوطني لتدريب المعوقين وتمكّن 100 منهم من الحصول على عمل.</w:t>
      </w:r>
    </w:p>
    <w:p w:rsidR="00000000" w:rsidRDefault="00000000">
      <w:pPr>
        <w:jc w:val="both"/>
        <w:rPr>
          <w:rFonts w:hint="cs"/>
          <w:rtl/>
        </w:rPr>
      </w:pPr>
      <w:r>
        <w:rPr>
          <w:rFonts w:hint="cs"/>
          <w:rtl/>
        </w:rPr>
        <w:t>33-</w:t>
      </w:r>
      <w:r>
        <w:rPr>
          <w:rFonts w:hint="cs"/>
          <w:rtl/>
        </w:rPr>
        <w:tab/>
        <w:t xml:space="preserve">وخُصص مبلغ مالي قدره 1 مليون لاري لعام 2001 (1 دولار من دولارات الولايات المتحدة = 2.08 لاري) بهدف إتاحة فرص عمل دائمة ومؤقتة وتطوير التدريب المهني وإعادة التدريب لصالح المعوقين كجزء من برامج لتوفير فرص العمل للمعوقين. </w:t>
      </w:r>
    </w:p>
    <w:p w:rsidR="00000000" w:rsidRDefault="00000000">
      <w:pPr>
        <w:jc w:val="both"/>
        <w:rPr>
          <w:rFonts w:hint="cs"/>
          <w:i/>
          <w:iCs/>
          <w:rtl/>
        </w:rPr>
      </w:pPr>
      <w:r>
        <w:rPr>
          <w:rFonts w:hint="cs"/>
          <w:i/>
          <w:iCs/>
          <w:rtl/>
        </w:rPr>
        <w:t>السياسات والتدابير المتخذة لتعزيز العمالة إلى أقصى درجة</w:t>
      </w:r>
    </w:p>
    <w:p w:rsidR="00000000" w:rsidRDefault="00000000">
      <w:pPr>
        <w:jc w:val="both"/>
        <w:rPr>
          <w:rFonts w:hint="cs"/>
          <w:rtl/>
        </w:rPr>
      </w:pPr>
      <w:r>
        <w:rPr>
          <w:rFonts w:hint="cs"/>
          <w:rtl/>
        </w:rPr>
        <w:t>34-</w:t>
      </w:r>
      <w:r>
        <w:rPr>
          <w:rFonts w:hint="cs"/>
          <w:rtl/>
        </w:rPr>
        <w:tab/>
        <w:t>حتى كانون الأول/ديسمبر 1999، كانت الوزارة المسؤولة عن وضع وإدارة سياسات الدولة في مجال العمالة في جورجيا هي وزارة العمل والرعاية الاجتماعية. وعقب اندماج هذه الوزارة مع وزارة الصحة، أصبحت الوزارة الجديدة تسمى وزارة العمل والصحة والرعاية الاجتماعية. ومن بين المهام التي تضطلع بها هذه الوزارة وضع سياسات الدولة في مجال العمالة ورصد تنفيذها. وصندوق الدولة الموحد للعمالة هو هيئة لها مركز قانوني مستقل ويتمثل مصدر تمويله الأساسي في الضريبة التي تقتطع من جميع مرتبات وأجور العاملين بنسبة 1 في المائة.</w:t>
      </w:r>
    </w:p>
    <w:p w:rsidR="00000000" w:rsidRDefault="00000000">
      <w:pPr>
        <w:jc w:val="both"/>
        <w:rPr>
          <w:rFonts w:hint="cs"/>
          <w:rtl/>
        </w:rPr>
      </w:pPr>
      <w:r>
        <w:rPr>
          <w:rFonts w:hint="cs"/>
          <w:rtl/>
        </w:rPr>
        <w:t>35-</w:t>
      </w:r>
      <w:r>
        <w:rPr>
          <w:rFonts w:hint="cs"/>
          <w:rtl/>
        </w:rPr>
        <w:tab/>
        <w:t>ولئن كان التشريع الحالي ينص على أن مهام الصندوق تقتصر على تمويل التدابير التي تتخذها الدولة في إطار سياساتها بشأن العمالة، فإن الصندوق هو الذي يتولى في الواقع تنفيذ تلك التدابير أيضا. وعلى مدى الستة أشهر الماضية، وضعت وزارة العمل والصحة والرعاية الاجتماعية مجموعة من الصكوك التشريعية لضمان توافر عمالة كاملة ومنتجة. وتتضمن تلك الصكوك ما يلي:</w:t>
      </w:r>
    </w:p>
    <w:p w:rsidR="00000000" w:rsidRDefault="00000000">
      <w:pPr>
        <w:spacing w:before="0" w:after="0"/>
        <w:jc w:val="both"/>
        <w:rPr>
          <w:rFonts w:hint="cs"/>
          <w:rtl/>
        </w:rPr>
      </w:pPr>
      <w:r>
        <w:rPr>
          <w:rFonts w:hint="cs"/>
          <w:rtl/>
        </w:rPr>
        <w:tab/>
        <w:t>•</w:t>
      </w:r>
      <w:r>
        <w:rPr>
          <w:rFonts w:hint="cs"/>
          <w:rtl/>
        </w:rPr>
        <w:tab/>
        <w:t>مخطط عام لسياسة الدولة في مجال العمالة؛</w:t>
      </w:r>
    </w:p>
    <w:p w:rsidR="00000000" w:rsidRDefault="00000000">
      <w:pPr>
        <w:spacing w:before="0" w:after="0"/>
        <w:jc w:val="both"/>
        <w:rPr>
          <w:rFonts w:hint="cs"/>
          <w:rtl/>
        </w:rPr>
      </w:pPr>
      <w:r>
        <w:rPr>
          <w:rFonts w:hint="cs"/>
          <w:rtl/>
        </w:rPr>
        <w:tab/>
        <w:t>•</w:t>
      </w:r>
      <w:r>
        <w:rPr>
          <w:rFonts w:hint="cs"/>
          <w:rtl/>
        </w:rPr>
        <w:tab/>
        <w:t>مشروع قانون بشأن العمالة؛</w:t>
      </w:r>
    </w:p>
    <w:p w:rsidR="00000000" w:rsidRDefault="00000000">
      <w:pPr>
        <w:spacing w:before="0" w:after="0"/>
        <w:jc w:val="both"/>
        <w:rPr>
          <w:rFonts w:hint="cs"/>
          <w:rtl/>
        </w:rPr>
      </w:pPr>
      <w:r>
        <w:rPr>
          <w:rFonts w:hint="cs"/>
          <w:rtl/>
        </w:rPr>
        <w:tab/>
        <w:t>•</w:t>
      </w:r>
      <w:r>
        <w:rPr>
          <w:rFonts w:hint="cs"/>
          <w:rtl/>
        </w:rPr>
        <w:tab/>
        <w:t>مشروع قانون بشأن التأمين الحكومي الإجباري ضد البطالة؛</w:t>
      </w:r>
    </w:p>
    <w:p w:rsidR="00000000" w:rsidRDefault="00000000">
      <w:pPr>
        <w:spacing w:before="0" w:after="0"/>
        <w:jc w:val="both"/>
        <w:rPr>
          <w:rFonts w:hint="cs"/>
          <w:rtl/>
        </w:rPr>
      </w:pPr>
      <w:r>
        <w:rPr>
          <w:rFonts w:hint="cs"/>
          <w:rtl/>
        </w:rPr>
        <w:tab/>
        <w:t>•</w:t>
      </w:r>
      <w:r>
        <w:rPr>
          <w:rFonts w:hint="cs"/>
          <w:rtl/>
        </w:rPr>
        <w:tab/>
        <w:t>مشروع قانون بشأن الهجرة الاقتصادية؛</w:t>
      </w:r>
    </w:p>
    <w:p w:rsidR="00000000" w:rsidRDefault="00000000">
      <w:pPr>
        <w:spacing w:before="0" w:after="0"/>
        <w:jc w:val="both"/>
        <w:rPr>
          <w:rFonts w:hint="cs"/>
          <w:rtl/>
        </w:rPr>
      </w:pPr>
      <w:r>
        <w:rPr>
          <w:rFonts w:hint="cs"/>
          <w:rtl/>
        </w:rPr>
        <w:tab/>
        <w:t>•</w:t>
      </w:r>
      <w:r>
        <w:rPr>
          <w:rFonts w:hint="cs"/>
          <w:rtl/>
        </w:rPr>
        <w:tab/>
        <w:t>اللوائح المتعلقة بتنظيم العمل المجتمعي؛</w:t>
      </w:r>
    </w:p>
    <w:p w:rsidR="00000000" w:rsidRDefault="00000000">
      <w:pPr>
        <w:spacing w:before="0" w:after="0"/>
        <w:jc w:val="both"/>
        <w:rPr>
          <w:rFonts w:hint="cs"/>
          <w:rtl/>
        </w:rPr>
      </w:pPr>
      <w:r>
        <w:rPr>
          <w:rFonts w:hint="cs"/>
          <w:rtl/>
        </w:rPr>
        <w:tab/>
        <w:t>•</w:t>
      </w:r>
      <w:r>
        <w:rPr>
          <w:rFonts w:hint="cs"/>
          <w:rtl/>
        </w:rPr>
        <w:tab/>
        <w:t>والإجراءات الخاصة بتنفيذ تدابير منع البطالة.</w:t>
      </w:r>
    </w:p>
    <w:p w:rsidR="00000000" w:rsidRDefault="00000000">
      <w:pPr>
        <w:jc w:val="both"/>
        <w:rPr>
          <w:rFonts w:hint="cs"/>
          <w:rtl/>
        </w:rPr>
      </w:pPr>
      <w:r>
        <w:rPr>
          <w:rFonts w:hint="cs"/>
          <w:rtl/>
        </w:rPr>
        <w:t>36-</w:t>
      </w:r>
      <w:r>
        <w:rPr>
          <w:rFonts w:hint="cs"/>
          <w:rtl/>
        </w:rPr>
        <w:tab/>
        <w:t xml:space="preserve">والغرض من وضع النظم الأساسية والصكوك المبيّنة أعلاه هو ملء الفراغ التشريعي المستمر في مجال </w:t>
      </w:r>
      <w:r>
        <w:rPr>
          <w:rFonts w:hint="cs"/>
          <w:spacing w:val="4"/>
          <w:rtl/>
        </w:rPr>
        <w:t>العمالة. ومن التطورات المهمة حدوث تغيّر جذري في نُهج معالجة مسائل العمالة إثر قيام البرلمان، في عام 1997</w:t>
      </w:r>
      <w:r>
        <w:rPr>
          <w:rFonts w:hint="cs"/>
          <w:rtl/>
        </w:rPr>
        <w:t>، باعتماد مخطط التنمية الاجتماعية الذي يعتمد نهج المبادرة في العمل إلى حد أبعد بكثير.</w:t>
      </w:r>
    </w:p>
    <w:p w:rsidR="00000000" w:rsidRDefault="00000000">
      <w:pPr>
        <w:jc w:val="both"/>
        <w:rPr>
          <w:rFonts w:hint="cs"/>
          <w:rtl/>
        </w:rPr>
      </w:pPr>
      <w:r>
        <w:rPr>
          <w:rFonts w:hint="cs"/>
          <w:rtl/>
        </w:rPr>
        <w:t>37-</w:t>
      </w:r>
      <w:r>
        <w:rPr>
          <w:rFonts w:hint="cs"/>
          <w:rtl/>
        </w:rPr>
        <w:tab/>
        <w:t>وفي المرحلة الحالية من التنمية التي يمر بها البلد، تدور سياسات الدولة في مجال العمالة حول وضع آليات قادرة فعلا على تعزيز العمالة. وفي الوقت نفسه فإن الأولوية التي يحظى بها التعزيز النشط للعمالة لا تعني بأي حال من الأحوال رفض توفير الرعاية الاجتماعية للعاطلين عن العمل أو اتباع سياسة ارتكاسية في مجال العمالة.</w:t>
      </w:r>
    </w:p>
    <w:p w:rsidR="00000000" w:rsidRDefault="00000000">
      <w:pPr>
        <w:jc w:val="both"/>
        <w:rPr>
          <w:rFonts w:hint="cs"/>
          <w:rtl/>
        </w:rPr>
      </w:pPr>
      <w:r>
        <w:rPr>
          <w:rFonts w:hint="cs"/>
          <w:rtl/>
        </w:rPr>
        <w:t>38-</w:t>
      </w:r>
      <w:r>
        <w:rPr>
          <w:rFonts w:hint="cs"/>
          <w:rtl/>
        </w:rPr>
        <w:tab/>
        <w:t>وتستلزم سياسات العمالة التي تقوم على المبادرة اتخاذ التدابير اللازمة لاستحداث فرص عمل جديدة والاحتفاظ بتلك الموجودة بالفعل، وتعزيز العمالة الفعالة. ومن الطرق المتبعة لبلوغ هذا الهدف توفير الدعم المالي لتنمية المشاريع الصغيرة والمتوسطة والأسرية لا سيما عن طريق الإعانات والضمانات والقروض. وسيوجه هذا النوع من الدعم أولا إلى تلك المناطق الجورجية التي تكون مستويات البطالة فيها أعلى من المتوسط الوطني. وفضلا عن التدابير المشار إليها سابقاً، ستستهدف تدابير العمالة، في المناطق ذات الأولوية الإنمائية، الأشخاص المنتمين إلى القطاعات السكانية التي تواجه صعوبات في المنافسة على مستوى سوق العمل. وسيركز الاهتمام، بالتالي على إتاحة فرص العمل لسكان المناطق الجبلية في جورجيا.</w:t>
      </w:r>
    </w:p>
    <w:p w:rsidR="00000000" w:rsidRDefault="00000000">
      <w:pPr>
        <w:jc w:val="both"/>
        <w:rPr>
          <w:rFonts w:hint="cs"/>
          <w:rtl/>
        </w:rPr>
      </w:pPr>
      <w:r>
        <w:rPr>
          <w:rFonts w:hint="cs"/>
          <w:rtl/>
        </w:rPr>
        <w:t>39-</w:t>
      </w:r>
      <w:r>
        <w:rPr>
          <w:rFonts w:hint="cs"/>
          <w:rtl/>
        </w:rPr>
        <w:tab/>
        <w:t xml:space="preserve">وتكتسي المسائل المتصلة بالتدريب المهني وبضمان حصول الباحثين عن العمل على المؤهلات الضرورية أهمية كبيرة أيضا. ووفقاً لتوصيات منظمة العمل الدولية، ينص مشروع قانون العمالة الجديد على وضع نظام منح للتدريب المهني لصالح العاطلين عن العمل. </w:t>
      </w:r>
    </w:p>
    <w:p w:rsidR="00000000" w:rsidRDefault="00000000">
      <w:pPr>
        <w:jc w:val="both"/>
        <w:rPr>
          <w:rFonts w:hint="cs"/>
          <w:rtl/>
        </w:rPr>
      </w:pPr>
      <w:r>
        <w:rPr>
          <w:rFonts w:hint="cs"/>
          <w:rtl/>
        </w:rPr>
        <w:t>40-</w:t>
      </w:r>
      <w:r>
        <w:rPr>
          <w:rFonts w:hint="cs"/>
          <w:rtl/>
        </w:rPr>
        <w:tab/>
        <w:t>وتستند سياسات العمالة القائمة على المبادرة، في مجملها، إلى عدد من البرامج على مستوى الدولة والأقاليم والبرامج الموضوعة لأغراض محددة. وقد تمت صياغة برنامج وطني للعمالة يستند إلى مخطط التنمية الاجتماعية الذي اعتمده البرلمان. واستُعملت في إعداد البرنامج مجموعة من المواد الإحصائية بما فيها بيانات تجريبية ونظرية (تقديرات). وتكمن المشكلة الرئيسية التي تواجه، حتى الآن في عدم وجود أية دراسة مفصّلة عن سوق العمل في جورجيا. وقد تقرر إجراء هذه الدراسة في عام 2001 بدعم من البنك الدولي ومنظمة العمل الدولية. وسيُعاد النظر في بعض المعايير المتعلقة بسياسات الدولة في مجال العمالة على ضوء النتائج التي تخلص إليها تلك الدراسة لضمان أن يكون البرنامج أكثر تركيزاً.</w:t>
      </w:r>
    </w:p>
    <w:p w:rsidR="00000000" w:rsidRDefault="00000000">
      <w:pPr>
        <w:jc w:val="both"/>
        <w:rPr>
          <w:rFonts w:hint="cs"/>
          <w:rtl/>
        </w:rPr>
      </w:pPr>
      <w:r>
        <w:rPr>
          <w:rFonts w:hint="cs"/>
          <w:rtl/>
        </w:rPr>
        <w:t>41-</w:t>
      </w:r>
      <w:r>
        <w:rPr>
          <w:rFonts w:hint="cs"/>
          <w:rtl/>
        </w:rPr>
        <w:tab/>
        <w:t>وباستطاعة وكالات التوظيف التابعة للقطاع الخاص أن تقدم مساعدة كبيرة إلى الباحثين عن العمل، وذلك بالاشتراك مع الهيئات الحكومية. وسيوفر مشروع قانون العمالة الجديد، للمرة الأولى، إطاراً تشريعيا لعمل هذا النوع من وكالات القطاع الخاص.</w:t>
      </w:r>
    </w:p>
    <w:p w:rsidR="00000000" w:rsidRDefault="00000000">
      <w:pPr>
        <w:jc w:val="both"/>
        <w:rPr>
          <w:rFonts w:hint="cs"/>
          <w:rtl/>
        </w:rPr>
      </w:pPr>
      <w:r>
        <w:rPr>
          <w:rFonts w:hint="cs"/>
          <w:rtl/>
        </w:rPr>
        <w:t>42-</w:t>
      </w:r>
      <w:r>
        <w:rPr>
          <w:rFonts w:hint="cs"/>
          <w:rtl/>
        </w:rPr>
        <w:tab/>
        <w:t>وسيؤدي إنشاء دائرة حكومية للعمالة لها مركز الهيئة القانونية العامة إلى تيسير عملية تنفيذ سياسات الدولة في مجال العمالة عن طريق مشروع قانون العمالة الجديد. وستعمل هذه الدائرة كنظام متكامل وفعال حسبما تقتضيه اتفاقية منظمة العمل الدولية رقم 88.</w:t>
      </w:r>
    </w:p>
    <w:p w:rsidR="00000000" w:rsidRDefault="00000000">
      <w:pPr>
        <w:jc w:val="both"/>
        <w:rPr>
          <w:rFonts w:hint="cs"/>
          <w:i/>
          <w:iCs/>
          <w:rtl/>
        </w:rPr>
      </w:pPr>
      <w:r>
        <w:rPr>
          <w:rFonts w:hint="cs"/>
          <w:i/>
          <w:iCs/>
          <w:rtl/>
        </w:rPr>
        <w:t xml:space="preserve">حرية اختيار الوظيفة وظروف العمل المتوافقة مع الحقوق السياسية والاقتصادية للمواطنين </w:t>
      </w:r>
    </w:p>
    <w:p w:rsidR="00000000" w:rsidRDefault="00000000">
      <w:pPr>
        <w:jc w:val="both"/>
        <w:rPr>
          <w:rFonts w:hint="cs"/>
          <w:rtl/>
        </w:rPr>
      </w:pPr>
      <w:r>
        <w:rPr>
          <w:rFonts w:hint="cs"/>
          <w:rtl/>
        </w:rPr>
        <w:t>43-</w:t>
      </w:r>
      <w:r>
        <w:rPr>
          <w:rFonts w:hint="cs"/>
          <w:rtl/>
        </w:rPr>
        <w:tab/>
        <w:t>يمكن الاطلاع على المعلومات المتعلقة بالضمانات الدستورية لحرية العمل والإطار التشريعي العام الذي ينظم هذا المجال وذلك في الفقرتين 35 و36 من التقرير الأولي.</w:t>
      </w:r>
    </w:p>
    <w:p w:rsidR="00000000" w:rsidRDefault="00000000">
      <w:pPr>
        <w:jc w:val="both"/>
        <w:rPr>
          <w:rFonts w:hint="cs"/>
          <w:rtl/>
        </w:rPr>
      </w:pPr>
      <w:r>
        <w:rPr>
          <w:rFonts w:hint="cs"/>
          <w:rtl/>
        </w:rPr>
        <w:t>44-</w:t>
      </w:r>
      <w:r>
        <w:rPr>
          <w:rFonts w:hint="cs"/>
          <w:rtl/>
        </w:rPr>
        <w:tab/>
        <w:t>وبالإضافة إلى ذلك، يجدر التذكير بأن قانون العمالة الساري يكرس حق المواطنين الجورجيين في حرية اختيار الوظيفة عن طريق اتفاق مباشر مع أية مؤسسة أو منظمة بصرف النظر عن شكل ملكيتها، أو عن طريق دائرة العمالة الحكومية (المادة 8). وتضمن الدولة الحقوق التالية فيما يتعلق بالعاطلين عن العمل:</w:t>
      </w:r>
    </w:p>
    <w:p w:rsidR="00000000" w:rsidRDefault="00000000">
      <w:pPr>
        <w:spacing w:before="0" w:after="0"/>
        <w:jc w:val="both"/>
        <w:rPr>
          <w:rFonts w:hint="cs"/>
          <w:rtl/>
        </w:rPr>
      </w:pPr>
      <w:r>
        <w:rPr>
          <w:rFonts w:hint="cs"/>
          <w:rtl/>
        </w:rPr>
        <w:tab/>
        <w:t>•</w:t>
      </w:r>
      <w:r>
        <w:rPr>
          <w:rFonts w:hint="cs"/>
          <w:rtl/>
        </w:rPr>
        <w:tab/>
        <w:t>مجانية التدريب المهني وإعادة التدريب؛</w:t>
      </w:r>
    </w:p>
    <w:p w:rsidR="00000000" w:rsidRDefault="00000000">
      <w:pPr>
        <w:spacing w:before="0" w:after="0"/>
        <w:jc w:val="both"/>
        <w:rPr>
          <w:rFonts w:hint="cs"/>
          <w:rtl/>
        </w:rPr>
      </w:pPr>
      <w:r>
        <w:rPr>
          <w:rFonts w:hint="cs"/>
          <w:rtl/>
        </w:rPr>
        <w:tab/>
        <w:t>•</w:t>
      </w:r>
      <w:r>
        <w:rPr>
          <w:rFonts w:hint="cs"/>
          <w:rtl/>
        </w:rPr>
        <w:tab/>
        <w:t>حرية اختيار نوع العمل أو النشاط؛</w:t>
      </w:r>
    </w:p>
    <w:p w:rsidR="00000000" w:rsidRDefault="00000000">
      <w:pPr>
        <w:spacing w:before="0" w:after="0"/>
        <w:jc w:val="both"/>
        <w:rPr>
          <w:rFonts w:hint="cs"/>
          <w:rtl/>
        </w:rPr>
      </w:pPr>
      <w:r>
        <w:rPr>
          <w:rFonts w:hint="cs"/>
          <w:rtl/>
        </w:rPr>
        <w:tab/>
        <w:t>•</w:t>
      </w:r>
      <w:r>
        <w:rPr>
          <w:rFonts w:hint="cs"/>
          <w:rtl/>
        </w:rPr>
        <w:tab/>
        <w:t>توفير المساعدة مجاناً للبحث عن عمل والحصول عليه (المادة 5).</w:t>
      </w:r>
    </w:p>
    <w:p w:rsidR="00000000" w:rsidRDefault="00000000">
      <w:pPr>
        <w:jc w:val="both"/>
        <w:rPr>
          <w:rFonts w:hint="cs"/>
          <w:rtl/>
        </w:rPr>
      </w:pPr>
      <w:r>
        <w:rPr>
          <w:rFonts w:hint="cs"/>
          <w:rtl/>
        </w:rPr>
        <w:t>45-</w:t>
      </w:r>
      <w:r>
        <w:rPr>
          <w:rFonts w:hint="cs"/>
          <w:rtl/>
        </w:rPr>
        <w:tab/>
        <w:t>وبالإضافة إلى ذلك، يلزم قانون العمالة أرباب العمل بمساعدة العاطلين عن العمل في الحصول على عمل وذلك من خلال اتخاذ التدابير التالية:</w:t>
      </w:r>
    </w:p>
    <w:p w:rsidR="00000000" w:rsidRDefault="00000000">
      <w:pPr>
        <w:spacing w:before="0" w:after="0"/>
        <w:ind w:left="1440" w:hanging="720"/>
        <w:jc w:val="both"/>
        <w:rPr>
          <w:rFonts w:hint="cs"/>
          <w:rtl/>
        </w:rPr>
      </w:pPr>
      <w:r>
        <w:rPr>
          <w:rFonts w:hint="cs"/>
          <w:rtl/>
        </w:rPr>
        <w:t>•</w:t>
      </w:r>
      <w:r>
        <w:rPr>
          <w:rFonts w:hint="cs"/>
          <w:rtl/>
        </w:rPr>
        <w:tab/>
        <w:t>صياغة اتفاق عقد توظيف ينص على علاقات العمل وفقاً لتشريعات العمل؛</w:t>
      </w:r>
    </w:p>
    <w:p w:rsidR="00000000" w:rsidRDefault="00000000">
      <w:pPr>
        <w:spacing w:before="0" w:after="0"/>
        <w:jc w:val="both"/>
        <w:rPr>
          <w:rFonts w:hint="cs"/>
          <w:spacing w:val="2"/>
          <w:rtl/>
        </w:rPr>
      </w:pPr>
      <w:r>
        <w:rPr>
          <w:rFonts w:hint="cs"/>
          <w:spacing w:val="2"/>
          <w:rtl/>
        </w:rPr>
        <w:tab/>
        <w:t>•</w:t>
      </w:r>
      <w:r>
        <w:rPr>
          <w:rFonts w:hint="cs"/>
          <w:spacing w:val="2"/>
          <w:rtl/>
        </w:rPr>
        <w:tab/>
        <w:t>تهيئة الأوضاع اللازمة لتوفير التدريب وإعادة التدريب والتدريب الإضافي للموظفين (المادة 14).</w:t>
      </w:r>
    </w:p>
    <w:p w:rsidR="00000000" w:rsidRDefault="00000000">
      <w:pPr>
        <w:jc w:val="both"/>
        <w:rPr>
          <w:rFonts w:hint="cs"/>
          <w:rtl/>
        </w:rPr>
      </w:pPr>
      <w:r>
        <w:rPr>
          <w:rFonts w:hint="cs"/>
          <w:rtl/>
        </w:rPr>
        <w:t>46-</w:t>
      </w:r>
      <w:r>
        <w:rPr>
          <w:rFonts w:hint="cs"/>
          <w:rtl/>
        </w:rPr>
        <w:tab/>
        <w:t>وتنظم مدونة تشريعات العمل المسائل المتعلقة بظروف العمل، والأجور، وساعات العمل، والإجازات، ونزاعات العمل الفردية، وإجراءات التعيين والفصل، وغير ذلك. وبهذه الطريقة، تكون كل الاحتياطات قد اتخذت قصد التقليل إلى أدنى حد من احتمال حدوث أي نوع من التمييز في الممارسات القضائية والإدارية وضمان احترام مبادئ العدالة والمساواة بين الموظفين في مجال العمل والتوظيف.</w:t>
      </w:r>
    </w:p>
    <w:p w:rsidR="00000000" w:rsidRDefault="00000000">
      <w:pPr>
        <w:jc w:val="both"/>
        <w:rPr>
          <w:rFonts w:hint="cs"/>
          <w:i/>
          <w:iCs/>
          <w:rtl/>
        </w:rPr>
      </w:pPr>
      <w:r>
        <w:rPr>
          <w:rFonts w:hint="cs"/>
          <w:i/>
          <w:iCs/>
          <w:rtl/>
        </w:rPr>
        <w:t>برامج التدريب المهني والتقني لصالح العاطلين عن العمل</w:t>
      </w:r>
    </w:p>
    <w:p w:rsidR="00000000" w:rsidRDefault="00000000">
      <w:pPr>
        <w:jc w:val="both"/>
        <w:rPr>
          <w:rFonts w:hint="cs"/>
          <w:rtl/>
        </w:rPr>
      </w:pPr>
      <w:r>
        <w:rPr>
          <w:rFonts w:hint="cs"/>
          <w:rtl/>
        </w:rPr>
        <w:t>47-</w:t>
      </w:r>
      <w:r>
        <w:rPr>
          <w:rFonts w:hint="cs"/>
          <w:rtl/>
        </w:rPr>
        <w:tab/>
        <w:t>في عام 2000، نُفذ 44 مشروعاً للتدريب المهني وإعادة التدريب كجزء من البرنامج الحكومي بشأن الأمن الوظيفي، وكلفت تلك المشاريع مبلغ 300 324 لاري.</w:t>
      </w:r>
    </w:p>
    <w:p w:rsidR="00000000" w:rsidRDefault="00000000">
      <w:pPr>
        <w:jc w:val="both"/>
      </w:pPr>
      <w:r>
        <w:rPr>
          <w:rFonts w:hint="cs"/>
          <w:rtl/>
        </w:rPr>
        <w:t>48-</w:t>
      </w:r>
      <w:r>
        <w:rPr>
          <w:rFonts w:hint="cs"/>
          <w:rtl/>
        </w:rPr>
        <w:tab/>
        <w:t>وكان مجموع عدد المستفيدين من برامج إعادة التدريب في عام 2000 أكثر من ضعف العدد المسجل في عام 1999. وبلغت تكلفة إعادة تدريب الشخص الواحد من العاطلين عن العمل 102 لاريات، وهو مبلغ يقل 3.7 مرات عن تكلفة التدريب نفسه في العام الماضي. وفي عام 1999، وصلت نفقات الميزانية المخصصة لإعادة تدريب العاطلين عن العمل إلى 700 520 لاري، واستفاد ما مجموعه 376 1 شخصاً من العاطلين عن العمل من إعادة التدريب، أي أنه تم إنفاق 380 لارياً في المتوسط على كل شخص منهم. وبالنظر إلى أن 534 شخصاً فقط من بين هؤلاء قد حصلوا على الشهادة النهائية، فإن الدولة تكون قد صرفت 975 لارياً لتدريب شخص واحد مؤهل من العاطلين عن العمل.</w:t>
      </w:r>
    </w:p>
    <w:p w:rsidR="00000000" w:rsidRDefault="00000000">
      <w:pPr>
        <w:jc w:val="both"/>
        <w:rPr>
          <w:szCs w:val="32"/>
          <w:rtl/>
        </w:rPr>
      </w:pPr>
      <w:r>
        <w:rPr>
          <w:szCs w:val="32"/>
          <w:rtl/>
        </w:rPr>
        <w:t>4</w:t>
      </w:r>
      <w:r>
        <w:rPr>
          <w:rFonts w:hint="cs"/>
          <w:szCs w:val="32"/>
          <w:rtl/>
        </w:rPr>
        <w:t>9</w:t>
      </w:r>
      <w:r>
        <w:rPr>
          <w:szCs w:val="32"/>
          <w:rtl/>
        </w:rPr>
        <w:t>-</w:t>
      </w:r>
      <w:r>
        <w:rPr>
          <w:rFonts w:hint="cs"/>
          <w:szCs w:val="32"/>
          <w:rtl/>
        </w:rPr>
        <w:tab/>
      </w:r>
      <w:r>
        <w:rPr>
          <w:szCs w:val="32"/>
          <w:rtl/>
        </w:rPr>
        <w:t xml:space="preserve">وعلى </w:t>
      </w:r>
      <w:r>
        <w:rPr>
          <w:rFonts w:hint="cs"/>
          <w:szCs w:val="32"/>
          <w:rtl/>
        </w:rPr>
        <w:t>هذا</w:t>
      </w:r>
      <w:r>
        <w:rPr>
          <w:szCs w:val="32"/>
          <w:rtl/>
        </w:rPr>
        <w:t xml:space="preserve"> الأساس، ات</w:t>
      </w:r>
      <w:r>
        <w:rPr>
          <w:rFonts w:hint="cs"/>
          <w:szCs w:val="32"/>
          <w:rtl/>
        </w:rPr>
        <w:t>ُ</w:t>
      </w:r>
      <w:r>
        <w:rPr>
          <w:szCs w:val="32"/>
          <w:rtl/>
        </w:rPr>
        <w:t>خذ قرار دخل حيز التنفيذ في عام 2000</w:t>
      </w:r>
      <w:r>
        <w:rPr>
          <w:rFonts w:hint="cs"/>
          <w:szCs w:val="32"/>
          <w:rtl/>
        </w:rPr>
        <w:t xml:space="preserve"> بهدف تحقيق المستوى الأمثل للإنفاق على </w:t>
      </w:r>
      <w:r>
        <w:rPr>
          <w:szCs w:val="32"/>
          <w:rtl/>
        </w:rPr>
        <w:t xml:space="preserve">التدريب المهني لصالح العاطلين </w:t>
      </w:r>
      <w:r>
        <w:rPr>
          <w:rFonts w:hint="cs"/>
          <w:szCs w:val="32"/>
          <w:rtl/>
        </w:rPr>
        <w:t>عن العمل</w:t>
      </w:r>
      <w:r>
        <w:rPr>
          <w:szCs w:val="32"/>
          <w:rtl/>
        </w:rPr>
        <w:t>. و</w:t>
      </w:r>
      <w:r>
        <w:rPr>
          <w:rFonts w:hint="cs"/>
          <w:szCs w:val="32"/>
          <w:rtl/>
        </w:rPr>
        <w:t>عند</w:t>
      </w:r>
      <w:r>
        <w:rPr>
          <w:szCs w:val="32"/>
          <w:rtl/>
        </w:rPr>
        <w:t xml:space="preserve"> إبرام الاتفاقات </w:t>
      </w:r>
      <w:r>
        <w:rPr>
          <w:rFonts w:hint="cs"/>
          <w:szCs w:val="32"/>
          <w:rtl/>
        </w:rPr>
        <w:t xml:space="preserve">ذات الصلة </w:t>
      </w:r>
      <w:r>
        <w:rPr>
          <w:szCs w:val="32"/>
          <w:rtl/>
        </w:rPr>
        <w:t xml:space="preserve">مع المؤسسات التعليمية، </w:t>
      </w:r>
      <w:r>
        <w:rPr>
          <w:rFonts w:hint="cs"/>
          <w:szCs w:val="32"/>
          <w:rtl/>
        </w:rPr>
        <w:t xml:space="preserve">يولى </w:t>
      </w:r>
      <w:r>
        <w:rPr>
          <w:szCs w:val="32"/>
          <w:rtl/>
        </w:rPr>
        <w:t xml:space="preserve">الاهتمام </w:t>
      </w:r>
      <w:r>
        <w:rPr>
          <w:rFonts w:hint="cs"/>
          <w:szCs w:val="32"/>
          <w:rtl/>
        </w:rPr>
        <w:t xml:space="preserve">لنوعية </w:t>
      </w:r>
      <w:r>
        <w:rPr>
          <w:szCs w:val="32"/>
          <w:rtl/>
        </w:rPr>
        <w:t xml:space="preserve">الدورات الدراسية </w:t>
      </w:r>
      <w:r>
        <w:rPr>
          <w:rFonts w:hint="cs"/>
          <w:szCs w:val="32"/>
          <w:rtl/>
        </w:rPr>
        <w:t xml:space="preserve">أولاً ولنظام </w:t>
      </w:r>
      <w:r>
        <w:rPr>
          <w:szCs w:val="32"/>
          <w:rtl/>
        </w:rPr>
        <w:t xml:space="preserve">منح الشهادات </w:t>
      </w:r>
      <w:r>
        <w:rPr>
          <w:rFonts w:hint="cs"/>
          <w:szCs w:val="32"/>
          <w:rtl/>
        </w:rPr>
        <w:t>ثانياً</w:t>
      </w:r>
      <w:r>
        <w:rPr>
          <w:szCs w:val="32"/>
          <w:rtl/>
        </w:rPr>
        <w:t>.</w:t>
      </w:r>
    </w:p>
    <w:p w:rsidR="00000000" w:rsidRDefault="00000000">
      <w:pPr>
        <w:jc w:val="both"/>
        <w:rPr>
          <w:i/>
          <w:iCs/>
          <w:szCs w:val="32"/>
          <w:rtl/>
        </w:rPr>
      </w:pPr>
      <w:r>
        <w:rPr>
          <w:rFonts w:hint="cs"/>
          <w:i/>
          <w:iCs/>
          <w:szCs w:val="32"/>
          <w:rtl/>
        </w:rPr>
        <w:t>المشاكل المواجهة في مجال العمالة والخطوات المتخذة لتذليلها</w:t>
      </w:r>
    </w:p>
    <w:p w:rsidR="00000000" w:rsidRDefault="00000000">
      <w:pPr>
        <w:jc w:val="both"/>
        <w:rPr>
          <w:szCs w:val="32"/>
          <w:rtl/>
        </w:rPr>
      </w:pPr>
      <w:r>
        <w:rPr>
          <w:szCs w:val="32"/>
          <w:rtl/>
        </w:rPr>
        <w:t>50-</w:t>
      </w:r>
      <w:r>
        <w:rPr>
          <w:rFonts w:hint="cs"/>
          <w:szCs w:val="32"/>
          <w:rtl/>
        </w:rPr>
        <w:tab/>
        <w:t>وفيما يتعلق ب</w:t>
      </w:r>
      <w:r>
        <w:rPr>
          <w:szCs w:val="32"/>
          <w:rtl/>
        </w:rPr>
        <w:t>الملاحظتين رقم 23 و24 للجنة الحقوق الاقتصادية والاجتماعية والثقافية بشأ</w:t>
      </w:r>
      <w:r>
        <w:rPr>
          <w:rFonts w:hint="cs"/>
          <w:szCs w:val="32"/>
          <w:rtl/>
        </w:rPr>
        <w:t>ن</w:t>
      </w:r>
      <w:r>
        <w:rPr>
          <w:szCs w:val="32"/>
          <w:rtl/>
        </w:rPr>
        <w:t xml:space="preserve"> مسألة </w:t>
      </w:r>
      <w:r>
        <w:rPr>
          <w:rFonts w:hint="cs"/>
          <w:szCs w:val="32"/>
          <w:rtl/>
        </w:rPr>
        <w:t>الحد الأدنى للأجور</w:t>
      </w:r>
      <w:r>
        <w:rPr>
          <w:szCs w:val="32"/>
          <w:rtl/>
        </w:rPr>
        <w:t xml:space="preserve"> ودفع الأجور في الميعاد المحدد </w:t>
      </w:r>
      <w:r>
        <w:rPr>
          <w:rFonts w:hint="cs"/>
          <w:szCs w:val="32"/>
          <w:rtl/>
        </w:rPr>
        <w:t>بصورة عامة</w:t>
      </w:r>
      <w:r>
        <w:rPr>
          <w:szCs w:val="32"/>
          <w:rtl/>
        </w:rPr>
        <w:t xml:space="preserve">، </w:t>
      </w:r>
      <w:r>
        <w:rPr>
          <w:rFonts w:hint="cs"/>
          <w:szCs w:val="32"/>
          <w:rtl/>
        </w:rPr>
        <w:t>تجدر</w:t>
      </w:r>
      <w:r>
        <w:rPr>
          <w:szCs w:val="32"/>
          <w:rtl/>
        </w:rPr>
        <w:t xml:space="preserve"> الإشارة إلى العوامل التالية.</w:t>
      </w:r>
    </w:p>
    <w:p w:rsidR="00000000" w:rsidRDefault="00000000">
      <w:pPr>
        <w:jc w:val="both"/>
        <w:rPr>
          <w:szCs w:val="32"/>
          <w:rtl/>
        </w:rPr>
      </w:pPr>
      <w:r>
        <w:rPr>
          <w:szCs w:val="32"/>
          <w:rtl/>
        </w:rPr>
        <w:t>51-</w:t>
      </w:r>
      <w:r>
        <w:rPr>
          <w:rFonts w:hint="cs"/>
          <w:szCs w:val="32"/>
          <w:rtl/>
        </w:rPr>
        <w:tab/>
      </w:r>
      <w:r>
        <w:rPr>
          <w:szCs w:val="32"/>
          <w:rtl/>
        </w:rPr>
        <w:t xml:space="preserve">يتوقف </w:t>
      </w:r>
      <w:r>
        <w:rPr>
          <w:rFonts w:hint="cs"/>
          <w:szCs w:val="32"/>
          <w:rtl/>
        </w:rPr>
        <w:t>استقرار العمالة المنتجة</w:t>
      </w:r>
      <w:r>
        <w:rPr>
          <w:szCs w:val="32"/>
          <w:rtl/>
        </w:rPr>
        <w:t xml:space="preserve"> على الأداء </w:t>
      </w:r>
      <w:r>
        <w:rPr>
          <w:rFonts w:hint="cs"/>
          <w:szCs w:val="32"/>
          <w:rtl/>
        </w:rPr>
        <w:t xml:space="preserve">السليم </w:t>
      </w:r>
      <w:r>
        <w:rPr>
          <w:szCs w:val="32"/>
          <w:rtl/>
        </w:rPr>
        <w:t xml:space="preserve">للعمل </w:t>
      </w:r>
      <w:r>
        <w:rPr>
          <w:rFonts w:hint="cs"/>
          <w:szCs w:val="32"/>
          <w:rtl/>
        </w:rPr>
        <w:t xml:space="preserve">المقابل الذي ينص </w:t>
      </w:r>
      <w:r>
        <w:rPr>
          <w:szCs w:val="32"/>
          <w:rtl/>
        </w:rPr>
        <w:t xml:space="preserve">قانون العمالة </w:t>
      </w:r>
      <w:r>
        <w:rPr>
          <w:rFonts w:hint="cs"/>
          <w:szCs w:val="32"/>
          <w:rtl/>
        </w:rPr>
        <w:t>على أن من واجب دائرة العمل أن توفره ل</w:t>
      </w:r>
      <w:r>
        <w:rPr>
          <w:szCs w:val="32"/>
          <w:rtl/>
        </w:rPr>
        <w:t>لع</w:t>
      </w:r>
      <w:r>
        <w:rPr>
          <w:rFonts w:hint="cs"/>
          <w:szCs w:val="32"/>
          <w:rtl/>
        </w:rPr>
        <w:t>ا</w:t>
      </w:r>
      <w:r>
        <w:rPr>
          <w:szCs w:val="32"/>
          <w:rtl/>
        </w:rPr>
        <w:t xml:space="preserve">طلين </w:t>
      </w:r>
      <w:r>
        <w:rPr>
          <w:rFonts w:hint="cs"/>
          <w:szCs w:val="32"/>
          <w:rtl/>
        </w:rPr>
        <w:t>عن العمل الذين يبحثون</w:t>
      </w:r>
      <w:r>
        <w:rPr>
          <w:szCs w:val="32"/>
          <w:rtl/>
        </w:rPr>
        <w:t xml:space="preserve"> عن عمل. و</w:t>
      </w:r>
      <w:r>
        <w:rPr>
          <w:rFonts w:hint="cs"/>
          <w:szCs w:val="32"/>
          <w:rtl/>
        </w:rPr>
        <w:t xml:space="preserve">تنص </w:t>
      </w:r>
      <w:r>
        <w:rPr>
          <w:szCs w:val="32"/>
          <w:rtl/>
        </w:rPr>
        <w:t xml:space="preserve">المادة 2 من </w:t>
      </w:r>
      <w:r>
        <w:rPr>
          <w:rFonts w:hint="cs"/>
          <w:szCs w:val="32"/>
          <w:rtl/>
        </w:rPr>
        <w:t xml:space="preserve">مدونة </w:t>
      </w:r>
      <w:r>
        <w:rPr>
          <w:szCs w:val="32"/>
          <w:rtl/>
        </w:rPr>
        <w:t xml:space="preserve">تشريعات العمل، </w:t>
      </w:r>
      <w:r>
        <w:rPr>
          <w:rFonts w:hint="cs"/>
          <w:szCs w:val="32"/>
          <w:rtl/>
        </w:rPr>
        <w:t xml:space="preserve">على أن </w:t>
      </w:r>
      <w:r>
        <w:rPr>
          <w:szCs w:val="32"/>
          <w:rtl/>
        </w:rPr>
        <w:t xml:space="preserve">للموظَف الحق في تقاضي أجر وفقا لكمية العمل </w:t>
      </w:r>
      <w:r>
        <w:rPr>
          <w:rFonts w:hint="cs"/>
          <w:szCs w:val="32"/>
          <w:rtl/>
        </w:rPr>
        <w:t xml:space="preserve">المؤدى </w:t>
      </w:r>
      <w:r>
        <w:rPr>
          <w:szCs w:val="32"/>
          <w:rtl/>
        </w:rPr>
        <w:t>و</w:t>
      </w:r>
      <w:r>
        <w:rPr>
          <w:rFonts w:hint="cs"/>
          <w:szCs w:val="32"/>
          <w:rtl/>
        </w:rPr>
        <w:t>نوعيته على ألا يقل ذلك الأجر،</w:t>
      </w:r>
      <w:r>
        <w:rPr>
          <w:szCs w:val="32"/>
          <w:rtl/>
        </w:rPr>
        <w:t xml:space="preserve"> في أي حال من الأحوال</w:t>
      </w:r>
      <w:r>
        <w:rPr>
          <w:rFonts w:hint="cs"/>
          <w:szCs w:val="32"/>
          <w:rtl/>
        </w:rPr>
        <w:t>، عن الحد الأدنى للكفاف</w:t>
      </w:r>
      <w:r>
        <w:rPr>
          <w:szCs w:val="32"/>
          <w:rtl/>
        </w:rPr>
        <w:t xml:space="preserve"> الذي ي</w:t>
      </w:r>
      <w:r>
        <w:rPr>
          <w:rFonts w:hint="cs"/>
          <w:szCs w:val="32"/>
          <w:rtl/>
        </w:rPr>
        <w:t>قرره</w:t>
      </w:r>
      <w:r>
        <w:rPr>
          <w:szCs w:val="32"/>
          <w:rtl/>
        </w:rPr>
        <w:t xml:space="preserve"> القانون.</w:t>
      </w:r>
    </w:p>
    <w:p w:rsidR="00000000" w:rsidRDefault="00000000">
      <w:pPr>
        <w:jc w:val="both"/>
        <w:rPr>
          <w:szCs w:val="32"/>
          <w:rtl/>
        </w:rPr>
      </w:pPr>
      <w:r>
        <w:rPr>
          <w:szCs w:val="32"/>
          <w:rtl/>
        </w:rPr>
        <w:t>52-</w:t>
      </w:r>
      <w:r>
        <w:rPr>
          <w:rFonts w:hint="cs"/>
          <w:szCs w:val="32"/>
          <w:rtl/>
        </w:rPr>
        <w:tab/>
      </w:r>
      <w:r>
        <w:rPr>
          <w:szCs w:val="32"/>
          <w:rtl/>
        </w:rPr>
        <w:t>و</w:t>
      </w:r>
      <w:r>
        <w:rPr>
          <w:rFonts w:hint="cs"/>
          <w:szCs w:val="32"/>
          <w:rtl/>
        </w:rPr>
        <w:t xml:space="preserve">تشهد </w:t>
      </w:r>
      <w:r>
        <w:rPr>
          <w:szCs w:val="32"/>
          <w:rtl/>
        </w:rPr>
        <w:t>سوق العم</w:t>
      </w:r>
      <w:r>
        <w:rPr>
          <w:rFonts w:hint="cs"/>
          <w:szCs w:val="32"/>
          <w:rtl/>
        </w:rPr>
        <w:t>الة</w:t>
      </w:r>
      <w:r>
        <w:rPr>
          <w:szCs w:val="32"/>
          <w:rtl/>
        </w:rPr>
        <w:t xml:space="preserve"> الجورجية فائض</w:t>
      </w:r>
      <w:r>
        <w:rPr>
          <w:rFonts w:hint="cs"/>
          <w:szCs w:val="32"/>
          <w:rtl/>
        </w:rPr>
        <w:t>اً</w:t>
      </w:r>
      <w:r>
        <w:rPr>
          <w:szCs w:val="32"/>
          <w:rtl/>
        </w:rPr>
        <w:t xml:space="preserve"> </w:t>
      </w:r>
      <w:r>
        <w:rPr>
          <w:rFonts w:hint="cs"/>
          <w:szCs w:val="32"/>
          <w:rtl/>
        </w:rPr>
        <w:t xml:space="preserve">كبيراً </w:t>
      </w:r>
      <w:r>
        <w:rPr>
          <w:szCs w:val="32"/>
          <w:rtl/>
        </w:rPr>
        <w:t>في اليد العاملة</w:t>
      </w:r>
      <w:r>
        <w:rPr>
          <w:rFonts w:hint="cs"/>
          <w:szCs w:val="32"/>
          <w:rtl/>
        </w:rPr>
        <w:t xml:space="preserve"> المتاحة</w:t>
      </w:r>
      <w:r>
        <w:rPr>
          <w:szCs w:val="32"/>
          <w:rtl/>
        </w:rPr>
        <w:t xml:space="preserve">. ونظرا </w:t>
      </w:r>
      <w:r>
        <w:rPr>
          <w:rFonts w:hint="cs"/>
          <w:szCs w:val="32"/>
          <w:rtl/>
        </w:rPr>
        <w:t>إلى</w:t>
      </w:r>
      <w:r>
        <w:rPr>
          <w:szCs w:val="32"/>
          <w:rtl/>
        </w:rPr>
        <w:t xml:space="preserve"> </w:t>
      </w:r>
      <w:r>
        <w:rPr>
          <w:rFonts w:hint="cs"/>
          <w:szCs w:val="32"/>
          <w:rtl/>
        </w:rPr>
        <w:t>المستوى العالي ل</w:t>
      </w:r>
      <w:r>
        <w:rPr>
          <w:szCs w:val="32"/>
          <w:rtl/>
        </w:rPr>
        <w:t xml:space="preserve">لبطالة </w:t>
      </w:r>
      <w:r>
        <w:rPr>
          <w:rFonts w:hint="cs"/>
          <w:szCs w:val="32"/>
          <w:rtl/>
        </w:rPr>
        <w:t>ومستوى</w:t>
      </w:r>
      <w:r>
        <w:rPr>
          <w:szCs w:val="32"/>
          <w:rtl/>
        </w:rPr>
        <w:t xml:space="preserve"> </w:t>
      </w:r>
      <w:r>
        <w:rPr>
          <w:rFonts w:hint="cs"/>
          <w:szCs w:val="32"/>
          <w:rtl/>
        </w:rPr>
        <w:t>ا</w:t>
      </w:r>
      <w:r>
        <w:rPr>
          <w:szCs w:val="32"/>
          <w:rtl/>
        </w:rPr>
        <w:t xml:space="preserve">لتنمية الاقتصادية </w:t>
      </w:r>
      <w:r>
        <w:rPr>
          <w:rFonts w:hint="cs"/>
          <w:szCs w:val="32"/>
          <w:rtl/>
        </w:rPr>
        <w:t>المنخفض عموماً</w:t>
      </w:r>
      <w:r>
        <w:rPr>
          <w:szCs w:val="32"/>
          <w:rtl/>
        </w:rPr>
        <w:t xml:space="preserve">، </w:t>
      </w:r>
      <w:r>
        <w:rPr>
          <w:rFonts w:hint="cs"/>
          <w:szCs w:val="32"/>
          <w:rtl/>
        </w:rPr>
        <w:t>أصبح</w:t>
      </w:r>
      <w:r>
        <w:rPr>
          <w:szCs w:val="32"/>
          <w:rtl/>
        </w:rPr>
        <w:t xml:space="preserve"> دخل معظم </w:t>
      </w:r>
      <w:r>
        <w:rPr>
          <w:rFonts w:hint="cs"/>
          <w:szCs w:val="32"/>
          <w:rtl/>
        </w:rPr>
        <w:t>الموظفين المستخدمين أقل من</w:t>
      </w:r>
      <w:r>
        <w:rPr>
          <w:szCs w:val="32"/>
          <w:rtl/>
        </w:rPr>
        <w:t xml:space="preserve"> </w:t>
      </w:r>
      <w:r>
        <w:rPr>
          <w:rFonts w:hint="cs"/>
          <w:szCs w:val="32"/>
          <w:rtl/>
        </w:rPr>
        <w:t>الحد الأدنى لمستوى الكفاف.</w:t>
      </w:r>
      <w:r>
        <w:rPr>
          <w:szCs w:val="32"/>
          <w:rtl/>
        </w:rPr>
        <w:t xml:space="preserve"> وفي الظروف ال</w:t>
      </w:r>
      <w:r>
        <w:rPr>
          <w:rFonts w:hint="cs"/>
          <w:szCs w:val="32"/>
          <w:rtl/>
        </w:rPr>
        <w:t>تي يعيشها ال</w:t>
      </w:r>
      <w:r>
        <w:rPr>
          <w:szCs w:val="32"/>
          <w:rtl/>
        </w:rPr>
        <w:t>بلد</w:t>
      </w:r>
      <w:r>
        <w:rPr>
          <w:rFonts w:hint="cs"/>
          <w:szCs w:val="32"/>
          <w:rtl/>
        </w:rPr>
        <w:t xml:space="preserve"> في الوقت الراهن</w:t>
      </w:r>
      <w:r>
        <w:rPr>
          <w:szCs w:val="32"/>
          <w:rtl/>
        </w:rPr>
        <w:t xml:space="preserve">، فقدت المرتبات والأجور </w:t>
      </w:r>
      <w:r>
        <w:rPr>
          <w:rFonts w:hint="cs"/>
          <w:szCs w:val="32"/>
          <w:rtl/>
        </w:rPr>
        <w:t xml:space="preserve">وظيفتها </w:t>
      </w:r>
      <w:r>
        <w:rPr>
          <w:szCs w:val="32"/>
          <w:rtl/>
        </w:rPr>
        <w:t xml:space="preserve">كحوافز </w:t>
      </w:r>
      <w:r>
        <w:rPr>
          <w:rFonts w:hint="cs"/>
          <w:szCs w:val="32"/>
          <w:rtl/>
        </w:rPr>
        <w:t>وأصبحت بمثابة</w:t>
      </w:r>
      <w:r>
        <w:rPr>
          <w:szCs w:val="32"/>
          <w:rtl/>
        </w:rPr>
        <w:t xml:space="preserve"> النفقة الاجتماعية </w:t>
      </w:r>
      <w:r>
        <w:rPr>
          <w:rFonts w:hint="cs"/>
          <w:szCs w:val="32"/>
          <w:rtl/>
        </w:rPr>
        <w:t>التي لا صلة لها</w:t>
      </w:r>
      <w:r>
        <w:rPr>
          <w:szCs w:val="32"/>
          <w:rtl/>
        </w:rPr>
        <w:t xml:space="preserve"> بكمية العمل وجودته.</w:t>
      </w:r>
    </w:p>
    <w:p w:rsidR="00000000" w:rsidRDefault="00000000">
      <w:pPr>
        <w:jc w:val="both"/>
        <w:rPr>
          <w:szCs w:val="32"/>
          <w:rtl/>
        </w:rPr>
      </w:pPr>
      <w:r>
        <w:rPr>
          <w:szCs w:val="32"/>
          <w:rtl/>
        </w:rPr>
        <w:t>53-</w:t>
      </w:r>
      <w:r>
        <w:rPr>
          <w:rFonts w:hint="cs"/>
          <w:szCs w:val="32"/>
          <w:rtl/>
        </w:rPr>
        <w:tab/>
      </w:r>
      <w:r>
        <w:rPr>
          <w:szCs w:val="32"/>
          <w:rtl/>
        </w:rPr>
        <w:t>و</w:t>
      </w:r>
      <w:r>
        <w:rPr>
          <w:rFonts w:hint="cs"/>
          <w:szCs w:val="32"/>
          <w:rtl/>
        </w:rPr>
        <w:t xml:space="preserve">قد </w:t>
      </w:r>
      <w:r>
        <w:rPr>
          <w:szCs w:val="32"/>
          <w:rtl/>
        </w:rPr>
        <w:t>أث</w:t>
      </w:r>
      <w:r>
        <w:rPr>
          <w:rFonts w:hint="cs"/>
          <w:szCs w:val="32"/>
          <w:rtl/>
        </w:rPr>
        <w:t>ّ</w:t>
      </w:r>
      <w:r>
        <w:rPr>
          <w:szCs w:val="32"/>
          <w:rtl/>
        </w:rPr>
        <w:t xml:space="preserve">ر انخفاض مستويات الأجور تأثيراً سلبيا في </w:t>
      </w:r>
      <w:r>
        <w:rPr>
          <w:rFonts w:hint="cs"/>
          <w:szCs w:val="32"/>
          <w:rtl/>
        </w:rPr>
        <w:t xml:space="preserve">مواقف </w:t>
      </w:r>
      <w:r>
        <w:rPr>
          <w:szCs w:val="32"/>
          <w:rtl/>
        </w:rPr>
        <w:t>الموظَفين تجاه مهامهم وواجباتهم وكان السبب الرئيسي</w:t>
      </w:r>
      <w:r>
        <w:rPr>
          <w:rFonts w:hint="cs"/>
          <w:szCs w:val="32"/>
          <w:rtl/>
        </w:rPr>
        <w:t>،</w:t>
      </w:r>
      <w:r>
        <w:rPr>
          <w:szCs w:val="32"/>
          <w:rtl/>
        </w:rPr>
        <w:t xml:space="preserve"> في معظم الأحوال</w:t>
      </w:r>
      <w:r>
        <w:rPr>
          <w:rFonts w:hint="cs"/>
          <w:szCs w:val="32"/>
          <w:rtl/>
        </w:rPr>
        <w:t>،</w:t>
      </w:r>
      <w:r>
        <w:rPr>
          <w:szCs w:val="32"/>
          <w:rtl/>
        </w:rPr>
        <w:t xml:space="preserve"> في</w:t>
      </w:r>
      <w:r>
        <w:rPr>
          <w:rFonts w:hint="cs"/>
          <w:szCs w:val="32"/>
          <w:rtl/>
        </w:rPr>
        <w:t xml:space="preserve"> حرصهم على</w:t>
      </w:r>
      <w:r>
        <w:rPr>
          <w:szCs w:val="32"/>
          <w:rtl/>
        </w:rPr>
        <w:t xml:space="preserve"> ممارسة عمل آخر. وأدى انخفاض مستوى الأجور والمرتبات أيضا إلى تدهور </w:t>
      </w:r>
      <w:r>
        <w:rPr>
          <w:rFonts w:hint="cs"/>
          <w:szCs w:val="32"/>
          <w:rtl/>
        </w:rPr>
        <w:t xml:space="preserve">مستوى الانضباط في العمل ومستوى الكفاءة </w:t>
      </w:r>
      <w:r>
        <w:rPr>
          <w:szCs w:val="32"/>
          <w:rtl/>
        </w:rPr>
        <w:t xml:space="preserve">في </w:t>
      </w:r>
      <w:r>
        <w:rPr>
          <w:rFonts w:hint="cs"/>
          <w:szCs w:val="32"/>
          <w:rtl/>
        </w:rPr>
        <w:t>أ</w:t>
      </w:r>
      <w:r>
        <w:rPr>
          <w:szCs w:val="32"/>
          <w:rtl/>
        </w:rPr>
        <w:t>م</w:t>
      </w:r>
      <w:r>
        <w:rPr>
          <w:rFonts w:hint="cs"/>
          <w:szCs w:val="32"/>
          <w:rtl/>
        </w:rPr>
        <w:t>ا</w:t>
      </w:r>
      <w:r>
        <w:rPr>
          <w:szCs w:val="32"/>
          <w:rtl/>
        </w:rPr>
        <w:t>ك</w:t>
      </w:r>
      <w:r>
        <w:rPr>
          <w:rFonts w:hint="cs"/>
          <w:szCs w:val="32"/>
          <w:rtl/>
        </w:rPr>
        <w:t>ن</w:t>
      </w:r>
      <w:r>
        <w:rPr>
          <w:szCs w:val="32"/>
          <w:rtl/>
        </w:rPr>
        <w:t xml:space="preserve"> العمل على وجه العموم. إلا أنه من الجدير بالملاحظة أن </w:t>
      </w:r>
      <w:r>
        <w:rPr>
          <w:rFonts w:hint="cs"/>
          <w:szCs w:val="32"/>
          <w:rtl/>
        </w:rPr>
        <w:t xml:space="preserve">عملية </w:t>
      </w:r>
      <w:r>
        <w:rPr>
          <w:szCs w:val="32"/>
          <w:rtl/>
        </w:rPr>
        <w:t xml:space="preserve">دفع الأجور في الميعاد المحدد </w:t>
      </w:r>
      <w:r>
        <w:rPr>
          <w:rFonts w:hint="cs"/>
          <w:szCs w:val="32"/>
          <w:rtl/>
        </w:rPr>
        <w:t xml:space="preserve">قد عادت إلى وضعها الطبيعي </w:t>
      </w:r>
      <w:r>
        <w:rPr>
          <w:szCs w:val="32"/>
          <w:rtl/>
        </w:rPr>
        <w:t>منذ منتصف عام 2000.</w:t>
      </w:r>
    </w:p>
    <w:p w:rsidR="00000000" w:rsidRDefault="00000000">
      <w:pPr>
        <w:jc w:val="both"/>
        <w:rPr>
          <w:szCs w:val="32"/>
          <w:rtl/>
        </w:rPr>
      </w:pPr>
      <w:r>
        <w:rPr>
          <w:szCs w:val="32"/>
          <w:rtl/>
        </w:rPr>
        <w:t>54-</w:t>
      </w:r>
      <w:r>
        <w:rPr>
          <w:rFonts w:hint="cs"/>
          <w:szCs w:val="32"/>
          <w:rtl/>
        </w:rPr>
        <w:tab/>
      </w:r>
      <w:r>
        <w:rPr>
          <w:szCs w:val="32"/>
          <w:rtl/>
        </w:rPr>
        <w:t xml:space="preserve">ومع أن </w:t>
      </w:r>
      <w:r>
        <w:rPr>
          <w:rFonts w:hint="cs"/>
          <w:szCs w:val="32"/>
          <w:rtl/>
        </w:rPr>
        <w:t>الحد</w:t>
      </w:r>
      <w:r>
        <w:rPr>
          <w:szCs w:val="32"/>
          <w:rtl/>
        </w:rPr>
        <w:t xml:space="preserve"> الأدنى </w:t>
      </w:r>
      <w:r>
        <w:rPr>
          <w:rFonts w:hint="cs"/>
          <w:szCs w:val="32"/>
          <w:rtl/>
        </w:rPr>
        <w:t xml:space="preserve">للأجر </w:t>
      </w:r>
      <w:r>
        <w:rPr>
          <w:szCs w:val="32"/>
          <w:rtl/>
        </w:rPr>
        <w:t>قد تضاعف خمس مرات تقريبا على مدى الفترة الممتدة من</w:t>
      </w:r>
      <w:r>
        <w:rPr>
          <w:rFonts w:hint="cs"/>
          <w:szCs w:val="32"/>
          <w:rtl/>
        </w:rPr>
        <w:t xml:space="preserve"> عام</w:t>
      </w:r>
      <w:r>
        <w:rPr>
          <w:szCs w:val="32"/>
          <w:rtl/>
        </w:rPr>
        <w:t xml:space="preserve"> 1996 إلى</w:t>
      </w:r>
      <w:r>
        <w:rPr>
          <w:rFonts w:hint="cs"/>
          <w:szCs w:val="32"/>
          <w:rtl/>
        </w:rPr>
        <w:t xml:space="preserve"> عام</w:t>
      </w:r>
      <w:r>
        <w:rPr>
          <w:szCs w:val="32"/>
          <w:rtl/>
        </w:rPr>
        <w:t xml:space="preserve"> 2000، </w:t>
      </w:r>
      <w:r>
        <w:rPr>
          <w:rFonts w:hint="cs"/>
          <w:szCs w:val="32"/>
          <w:rtl/>
        </w:rPr>
        <w:t>فهو لا يعتبر</w:t>
      </w:r>
      <w:r>
        <w:rPr>
          <w:szCs w:val="32"/>
          <w:rtl/>
        </w:rPr>
        <w:t xml:space="preserve"> كافياً للعيش وفقا لمعايير اليوم. و</w:t>
      </w:r>
      <w:r>
        <w:rPr>
          <w:rFonts w:hint="cs"/>
          <w:szCs w:val="32"/>
          <w:rtl/>
        </w:rPr>
        <w:t xml:space="preserve">بلغ الحد الأدنى للأجور 17.5 </w:t>
      </w:r>
      <w:r>
        <w:rPr>
          <w:szCs w:val="32"/>
          <w:rtl/>
        </w:rPr>
        <w:t xml:space="preserve">في المائة </w:t>
      </w:r>
      <w:r>
        <w:rPr>
          <w:rFonts w:hint="cs"/>
          <w:szCs w:val="32"/>
          <w:rtl/>
        </w:rPr>
        <w:t>من الحد الأدنى لمستوى الكفاف</w:t>
      </w:r>
      <w:r>
        <w:rPr>
          <w:szCs w:val="32"/>
          <w:rtl/>
        </w:rPr>
        <w:t xml:space="preserve"> </w:t>
      </w:r>
      <w:r>
        <w:rPr>
          <w:rFonts w:hint="cs"/>
          <w:szCs w:val="32"/>
          <w:rtl/>
        </w:rPr>
        <w:t>24.7</w:t>
      </w:r>
      <w:r>
        <w:rPr>
          <w:szCs w:val="32"/>
          <w:rtl/>
        </w:rPr>
        <w:t xml:space="preserve"> في المائة من متوسط الأجر</w:t>
      </w:r>
      <w:r>
        <w:rPr>
          <w:rFonts w:hint="cs"/>
          <w:szCs w:val="32"/>
          <w:rtl/>
        </w:rPr>
        <w:t>،</w:t>
      </w:r>
      <w:r>
        <w:rPr>
          <w:szCs w:val="32"/>
          <w:rtl/>
        </w:rPr>
        <w:t xml:space="preserve"> وه</w:t>
      </w:r>
      <w:r>
        <w:rPr>
          <w:rFonts w:hint="cs"/>
          <w:szCs w:val="32"/>
          <w:rtl/>
        </w:rPr>
        <w:t>و</w:t>
      </w:r>
      <w:r>
        <w:rPr>
          <w:szCs w:val="32"/>
          <w:rtl/>
        </w:rPr>
        <w:t xml:space="preserve"> ليس كافي</w:t>
      </w:r>
      <w:r>
        <w:rPr>
          <w:rFonts w:hint="cs"/>
          <w:szCs w:val="32"/>
          <w:rtl/>
        </w:rPr>
        <w:t>اً</w:t>
      </w:r>
      <w:r>
        <w:rPr>
          <w:szCs w:val="32"/>
          <w:rtl/>
        </w:rPr>
        <w:t xml:space="preserve"> على الإطلاق لتلبية مقتضيات العيش الدنيا (يبلغ </w:t>
      </w:r>
      <w:r>
        <w:rPr>
          <w:rFonts w:hint="cs"/>
          <w:szCs w:val="32"/>
          <w:rtl/>
        </w:rPr>
        <w:t xml:space="preserve">الحد </w:t>
      </w:r>
      <w:r>
        <w:rPr>
          <w:szCs w:val="32"/>
          <w:rtl/>
        </w:rPr>
        <w:t xml:space="preserve">الأدنى </w:t>
      </w:r>
      <w:r>
        <w:rPr>
          <w:rFonts w:hint="cs"/>
          <w:szCs w:val="32"/>
          <w:rtl/>
        </w:rPr>
        <w:t xml:space="preserve">للأجور </w:t>
      </w:r>
      <w:r>
        <w:rPr>
          <w:szCs w:val="32"/>
          <w:rtl/>
        </w:rPr>
        <w:t>في جورجيا 20 لاريا).</w:t>
      </w:r>
    </w:p>
    <w:p w:rsidR="00000000" w:rsidRDefault="00000000">
      <w:pPr>
        <w:jc w:val="both"/>
        <w:rPr>
          <w:szCs w:val="32"/>
          <w:rtl/>
        </w:rPr>
      </w:pPr>
      <w:r>
        <w:rPr>
          <w:szCs w:val="32"/>
          <w:rtl/>
        </w:rPr>
        <w:t>55-</w:t>
      </w:r>
      <w:r>
        <w:rPr>
          <w:rFonts w:hint="cs"/>
          <w:szCs w:val="32"/>
          <w:rtl/>
        </w:rPr>
        <w:tab/>
      </w:r>
      <w:r>
        <w:rPr>
          <w:szCs w:val="32"/>
          <w:rtl/>
        </w:rPr>
        <w:t>و</w:t>
      </w:r>
      <w:r>
        <w:rPr>
          <w:rFonts w:hint="cs"/>
          <w:szCs w:val="32"/>
          <w:rtl/>
        </w:rPr>
        <w:t xml:space="preserve">يرتبط </w:t>
      </w:r>
      <w:r>
        <w:rPr>
          <w:szCs w:val="32"/>
          <w:rtl/>
        </w:rPr>
        <w:t xml:space="preserve">مستوى </w:t>
      </w:r>
      <w:r>
        <w:rPr>
          <w:rFonts w:hint="cs"/>
          <w:szCs w:val="32"/>
          <w:rtl/>
        </w:rPr>
        <w:t xml:space="preserve">الحد </w:t>
      </w:r>
      <w:r>
        <w:rPr>
          <w:szCs w:val="32"/>
          <w:rtl/>
        </w:rPr>
        <w:t xml:space="preserve">الأدنى </w:t>
      </w:r>
      <w:r>
        <w:rPr>
          <w:rFonts w:hint="cs"/>
          <w:szCs w:val="32"/>
          <w:rtl/>
        </w:rPr>
        <w:t>للأجور</w:t>
      </w:r>
      <w:r>
        <w:rPr>
          <w:szCs w:val="32"/>
          <w:rtl/>
        </w:rPr>
        <w:t xml:space="preserve"> </w:t>
      </w:r>
      <w:r>
        <w:rPr>
          <w:rFonts w:hint="cs"/>
          <w:szCs w:val="32"/>
          <w:rtl/>
        </w:rPr>
        <w:t xml:space="preserve">وعملية تعديله ارتباطاً وثيقاً </w:t>
      </w:r>
      <w:r>
        <w:rPr>
          <w:szCs w:val="32"/>
          <w:rtl/>
        </w:rPr>
        <w:t xml:space="preserve">بالوضع الاقتصادي للبلد. </w:t>
      </w:r>
      <w:r>
        <w:rPr>
          <w:rFonts w:hint="cs"/>
          <w:szCs w:val="32"/>
          <w:rtl/>
        </w:rPr>
        <w:t xml:space="preserve">فالحد الأدنى للأجور لا يكفي حالياً لتأمين مقتضيات المعيشة لكن من المزمع رفعه </w:t>
      </w:r>
      <w:r>
        <w:rPr>
          <w:szCs w:val="32"/>
          <w:rtl/>
        </w:rPr>
        <w:t>تدريجياً</w:t>
      </w:r>
      <w:r>
        <w:rPr>
          <w:rFonts w:hint="cs"/>
          <w:szCs w:val="32"/>
          <w:rtl/>
        </w:rPr>
        <w:t xml:space="preserve"> إلى مستوى الكفاف</w:t>
      </w:r>
      <w:r>
        <w:rPr>
          <w:szCs w:val="32"/>
          <w:rtl/>
        </w:rPr>
        <w:t>. وعلى هذا الأساس، تم</w:t>
      </w:r>
      <w:r>
        <w:rPr>
          <w:rFonts w:hint="cs"/>
          <w:szCs w:val="32"/>
          <w:rtl/>
        </w:rPr>
        <w:t>ت</w:t>
      </w:r>
      <w:r>
        <w:rPr>
          <w:szCs w:val="32"/>
          <w:rtl/>
        </w:rPr>
        <w:t xml:space="preserve"> صياغة توصيات تتعلق بمسألة أجور العمل </w:t>
      </w:r>
      <w:r>
        <w:rPr>
          <w:rFonts w:hint="cs"/>
          <w:szCs w:val="32"/>
          <w:rtl/>
        </w:rPr>
        <w:t>الممولة من</w:t>
      </w:r>
      <w:r>
        <w:rPr>
          <w:szCs w:val="32"/>
          <w:rtl/>
        </w:rPr>
        <w:t xml:space="preserve"> الميزانية </w:t>
      </w:r>
      <w:r>
        <w:rPr>
          <w:rFonts w:hint="cs"/>
          <w:szCs w:val="32"/>
          <w:rtl/>
        </w:rPr>
        <w:t xml:space="preserve">والحد </w:t>
      </w:r>
      <w:r>
        <w:rPr>
          <w:szCs w:val="32"/>
          <w:rtl/>
        </w:rPr>
        <w:t xml:space="preserve">الأدنى </w:t>
      </w:r>
      <w:r>
        <w:rPr>
          <w:rFonts w:hint="cs"/>
          <w:szCs w:val="32"/>
          <w:rtl/>
        </w:rPr>
        <w:t xml:space="preserve">للأجور </w:t>
      </w:r>
      <w:r>
        <w:rPr>
          <w:szCs w:val="32"/>
          <w:rtl/>
        </w:rPr>
        <w:t>ووسائل تنظيمه. وقد تولت وزارة العمل والصحة والرعاية الاجتماعية إعداد تلك التوصيات.</w:t>
      </w:r>
    </w:p>
    <w:p w:rsidR="00000000" w:rsidRDefault="00000000">
      <w:pPr>
        <w:jc w:val="both"/>
        <w:rPr>
          <w:szCs w:val="32"/>
          <w:rtl/>
        </w:rPr>
      </w:pPr>
      <w:r>
        <w:rPr>
          <w:szCs w:val="32"/>
          <w:rtl/>
        </w:rPr>
        <w:t>56-</w:t>
      </w:r>
      <w:r>
        <w:rPr>
          <w:rFonts w:hint="cs"/>
          <w:szCs w:val="32"/>
          <w:rtl/>
        </w:rPr>
        <w:tab/>
      </w:r>
      <w:r>
        <w:rPr>
          <w:szCs w:val="32"/>
          <w:rtl/>
        </w:rPr>
        <w:t>و</w:t>
      </w:r>
      <w:r>
        <w:rPr>
          <w:rFonts w:hint="cs"/>
          <w:szCs w:val="32"/>
          <w:rtl/>
        </w:rPr>
        <w:t xml:space="preserve">مما لا شك فيه أن </w:t>
      </w:r>
      <w:r>
        <w:rPr>
          <w:szCs w:val="32"/>
          <w:rtl/>
        </w:rPr>
        <w:t xml:space="preserve">التغلب على الفقر وتحقيق نمو اقتصادي </w:t>
      </w:r>
      <w:r>
        <w:rPr>
          <w:rFonts w:hint="cs"/>
          <w:szCs w:val="32"/>
          <w:rtl/>
        </w:rPr>
        <w:t xml:space="preserve">متوازن يشكلان </w:t>
      </w:r>
      <w:r>
        <w:rPr>
          <w:szCs w:val="32"/>
          <w:rtl/>
        </w:rPr>
        <w:t>عاملا</w:t>
      </w:r>
      <w:r>
        <w:rPr>
          <w:rFonts w:hint="cs"/>
          <w:szCs w:val="32"/>
          <w:rtl/>
        </w:rPr>
        <w:t>ً</w:t>
      </w:r>
      <w:r>
        <w:rPr>
          <w:szCs w:val="32"/>
          <w:rtl/>
        </w:rPr>
        <w:t xml:space="preserve"> ضروريا </w:t>
      </w:r>
      <w:r>
        <w:rPr>
          <w:rFonts w:hint="cs"/>
          <w:szCs w:val="32"/>
          <w:rtl/>
        </w:rPr>
        <w:t xml:space="preserve">بالنسبة لفعالية أداء </w:t>
      </w:r>
      <w:r>
        <w:rPr>
          <w:szCs w:val="32"/>
          <w:rtl/>
        </w:rPr>
        <w:t xml:space="preserve">سوق العمل. وعليه، يكون من الضروري إيلاء الأولوية لدعم </w:t>
      </w:r>
      <w:r>
        <w:rPr>
          <w:rFonts w:hint="cs"/>
          <w:szCs w:val="32"/>
          <w:rtl/>
        </w:rPr>
        <w:t>العمالة المنتجة</w:t>
      </w:r>
      <w:r>
        <w:rPr>
          <w:szCs w:val="32"/>
          <w:rtl/>
        </w:rPr>
        <w:t xml:space="preserve"> في القطاعات السكانية الأشد فقرا في البلد. وفي هذا السياق، </w:t>
      </w:r>
      <w:r>
        <w:rPr>
          <w:rFonts w:hint="cs"/>
          <w:szCs w:val="32"/>
          <w:rtl/>
        </w:rPr>
        <w:t xml:space="preserve">تتمثل </w:t>
      </w:r>
      <w:r>
        <w:rPr>
          <w:szCs w:val="32"/>
          <w:rtl/>
        </w:rPr>
        <w:t>أ</w:t>
      </w:r>
      <w:r>
        <w:rPr>
          <w:rFonts w:hint="cs"/>
          <w:szCs w:val="32"/>
          <w:rtl/>
        </w:rPr>
        <w:t>صعب</w:t>
      </w:r>
      <w:r>
        <w:rPr>
          <w:szCs w:val="32"/>
          <w:rtl/>
        </w:rPr>
        <w:t xml:space="preserve"> العوائق </w:t>
      </w:r>
      <w:r>
        <w:rPr>
          <w:rFonts w:hint="cs"/>
          <w:szCs w:val="32"/>
          <w:rtl/>
        </w:rPr>
        <w:t>التي تواجهها</w:t>
      </w:r>
      <w:r>
        <w:rPr>
          <w:szCs w:val="32"/>
          <w:rtl/>
        </w:rPr>
        <w:t xml:space="preserve"> جهود التوظيف</w:t>
      </w:r>
      <w:r>
        <w:rPr>
          <w:rFonts w:hint="cs"/>
          <w:szCs w:val="32"/>
          <w:rtl/>
        </w:rPr>
        <w:t xml:space="preserve"> حاليا</w:t>
      </w:r>
      <w:r>
        <w:rPr>
          <w:szCs w:val="32"/>
          <w:rtl/>
        </w:rPr>
        <w:t xml:space="preserve"> فيما يلي:</w:t>
      </w:r>
    </w:p>
    <w:p w:rsidR="00000000" w:rsidRDefault="00000000">
      <w:pPr>
        <w:spacing w:before="120" w:after="120"/>
        <w:ind w:left="1440" w:hanging="720"/>
        <w:jc w:val="both"/>
        <w:rPr>
          <w:szCs w:val="32"/>
          <w:rtl/>
        </w:rPr>
      </w:pPr>
      <w:r>
        <w:rPr>
          <w:rFonts w:hint="cs"/>
          <w:szCs w:val="32"/>
          <w:rtl/>
        </w:rPr>
        <w:t>•</w:t>
      </w:r>
      <w:r>
        <w:rPr>
          <w:rFonts w:hint="cs"/>
          <w:szCs w:val="32"/>
          <w:rtl/>
        </w:rPr>
        <w:tab/>
        <w:t>ال</w:t>
      </w:r>
      <w:r>
        <w:rPr>
          <w:szCs w:val="32"/>
          <w:rtl/>
        </w:rPr>
        <w:t xml:space="preserve">نقص </w:t>
      </w:r>
      <w:r>
        <w:rPr>
          <w:rFonts w:hint="cs"/>
          <w:szCs w:val="32"/>
          <w:rtl/>
        </w:rPr>
        <w:t xml:space="preserve">الحاد </w:t>
      </w:r>
      <w:r>
        <w:rPr>
          <w:szCs w:val="32"/>
          <w:rtl/>
        </w:rPr>
        <w:t xml:space="preserve">في </w:t>
      </w:r>
      <w:r>
        <w:rPr>
          <w:rFonts w:hint="cs"/>
          <w:szCs w:val="32"/>
          <w:rtl/>
        </w:rPr>
        <w:t xml:space="preserve">أعداد الأخصائيين </w:t>
      </w:r>
      <w:r>
        <w:rPr>
          <w:szCs w:val="32"/>
          <w:rtl/>
        </w:rPr>
        <w:t xml:space="preserve">المؤهلين والمدربين </w:t>
      </w:r>
      <w:r>
        <w:rPr>
          <w:rFonts w:hint="cs"/>
          <w:szCs w:val="32"/>
          <w:rtl/>
        </w:rPr>
        <w:t>تدريباً</w:t>
      </w:r>
      <w:r>
        <w:rPr>
          <w:szCs w:val="32"/>
          <w:rtl/>
        </w:rPr>
        <w:t xml:space="preserve"> ملائم</w:t>
      </w:r>
      <w:r>
        <w:rPr>
          <w:rFonts w:hint="cs"/>
          <w:szCs w:val="32"/>
          <w:rtl/>
        </w:rPr>
        <w:t>ا</w:t>
      </w:r>
      <w:r>
        <w:rPr>
          <w:szCs w:val="32"/>
          <w:rtl/>
        </w:rPr>
        <w:t xml:space="preserve"> بسبب </w:t>
      </w:r>
      <w:r>
        <w:rPr>
          <w:rFonts w:hint="cs"/>
          <w:szCs w:val="32"/>
          <w:rtl/>
        </w:rPr>
        <w:t xml:space="preserve">عدم وجود </w:t>
      </w:r>
      <w:r>
        <w:rPr>
          <w:szCs w:val="32"/>
          <w:rtl/>
        </w:rPr>
        <w:t>النظام الضروري للتدريب وإعادة التدريب؛</w:t>
      </w:r>
    </w:p>
    <w:p w:rsidR="00000000" w:rsidRDefault="00000000">
      <w:pPr>
        <w:spacing w:before="120" w:after="120"/>
        <w:ind w:left="1440" w:hanging="720"/>
        <w:jc w:val="both"/>
        <w:rPr>
          <w:szCs w:val="32"/>
          <w:rtl/>
        </w:rPr>
      </w:pPr>
      <w:r>
        <w:rPr>
          <w:rFonts w:hint="cs"/>
          <w:szCs w:val="32"/>
          <w:rtl/>
        </w:rPr>
        <w:t>•</w:t>
      </w:r>
      <w:r>
        <w:rPr>
          <w:rFonts w:hint="cs"/>
          <w:szCs w:val="32"/>
          <w:rtl/>
        </w:rPr>
        <w:tab/>
        <w:t>الحجم المثير للقلق الذي تتسم به البطالة الخفية والموسمية الطويلة الأجل، والعمالة الجزئية والعمالة الناقصة، و</w:t>
      </w:r>
      <w:r>
        <w:rPr>
          <w:szCs w:val="32"/>
          <w:rtl/>
        </w:rPr>
        <w:t xml:space="preserve">جميعها </w:t>
      </w:r>
      <w:r>
        <w:rPr>
          <w:rFonts w:hint="cs"/>
          <w:szCs w:val="32"/>
          <w:rtl/>
        </w:rPr>
        <w:t xml:space="preserve">تنطوي على </w:t>
      </w:r>
      <w:r>
        <w:rPr>
          <w:szCs w:val="32"/>
          <w:rtl/>
        </w:rPr>
        <w:t>تكاليف اقتصادية واجتماعية جمّة؛</w:t>
      </w:r>
    </w:p>
    <w:p w:rsidR="00000000" w:rsidRDefault="00000000">
      <w:pPr>
        <w:spacing w:before="120" w:after="120"/>
        <w:ind w:left="1440" w:hanging="720"/>
        <w:jc w:val="both"/>
        <w:rPr>
          <w:szCs w:val="32"/>
          <w:rtl/>
        </w:rPr>
      </w:pPr>
      <w:r>
        <w:rPr>
          <w:rFonts w:hint="cs"/>
          <w:szCs w:val="32"/>
          <w:rtl/>
        </w:rPr>
        <w:t>•</w:t>
      </w:r>
      <w:r>
        <w:rPr>
          <w:rFonts w:hint="cs"/>
          <w:szCs w:val="32"/>
          <w:rtl/>
        </w:rPr>
        <w:tab/>
        <w:t>هيكل العمالة غير السليم، حيث تبلغ نسبة العاملين لحسابهم الخاص 57 في المائة من مجموع العاملين؛</w:t>
      </w:r>
    </w:p>
    <w:p w:rsidR="00000000" w:rsidRDefault="00000000">
      <w:pPr>
        <w:spacing w:before="120" w:after="120"/>
        <w:jc w:val="both"/>
        <w:rPr>
          <w:szCs w:val="32"/>
          <w:rtl/>
        </w:rPr>
      </w:pPr>
      <w:r>
        <w:rPr>
          <w:rFonts w:hint="cs"/>
          <w:szCs w:val="32"/>
          <w:rtl/>
        </w:rPr>
        <w:tab/>
        <w:t>•</w:t>
      </w:r>
      <w:r>
        <w:rPr>
          <w:rFonts w:hint="cs"/>
          <w:szCs w:val="32"/>
          <w:rtl/>
        </w:rPr>
        <w:tab/>
        <w:t>ارتفاع عدد</w:t>
      </w:r>
      <w:r>
        <w:rPr>
          <w:szCs w:val="32"/>
          <w:rtl/>
        </w:rPr>
        <w:t xml:space="preserve"> الوظائف المنخفضة الأجور </w:t>
      </w:r>
      <w:r>
        <w:rPr>
          <w:rFonts w:hint="cs"/>
          <w:szCs w:val="32"/>
          <w:rtl/>
        </w:rPr>
        <w:t>التي تشكل</w:t>
      </w:r>
      <w:r>
        <w:rPr>
          <w:szCs w:val="32"/>
          <w:rtl/>
        </w:rPr>
        <w:t xml:space="preserve"> السبب الأول ل</w:t>
      </w:r>
      <w:r>
        <w:rPr>
          <w:rFonts w:hint="cs"/>
          <w:szCs w:val="32"/>
          <w:rtl/>
        </w:rPr>
        <w:t>انتشار</w:t>
      </w:r>
      <w:r>
        <w:rPr>
          <w:szCs w:val="32"/>
          <w:rtl/>
        </w:rPr>
        <w:t xml:space="preserve"> الفقر في البلد.</w:t>
      </w:r>
    </w:p>
    <w:p w:rsidR="00000000" w:rsidRDefault="00000000">
      <w:pPr>
        <w:jc w:val="both"/>
      </w:pPr>
      <w:r>
        <w:rPr>
          <w:szCs w:val="32"/>
          <w:rtl/>
        </w:rPr>
        <w:t>57-</w:t>
      </w:r>
      <w:r>
        <w:rPr>
          <w:rFonts w:hint="cs"/>
          <w:szCs w:val="32"/>
          <w:rtl/>
        </w:rPr>
        <w:tab/>
      </w:r>
      <w:r>
        <w:rPr>
          <w:szCs w:val="32"/>
          <w:rtl/>
        </w:rPr>
        <w:t>وعلى ضوء ما سبق، يمكن تحديد الأهداف الاستراتيجية لسياسة البلد في مجال ا</w:t>
      </w:r>
      <w:r>
        <w:rPr>
          <w:rFonts w:hint="cs"/>
          <w:szCs w:val="32"/>
          <w:rtl/>
        </w:rPr>
        <w:t>لعمالة</w:t>
      </w:r>
      <w:r>
        <w:rPr>
          <w:szCs w:val="32"/>
          <w:rtl/>
        </w:rPr>
        <w:t xml:space="preserve"> كما يلي: </w:t>
      </w:r>
      <w:r>
        <w:rPr>
          <w:rFonts w:hint="cs"/>
          <w:szCs w:val="32"/>
          <w:rtl/>
        </w:rPr>
        <w:t xml:space="preserve">أولاً، الاستخدام الأمثل للموارد </w:t>
      </w:r>
      <w:r>
        <w:rPr>
          <w:szCs w:val="32"/>
          <w:rtl/>
        </w:rPr>
        <w:t>البشرية المتاحة من خلال تنظيم سوق العمل</w:t>
      </w:r>
      <w:r>
        <w:rPr>
          <w:rFonts w:hint="cs"/>
          <w:szCs w:val="32"/>
          <w:rtl/>
        </w:rPr>
        <w:t>؛</w:t>
      </w:r>
      <w:r>
        <w:rPr>
          <w:szCs w:val="32"/>
          <w:rtl/>
        </w:rPr>
        <w:t xml:space="preserve"> </w:t>
      </w:r>
      <w:r>
        <w:rPr>
          <w:rFonts w:hint="cs"/>
          <w:szCs w:val="32"/>
          <w:rtl/>
        </w:rPr>
        <w:t>وثانياً</w:t>
      </w:r>
      <w:r>
        <w:rPr>
          <w:szCs w:val="32"/>
          <w:rtl/>
        </w:rPr>
        <w:t>، ضمان مستويات عالية لل</w:t>
      </w:r>
      <w:r>
        <w:rPr>
          <w:rFonts w:hint="cs"/>
          <w:szCs w:val="32"/>
          <w:rtl/>
        </w:rPr>
        <w:t>عمالة؛</w:t>
      </w:r>
      <w:r>
        <w:rPr>
          <w:szCs w:val="32"/>
          <w:rtl/>
        </w:rPr>
        <w:t xml:space="preserve"> و</w:t>
      </w:r>
      <w:r>
        <w:rPr>
          <w:rFonts w:hint="cs"/>
          <w:szCs w:val="32"/>
          <w:rtl/>
        </w:rPr>
        <w:t>ثالثاً،</w:t>
      </w:r>
      <w:r>
        <w:rPr>
          <w:szCs w:val="32"/>
          <w:rtl/>
        </w:rPr>
        <w:t xml:space="preserve"> ضمان </w:t>
      </w:r>
      <w:r>
        <w:rPr>
          <w:rFonts w:hint="cs"/>
          <w:szCs w:val="32"/>
          <w:rtl/>
        </w:rPr>
        <w:t>ال</w:t>
      </w:r>
      <w:r>
        <w:rPr>
          <w:szCs w:val="32"/>
          <w:rtl/>
        </w:rPr>
        <w:t xml:space="preserve">توازن </w:t>
      </w:r>
      <w:r>
        <w:rPr>
          <w:rFonts w:hint="cs"/>
          <w:szCs w:val="32"/>
          <w:rtl/>
        </w:rPr>
        <w:t>ال</w:t>
      </w:r>
      <w:r>
        <w:rPr>
          <w:szCs w:val="32"/>
          <w:rtl/>
        </w:rPr>
        <w:t>كم</w:t>
      </w:r>
      <w:r>
        <w:rPr>
          <w:rFonts w:hint="cs"/>
          <w:szCs w:val="32"/>
          <w:rtl/>
        </w:rPr>
        <w:t>ّ</w:t>
      </w:r>
      <w:r>
        <w:rPr>
          <w:szCs w:val="32"/>
          <w:rtl/>
        </w:rPr>
        <w:t xml:space="preserve">ي بين العرض والطلب </w:t>
      </w:r>
      <w:r>
        <w:rPr>
          <w:rFonts w:hint="cs"/>
          <w:szCs w:val="32"/>
          <w:rtl/>
        </w:rPr>
        <w:t xml:space="preserve">في قوة العمل </w:t>
      </w:r>
      <w:r>
        <w:rPr>
          <w:szCs w:val="32"/>
          <w:rtl/>
        </w:rPr>
        <w:t xml:space="preserve">بما يؤدي إلى تعزيز التنمية الاقتصادية </w:t>
      </w:r>
      <w:r>
        <w:rPr>
          <w:rFonts w:hint="cs"/>
          <w:szCs w:val="32"/>
          <w:rtl/>
        </w:rPr>
        <w:t>ل</w:t>
      </w:r>
      <w:r>
        <w:rPr>
          <w:szCs w:val="32"/>
          <w:rtl/>
        </w:rPr>
        <w:t>لبلد.</w:t>
      </w:r>
    </w:p>
    <w:p w:rsidR="00000000" w:rsidRDefault="00000000">
      <w:pPr>
        <w:jc w:val="both"/>
        <w:rPr>
          <w:rFonts w:hint="cs"/>
          <w:rtl/>
        </w:rPr>
      </w:pPr>
      <w:r>
        <w:rPr>
          <w:rFonts w:hint="cs"/>
          <w:rtl/>
        </w:rPr>
        <w:t>58-</w:t>
      </w:r>
      <w:r>
        <w:rPr>
          <w:rFonts w:hint="cs"/>
          <w:rtl/>
        </w:rPr>
        <w:tab/>
        <w:t>وابتداءً من عام 2002، تنوي وزارة العمل والصحة والرعاية الاجتماعية الحد من ممارسة تدريب وإعادة تدريب الأخصائيين دون أن تربط ذلك التدريب بشواغر معينة. وستشرف دائرة العمالة على إعادة التدريب المهني لصالح الباحثين عن العمل المسجلين وذلك على أساس تحليل فرص العمل الفعلية في بعض المهن والوضع العام لسوق العمل. وفي الوقت ذاته، سيولى اهتمام خاص لمستوى مراكز التدريب المهني نفسها. وسيجري اختيار مراكز التدريب ا لمهني على أساس المنافسة بانتهاج إجراءات المناقصة. وسيُشترط أن تقوم تلك المؤسسات بتدريب الأخصائيين المؤهلين تأهيلاً عاليا بالدرجة الأولى. ولهذا الغرض، ستوضع معايير معينة للمؤهلات المتعلقة بمختلف المهن بالاشتراك مع وزارة التعليم. وسيوجه التدريب المهني وإعادة التدريب أساساً إلى موارد العمالة المحتملة في المناطق الأولى بالتنمية التي يجد السكان فيها صعوبة في التنافس في سوق العمل.</w:t>
      </w:r>
    </w:p>
    <w:p w:rsidR="00000000" w:rsidRDefault="00000000">
      <w:pPr>
        <w:jc w:val="both"/>
        <w:rPr>
          <w:rFonts w:hint="cs"/>
          <w:i/>
          <w:iCs/>
          <w:rtl/>
        </w:rPr>
      </w:pPr>
      <w:r>
        <w:rPr>
          <w:rFonts w:hint="cs"/>
          <w:i/>
          <w:iCs/>
          <w:rtl/>
        </w:rPr>
        <w:t>نظام التدريب وإعادة التدريب المهني والتقني</w:t>
      </w:r>
    </w:p>
    <w:p w:rsidR="00000000" w:rsidRDefault="00000000">
      <w:pPr>
        <w:jc w:val="both"/>
        <w:rPr>
          <w:rFonts w:hint="cs"/>
          <w:rtl/>
        </w:rPr>
      </w:pPr>
      <w:r>
        <w:rPr>
          <w:rFonts w:hint="cs"/>
          <w:rtl/>
        </w:rPr>
        <w:t>59-</w:t>
      </w:r>
      <w:r>
        <w:rPr>
          <w:rFonts w:hint="cs"/>
          <w:rtl/>
        </w:rPr>
        <w:tab/>
        <w:t>تم وضع الإطار التشريعي الضروري لإقامة وتشغيل نظام التوجيه والتدريب المهنيين في مجال تنمية الموارد البشرية في جورجيا. وتضمن المادة 35 من الدستور الحق في التعليم، ويحدد قانون التعليم وقانون التعليم المهني الأساسي سياسة الدولة في هذا المجال.</w:t>
      </w:r>
    </w:p>
    <w:p w:rsidR="00000000" w:rsidRDefault="00000000">
      <w:pPr>
        <w:jc w:val="both"/>
        <w:rPr>
          <w:rFonts w:hint="cs"/>
          <w:rtl/>
        </w:rPr>
      </w:pPr>
      <w:r>
        <w:rPr>
          <w:rFonts w:hint="cs"/>
          <w:rtl/>
        </w:rPr>
        <w:t>60-</w:t>
      </w:r>
      <w:r>
        <w:rPr>
          <w:rFonts w:hint="cs"/>
          <w:rtl/>
        </w:rPr>
        <w:tab/>
        <w:t>ويتسم التوجيه المهني وإعادة التدريب المهني بأهمية أساسية في إدارة سياسة التوظيف والعمالة بفعالية. وتتولى وزارة العمل والصحة والرعاية الاجتماعية المسؤولية عن رصد وتنسيق التوجيه المهني وأنشطة التدريب وإعادة التدريب لصالح العاطلين عن العمل. ويهدف عمل الوزارة في هذا المجال إلى جعل نظام التدريب وإعادة التدريب متوافقاً، أولاً، مع مقتضيات اتفاقيتي منظمة العمل الدولية رقم 142 و122، وثانياً مع الطلب الفعلي على الموارد البشرية في سوق العمل. ولهذا الغرض، تعمل الوزارة على تنفيذ التدابير التالية:</w:t>
      </w:r>
    </w:p>
    <w:p w:rsidR="00000000" w:rsidRDefault="00000000">
      <w:pPr>
        <w:spacing w:before="0" w:after="0"/>
        <w:jc w:val="both"/>
        <w:rPr>
          <w:rFonts w:hint="cs"/>
          <w:rtl/>
        </w:rPr>
      </w:pPr>
      <w:r>
        <w:rPr>
          <w:rFonts w:hint="cs"/>
          <w:rtl/>
        </w:rPr>
        <w:tab/>
        <w:t>•</w:t>
      </w:r>
      <w:r>
        <w:rPr>
          <w:rFonts w:hint="cs"/>
          <w:rtl/>
        </w:rPr>
        <w:tab/>
        <w:t>وضع برامج خاصة لتوفير التدريب وإعادة التدريب المهني للعاطلين عن العمل؛</w:t>
      </w:r>
    </w:p>
    <w:p w:rsidR="00000000" w:rsidRDefault="00000000">
      <w:pPr>
        <w:spacing w:before="0" w:after="0"/>
        <w:jc w:val="both"/>
        <w:rPr>
          <w:rFonts w:hint="cs"/>
          <w:rtl/>
        </w:rPr>
      </w:pPr>
      <w:r>
        <w:rPr>
          <w:rFonts w:hint="cs"/>
          <w:rtl/>
        </w:rPr>
        <w:tab/>
        <w:t>•</w:t>
      </w:r>
      <w:r>
        <w:rPr>
          <w:rFonts w:hint="cs"/>
          <w:rtl/>
        </w:rPr>
        <w:tab/>
        <w:t>تحديد مصادر التمويل من خارج الميزانية وجمع الأموال؛</w:t>
      </w:r>
    </w:p>
    <w:p w:rsidR="00000000" w:rsidRDefault="00000000">
      <w:pPr>
        <w:spacing w:before="0" w:after="0"/>
        <w:jc w:val="both"/>
        <w:rPr>
          <w:rFonts w:hint="cs"/>
          <w:rtl/>
        </w:rPr>
      </w:pPr>
      <w:r>
        <w:rPr>
          <w:rFonts w:hint="cs"/>
          <w:rtl/>
        </w:rPr>
        <w:tab/>
        <w:t>•</w:t>
      </w:r>
      <w:r>
        <w:rPr>
          <w:rFonts w:hint="cs"/>
          <w:rtl/>
        </w:rPr>
        <w:tab/>
        <w:t>تنفيذ تلك البرامج الخاصة وفقا للمعايير الدولية.</w:t>
      </w:r>
    </w:p>
    <w:p w:rsidR="00000000" w:rsidRDefault="00000000">
      <w:pPr>
        <w:jc w:val="both"/>
        <w:rPr>
          <w:rFonts w:hint="cs"/>
          <w:rtl/>
        </w:rPr>
      </w:pPr>
      <w:r>
        <w:rPr>
          <w:rFonts w:hint="cs"/>
          <w:rtl/>
        </w:rPr>
        <w:t>61-</w:t>
      </w:r>
      <w:r>
        <w:rPr>
          <w:rFonts w:hint="cs"/>
          <w:rtl/>
        </w:rPr>
        <w:tab/>
        <w:t>وتتولى دائرة العمالة المسؤولية عن تحديد عدد الأماكن المتاحة للتدريب وإعادة التدريب ونوع التدريب المقدم وفقاً للطلب الفعلي في سوق العمل. وتشمل مهام صندوق الدولة الموحد للعمالة تنظيم إجراءات المناقصة بين مؤسسات التعليم العالي والمهني من أجل دعوتها إلى تقديم طلبات تهدف إلى تدريب العاطلين عن العمل وإعادة تدريبهم والتماس الأموال اللازمة لهذا العمل.</w:t>
      </w:r>
    </w:p>
    <w:p w:rsidR="00000000" w:rsidRDefault="00000000">
      <w:pPr>
        <w:jc w:val="both"/>
        <w:rPr>
          <w:rFonts w:hint="cs"/>
          <w:rtl/>
        </w:rPr>
      </w:pPr>
      <w:r>
        <w:rPr>
          <w:rFonts w:hint="cs"/>
          <w:rtl/>
        </w:rPr>
        <w:t>62-</w:t>
      </w:r>
      <w:r>
        <w:rPr>
          <w:rFonts w:hint="cs"/>
          <w:rtl/>
        </w:rPr>
        <w:tab/>
        <w:t>وسيكون من الضروري، من الآن فصاعدا، تصميم كل برامج التدريب وإعادة التدريب لصالح العاطلين عن العمل حسب مقتضيات سوق العمل التي ستخضع لرصد منتظم.</w:t>
      </w:r>
    </w:p>
    <w:p w:rsidR="00000000" w:rsidRDefault="00000000">
      <w:pPr>
        <w:jc w:val="both"/>
        <w:rPr>
          <w:rFonts w:hint="cs"/>
          <w:rtl/>
        </w:rPr>
      </w:pPr>
      <w:r>
        <w:rPr>
          <w:rFonts w:hint="cs"/>
          <w:rtl/>
        </w:rPr>
        <w:t>63-</w:t>
      </w:r>
      <w:r>
        <w:rPr>
          <w:rFonts w:hint="cs"/>
          <w:rtl/>
        </w:rPr>
        <w:tab/>
        <w:t xml:space="preserve">وتم فتح مركز خاص للتوجيه وإعادة التدريب المهنيين في إطار صندوق الدولة الموحد للعمالة وهو يعمل الآن وينظم التدريب وإعادة التدريب المهني لصالح العاطلين عن العمل. وعلى مدى الفترة الممتدة من 1996 إلى 2000، خدم هذا المركز 868 1 شخصاً من بين العاطلين عن العمل والباحثين عن العمل من خلال رفع مستوى مؤهلاتهم وتوفير التدريب المهني وفقاً لبرامج الدولة المعَدة سنوياً. </w:t>
      </w:r>
    </w:p>
    <w:p w:rsidR="00000000" w:rsidRDefault="00000000">
      <w:pPr>
        <w:jc w:val="both"/>
        <w:rPr>
          <w:rFonts w:hint="cs"/>
          <w:rtl/>
        </w:rPr>
      </w:pPr>
      <w:r>
        <w:rPr>
          <w:rFonts w:hint="cs"/>
          <w:rtl/>
        </w:rPr>
        <w:t>64-</w:t>
      </w:r>
      <w:r>
        <w:rPr>
          <w:rFonts w:hint="cs"/>
          <w:rtl/>
        </w:rPr>
        <w:tab/>
        <w:t>وتشترك وكالات التوظيف التابعة للقطاع الخاص أيضا في توفير التدريب وإعادة التدريب المهنيين للباحثين عن العمل، بمن فيهم العاطلون عن العمل، وتتكلل أعمالها بنجاح كبير في بعض الحالات. ومن الأمثلة على ذلك مؤسسة الخدمات "العالمية" للتوظيف المهني.</w:t>
      </w:r>
    </w:p>
    <w:p w:rsidR="00000000" w:rsidRDefault="00000000">
      <w:pPr>
        <w:jc w:val="both"/>
        <w:rPr>
          <w:rFonts w:hint="cs"/>
          <w:rtl/>
        </w:rPr>
      </w:pPr>
      <w:r>
        <w:rPr>
          <w:rFonts w:hint="cs"/>
          <w:rtl/>
        </w:rPr>
        <w:t>65-</w:t>
      </w:r>
      <w:r>
        <w:rPr>
          <w:rFonts w:hint="cs"/>
          <w:rtl/>
        </w:rPr>
        <w:tab/>
        <w:t>وفي الوقت ذاته، يجب التسليم بأن التنسيق بين برامج الدولة وسياساتها في مجال التوجيه المهني وسياساتها وبرامجها في مجال العمالة ضعيف جداً بصورة عامة. وقد يعزى ذلك إلى العوامل التالية: أولاً، فرص العمل المحدودة، وثانياً، الوضع الفوضوي لسوق العمل،  وثالثاً الطلب شبه المنعدم على العمل، ورابعاً، كون التنبؤ على وجه الدقة بالطلب على الموظفين المدربين أمراً يكاد يكون مستحيلاً.</w:t>
      </w:r>
    </w:p>
    <w:p w:rsidR="00000000" w:rsidRDefault="00000000">
      <w:pPr>
        <w:jc w:val="both"/>
        <w:rPr>
          <w:rFonts w:hint="cs"/>
          <w:rtl/>
        </w:rPr>
      </w:pPr>
      <w:r>
        <w:rPr>
          <w:rFonts w:hint="cs"/>
          <w:rtl/>
        </w:rPr>
        <w:t>66-</w:t>
      </w:r>
      <w:r>
        <w:rPr>
          <w:rFonts w:hint="cs"/>
          <w:rtl/>
        </w:rPr>
        <w:tab/>
        <w:t xml:space="preserve">وقد وضعت وزارة العمل والصحة والرعاية الاجتماعية عدداً من المعايير واللوائح في إطار مشروع قانون العمالة الجديد من أجل ضمان وجود صلة مباشرة بين وضع العمالة (التوظيف) من جهة، والتدريب المهني من جهة أخرى. ومن شأن هذا القانون، عند إقراره، أن يعزز إلى حد بعيد الجهود المكرسة لتسوية المشكلات المبيّنة أعلاه. </w:t>
      </w:r>
    </w:p>
    <w:p w:rsidR="00000000" w:rsidRDefault="00000000">
      <w:pPr>
        <w:jc w:val="both"/>
        <w:rPr>
          <w:rFonts w:hint="cs"/>
          <w:rtl/>
        </w:rPr>
      </w:pPr>
      <w:r>
        <w:rPr>
          <w:rFonts w:hint="cs"/>
          <w:rtl/>
        </w:rPr>
        <w:t>67-</w:t>
      </w:r>
      <w:r>
        <w:rPr>
          <w:rFonts w:hint="cs"/>
          <w:rtl/>
        </w:rPr>
        <w:tab/>
        <w:t>وأوصت اللجنة المعنية بالحقوق الاقتصادية والاجتماعية والثقافية، في ملاحظاتها الختامية (الفقرة 25)، باعتماد التشريع المناسب لضمان تحسين فرص التحاق المعوقين بسوق العمل.</w:t>
      </w:r>
    </w:p>
    <w:p w:rsidR="00000000" w:rsidRDefault="00000000">
      <w:pPr>
        <w:jc w:val="both"/>
        <w:rPr>
          <w:rFonts w:hint="cs"/>
          <w:rtl/>
        </w:rPr>
      </w:pPr>
      <w:r>
        <w:rPr>
          <w:rFonts w:hint="cs"/>
          <w:rtl/>
        </w:rPr>
        <w:t>68-</w:t>
      </w:r>
      <w:r>
        <w:rPr>
          <w:rFonts w:hint="cs"/>
          <w:rtl/>
        </w:rPr>
        <w:tab/>
        <w:t>وفي ذلك السياق، تقدم المعلومات المفصلة التالية بشأن وضع المعوقين الذين يتكفل قانون المعوقين (الرعاية الاجتماعية) بضمان مصالحهم. فبموجب هذا القانون، تلتزم الدولة بتهيئة الأوضاع اللازمة لضمان الاستفادة الكاملة من الإمكانات الإبداعية والإنتاجية التي تتمتع بها تلك الفئة.</w:t>
      </w:r>
    </w:p>
    <w:p w:rsidR="00000000" w:rsidRDefault="00000000">
      <w:pPr>
        <w:jc w:val="both"/>
        <w:rPr>
          <w:rFonts w:hint="cs"/>
          <w:rtl/>
        </w:rPr>
      </w:pPr>
      <w:r>
        <w:rPr>
          <w:rFonts w:hint="cs"/>
          <w:rtl/>
        </w:rPr>
        <w:t>69-</w:t>
      </w:r>
      <w:r>
        <w:rPr>
          <w:rFonts w:hint="cs"/>
          <w:rtl/>
        </w:rPr>
        <w:tab/>
        <w:t>ويجري توفير التعليم والتدريب المهني والتنمية المهنية لصالح المعوقين في أشكال مختلفة، بما فيها التعليم بالمراسلة، والدراسة الخارجية، والمجموعات الدراسية الخاصة، والدراسة في المنزل المصممة حسب احتياجات الأفراد للدراسة. وتضطلع المؤسسات التعليمية المتخصصة والمؤسسات ذات الاختصاص العام بالإضافة إلى مؤسسات ومنظمات أخرى بإدارة تلك البرامج بالتعاون مع سلطات الرعاية الاجتماعية. وفي عام 1999، تلقى 277 شخصاً التدريب المهني في المركز الوطني لتدريب المعوقين، تمكن 100 شخص منهم من الحصول على عمل فيما بعد. وتم فتح مركز لتدريب المعوقين في مدينة كوتايزي يتكفل بتنظيم دورة تدريبية سنوية فيما يتصل بعدد من المهن المختلفة لصالح تلك الفئة.</w:t>
      </w:r>
    </w:p>
    <w:p w:rsidR="00000000" w:rsidRDefault="00000000">
      <w:pPr>
        <w:jc w:val="both"/>
        <w:rPr>
          <w:rFonts w:hint="cs"/>
          <w:rtl/>
        </w:rPr>
      </w:pPr>
      <w:r>
        <w:rPr>
          <w:rFonts w:hint="cs"/>
          <w:rtl/>
        </w:rPr>
        <w:t>70-</w:t>
      </w:r>
      <w:r>
        <w:rPr>
          <w:rFonts w:hint="cs"/>
          <w:rtl/>
        </w:rPr>
        <w:tab/>
        <w:t xml:space="preserve">وشُرع في تنفيذ برنامج توظيف المعوقين في عام 1997. ويجري تأسيس مراكز التوجيه المهني والتكيّف مع ظروف العمل لصالح المعوقين. إلا أن إعادة تأهيل المعوقين اجتماعياً ومهنياً تصطدم ، في الوقت ذاته، بعراقيل مهمة سببها نقص الأموال والافتقار للموظفين المؤهلين، بالإضافة إلى المشكلات الإدارية. </w:t>
      </w:r>
    </w:p>
    <w:p w:rsidR="00000000" w:rsidRDefault="00000000">
      <w:pPr>
        <w:jc w:val="both"/>
        <w:rPr>
          <w:rFonts w:hint="cs"/>
          <w:rtl/>
        </w:rPr>
      </w:pPr>
      <w:r>
        <w:rPr>
          <w:rFonts w:hint="cs"/>
          <w:rtl/>
        </w:rPr>
        <w:t>71-</w:t>
      </w:r>
      <w:r>
        <w:rPr>
          <w:rFonts w:hint="cs"/>
          <w:rtl/>
        </w:rPr>
        <w:tab/>
        <w:t>ومن أجل استكمال توضيح الصورة المبيّنة أعلاه، ترد فيما يلي معلومات مقدمة من المكتب الوطني للإحصائيات عن الوضع السائد في نظام التعليم المهني والتقني ككل.</w:t>
      </w:r>
    </w:p>
    <w:p w:rsidR="00000000" w:rsidRDefault="00000000">
      <w:pPr>
        <w:jc w:val="both"/>
        <w:rPr>
          <w:rFonts w:hint="cs"/>
          <w:rtl/>
        </w:rPr>
      </w:pPr>
      <w:r>
        <w:rPr>
          <w:rFonts w:hint="cs"/>
          <w:rtl/>
        </w:rPr>
        <w:t>72-</w:t>
      </w:r>
      <w:r>
        <w:rPr>
          <w:rFonts w:hint="cs"/>
          <w:rtl/>
        </w:rPr>
        <w:tab/>
      </w:r>
      <w:r>
        <w:rPr>
          <w:rFonts w:hint="cs"/>
          <w:spacing w:val="2"/>
          <w:rtl/>
        </w:rPr>
        <w:t>وخلال السنة الأكاديمية 1997/1998، كانت هناك 81 مؤسسة تعليم ثانوي متخصصة تعمل على نطاق البلد وتخدم ما مجموعه 000 30 طالب. وفي السنة الأكاديمية 1998/1999، بلغ عدد هذه المؤسسات 83 مؤسسة تضم 000 32 طالب. وفي سنة 1999/2000، ارتفع هذا العدد إلى 85 مؤسسة التحق بها 000 30 طالب. وتتعلق</w:t>
      </w:r>
      <w:r>
        <w:rPr>
          <w:rFonts w:hint="cs"/>
          <w:rtl/>
        </w:rPr>
        <w:t xml:space="preserve"> هذه الأرقام بالمؤسسات التعليمية الحكومية. أما الإحصائيات المتعلقة بالمؤسسات التعليمية الخاصة (تستلزم دفع رسوم) فهي كما يلي: في السنة الأكاديمية 1997/1998: 47 مؤسسة و200 5 طالب؛ وفي السنة الأكاديمية 1998/1999: 58 مؤسسة و200 7 طالب؛ وفي السنة الأكاديمية 1999/2000: 58 مؤسسة و800 6 طالب. </w:t>
      </w:r>
    </w:p>
    <w:p w:rsidR="00000000" w:rsidRDefault="00000000">
      <w:pPr>
        <w:jc w:val="both"/>
        <w:rPr>
          <w:rFonts w:hint="cs"/>
          <w:rtl/>
        </w:rPr>
      </w:pPr>
      <w:r>
        <w:rPr>
          <w:rFonts w:hint="cs"/>
          <w:rtl/>
        </w:rPr>
        <w:t>73-</w:t>
      </w:r>
      <w:r>
        <w:rPr>
          <w:rFonts w:hint="cs"/>
          <w:rtl/>
        </w:rPr>
        <w:tab/>
        <w:t>ويشمل نظام التعليم المهني والتقني المجالات المتخصصة التالية: الصناعة والبناء؛ والنقل والاتصالات؛ والزراعة؛ والاقتصاديات والحقوق؛ والرعاية الصحية؛ والتربية البدنية والرياضة؛ والتعليم؛ والفنون والسينما وبالإضافة إلى ذلك، هناك عدد من المؤسسات المهنية متعددة التخصصات. وتقدم الدورات الدراسية في هذه المؤسسات في إطار برامج التدريس النهاري والمسائي وبالمراسلة في حين لا توفر المؤسسات الخاصة إلا الدورات الدراسية النهارية.</w:t>
      </w:r>
    </w:p>
    <w:p w:rsidR="00000000" w:rsidRDefault="00000000">
      <w:pPr>
        <w:jc w:val="both"/>
        <w:rPr>
          <w:rFonts w:hint="cs"/>
          <w:i/>
          <w:iCs/>
          <w:rtl/>
        </w:rPr>
      </w:pPr>
      <w:r>
        <w:rPr>
          <w:rFonts w:hint="cs"/>
          <w:i/>
          <w:iCs/>
          <w:rtl/>
        </w:rPr>
        <w:t>المستخدمون في وظائف متعددة</w:t>
      </w:r>
    </w:p>
    <w:p w:rsidR="00000000" w:rsidRDefault="00000000">
      <w:pPr>
        <w:jc w:val="both"/>
        <w:rPr>
          <w:rFonts w:hint="cs"/>
          <w:rtl/>
        </w:rPr>
      </w:pPr>
      <w:r>
        <w:rPr>
          <w:rFonts w:hint="cs"/>
          <w:rtl/>
        </w:rPr>
        <w:t>74-</w:t>
      </w:r>
      <w:r>
        <w:rPr>
          <w:rFonts w:hint="cs"/>
          <w:rtl/>
        </w:rPr>
        <w:tab/>
        <w:t>أفادت مصادر من وزارة العمل والصحة والرعاية الاجتماعية بأن هذا النوع من البيانات غير متاح في جورجيا.</w:t>
      </w:r>
    </w:p>
    <w:p w:rsidR="00000000" w:rsidRDefault="00000000">
      <w:pPr>
        <w:jc w:val="both"/>
        <w:rPr>
          <w:rFonts w:hint="cs"/>
          <w:i/>
          <w:iCs/>
          <w:rtl/>
        </w:rPr>
      </w:pPr>
      <w:r>
        <w:rPr>
          <w:rFonts w:hint="cs"/>
          <w:i/>
          <w:iCs/>
          <w:rtl/>
        </w:rPr>
        <w:t>التغييرات في تشريعات العمل</w:t>
      </w:r>
    </w:p>
    <w:p w:rsidR="00000000" w:rsidRDefault="00000000">
      <w:pPr>
        <w:jc w:val="both"/>
        <w:rPr>
          <w:rFonts w:hint="cs"/>
          <w:rtl/>
        </w:rPr>
      </w:pPr>
      <w:r>
        <w:rPr>
          <w:rFonts w:hint="cs"/>
          <w:rtl/>
        </w:rPr>
        <w:t>75-</w:t>
      </w:r>
      <w:r>
        <w:rPr>
          <w:rFonts w:hint="cs"/>
          <w:rtl/>
        </w:rPr>
        <w:tab/>
        <w:t>لم تطرأ أية تغييرات على التشريعات التي تنظم علاقات العمل في عام 2000.</w:t>
      </w:r>
    </w:p>
    <w:p w:rsidR="00000000" w:rsidRDefault="00000000">
      <w:pPr>
        <w:jc w:val="both"/>
        <w:rPr>
          <w:rFonts w:hint="cs"/>
          <w:i/>
          <w:iCs/>
          <w:rtl/>
        </w:rPr>
      </w:pPr>
      <w:r>
        <w:rPr>
          <w:rFonts w:hint="cs"/>
          <w:i/>
          <w:iCs/>
          <w:rtl/>
        </w:rPr>
        <w:t>دور المساعدة الدولية في دعم الحقوق بموجب المادة 6 من العهد</w:t>
      </w:r>
    </w:p>
    <w:p w:rsidR="00000000" w:rsidRDefault="00000000">
      <w:pPr>
        <w:jc w:val="both"/>
        <w:rPr>
          <w:rFonts w:hint="cs"/>
          <w:rtl/>
        </w:rPr>
      </w:pPr>
      <w:r>
        <w:rPr>
          <w:rFonts w:hint="cs"/>
          <w:rtl/>
        </w:rPr>
        <w:t>76-</w:t>
      </w:r>
      <w:r>
        <w:rPr>
          <w:rFonts w:hint="cs"/>
          <w:rtl/>
        </w:rPr>
        <w:tab/>
        <w:t xml:space="preserve">على مستوى الهيئات الحكومية، تقع مسائل التعاون مع المنظمات الدولية، بما فيها منظمة العمل الدولية والمنظمة الدولية للهجرة وغيرها من المنظمات، تحت مسؤولية وزارة العمل والصحة والرعاية الاجتماعية. </w:t>
      </w:r>
    </w:p>
    <w:p w:rsidR="00000000" w:rsidRDefault="00000000">
      <w:pPr>
        <w:jc w:val="both"/>
        <w:rPr>
          <w:rFonts w:hint="cs"/>
          <w:rtl/>
        </w:rPr>
      </w:pPr>
      <w:r>
        <w:rPr>
          <w:rFonts w:hint="cs"/>
          <w:rtl/>
        </w:rPr>
        <w:t>77-</w:t>
      </w:r>
      <w:r>
        <w:rPr>
          <w:rFonts w:hint="cs"/>
          <w:rtl/>
        </w:rPr>
        <w:tab/>
        <w:t>وتم إعداد تقارير لتقديمها إلى منظمة العمل الدولية بموجب الاتفاقيات رقم 29 و52 و98 و100 و105 و111 و117 و122 و138 و142 التي صدق عليها البرلمان الجورجي. وفي الوقت ذاته، تم تحضير الردود على الاستبيان الخاص الذي أعدته منظمة العمل الدولية فيما يتعلق بضرورة تنقيح التوصية رقم 127 بشأن المساعدة المقدمة إلى التعاونيات. وقد أُرسلت هذه الوثيقة إلى منظمة العمل الدولية.</w:t>
      </w:r>
    </w:p>
    <w:p w:rsidR="00000000" w:rsidRDefault="00000000">
      <w:pPr>
        <w:jc w:val="both"/>
        <w:rPr>
          <w:rFonts w:hint="cs"/>
          <w:rtl/>
        </w:rPr>
      </w:pPr>
      <w:r>
        <w:rPr>
          <w:rFonts w:hint="cs"/>
          <w:rtl/>
        </w:rPr>
        <w:t>78-</w:t>
      </w:r>
      <w:r>
        <w:rPr>
          <w:rFonts w:hint="cs"/>
          <w:rtl/>
        </w:rPr>
        <w:tab/>
        <w:t>ويشترك صندوق الدولة الموحد للعمالة بهمة في الأنشطة والمشاريع الدولية. وكأمثلة على تلك الأنشطة يمكن الإشارة إلى ما يلي:</w:t>
      </w:r>
    </w:p>
    <w:p w:rsidR="00000000" w:rsidRDefault="00000000">
      <w:pPr>
        <w:spacing w:before="120" w:after="120"/>
        <w:ind w:left="1440" w:hanging="720"/>
        <w:jc w:val="both"/>
        <w:rPr>
          <w:rFonts w:hint="cs"/>
          <w:rtl/>
        </w:rPr>
      </w:pPr>
      <w:r>
        <w:rPr>
          <w:rFonts w:hint="cs"/>
          <w:rtl/>
        </w:rPr>
        <w:t>•</w:t>
      </w:r>
      <w:r>
        <w:rPr>
          <w:rFonts w:hint="cs"/>
          <w:rtl/>
        </w:rPr>
        <w:tab/>
        <w:t>العمل مع منظمة العمل الدولية في مشروع مشترك لإعادة هيكلة المشاريع المسؤولة عن الجانب الاجتماعي (وقد أُنجز بنجاح مشروع مماثل في الاتحاد الروسي ويجري تنفيذه حاليا في عدد من بلدان كومنولث الدول المستقلة)؛</w:t>
      </w:r>
    </w:p>
    <w:p w:rsidR="00000000" w:rsidRDefault="00000000">
      <w:pPr>
        <w:spacing w:before="120" w:after="120"/>
        <w:ind w:left="1440" w:hanging="720"/>
        <w:jc w:val="both"/>
        <w:rPr>
          <w:rFonts w:hint="cs"/>
          <w:rtl/>
        </w:rPr>
      </w:pPr>
      <w:r>
        <w:rPr>
          <w:rFonts w:hint="cs"/>
          <w:rtl/>
        </w:rPr>
        <w:t>•</w:t>
      </w:r>
      <w:r>
        <w:rPr>
          <w:rFonts w:hint="cs"/>
          <w:rtl/>
        </w:rPr>
        <w:tab/>
        <w:t>الاشتراك في تحضير مؤتمر دولي بشأن ترتيبات العمالة وأهمية إشراك دوائر العمالة في المشاريع الدولية وفي مشروع "طريق الحرير"، على وجه التحديد، الذي يهدف إلى إرساء الأساس لاستهلال مرحلة جديدة من التعاون بين تلك الدوائر؛</w:t>
      </w:r>
    </w:p>
    <w:p w:rsidR="00000000" w:rsidRDefault="00000000">
      <w:pPr>
        <w:spacing w:before="120" w:after="120"/>
        <w:ind w:left="1440" w:hanging="720"/>
        <w:jc w:val="both"/>
        <w:rPr>
          <w:rFonts w:hint="cs"/>
          <w:rtl/>
        </w:rPr>
      </w:pPr>
      <w:r>
        <w:rPr>
          <w:rFonts w:hint="cs"/>
          <w:rtl/>
        </w:rPr>
        <w:t>•</w:t>
      </w:r>
      <w:r>
        <w:rPr>
          <w:rFonts w:hint="cs"/>
          <w:rtl/>
        </w:rPr>
        <w:tab/>
        <w:t>الاشتراك في مشروع للوكالة السويدية للتنمية الدولية يرمي إلى تعزيز نظام العمالة في جورجيا من خلال تنفيذ تدابير مكثفة في مجال التدريب كمرحلة تمهيدية.</w:t>
      </w:r>
    </w:p>
    <w:p w:rsidR="00000000" w:rsidRDefault="00000000">
      <w:pPr>
        <w:jc w:val="both"/>
        <w:rPr>
          <w:rFonts w:hint="cs"/>
          <w:b/>
          <w:bCs/>
          <w:rtl/>
        </w:rPr>
      </w:pPr>
      <w:r>
        <w:rPr>
          <w:rFonts w:hint="cs"/>
          <w:b/>
          <w:bCs/>
          <w:rtl/>
        </w:rPr>
        <w:t>المادة 7</w:t>
      </w:r>
    </w:p>
    <w:p w:rsidR="00000000" w:rsidRDefault="00000000">
      <w:pPr>
        <w:jc w:val="both"/>
        <w:rPr>
          <w:rFonts w:hint="cs"/>
          <w:i/>
          <w:iCs/>
          <w:rtl/>
        </w:rPr>
      </w:pPr>
      <w:r>
        <w:rPr>
          <w:rFonts w:hint="cs"/>
          <w:i/>
          <w:iCs/>
          <w:rtl/>
        </w:rPr>
        <w:t>الوسائل الأولية لتحديد الأجور</w:t>
      </w:r>
    </w:p>
    <w:p w:rsidR="00000000" w:rsidRDefault="00000000">
      <w:pPr>
        <w:jc w:val="both"/>
        <w:rPr>
          <w:rFonts w:hint="cs"/>
          <w:rtl/>
        </w:rPr>
      </w:pPr>
      <w:r>
        <w:rPr>
          <w:rFonts w:hint="cs"/>
          <w:rtl/>
        </w:rPr>
        <w:t>79-</w:t>
      </w:r>
      <w:r>
        <w:rPr>
          <w:rFonts w:hint="cs"/>
          <w:rtl/>
        </w:rPr>
        <w:tab/>
        <w:t>في قطاع الميزانية الحكومية، تتولى الدولة ضبط الأجور على أساس مركزي بينما تكون المؤسسات والمنظمات في القطاع الخاص غير الممولة من الميزانية المركزية حرة في تحديد أشكال ونظم الأجور بطريقة مستقلة، مع مراعاة الحد الأدنى المقرر بالنسبة للأجور.</w:t>
      </w:r>
    </w:p>
    <w:p w:rsidR="00000000" w:rsidRDefault="00000000">
      <w:pPr>
        <w:jc w:val="both"/>
        <w:rPr>
          <w:rFonts w:hint="cs"/>
          <w:i/>
          <w:iCs/>
          <w:rtl/>
        </w:rPr>
      </w:pPr>
      <w:r>
        <w:rPr>
          <w:rFonts w:hint="cs"/>
          <w:i/>
          <w:iCs/>
          <w:rtl/>
        </w:rPr>
        <w:t>نظام الحد الأدنى للأجور</w:t>
      </w:r>
    </w:p>
    <w:p w:rsidR="00000000" w:rsidRDefault="00000000">
      <w:pPr>
        <w:jc w:val="both"/>
        <w:rPr>
          <w:rFonts w:hint="cs"/>
          <w:rtl/>
        </w:rPr>
      </w:pPr>
      <w:r>
        <w:rPr>
          <w:rFonts w:hint="cs"/>
          <w:rtl/>
        </w:rPr>
        <w:t>80-</w:t>
      </w:r>
      <w:r>
        <w:rPr>
          <w:rFonts w:hint="cs"/>
          <w:rtl/>
        </w:rPr>
        <w:tab/>
        <w:t xml:space="preserve">حدّد المرسوم الرئاسي رقم 351 الصادر في 4 حزيران/يونيه 1999، الحد الأدنى للأجور بمبلغ 20 لارياً (9.7 دولارات من دولارات الولايات المتحدة)، وهو مبلغ يكاد لا يتجاوز 17 في المائة من مستوى الحد الأدنى للكفاف ونحو 25 في المائة من متوسط الأجور. ويكون الالتزام بالحد الأدنى المقرر للأجور إجبارياً على جميع المشاريع والمنظمات والمؤسسات بصرف النظر عن شكل ملكيتها ومركزها التنظيمي القانوني. وبهذه الطريقة، ينطبق الحد الأدنى للأجور على كل العاملين دون تمييز بين مختلف المجموعات. وتكون لمستويات الحد الأدنى للأجور قوة القانون لأنها تُحدد بمقتضى مدونة تشريعات العمل ويتم التصديق على المستويات المقررة بموجب مرسوم رئاسي. </w:t>
      </w:r>
    </w:p>
    <w:p w:rsidR="00000000" w:rsidRDefault="00000000">
      <w:pPr>
        <w:jc w:val="both"/>
        <w:rPr>
          <w:rFonts w:hint="cs"/>
          <w:rtl/>
        </w:rPr>
      </w:pPr>
      <w:r>
        <w:rPr>
          <w:rFonts w:hint="cs"/>
          <w:rtl/>
        </w:rPr>
        <w:t>81-</w:t>
      </w:r>
      <w:r>
        <w:rPr>
          <w:rFonts w:hint="cs"/>
          <w:rtl/>
        </w:rPr>
        <w:tab/>
        <w:t xml:space="preserve">ويكون المستوى الأدنى للكفاف، بموجب قانون (إجراءات حساب) الحد الأدنى للكفاف، عاملاً مشمولا في مستوى الحد الأدنى للأجور. وبالتالي، إذا أدى التضخم الاستهلاكي إلى انخفاض مستوى الحد الأدنى للأجور بالنسبة إلى مستوى الكفاف الأدنى، يجب عندئذ إعادة النظر في الحد الأدنى للأجور من وقت لآخر. </w:t>
      </w:r>
    </w:p>
    <w:p w:rsidR="00000000" w:rsidRDefault="00000000">
      <w:pPr>
        <w:jc w:val="both"/>
        <w:rPr>
          <w:rFonts w:hint="cs"/>
          <w:rtl/>
        </w:rPr>
      </w:pPr>
      <w:r>
        <w:rPr>
          <w:rFonts w:hint="cs"/>
          <w:rtl/>
        </w:rPr>
        <w:t>82-</w:t>
      </w:r>
      <w:r>
        <w:rPr>
          <w:rFonts w:hint="cs"/>
          <w:rtl/>
        </w:rPr>
        <w:tab/>
        <w:t>وتقع مسؤولية رصد نظام الحد الأدنى للأجور في جورجيا على عاتق مفتشية الضرائب ومفتشية العمل.</w:t>
      </w:r>
    </w:p>
    <w:p w:rsidR="00000000" w:rsidRDefault="00000000">
      <w:pPr>
        <w:jc w:val="both"/>
        <w:rPr>
          <w:rFonts w:hint="cs"/>
          <w:i/>
          <w:iCs/>
          <w:rtl/>
        </w:rPr>
      </w:pPr>
      <w:r>
        <w:rPr>
          <w:rFonts w:hint="cs"/>
          <w:i/>
          <w:iCs/>
          <w:rtl/>
        </w:rPr>
        <w:t>الحد الأدنى للأجور</w:t>
      </w:r>
    </w:p>
    <w:p w:rsidR="00000000" w:rsidRDefault="00000000">
      <w:pPr>
        <w:jc w:val="both"/>
        <w:rPr>
          <w:rFonts w:hint="cs"/>
          <w:rtl/>
        </w:rPr>
      </w:pPr>
      <w:r>
        <w:rPr>
          <w:rFonts w:hint="cs"/>
          <w:rtl/>
        </w:rPr>
        <w:t>83-</w:t>
      </w:r>
      <w:r>
        <w:rPr>
          <w:rFonts w:hint="cs"/>
          <w:rtl/>
        </w:rPr>
        <w:tab/>
        <w:t>رغم بعض التطورات الإيجابية التي طرأت على إمكانيات النمو الاقتصادي لهذا البلد على مدى السنوات القليلة الأخيرة، يظل مستوى الأجور غير متناسب على الوجه الصحيح مع العوامل الاقتصادية الحقيقية.</w:t>
      </w:r>
    </w:p>
    <w:p w:rsidR="00000000" w:rsidRDefault="00000000">
      <w:pPr>
        <w:jc w:val="both"/>
        <w:rPr>
          <w:rFonts w:hint="cs"/>
          <w:rtl/>
        </w:rPr>
      </w:pPr>
      <w:r>
        <w:rPr>
          <w:rFonts w:hint="cs"/>
          <w:rtl/>
        </w:rPr>
        <w:t>84-</w:t>
      </w:r>
      <w:r>
        <w:rPr>
          <w:rFonts w:hint="cs"/>
          <w:rtl/>
        </w:rPr>
        <w:tab/>
        <w:t>وفي الظروف السائدة حاليا، يتّضح أن الأجور، كمقياس لقيمة العمل، لا تتوافق مع تكاليف العيش الحقيقية بل إنها لا تكفي حتى للحفاظ على مستوى الرصيد الرأسمالي القائم، ناهيك عن أنها لا تكفي لتحقيق أية زيادة. ويكفي التذكير بأن متوسط الأجر كان يقدر، في كانون الأول/ديسمبر 2000، بنسبة 61.8 في المائة من متوسط الاستهلاك على مستوى الكفاف الأدنى، في حين شكل الحد الأدنى للأجور 20 في المائة فقط.</w:t>
      </w:r>
    </w:p>
    <w:p w:rsidR="00000000" w:rsidRDefault="00000000">
      <w:pPr>
        <w:jc w:val="both"/>
        <w:rPr>
          <w:rFonts w:hint="cs"/>
          <w:rtl/>
        </w:rPr>
      </w:pPr>
      <w:r>
        <w:rPr>
          <w:rFonts w:hint="cs"/>
          <w:rtl/>
        </w:rPr>
        <w:t>85-</w:t>
      </w:r>
      <w:r>
        <w:rPr>
          <w:rFonts w:hint="cs"/>
          <w:rtl/>
        </w:rPr>
        <w:tab/>
        <w:t>والأجور منخفضة إلى درجة أنها لا تشكل أكثر من 34.5 في المائة من مجموع الدخل، وهي تصل في انخفاضها إلى ما دون المستوى الحرج (60 في المائة). ونتيجة لذلك، كان التقدم الذي حققته الجهود المبذولة لاستعادة حوافز العمل في جورجيا بطيئا للغاية.</w:t>
      </w:r>
    </w:p>
    <w:p w:rsidR="00000000" w:rsidRDefault="00000000">
      <w:pPr>
        <w:jc w:val="both"/>
        <w:rPr>
          <w:rFonts w:hint="cs"/>
          <w:rtl/>
        </w:rPr>
      </w:pPr>
      <w:r>
        <w:rPr>
          <w:rFonts w:hint="cs"/>
          <w:rtl/>
        </w:rPr>
        <w:t>86-</w:t>
      </w:r>
      <w:r>
        <w:rPr>
          <w:rFonts w:hint="cs"/>
          <w:rtl/>
        </w:rPr>
        <w:tab/>
        <w:t>وتدل الإحصاءات على نمو بنسبة 47.3 في المائة في متوسط الأجور على مدى الفترة الممتدة من 1997 إلى 2000 وعلى نمو بنسبة 48.1 في المائة في الحد الأدنى للأجور. ويمكن تَبيّن تلك الاتجاهات في الجدول التالي: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3"/>
        <w:gridCol w:w="1539"/>
        <w:gridCol w:w="1197"/>
        <w:gridCol w:w="1197"/>
        <w:gridCol w:w="1539"/>
        <w:gridCol w:w="1368"/>
        <w:gridCol w:w="1539"/>
      </w:tblGrid>
      <w:tr w:rsidR="003865AC" w:rsidTr="003865AC">
        <w:tblPrEx>
          <w:tblCellMar>
            <w:top w:w="0" w:type="dxa"/>
            <w:bottom w:w="0" w:type="dxa"/>
          </w:tblCellMar>
        </w:tblPrEx>
        <w:tc>
          <w:tcPr>
            <w:tcW w:w="913" w:type="dxa"/>
            <w:tcBorders>
              <w:bottom w:val="single" w:sz="4" w:space="0" w:color="auto"/>
            </w:tcBorders>
          </w:tcPr>
          <w:p w:rsidR="003865AC" w:rsidRDefault="003865AC">
            <w:pPr>
              <w:spacing w:before="0" w:after="0" w:line="340" w:lineRule="exact"/>
              <w:jc w:val="both"/>
              <w:rPr>
                <w:rFonts w:hint="cs"/>
                <w:b/>
                <w:bCs/>
                <w:szCs w:val="26"/>
                <w:rtl/>
              </w:rPr>
            </w:pPr>
          </w:p>
          <w:p w:rsidR="003865AC" w:rsidRDefault="003865AC">
            <w:pPr>
              <w:spacing w:before="0" w:after="0" w:line="340" w:lineRule="exact"/>
              <w:jc w:val="both"/>
              <w:rPr>
                <w:rFonts w:hint="cs"/>
                <w:b/>
                <w:bCs/>
                <w:szCs w:val="26"/>
                <w:rtl/>
              </w:rPr>
            </w:pPr>
          </w:p>
          <w:p w:rsidR="003865AC" w:rsidRDefault="003865AC">
            <w:pPr>
              <w:spacing w:before="0" w:after="0" w:line="340" w:lineRule="exact"/>
              <w:jc w:val="both"/>
              <w:rPr>
                <w:rFonts w:hint="cs"/>
                <w:b/>
                <w:bCs/>
                <w:szCs w:val="26"/>
                <w:rtl/>
              </w:rPr>
            </w:pPr>
          </w:p>
          <w:p w:rsidR="003865AC" w:rsidRDefault="003865AC">
            <w:pPr>
              <w:spacing w:before="0" w:after="0" w:line="340" w:lineRule="exact"/>
              <w:jc w:val="both"/>
              <w:rPr>
                <w:rFonts w:hint="cs"/>
                <w:b/>
                <w:bCs/>
                <w:szCs w:val="26"/>
                <w:rtl/>
              </w:rPr>
            </w:pPr>
          </w:p>
          <w:p w:rsidR="003865AC" w:rsidRDefault="003865AC">
            <w:pPr>
              <w:spacing w:before="0" w:after="0" w:line="340" w:lineRule="exact"/>
              <w:jc w:val="both"/>
              <w:rPr>
                <w:rFonts w:hint="cs"/>
                <w:b/>
                <w:bCs/>
                <w:szCs w:val="26"/>
              </w:rPr>
            </w:pPr>
            <w:r>
              <w:rPr>
                <w:rFonts w:hint="cs"/>
                <w:b/>
                <w:bCs/>
                <w:szCs w:val="26"/>
                <w:rtl/>
              </w:rPr>
              <w:t>السنوات</w:t>
            </w:r>
          </w:p>
        </w:tc>
        <w:tc>
          <w:tcPr>
            <w:tcW w:w="1539" w:type="dxa"/>
            <w:tcBorders>
              <w:bottom w:val="single" w:sz="4" w:space="0" w:color="auto"/>
            </w:tcBorders>
          </w:tcPr>
          <w:p w:rsidR="003865AC" w:rsidRDefault="003865AC">
            <w:pPr>
              <w:spacing w:before="0" w:after="0" w:line="340" w:lineRule="exact"/>
              <w:jc w:val="both"/>
              <w:rPr>
                <w:rFonts w:hint="cs"/>
                <w:b/>
                <w:bCs/>
                <w:szCs w:val="26"/>
              </w:rPr>
            </w:pPr>
            <w:r>
              <w:rPr>
                <w:rFonts w:hint="cs"/>
                <w:b/>
                <w:bCs/>
                <w:szCs w:val="26"/>
                <w:rtl/>
              </w:rPr>
              <w:t>الحد الأدنى للكفاف بالنسبة للرجال القادرين جسديا على العمل (باللاري)</w:t>
            </w:r>
          </w:p>
        </w:tc>
        <w:tc>
          <w:tcPr>
            <w:tcW w:w="1197" w:type="dxa"/>
            <w:tcBorders>
              <w:bottom w:val="single" w:sz="4" w:space="0" w:color="auto"/>
            </w:tcBorders>
          </w:tcPr>
          <w:p w:rsidR="003865AC" w:rsidRDefault="003865AC">
            <w:pPr>
              <w:spacing w:before="0" w:after="0" w:line="340" w:lineRule="exact"/>
              <w:jc w:val="both"/>
              <w:rPr>
                <w:rFonts w:hint="cs"/>
                <w:b/>
                <w:bCs/>
                <w:szCs w:val="26"/>
                <w:rtl/>
              </w:rPr>
            </w:pPr>
          </w:p>
          <w:p w:rsidR="003865AC" w:rsidRDefault="003865AC">
            <w:pPr>
              <w:spacing w:before="0" w:after="0" w:line="340" w:lineRule="exact"/>
              <w:jc w:val="both"/>
              <w:rPr>
                <w:rFonts w:hint="cs"/>
                <w:b/>
                <w:bCs/>
                <w:szCs w:val="26"/>
                <w:rtl/>
              </w:rPr>
            </w:pPr>
          </w:p>
          <w:p w:rsidR="003865AC" w:rsidRDefault="003865AC">
            <w:pPr>
              <w:spacing w:before="0" w:after="0" w:line="340" w:lineRule="exact"/>
              <w:jc w:val="center"/>
              <w:rPr>
                <w:rFonts w:hint="cs"/>
                <w:b/>
                <w:bCs/>
                <w:szCs w:val="26"/>
              </w:rPr>
            </w:pPr>
            <w:r>
              <w:rPr>
                <w:rFonts w:hint="cs"/>
                <w:b/>
                <w:bCs/>
                <w:szCs w:val="26"/>
                <w:rtl/>
              </w:rPr>
              <w:t>متوسـط الأجـور (باللاري)</w:t>
            </w:r>
          </w:p>
        </w:tc>
        <w:tc>
          <w:tcPr>
            <w:tcW w:w="1197" w:type="dxa"/>
            <w:tcBorders>
              <w:bottom w:val="single" w:sz="4" w:space="0" w:color="auto"/>
            </w:tcBorders>
          </w:tcPr>
          <w:p w:rsidR="003865AC" w:rsidRDefault="003865AC">
            <w:pPr>
              <w:spacing w:before="0" w:after="0" w:line="340" w:lineRule="exact"/>
              <w:jc w:val="both"/>
              <w:rPr>
                <w:rFonts w:hint="cs"/>
                <w:b/>
                <w:bCs/>
                <w:szCs w:val="26"/>
                <w:rtl/>
              </w:rPr>
            </w:pPr>
          </w:p>
          <w:p w:rsidR="003865AC" w:rsidRDefault="003865AC">
            <w:pPr>
              <w:spacing w:before="0" w:after="0" w:line="340" w:lineRule="exact"/>
              <w:jc w:val="both"/>
              <w:rPr>
                <w:rFonts w:hint="cs"/>
                <w:b/>
                <w:bCs/>
                <w:szCs w:val="26"/>
                <w:rtl/>
              </w:rPr>
            </w:pPr>
          </w:p>
          <w:p w:rsidR="003865AC" w:rsidRDefault="003865AC">
            <w:pPr>
              <w:spacing w:before="0" w:after="0" w:line="340" w:lineRule="exact"/>
              <w:jc w:val="center"/>
              <w:rPr>
                <w:rFonts w:hint="cs"/>
                <w:b/>
                <w:bCs/>
                <w:szCs w:val="26"/>
              </w:rPr>
            </w:pPr>
            <w:r>
              <w:rPr>
                <w:rFonts w:hint="cs"/>
                <w:b/>
                <w:bCs/>
                <w:szCs w:val="26"/>
                <w:rtl/>
              </w:rPr>
              <w:t>الحد الأدنى للأجـور (باللاري)</w:t>
            </w:r>
          </w:p>
        </w:tc>
        <w:tc>
          <w:tcPr>
            <w:tcW w:w="1539" w:type="dxa"/>
            <w:tcBorders>
              <w:bottom w:val="single" w:sz="4" w:space="0" w:color="auto"/>
            </w:tcBorders>
          </w:tcPr>
          <w:p w:rsidR="003865AC" w:rsidRDefault="003865AC">
            <w:pPr>
              <w:spacing w:before="0" w:after="0" w:line="340" w:lineRule="exact"/>
              <w:jc w:val="center"/>
              <w:rPr>
                <w:rFonts w:hint="cs"/>
                <w:b/>
                <w:bCs/>
                <w:szCs w:val="26"/>
              </w:rPr>
            </w:pPr>
            <w:r>
              <w:rPr>
                <w:rFonts w:hint="cs"/>
                <w:b/>
                <w:bCs/>
                <w:szCs w:val="26"/>
                <w:rtl/>
              </w:rPr>
              <w:t>متوسط الأجور كنسبة مئوية من الحـد الأدنـى للكفـــاف (باللاري)</w:t>
            </w:r>
          </w:p>
        </w:tc>
        <w:tc>
          <w:tcPr>
            <w:tcW w:w="1368" w:type="dxa"/>
            <w:tcBorders>
              <w:bottom w:val="single" w:sz="4" w:space="0" w:color="auto"/>
            </w:tcBorders>
          </w:tcPr>
          <w:p w:rsidR="003865AC" w:rsidRDefault="003865AC">
            <w:pPr>
              <w:spacing w:before="0" w:after="0" w:line="340" w:lineRule="exact"/>
              <w:jc w:val="center"/>
              <w:rPr>
                <w:rFonts w:hint="cs"/>
                <w:b/>
                <w:bCs/>
                <w:szCs w:val="26"/>
              </w:rPr>
            </w:pPr>
            <w:r>
              <w:rPr>
                <w:rFonts w:hint="cs"/>
                <w:b/>
                <w:bCs/>
                <w:szCs w:val="26"/>
                <w:rtl/>
              </w:rPr>
              <w:t>الحــد الأدنى للأجور كنسبة مئوية من الحد الأدنى للكفاف (باللاري)</w:t>
            </w:r>
          </w:p>
        </w:tc>
        <w:tc>
          <w:tcPr>
            <w:tcW w:w="1539" w:type="dxa"/>
            <w:tcBorders>
              <w:bottom w:val="single" w:sz="4" w:space="0" w:color="auto"/>
            </w:tcBorders>
          </w:tcPr>
          <w:p w:rsidR="003865AC" w:rsidRDefault="003865AC">
            <w:pPr>
              <w:spacing w:before="0" w:after="0" w:line="340" w:lineRule="exact"/>
              <w:jc w:val="both"/>
              <w:rPr>
                <w:rFonts w:hint="cs"/>
                <w:b/>
                <w:bCs/>
                <w:szCs w:val="26"/>
                <w:rtl/>
              </w:rPr>
            </w:pPr>
          </w:p>
          <w:p w:rsidR="003865AC" w:rsidRDefault="003865AC">
            <w:pPr>
              <w:spacing w:before="0" w:after="0" w:line="340" w:lineRule="exact"/>
              <w:jc w:val="center"/>
              <w:rPr>
                <w:rFonts w:hint="cs"/>
                <w:b/>
                <w:bCs/>
                <w:szCs w:val="26"/>
              </w:rPr>
            </w:pPr>
            <w:r>
              <w:rPr>
                <w:rFonts w:hint="cs"/>
                <w:b/>
                <w:bCs/>
                <w:szCs w:val="26"/>
                <w:rtl/>
              </w:rPr>
              <w:t>الحــد الأدنى للأجـور كنسبة مئوية من متوسط الأجور</w:t>
            </w:r>
          </w:p>
        </w:tc>
      </w:tr>
      <w:tr w:rsidR="003865AC" w:rsidTr="003865AC">
        <w:tblPrEx>
          <w:tblCellMar>
            <w:top w:w="0" w:type="dxa"/>
            <w:bottom w:w="0" w:type="dxa"/>
          </w:tblCellMar>
        </w:tblPrEx>
        <w:tc>
          <w:tcPr>
            <w:tcW w:w="913" w:type="dxa"/>
            <w:tcBorders>
              <w:bottom w:val="nil"/>
            </w:tcBorders>
          </w:tcPr>
          <w:p w:rsidR="003865AC" w:rsidRDefault="003865AC">
            <w:pPr>
              <w:spacing w:before="0" w:after="0"/>
              <w:jc w:val="both"/>
              <w:rPr>
                <w:rFonts w:hint="cs"/>
              </w:rPr>
            </w:pPr>
            <w:r>
              <w:rPr>
                <w:rFonts w:hint="cs"/>
                <w:rtl/>
              </w:rPr>
              <w:t>1997</w:t>
            </w:r>
          </w:p>
        </w:tc>
        <w:tc>
          <w:tcPr>
            <w:tcW w:w="1539" w:type="dxa"/>
            <w:tcBorders>
              <w:bottom w:val="nil"/>
            </w:tcBorders>
          </w:tcPr>
          <w:p w:rsidR="003865AC" w:rsidRDefault="003865AC">
            <w:pPr>
              <w:tabs>
                <w:tab w:val="left" w:pos="234"/>
              </w:tabs>
              <w:spacing w:before="0" w:after="0"/>
              <w:jc w:val="both"/>
              <w:rPr>
                <w:rFonts w:hint="cs"/>
              </w:rPr>
            </w:pPr>
            <w:r>
              <w:rPr>
                <w:rFonts w:hint="cs"/>
                <w:rtl/>
              </w:rPr>
              <w:tab/>
              <w:t xml:space="preserve">   140</w:t>
            </w:r>
          </w:p>
        </w:tc>
        <w:tc>
          <w:tcPr>
            <w:tcW w:w="1197" w:type="dxa"/>
            <w:tcBorders>
              <w:bottom w:val="nil"/>
            </w:tcBorders>
          </w:tcPr>
          <w:p w:rsidR="003865AC" w:rsidRDefault="003865AC">
            <w:pPr>
              <w:spacing w:before="0" w:after="0"/>
              <w:jc w:val="center"/>
              <w:rPr>
                <w:rFonts w:hint="cs"/>
              </w:rPr>
            </w:pPr>
            <w:r>
              <w:rPr>
                <w:rFonts w:hint="cs"/>
                <w:rtl/>
              </w:rPr>
              <w:t>54.9</w:t>
            </w:r>
          </w:p>
        </w:tc>
        <w:tc>
          <w:tcPr>
            <w:tcW w:w="1197" w:type="dxa"/>
            <w:tcBorders>
              <w:bottom w:val="nil"/>
            </w:tcBorders>
          </w:tcPr>
          <w:p w:rsidR="003865AC" w:rsidRDefault="003865AC">
            <w:pPr>
              <w:spacing w:before="0" w:after="0"/>
              <w:jc w:val="center"/>
              <w:rPr>
                <w:rFonts w:hint="cs"/>
              </w:rPr>
            </w:pPr>
            <w:r>
              <w:rPr>
                <w:rFonts w:hint="cs"/>
                <w:rtl/>
              </w:rPr>
              <w:t>13.5</w:t>
            </w:r>
          </w:p>
        </w:tc>
        <w:tc>
          <w:tcPr>
            <w:tcW w:w="1539" w:type="dxa"/>
            <w:tcBorders>
              <w:bottom w:val="nil"/>
            </w:tcBorders>
          </w:tcPr>
          <w:p w:rsidR="003865AC" w:rsidRDefault="003865AC">
            <w:pPr>
              <w:spacing w:before="0" w:after="0"/>
              <w:jc w:val="center"/>
              <w:rPr>
                <w:rFonts w:hint="cs"/>
              </w:rPr>
            </w:pPr>
            <w:r>
              <w:rPr>
                <w:rFonts w:hint="cs"/>
                <w:rtl/>
              </w:rPr>
              <w:t>52.8</w:t>
            </w:r>
          </w:p>
        </w:tc>
        <w:tc>
          <w:tcPr>
            <w:tcW w:w="1368" w:type="dxa"/>
            <w:tcBorders>
              <w:bottom w:val="nil"/>
            </w:tcBorders>
          </w:tcPr>
          <w:p w:rsidR="003865AC" w:rsidRDefault="003865AC">
            <w:pPr>
              <w:spacing w:before="0" w:after="0"/>
              <w:jc w:val="center"/>
              <w:rPr>
                <w:rFonts w:hint="cs"/>
              </w:rPr>
            </w:pPr>
            <w:r>
              <w:rPr>
                <w:rFonts w:hint="cs"/>
                <w:rtl/>
              </w:rPr>
              <w:t>13.0</w:t>
            </w:r>
          </w:p>
        </w:tc>
        <w:tc>
          <w:tcPr>
            <w:tcW w:w="1539" w:type="dxa"/>
            <w:tcBorders>
              <w:bottom w:val="nil"/>
            </w:tcBorders>
          </w:tcPr>
          <w:p w:rsidR="003865AC" w:rsidRDefault="003865AC">
            <w:pPr>
              <w:spacing w:before="0" w:after="0"/>
              <w:jc w:val="center"/>
              <w:rPr>
                <w:rFonts w:hint="cs"/>
              </w:rPr>
            </w:pPr>
            <w:r>
              <w:rPr>
                <w:rFonts w:hint="cs"/>
                <w:rtl/>
              </w:rPr>
              <w:t>24.6</w:t>
            </w:r>
          </w:p>
        </w:tc>
      </w:tr>
      <w:tr w:rsidR="003865AC" w:rsidTr="003865AC">
        <w:tblPrEx>
          <w:tblCellMar>
            <w:top w:w="0" w:type="dxa"/>
            <w:bottom w:w="0" w:type="dxa"/>
          </w:tblCellMar>
        </w:tblPrEx>
        <w:tc>
          <w:tcPr>
            <w:tcW w:w="913" w:type="dxa"/>
            <w:tcBorders>
              <w:top w:val="nil"/>
              <w:bottom w:val="nil"/>
            </w:tcBorders>
          </w:tcPr>
          <w:p w:rsidR="003865AC" w:rsidRDefault="003865AC">
            <w:pPr>
              <w:spacing w:before="0" w:after="0"/>
              <w:jc w:val="both"/>
              <w:rPr>
                <w:rFonts w:hint="cs"/>
                <w:rtl/>
              </w:rPr>
            </w:pPr>
            <w:r>
              <w:rPr>
                <w:rFonts w:hint="cs"/>
                <w:rtl/>
              </w:rPr>
              <w:t>1998</w:t>
            </w:r>
          </w:p>
        </w:tc>
        <w:tc>
          <w:tcPr>
            <w:tcW w:w="1539" w:type="dxa"/>
            <w:tcBorders>
              <w:top w:val="nil"/>
              <w:bottom w:val="nil"/>
            </w:tcBorders>
          </w:tcPr>
          <w:p w:rsidR="003865AC" w:rsidRDefault="003865AC">
            <w:pPr>
              <w:tabs>
                <w:tab w:val="left" w:pos="234"/>
              </w:tabs>
              <w:spacing w:before="0" w:after="0"/>
              <w:jc w:val="both"/>
              <w:rPr>
                <w:rtl/>
              </w:rPr>
            </w:pPr>
            <w:r>
              <w:rPr>
                <w:rtl/>
              </w:rPr>
              <w:tab/>
              <w:t>101.5</w:t>
            </w:r>
          </w:p>
        </w:tc>
        <w:tc>
          <w:tcPr>
            <w:tcW w:w="1197" w:type="dxa"/>
            <w:tcBorders>
              <w:top w:val="nil"/>
              <w:bottom w:val="nil"/>
            </w:tcBorders>
          </w:tcPr>
          <w:p w:rsidR="003865AC" w:rsidRDefault="003865AC">
            <w:pPr>
              <w:spacing w:before="0" w:after="0"/>
              <w:jc w:val="center"/>
              <w:rPr>
                <w:rFonts w:hint="cs"/>
                <w:rtl/>
              </w:rPr>
            </w:pPr>
            <w:r>
              <w:rPr>
                <w:rFonts w:hint="cs"/>
                <w:rtl/>
              </w:rPr>
              <w:t>55.2</w:t>
            </w:r>
          </w:p>
        </w:tc>
        <w:tc>
          <w:tcPr>
            <w:tcW w:w="1197" w:type="dxa"/>
            <w:tcBorders>
              <w:top w:val="nil"/>
              <w:bottom w:val="nil"/>
            </w:tcBorders>
          </w:tcPr>
          <w:p w:rsidR="003865AC" w:rsidRDefault="003865AC">
            <w:pPr>
              <w:spacing w:before="0" w:after="0"/>
              <w:jc w:val="center"/>
              <w:rPr>
                <w:rFonts w:hint="cs"/>
                <w:rtl/>
              </w:rPr>
            </w:pPr>
            <w:r>
              <w:rPr>
                <w:rFonts w:hint="cs"/>
                <w:rtl/>
              </w:rPr>
              <w:t>17.3</w:t>
            </w:r>
          </w:p>
        </w:tc>
        <w:tc>
          <w:tcPr>
            <w:tcW w:w="1539" w:type="dxa"/>
            <w:tcBorders>
              <w:top w:val="nil"/>
              <w:bottom w:val="nil"/>
            </w:tcBorders>
          </w:tcPr>
          <w:p w:rsidR="003865AC" w:rsidRDefault="003865AC">
            <w:pPr>
              <w:spacing w:before="0" w:after="0"/>
              <w:jc w:val="center"/>
              <w:rPr>
                <w:rFonts w:hint="cs"/>
                <w:rtl/>
              </w:rPr>
            </w:pPr>
            <w:r>
              <w:rPr>
                <w:rFonts w:hint="cs"/>
                <w:rtl/>
              </w:rPr>
              <w:t>54.5</w:t>
            </w:r>
          </w:p>
        </w:tc>
        <w:tc>
          <w:tcPr>
            <w:tcW w:w="1368" w:type="dxa"/>
            <w:tcBorders>
              <w:top w:val="nil"/>
              <w:bottom w:val="nil"/>
            </w:tcBorders>
          </w:tcPr>
          <w:p w:rsidR="003865AC" w:rsidRDefault="003865AC">
            <w:pPr>
              <w:spacing w:before="0" w:after="0"/>
              <w:jc w:val="center"/>
              <w:rPr>
                <w:rFonts w:hint="cs"/>
                <w:rtl/>
              </w:rPr>
            </w:pPr>
            <w:r>
              <w:rPr>
                <w:rFonts w:hint="cs"/>
                <w:rtl/>
              </w:rPr>
              <w:t>17.0</w:t>
            </w:r>
          </w:p>
        </w:tc>
        <w:tc>
          <w:tcPr>
            <w:tcW w:w="1539" w:type="dxa"/>
            <w:tcBorders>
              <w:top w:val="nil"/>
              <w:bottom w:val="nil"/>
            </w:tcBorders>
          </w:tcPr>
          <w:p w:rsidR="003865AC" w:rsidRDefault="003865AC">
            <w:pPr>
              <w:spacing w:before="0" w:after="0"/>
              <w:jc w:val="center"/>
              <w:rPr>
                <w:rFonts w:hint="cs"/>
                <w:rtl/>
              </w:rPr>
            </w:pPr>
            <w:r>
              <w:rPr>
                <w:rFonts w:hint="cs"/>
                <w:rtl/>
              </w:rPr>
              <w:t>31.3</w:t>
            </w:r>
          </w:p>
        </w:tc>
      </w:tr>
      <w:tr w:rsidR="003865AC" w:rsidTr="003865AC">
        <w:tblPrEx>
          <w:tblCellMar>
            <w:top w:w="0" w:type="dxa"/>
            <w:bottom w:w="0" w:type="dxa"/>
          </w:tblCellMar>
        </w:tblPrEx>
        <w:tc>
          <w:tcPr>
            <w:tcW w:w="913" w:type="dxa"/>
            <w:tcBorders>
              <w:top w:val="nil"/>
              <w:bottom w:val="nil"/>
            </w:tcBorders>
          </w:tcPr>
          <w:p w:rsidR="003865AC" w:rsidRDefault="003865AC">
            <w:pPr>
              <w:spacing w:before="0" w:after="0"/>
              <w:jc w:val="both"/>
              <w:rPr>
                <w:rFonts w:hint="cs"/>
                <w:rtl/>
              </w:rPr>
            </w:pPr>
            <w:r>
              <w:rPr>
                <w:rFonts w:hint="cs"/>
                <w:rtl/>
              </w:rPr>
              <w:t>1999</w:t>
            </w:r>
          </w:p>
        </w:tc>
        <w:tc>
          <w:tcPr>
            <w:tcW w:w="1539" w:type="dxa"/>
            <w:tcBorders>
              <w:top w:val="nil"/>
              <w:bottom w:val="nil"/>
            </w:tcBorders>
          </w:tcPr>
          <w:p w:rsidR="003865AC" w:rsidRDefault="003865AC">
            <w:pPr>
              <w:tabs>
                <w:tab w:val="left" w:pos="234"/>
              </w:tabs>
              <w:spacing w:before="0" w:after="0"/>
              <w:jc w:val="both"/>
              <w:rPr>
                <w:rFonts w:hint="cs"/>
                <w:rtl/>
              </w:rPr>
            </w:pPr>
            <w:r>
              <w:rPr>
                <w:rFonts w:hint="cs"/>
                <w:rtl/>
              </w:rPr>
              <w:tab/>
              <w:t>115.8</w:t>
            </w:r>
          </w:p>
        </w:tc>
        <w:tc>
          <w:tcPr>
            <w:tcW w:w="1197" w:type="dxa"/>
            <w:tcBorders>
              <w:top w:val="nil"/>
              <w:bottom w:val="nil"/>
            </w:tcBorders>
          </w:tcPr>
          <w:p w:rsidR="003865AC" w:rsidRDefault="003865AC">
            <w:pPr>
              <w:spacing w:before="0" w:after="0"/>
              <w:jc w:val="center"/>
              <w:rPr>
                <w:rFonts w:hint="cs"/>
                <w:rtl/>
              </w:rPr>
            </w:pPr>
            <w:r>
              <w:rPr>
                <w:rFonts w:hint="cs"/>
                <w:rtl/>
              </w:rPr>
              <w:t>67.5</w:t>
            </w:r>
          </w:p>
        </w:tc>
        <w:tc>
          <w:tcPr>
            <w:tcW w:w="1197" w:type="dxa"/>
            <w:tcBorders>
              <w:top w:val="nil"/>
              <w:bottom w:val="nil"/>
            </w:tcBorders>
          </w:tcPr>
          <w:p w:rsidR="003865AC" w:rsidRDefault="003865AC">
            <w:pPr>
              <w:spacing w:before="0" w:after="0"/>
              <w:jc w:val="center"/>
              <w:rPr>
                <w:rFonts w:hint="cs"/>
                <w:rtl/>
              </w:rPr>
            </w:pPr>
            <w:r>
              <w:rPr>
                <w:rFonts w:hint="cs"/>
                <w:rtl/>
              </w:rPr>
              <w:t>20</w:t>
            </w:r>
          </w:p>
        </w:tc>
        <w:tc>
          <w:tcPr>
            <w:tcW w:w="1539" w:type="dxa"/>
            <w:tcBorders>
              <w:top w:val="nil"/>
              <w:bottom w:val="nil"/>
            </w:tcBorders>
          </w:tcPr>
          <w:p w:rsidR="003865AC" w:rsidRDefault="003865AC">
            <w:pPr>
              <w:spacing w:before="0" w:after="0"/>
              <w:jc w:val="center"/>
              <w:rPr>
                <w:rFonts w:hint="cs"/>
                <w:rtl/>
              </w:rPr>
            </w:pPr>
            <w:r>
              <w:rPr>
                <w:rFonts w:hint="cs"/>
                <w:rtl/>
              </w:rPr>
              <w:t>58.3</w:t>
            </w:r>
          </w:p>
        </w:tc>
        <w:tc>
          <w:tcPr>
            <w:tcW w:w="1368" w:type="dxa"/>
            <w:tcBorders>
              <w:top w:val="nil"/>
              <w:bottom w:val="nil"/>
            </w:tcBorders>
          </w:tcPr>
          <w:p w:rsidR="003865AC" w:rsidRDefault="003865AC">
            <w:pPr>
              <w:spacing w:before="0" w:after="0"/>
              <w:jc w:val="center"/>
              <w:rPr>
                <w:rFonts w:hint="cs"/>
                <w:rtl/>
              </w:rPr>
            </w:pPr>
            <w:r>
              <w:rPr>
                <w:rFonts w:hint="cs"/>
                <w:rtl/>
              </w:rPr>
              <w:t>17.3</w:t>
            </w:r>
          </w:p>
        </w:tc>
        <w:tc>
          <w:tcPr>
            <w:tcW w:w="1539" w:type="dxa"/>
            <w:tcBorders>
              <w:top w:val="nil"/>
              <w:bottom w:val="nil"/>
            </w:tcBorders>
          </w:tcPr>
          <w:p w:rsidR="003865AC" w:rsidRDefault="003865AC">
            <w:pPr>
              <w:spacing w:before="0" w:after="0"/>
              <w:jc w:val="center"/>
              <w:rPr>
                <w:rFonts w:hint="cs"/>
                <w:rtl/>
              </w:rPr>
            </w:pPr>
            <w:r>
              <w:rPr>
                <w:rFonts w:hint="cs"/>
                <w:rtl/>
              </w:rPr>
              <w:t>29.6</w:t>
            </w:r>
          </w:p>
        </w:tc>
      </w:tr>
      <w:tr w:rsidR="003865AC" w:rsidTr="003865AC">
        <w:tblPrEx>
          <w:tblCellMar>
            <w:top w:w="0" w:type="dxa"/>
            <w:bottom w:w="0" w:type="dxa"/>
          </w:tblCellMar>
        </w:tblPrEx>
        <w:tc>
          <w:tcPr>
            <w:tcW w:w="913" w:type="dxa"/>
            <w:tcBorders>
              <w:top w:val="nil"/>
            </w:tcBorders>
          </w:tcPr>
          <w:p w:rsidR="003865AC" w:rsidRDefault="003865AC">
            <w:pPr>
              <w:spacing w:before="0" w:after="0"/>
              <w:jc w:val="both"/>
              <w:rPr>
                <w:rFonts w:hint="cs"/>
                <w:rtl/>
              </w:rPr>
            </w:pPr>
            <w:r>
              <w:rPr>
                <w:rFonts w:hint="cs"/>
                <w:rtl/>
              </w:rPr>
              <w:t>2000</w:t>
            </w:r>
          </w:p>
        </w:tc>
        <w:tc>
          <w:tcPr>
            <w:tcW w:w="1539" w:type="dxa"/>
            <w:tcBorders>
              <w:top w:val="nil"/>
            </w:tcBorders>
          </w:tcPr>
          <w:p w:rsidR="003865AC" w:rsidRDefault="003865AC">
            <w:pPr>
              <w:tabs>
                <w:tab w:val="left" w:pos="234"/>
              </w:tabs>
              <w:spacing w:before="0" w:after="0"/>
              <w:jc w:val="both"/>
              <w:rPr>
                <w:rFonts w:hint="cs"/>
                <w:rtl/>
              </w:rPr>
            </w:pPr>
            <w:r>
              <w:rPr>
                <w:rtl/>
              </w:rPr>
              <w:tab/>
            </w:r>
            <w:r>
              <w:rPr>
                <w:rFonts w:hint="cs"/>
                <w:rtl/>
              </w:rPr>
              <w:t>115.3</w:t>
            </w:r>
          </w:p>
        </w:tc>
        <w:tc>
          <w:tcPr>
            <w:tcW w:w="1197" w:type="dxa"/>
            <w:tcBorders>
              <w:top w:val="nil"/>
            </w:tcBorders>
          </w:tcPr>
          <w:p w:rsidR="003865AC" w:rsidRDefault="003865AC">
            <w:pPr>
              <w:spacing w:before="0" w:after="0"/>
              <w:jc w:val="center"/>
              <w:rPr>
                <w:rFonts w:hint="cs"/>
                <w:rtl/>
              </w:rPr>
            </w:pPr>
            <w:r>
              <w:rPr>
                <w:rFonts w:hint="cs"/>
                <w:rtl/>
              </w:rPr>
              <w:t>80.9</w:t>
            </w:r>
          </w:p>
        </w:tc>
        <w:tc>
          <w:tcPr>
            <w:tcW w:w="1197" w:type="dxa"/>
            <w:tcBorders>
              <w:top w:val="nil"/>
            </w:tcBorders>
          </w:tcPr>
          <w:p w:rsidR="003865AC" w:rsidRDefault="003865AC">
            <w:pPr>
              <w:spacing w:before="0" w:after="0"/>
              <w:jc w:val="center"/>
              <w:rPr>
                <w:rFonts w:hint="cs"/>
                <w:rtl/>
              </w:rPr>
            </w:pPr>
            <w:r>
              <w:rPr>
                <w:rFonts w:hint="cs"/>
                <w:rtl/>
              </w:rPr>
              <w:t>20</w:t>
            </w:r>
          </w:p>
        </w:tc>
        <w:tc>
          <w:tcPr>
            <w:tcW w:w="1539" w:type="dxa"/>
            <w:tcBorders>
              <w:top w:val="nil"/>
            </w:tcBorders>
          </w:tcPr>
          <w:p w:rsidR="003865AC" w:rsidRDefault="003865AC">
            <w:pPr>
              <w:spacing w:before="0" w:after="0"/>
              <w:jc w:val="center"/>
              <w:rPr>
                <w:rFonts w:hint="cs"/>
                <w:rtl/>
              </w:rPr>
            </w:pPr>
            <w:r>
              <w:rPr>
                <w:rFonts w:hint="cs"/>
                <w:rtl/>
              </w:rPr>
              <w:t>70.2</w:t>
            </w:r>
          </w:p>
        </w:tc>
        <w:tc>
          <w:tcPr>
            <w:tcW w:w="1368" w:type="dxa"/>
            <w:tcBorders>
              <w:top w:val="nil"/>
            </w:tcBorders>
          </w:tcPr>
          <w:p w:rsidR="003865AC" w:rsidRDefault="003865AC">
            <w:pPr>
              <w:spacing w:before="0" w:after="0"/>
              <w:jc w:val="center"/>
              <w:rPr>
                <w:rFonts w:hint="cs"/>
                <w:rtl/>
              </w:rPr>
            </w:pPr>
            <w:r>
              <w:rPr>
                <w:rFonts w:hint="cs"/>
                <w:rtl/>
              </w:rPr>
              <w:t>17.3</w:t>
            </w:r>
          </w:p>
        </w:tc>
        <w:tc>
          <w:tcPr>
            <w:tcW w:w="1539" w:type="dxa"/>
            <w:tcBorders>
              <w:top w:val="nil"/>
            </w:tcBorders>
          </w:tcPr>
          <w:p w:rsidR="003865AC" w:rsidRDefault="003865AC">
            <w:pPr>
              <w:spacing w:before="0" w:after="0"/>
              <w:jc w:val="center"/>
              <w:rPr>
                <w:rFonts w:hint="cs"/>
                <w:rtl/>
              </w:rPr>
            </w:pPr>
            <w:r>
              <w:rPr>
                <w:rFonts w:hint="cs"/>
                <w:rtl/>
              </w:rPr>
              <w:t>24.7</w:t>
            </w:r>
          </w:p>
        </w:tc>
      </w:tr>
    </w:tbl>
    <w:p w:rsidR="00000000" w:rsidRDefault="003865AC">
      <w:pPr>
        <w:jc w:val="both"/>
        <w:rPr>
          <w:rFonts w:hint="cs"/>
          <w:i/>
          <w:iCs/>
          <w:rtl/>
        </w:rPr>
      </w:pPr>
      <w:r>
        <w:rPr>
          <w:rFonts w:hint="cs"/>
          <w:i/>
          <w:iCs/>
          <w:rtl/>
        </w:rPr>
        <w:t>المساواة بين الجنسين في المرتبات والأجور</w:t>
      </w:r>
    </w:p>
    <w:p w:rsidR="00000000" w:rsidRDefault="003865AC">
      <w:pPr>
        <w:jc w:val="both"/>
        <w:rPr>
          <w:rFonts w:hint="cs"/>
          <w:rtl/>
        </w:rPr>
      </w:pPr>
      <w:r>
        <w:rPr>
          <w:rFonts w:hint="cs"/>
          <w:rtl/>
        </w:rPr>
        <w:t>87-</w:t>
      </w:r>
      <w:r>
        <w:rPr>
          <w:rFonts w:hint="cs"/>
          <w:rtl/>
        </w:rPr>
        <w:tab/>
        <w:t>بناء على مدونة تشريعات العمل (الفقرة 2 من المادة 75)، لا يجوز فرض أية تقييدات على أُسس تمييز</w:t>
      </w:r>
      <w:r>
        <w:rPr>
          <w:rFonts w:hint="cs"/>
          <w:rtl/>
        </w:rPr>
        <w:t>ية بما فيها التمييز على أساس الجنس فيما يتعلق بدفع الأجور أو المرتبات.</w:t>
      </w:r>
    </w:p>
    <w:p w:rsidR="00000000" w:rsidRDefault="003865AC">
      <w:pPr>
        <w:jc w:val="both"/>
        <w:rPr>
          <w:rFonts w:hint="cs"/>
          <w:rtl/>
        </w:rPr>
      </w:pPr>
      <w:r>
        <w:rPr>
          <w:rFonts w:hint="cs"/>
          <w:rtl/>
        </w:rPr>
        <w:t>88-</w:t>
      </w:r>
      <w:r>
        <w:rPr>
          <w:rFonts w:hint="cs"/>
          <w:rtl/>
        </w:rPr>
        <w:tab/>
        <w:t>ويبلغ متوسط الأجر الشهري في مختلف القطاعات 55.4 لاريات بالنسبة للنساء 111.6 لاريات بالنسبة للرجال. وتوضح وزارة العمل والصحة والرعاية الاجتماعية بأن الفارق بين دخل النساء ودخل الرجال</w:t>
      </w:r>
      <w:r>
        <w:rPr>
          <w:rFonts w:hint="cs"/>
          <w:rtl/>
        </w:rPr>
        <w:t xml:space="preserve"> لا يرجع إلى عامل التمييز، بل إلى كون أغلبية النساء يعملن في وظائف ذات أجور منخفضة بينما يتولى الرجال معظم مناصب الإدارة والوظائف في قطاع الأعمال.</w:t>
      </w:r>
    </w:p>
    <w:p w:rsidR="00000000" w:rsidRDefault="003865AC">
      <w:pPr>
        <w:jc w:val="both"/>
        <w:rPr>
          <w:rFonts w:hint="cs"/>
          <w:rtl/>
        </w:rPr>
      </w:pPr>
      <w:r>
        <w:rPr>
          <w:rFonts w:hint="cs"/>
          <w:rtl/>
        </w:rPr>
        <w:t>89-</w:t>
      </w:r>
      <w:r>
        <w:rPr>
          <w:rFonts w:hint="cs"/>
          <w:rtl/>
        </w:rPr>
        <w:tab/>
        <w:t>وعلى ذلك، يبدو أن المشكلات التي أثارت في هذا الصدد قلق لجنة الحقوق الاقتصادية والاجتماعية والثقافية (الفق</w:t>
      </w:r>
      <w:r>
        <w:rPr>
          <w:rFonts w:hint="cs"/>
          <w:rtl/>
        </w:rPr>
        <w:t>رتان 13 و14)، لم تتم تسويتها بعد. ويمكن الاطلاع على معلومات إضافية في هذا الخصوص في التقرير الأولي المقدم بموجب اتفاقية القضاء على جميع أشكال التمييز العنصري (الفقرتان 214 و215).</w:t>
      </w:r>
    </w:p>
    <w:p w:rsidR="00000000" w:rsidRDefault="003865AC">
      <w:pPr>
        <w:jc w:val="both"/>
        <w:rPr>
          <w:rFonts w:hint="cs"/>
          <w:i/>
          <w:iCs/>
          <w:rtl/>
        </w:rPr>
      </w:pPr>
      <w:r>
        <w:rPr>
          <w:rFonts w:hint="cs"/>
          <w:i/>
          <w:iCs/>
          <w:rtl/>
        </w:rPr>
        <w:t>توزيع الدخل بين العاملين في القطاع الحكومي والقطاع الخاص</w:t>
      </w:r>
    </w:p>
    <w:p w:rsidR="00000000" w:rsidRDefault="003865AC">
      <w:pPr>
        <w:jc w:val="both"/>
        <w:rPr>
          <w:rFonts w:hint="cs"/>
          <w:rtl/>
        </w:rPr>
      </w:pPr>
      <w:r>
        <w:rPr>
          <w:rFonts w:hint="cs"/>
          <w:rtl/>
        </w:rPr>
        <w:t>90-</w:t>
      </w:r>
      <w:r>
        <w:rPr>
          <w:rFonts w:hint="cs"/>
          <w:rtl/>
        </w:rPr>
        <w:tab/>
        <w:t>إثر انتقال جورجي</w:t>
      </w:r>
      <w:r>
        <w:rPr>
          <w:rFonts w:hint="cs"/>
          <w:rtl/>
        </w:rPr>
        <w:t xml:space="preserve">ا إلى اقتصاد السوق والوضع الاقتصادي الناجم عنه، طرأت تغيرات على هيكل الدخل أيضا. فقد أظهرت الدراسات الاستقصائية للأسر المعيشية في عام 2000 أن متوسط الدخل الشهري للأسرة الواحدة بلغ 174.8 لاريات. وبلغت حصة الدخل الإجمالي الذي تحققه الأسرة من العمل بأجر 25.1 </w:t>
      </w:r>
      <w:r>
        <w:rPr>
          <w:rFonts w:hint="cs"/>
          <w:rtl/>
        </w:rPr>
        <w:t>في المائة، ومن الدخل غير النقدي 22.7 في المائة. ويتأتى ما يزيد على نصف الإيرادات الأسرية (52.5 في المائة) من إيجار الممتلكات والمساعدة المقدمة من الأقرباء وبيع المحصول الزراعي وغير ذلك.</w:t>
      </w:r>
    </w:p>
    <w:p w:rsidR="00000000" w:rsidRDefault="003865AC">
      <w:pPr>
        <w:jc w:val="both"/>
        <w:rPr>
          <w:rFonts w:hint="cs"/>
          <w:rtl/>
        </w:rPr>
      </w:pPr>
      <w:r>
        <w:rPr>
          <w:rFonts w:hint="cs"/>
          <w:rtl/>
        </w:rPr>
        <w:t>91-</w:t>
      </w:r>
      <w:r>
        <w:rPr>
          <w:rFonts w:hint="cs"/>
          <w:rtl/>
        </w:rPr>
        <w:tab/>
        <w:t>و في عام 2000، بلغ متوسط إنفاق الأسرة التي تكسب دخلاً إجماليا قدره</w:t>
      </w:r>
      <w:r>
        <w:rPr>
          <w:rFonts w:hint="cs"/>
          <w:rtl/>
        </w:rPr>
        <w:t xml:space="preserve"> 174.8 لاريات، 262 لارياً في الشهر. وبمقارنة الأجور والمرتبات في القطاع العام والقطاع الخاص يتضح، حسب بيانات عام 2000، أن متوسط الأجر في القطاع الخاص بلغ 98.3 لاريات مقابل 56.7 لاريات فقط في القطاع العام.</w:t>
      </w:r>
    </w:p>
    <w:p w:rsidR="00000000" w:rsidRDefault="003865AC">
      <w:pPr>
        <w:jc w:val="both"/>
        <w:rPr>
          <w:rFonts w:hint="cs"/>
          <w:rtl/>
        </w:rPr>
      </w:pPr>
      <w:r>
        <w:rPr>
          <w:rFonts w:hint="cs"/>
          <w:rtl/>
        </w:rPr>
        <w:t>92-</w:t>
      </w:r>
      <w:r>
        <w:rPr>
          <w:rFonts w:hint="cs"/>
          <w:rtl/>
        </w:rPr>
        <w:tab/>
        <w:t>ويمكن الاطلاع على معلومات إضافية بشأن الحق في ت</w:t>
      </w:r>
      <w:r>
        <w:rPr>
          <w:rFonts w:hint="cs"/>
          <w:rtl/>
        </w:rPr>
        <w:t>قاضي أجر عادل في التقرير المقدم من جورجيا بموجب الاتفاقية الدولية لقضاء على جميع أشكال التمييز العنصري (الفقرتين 205-207).</w:t>
      </w:r>
    </w:p>
    <w:p w:rsidR="00000000" w:rsidRDefault="003865AC">
      <w:pPr>
        <w:jc w:val="both"/>
        <w:rPr>
          <w:rFonts w:hint="cs"/>
          <w:i/>
          <w:iCs/>
          <w:rtl/>
        </w:rPr>
      </w:pPr>
      <w:r>
        <w:rPr>
          <w:rFonts w:hint="cs"/>
          <w:i/>
          <w:iCs/>
          <w:rtl/>
        </w:rPr>
        <w:t>شروط العمل الدنيا</w:t>
      </w:r>
    </w:p>
    <w:p w:rsidR="00000000" w:rsidRDefault="003865AC">
      <w:pPr>
        <w:jc w:val="both"/>
        <w:rPr>
          <w:rFonts w:hint="cs"/>
          <w:rtl/>
        </w:rPr>
      </w:pPr>
      <w:r>
        <w:rPr>
          <w:rFonts w:hint="cs"/>
          <w:rtl/>
        </w:rPr>
        <w:t>93-</w:t>
      </w:r>
      <w:r>
        <w:rPr>
          <w:rFonts w:hint="cs"/>
          <w:rtl/>
        </w:rPr>
        <w:tab/>
        <w:t>تحدد مدونة تشريعات العمل شروط العمل الدنيا في البلد بكامله، وتحدد في عقود العمل والاتفاقات الجماعية المبرمة بين</w:t>
      </w:r>
      <w:r>
        <w:rPr>
          <w:rFonts w:hint="cs"/>
          <w:rtl/>
        </w:rPr>
        <w:t xml:space="preserve"> المؤسسات والمنظمات والعاملين لديها شروط العمل بالنسبة لوظائف معينة. وتقع مسؤولية مراقبة شروط العمل الدنيا على عاتق مفتشية العمل. ويكون الامتثال للمعايير المقررة في مدونة تشريعات العمل إلزامياً بالنسبة لكل المشاريع والمنظمات في جورجيا بصرف النظر عن مركزها </w:t>
      </w:r>
      <w:r>
        <w:rPr>
          <w:rFonts w:hint="cs"/>
          <w:rtl/>
        </w:rPr>
        <w:t>التنظيمي القانوني أو شكل ملكيتها.</w:t>
      </w:r>
    </w:p>
    <w:p w:rsidR="00000000" w:rsidRDefault="003865AC">
      <w:pPr>
        <w:jc w:val="both"/>
        <w:rPr>
          <w:rFonts w:hint="cs"/>
          <w:rtl/>
        </w:rPr>
      </w:pPr>
      <w:r>
        <w:rPr>
          <w:rFonts w:hint="cs"/>
          <w:rtl/>
        </w:rPr>
        <w:t>94-</w:t>
      </w:r>
      <w:r>
        <w:rPr>
          <w:rFonts w:hint="cs"/>
          <w:rtl/>
        </w:rPr>
        <w:tab/>
        <w:t>وحسب البيانات المقدمة من مفتشية العمل الحكومية، أفادت التقارير بأن 31 حادثاً قد وقع في مكان العمل في عام 2000 مما أدى إلى وفاة 29 شخصاً وإصابة 6 أشخاص آخرين بجروح مختلفة في درجة الخطورة. ونُسبت الحوادث المميتة إلى الأس</w:t>
      </w:r>
      <w:r>
        <w:rPr>
          <w:rFonts w:hint="cs"/>
          <w:rtl/>
        </w:rPr>
        <w:t xml:space="preserve">باب التالية: 7 حالات صعق كهربائي، و6 حالات احتراق، و6 حالات سقوط من أماكن عالية، و8 حالات بسبب الآلات، وحادثتان من حوادث السيارات. وعلى العموم، تشير البيانات المتاحة إلى اتجاه انخفاض في عدد حوادث العمل. </w:t>
      </w:r>
    </w:p>
    <w:p w:rsidR="00000000" w:rsidRDefault="003865AC">
      <w:pPr>
        <w:jc w:val="both"/>
        <w:rPr>
          <w:rFonts w:hint="cs"/>
          <w:i/>
          <w:iCs/>
          <w:rtl/>
        </w:rPr>
      </w:pPr>
      <w:r>
        <w:rPr>
          <w:rFonts w:hint="cs"/>
          <w:i/>
          <w:iCs/>
          <w:rtl/>
        </w:rPr>
        <w:t>تكافؤ فرص الارتقاء في الحياة الوظيفية</w:t>
      </w:r>
    </w:p>
    <w:p w:rsidR="00000000" w:rsidRDefault="003865AC">
      <w:pPr>
        <w:jc w:val="both"/>
        <w:rPr>
          <w:rFonts w:hint="cs"/>
          <w:rtl/>
        </w:rPr>
      </w:pPr>
      <w:r>
        <w:rPr>
          <w:rFonts w:hint="cs"/>
          <w:rtl/>
        </w:rPr>
        <w:t>95-</w:t>
      </w:r>
      <w:r>
        <w:rPr>
          <w:rFonts w:hint="cs"/>
          <w:rtl/>
        </w:rPr>
        <w:tab/>
        <w:t>تضمن الماد</w:t>
      </w:r>
      <w:r>
        <w:rPr>
          <w:rFonts w:hint="cs"/>
          <w:rtl/>
        </w:rPr>
        <w:t>ة 29 من الدستور الجورجي حق كل مواطن في تقلد أية وظيفة حكومية شريطة أن يفي بالشروط المنصوص عليها في القانون.</w:t>
      </w:r>
    </w:p>
    <w:p w:rsidR="00000000" w:rsidRDefault="003865AC">
      <w:pPr>
        <w:jc w:val="both"/>
        <w:rPr>
          <w:rFonts w:hint="cs"/>
          <w:rtl/>
        </w:rPr>
      </w:pPr>
      <w:r>
        <w:rPr>
          <w:rFonts w:hint="cs"/>
          <w:rtl/>
        </w:rPr>
        <w:t>96-</w:t>
      </w:r>
      <w:r>
        <w:rPr>
          <w:rFonts w:hint="cs"/>
          <w:rtl/>
        </w:rPr>
        <w:tab/>
        <w:t>وبناء على المادة 77 من قانون الخدمة العامة، يكون الموظفون العامون مؤهلين للحصول على ترقية بشرطين أولهما أن يكونوا قد مارسوا وظيفتهم الحالية لمدة</w:t>
      </w:r>
      <w:r>
        <w:rPr>
          <w:rFonts w:hint="cs"/>
          <w:rtl/>
        </w:rPr>
        <w:t xml:space="preserve"> لا تقل عن ستة أشهر، وثانيهما أن يكون قد رشحهم للترقية المجلس المختص بالترقيات. وفي حال تعدد طلبات الترقية للوظيفة نفسها، تعطى الأفضلية إلى المرشح الذي يكون قد حصل على أعلى العلامات من فريق التقييم. ولا يطبق هذا الإجراء على موظفي الدعم.</w:t>
      </w:r>
    </w:p>
    <w:p w:rsidR="00000000" w:rsidRDefault="003865AC">
      <w:pPr>
        <w:jc w:val="both"/>
        <w:rPr>
          <w:rFonts w:hint="cs"/>
          <w:rtl/>
        </w:rPr>
      </w:pPr>
      <w:r>
        <w:rPr>
          <w:rFonts w:hint="cs"/>
          <w:rtl/>
        </w:rPr>
        <w:t>97-</w:t>
      </w:r>
      <w:r>
        <w:rPr>
          <w:rFonts w:hint="cs"/>
          <w:rtl/>
        </w:rPr>
        <w:tab/>
        <w:t>ورداً على ملاحظ</w:t>
      </w:r>
      <w:r>
        <w:rPr>
          <w:rFonts w:hint="cs"/>
          <w:rtl/>
        </w:rPr>
        <w:t>ة لجنة الحقوق الاقتصادية والاجتماعية والثقافية الواردة في الفقرة 13، يرجى الرجوع أيضا إلى التقرير الدوري الثاني لجورجيا بموجب العهد الدولي الخاص بالحقوق المدنية والسياسية (الفقرة 57)، وبموجب اتفاقية القضاء على جميع أشكال التمييز ضد المرأة (الفقرتان 66 و69)</w:t>
      </w:r>
      <w:r>
        <w:rPr>
          <w:rFonts w:hint="cs"/>
          <w:rtl/>
        </w:rPr>
        <w:t>. وفيما يتعلق بملاحظات اللجنة الواردة في الفقرتين 14 و15، يمكن الاطلاع على معلومات بهذا الشأن أيضا في التقرير الدوري الثاني لجورجيا المقدم بموجب اتفاقية القضاء على جميع أشكال التمييز ضـد المـرأة (الفقرات 4 و7-17 و23-29 و39 و42 و43).</w:t>
      </w:r>
    </w:p>
    <w:p w:rsidR="00000000" w:rsidRDefault="003865AC">
      <w:pPr>
        <w:jc w:val="both"/>
        <w:rPr>
          <w:rFonts w:hint="cs"/>
          <w:rtl/>
        </w:rPr>
      </w:pPr>
      <w:r>
        <w:rPr>
          <w:rFonts w:hint="cs"/>
          <w:rtl/>
        </w:rPr>
        <w:t>98-</w:t>
      </w:r>
      <w:r>
        <w:rPr>
          <w:rFonts w:hint="cs"/>
          <w:rtl/>
        </w:rPr>
        <w:tab/>
        <w:t xml:space="preserve">وعلى العموم، ينبغي </w:t>
      </w:r>
      <w:r>
        <w:rPr>
          <w:rFonts w:hint="cs"/>
          <w:rtl/>
        </w:rPr>
        <w:t>التنويه بأن تمثيل المرأة على مستويات صنع القرار ووظائف الخدمة العامة العليا يبقى غير مرضٍ.</w:t>
      </w:r>
    </w:p>
    <w:p w:rsidR="00000000" w:rsidRDefault="003865AC">
      <w:pPr>
        <w:jc w:val="both"/>
        <w:rPr>
          <w:rFonts w:hint="cs"/>
          <w:i/>
          <w:iCs/>
          <w:rtl/>
        </w:rPr>
      </w:pPr>
      <w:r>
        <w:rPr>
          <w:rFonts w:hint="cs"/>
          <w:i/>
          <w:iCs/>
          <w:rtl/>
        </w:rPr>
        <w:t>ظروف العمل المواتية والراحة والأنشطة الترفيهية</w:t>
      </w:r>
    </w:p>
    <w:p w:rsidR="00000000" w:rsidRDefault="003865AC">
      <w:pPr>
        <w:jc w:val="both"/>
        <w:rPr>
          <w:rFonts w:hint="cs"/>
          <w:rtl/>
        </w:rPr>
      </w:pPr>
      <w:r>
        <w:rPr>
          <w:rFonts w:hint="cs"/>
          <w:rtl/>
        </w:rPr>
        <w:t>99-</w:t>
      </w:r>
      <w:r>
        <w:rPr>
          <w:rFonts w:hint="cs"/>
          <w:rtl/>
        </w:rPr>
        <w:tab/>
        <w:t>للاطلاع على المعلومات المتعلقة بهذه المسألة، يرجى الرجوع إلى التقرير الأولي المقدم من جورجيا بموجب الاتفاقية الدول</w:t>
      </w:r>
      <w:r>
        <w:rPr>
          <w:rFonts w:hint="cs"/>
          <w:rtl/>
        </w:rPr>
        <w:t>ية للقضاء على جميع أشكال التمييز العنصري (الفقرات من 198 إلى 201).</w:t>
      </w:r>
    </w:p>
    <w:p w:rsidR="00000000" w:rsidRDefault="003865AC">
      <w:pPr>
        <w:jc w:val="both"/>
        <w:rPr>
          <w:rFonts w:hint="cs"/>
          <w:b/>
          <w:bCs/>
          <w:rtl/>
        </w:rPr>
      </w:pPr>
      <w:r>
        <w:rPr>
          <w:rFonts w:hint="cs"/>
          <w:b/>
          <w:bCs/>
          <w:rtl/>
        </w:rPr>
        <w:t>المادة 8</w:t>
      </w:r>
    </w:p>
    <w:p w:rsidR="00000000" w:rsidRDefault="003865AC">
      <w:pPr>
        <w:jc w:val="both"/>
        <w:rPr>
          <w:rFonts w:hint="cs"/>
          <w:rtl/>
        </w:rPr>
      </w:pPr>
      <w:r>
        <w:rPr>
          <w:rFonts w:hint="cs"/>
          <w:rtl/>
        </w:rPr>
        <w:t>100-</w:t>
      </w:r>
      <w:r>
        <w:rPr>
          <w:rFonts w:hint="cs"/>
          <w:rtl/>
        </w:rPr>
        <w:tab/>
        <w:t>يمكن الاطلاع على المعلومات المتعلقة بالحقوق النقابية، على النحو المحدد في المادة 8 من العهد، في التقرير الأولي المقدم من جورجيا بموجب الاتفاقية الدولية للقضاء على جميع أشكال ا</w:t>
      </w:r>
      <w:r>
        <w:rPr>
          <w:rFonts w:hint="cs"/>
          <w:rtl/>
        </w:rPr>
        <w:t>لتمييز العنصري (الفقرات من 216 إلى 220) وفي تقريرها الدوري الثاني المقدم بموجب العهد الدولي الخاص بالحقوق المدنية والسياسية (الفقرات من 492 إلى 500).</w:t>
      </w:r>
    </w:p>
    <w:p w:rsidR="00000000" w:rsidRDefault="003865AC">
      <w:pPr>
        <w:jc w:val="both"/>
      </w:pPr>
    </w:p>
    <w:p w:rsidR="00000000" w:rsidRDefault="003865AC">
      <w:pPr>
        <w:jc w:val="both"/>
        <w:rPr>
          <w:rFonts w:hint="cs"/>
          <w:b/>
          <w:bCs/>
          <w:rtl/>
        </w:rPr>
      </w:pPr>
      <w:r>
        <w:rPr>
          <w:rFonts w:hint="cs"/>
          <w:b/>
          <w:bCs/>
          <w:rtl/>
        </w:rPr>
        <w:t>المادة 9</w:t>
      </w:r>
    </w:p>
    <w:p w:rsidR="00000000" w:rsidRDefault="003865AC">
      <w:pPr>
        <w:jc w:val="both"/>
        <w:rPr>
          <w:rFonts w:hint="cs"/>
          <w:i/>
          <w:iCs/>
          <w:rtl/>
        </w:rPr>
      </w:pPr>
      <w:r>
        <w:rPr>
          <w:rFonts w:hint="cs"/>
          <w:i/>
          <w:iCs/>
          <w:rtl/>
        </w:rPr>
        <w:t>الضمان الاجتماعي في جورجيا</w:t>
      </w:r>
    </w:p>
    <w:p w:rsidR="00000000" w:rsidRDefault="003865AC">
      <w:pPr>
        <w:jc w:val="both"/>
        <w:rPr>
          <w:rFonts w:hint="cs"/>
          <w:rtl/>
        </w:rPr>
      </w:pPr>
      <w:r>
        <w:rPr>
          <w:rFonts w:hint="cs"/>
          <w:rtl/>
        </w:rPr>
        <w:t>101-</w:t>
      </w:r>
      <w:r>
        <w:rPr>
          <w:rFonts w:hint="cs"/>
          <w:rtl/>
        </w:rPr>
        <w:tab/>
        <w:t>توجد في جورجيا، حسب ما سيرد أدناه، مجموعة من البرامج التي تقدم د</w:t>
      </w:r>
      <w:r>
        <w:rPr>
          <w:rFonts w:hint="cs"/>
          <w:rtl/>
        </w:rPr>
        <w:t>عما اجتماعيا لفئات مختلفة من السكان. وتعطي البيانات الصادرة عن مكتب الإحصاءات الوطني في الجداول التالية صورة إجمالية عن فئات وأعداد الأشخاص الذين يستفيدون من هذا الدعم ومستواه. وتعبر الأرقام عن الوضع عند نهاية السنة بآلاف الأشخاص.</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0"/>
        <w:gridCol w:w="1620"/>
        <w:gridCol w:w="1620"/>
        <w:gridCol w:w="1620"/>
      </w:tblGrid>
      <w:tr w:rsidR="003865AC" w:rsidTr="003865AC">
        <w:tblPrEx>
          <w:tblCellMar>
            <w:top w:w="0" w:type="dxa"/>
            <w:bottom w:w="0" w:type="dxa"/>
          </w:tblCellMar>
        </w:tblPrEx>
        <w:tc>
          <w:tcPr>
            <w:tcW w:w="4500" w:type="dxa"/>
          </w:tcPr>
          <w:p w:rsidR="003865AC" w:rsidRDefault="003865AC">
            <w:pPr>
              <w:spacing w:before="0" w:after="0"/>
              <w:jc w:val="both"/>
              <w:rPr>
                <w:rFonts w:hint="cs"/>
                <w:sz w:val="24"/>
                <w:szCs w:val="24"/>
              </w:rPr>
            </w:pPr>
          </w:p>
        </w:tc>
        <w:tc>
          <w:tcPr>
            <w:tcW w:w="1620" w:type="dxa"/>
          </w:tcPr>
          <w:p w:rsidR="003865AC" w:rsidRDefault="003865AC">
            <w:pPr>
              <w:spacing w:before="0" w:after="0"/>
              <w:jc w:val="center"/>
              <w:rPr>
                <w:rFonts w:hint="cs"/>
                <w:b/>
                <w:bCs/>
                <w:sz w:val="24"/>
                <w:szCs w:val="24"/>
              </w:rPr>
            </w:pPr>
            <w:r>
              <w:rPr>
                <w:rFonts w:hint="cs"/>
                <w:b/>
                <w:bCs/>
                <w:sz w:val="24"/>
                <w:szCs w:val="24"/>
                <w:rtl/>
              </w:rPr>
              <w:t>1997</w:t>
            </w:r>
          </w:p>
        </w:tc>
        <w:tc>
          <w:tcPr>
            <w:tcW w:w="1620" w:type="dxa"/>
          </w:tcPr>
          <w:p w:rsidR="003865AC" w:rsidRDefault="003865AC">
            <w:pPr>
              <w:spacing w:before="0" w:after="0"/>
              <w:jc w:val="center"/>
              <w:rPr>
                <w:rFonts w:hint="cs"/>
                <w:b/>
                <w:bCs/>
                <w:sz w:val="24"/>
                <w:szCs w:val="24"/>
              </w:rPr>
            </w:pPr>
            <w:r>
              <w:rPr>
                <w:rFonts w:hint="cs"/>
                <w:b/>
                <w:bCs/>
                <w:sz w:val="24"/>
                <w:szCs w:val="24"/>
                <w:rtl/>
              </w:rPr>
              <w:t>1998</w:t>
            </w:r>
          </w:p>
        </w:tc>
        <w:tc>
          <w:tcPr>
            <w:tcW w:w="1620" w:type="dxa"/>
          </w:tcPr>
          <w:p w:rsidR="003865AC" w:rsidRDefault="003865AC">
            <w:pPr>
              <w:spacing w:before="0" w:after="0"/>
              <w:jc w:val="center"/>
              <w:rPr>
                <w:rFonts w:hint="cs"/>
                <w:b/>
                <w:bCs/>
                <w:sz w:val="24"/>
                <w:szCs w:val="24"/>
              </w:rPr>
            </w:pPr>
            <w:r>
              <w:rPr>
                <w:rFonts w:hint="cs"/>
                <w:b/>
                <w:bCs/>
                <w:sz w:val="24"/>
                <w:szCs w:val="24"/>
                <w:rtl/>
              </w:rPr>
              <w:t>1999</w:t>
            </w:r>
          </w:p>
        </w:tc>
      </w:tr>
      <w:tr w:rsidR="003865AC" w:rsidTr="003865AC">
        <w:tblPrEx>
          <w:tblCellMar>
            <w:top w:w="0" w:type="dxa"/>
            <w:bottom w:w="0" w:type="dxa"/>
          </w:tblCellMar>
        </w:tblPrEx>
        <w:tc>
          <w:tcPr>
            <w:tcW w:w="4500" w:type="dxa"/>
            <w:tcBorders>
              <w:bottom w:val="nil"/>
            </w:tcBorders>
          </w:tcPr>
          <w:p w:rsidR="003865AC" w:rsidRDefault="003865AC">
            <w:pPr>
              <w:spacing w:before="0" w:after="0"/>
              <w:jc w:val="both"/>
              <w:rPr>
                <w:rFonts w:hint="cs"/>
                <w:sz w:val="24"/>
                <w:szCs w:val="24"/>
              </w:rPr>
            </w:pPr>
            <w:r>
              <w:rPr>
                <w:rFonts w:hint="cs"/>
                <w:sz w:val="24"/>
                <w:szCs w:val="24"/>
                <w:rtl/>
              </w:rPr>
              <w:t>مجموع المستفيدين من الإعانات</w:t>
            </w:r>
          </w:p>
        </w:tc>
        <w:tc>
          <w:tcPr>
            <w:tcW w:w="1620" w:type="dxa"/>
            <w:tcBorders>
              <w:bottom w:val="nil"/>
            </w:tcBorders>
          </w:tcPr>
          <w:p w:rsidR="003865AC" w:rsidRDefault="003865AC">
            <w:pPr>
              <w:spacing w:before="0" w:after="0"/>
              <w:jc w:val="center"/>
              <w:rPr>
                <w:rFonts w:hint="cs"/>
                <w:sz w:val="24"/>
                <w:szCs w:val="24"/>
                <w:rtl/>
              </w:rPr>
            </w:pPr>
            <w:r>
              <w:rPr>
                <w:rFonts w:hint="cs"/>
                <w:sz w:val="24"/>
                <w:szCs w:val="24"/>
                <w:rtl/>
              </w:rPr>
              <w:t>979.4</w:t>
            </w:r>
          </w:p>
        </w:tc>
        <w:tc>
          <w:tcPr>
            <w:tcW w:w="1620" w:type="dxa"/>
            <w:tcBorders>
              <w:bottom w:val="nil"/>
            </w:tcBorders>
          </w:tcPr>
          <w:p w:rsidR="003865AC" w:rsidRDefault="003865AC">
            <w:pPr>
              <w:spacing w:before="0" w:after="0"/>
              <w:jc w:val="center"/>
              <w:rPr>
                <w:rFonts w:hint="cs"/>
                <w:sz w:val="24"/>
                <w:szCs w:val="24"/>
                <w:rtl/>
              </w:rPr>
            </w:pPr>
            <w:r>
              <w:rPr>
                <w:rFonts w:hint="cs"/>
                <w:sz w:val="24"/>
                <w:szCs w:val="24"/>
                <w:rtl/>
              </w:rPr>
              <w:t>967.4</w:t>
            </w:r>
          </w:p>
        </w:tc>
        <w:tc>
          <w:tcPr>
            <w:tcW w:w="1620" w:type="dxa"/>
            <w:tcBorders>
              <w:bottom w:val="nil"/>
            </w:tcBorders>
          </w:tcPr>
          <w:p w:rsidR="003865AC" w:rsidRDefault="003865AC">
            <w:pPr>
              <w:spacing w:before="0" w:after="0"/>
              <w:jc w:val="center"/>
              <w:rPr>
                <w:rFonts w:hint="cs"/>
                <w:sz w:val="24"/>
                <w:szCs w:val="24"/>
                <w:rtl/>
              </w:rPr>
            </w:pPr>
            <w:r>
              <w:rPr>
                <w:rFonts w:hint="cs"/>
                <w:sz w:val="24"/>
                <w:szCs w:val="24"/>
                <w:rtl/>
              </w:rPr>
              <w:t>923.7</w:t>
            </w:r>
          </w:p>
        </w:tc>
      </w:tr>
      <w:tr w:rsidR="003865AC" w:rsidTr="003865AC">
        <w:tblPrEx>
          <w:tblCellMar>
            <w:top w:w="0" w:type="dxa"/>
            <w:bottom w:w="0" w:type="dxa"/>
          </w:tblCellMar>
        </w:tblPrEx>
        <w:tc>
          <w:tcPr>
            <w:tcW w:w="4500" w:type="dxa"/>
            <w:tcBorders>
              <w:top w:val="nil"/>
              <w:bottom w:val="nil"/>
            </w:tcBorders>
          </w:tcPr>
          <w:p w:rsidR="003865AC" w:rsidRDefault="003865AC">
            <w:pPr>
              <w:spacing w:before="0" w:after="0"/>
              <w:jc w:val="both"/>
              <w:rPr>
                <w:rFonts w:hint="cs"/>
                <w:sz w:val="24"/>
                <w:szCs w:val="24"/>
                <w:rtl/>
              </w:rPr>
            </w:pPr>
            <w:r>
              <w:rPr>
                <w:rFonts w:hint="cs"/>
                <w:sz w:val="24"/>
                <w:szCs w:val="24"/>
                <w:rtl/>
              </w:rPr>
              <w:t>نوع الإعانات التي تلقوها</w:t>
            </w:r>
          </w:p>
        </w:tc>
        <w:tc>
          <w:tcPr>
            <w:tcW w:w="1620" w:type="dxa"/>
            <w:tcBorders>
              <w:top w:val="nil"/>
              <w:bottom w:val="nil"/>
            </w:tcBorders>
          </w:tcPr>
          <w:p w:rsidR="003865AC" w:rsidRDefault="003865AC">
            <w:pPr>
              <w:spacing w:before="0" w:after="0"/>
              <w:jc w:val="center"/>
              <w:rPr>
                <w:rFonts w:hint="cs"/>
                <w:sz w:val="24"/>
                <w:szCs w:val="24"/>
                <w:rtl/>
              </w:rPr>
            </w:pPr>
          </w:p>
        </w:tc>
        <w:tc>
          <w:tcPr>
            <w:tcW w:w="1620" w:type="dxa"/>
            <w:tcBorders>
              <w:top w:val="nil"/>
              <w:bottom w:val="nil"/>
            </w:tcBorders>
          </w:tcPr>
          <w:p w:rsidR="003865AC" w:rsidRDefault="003865AC">
            <w:pPr>
              <w:spacing w:before="0" w:after="0"/>
              <w:jc w:val="center"/>
              <w:rPr>
                <w:rFonts w:hint="cs"/>
                <w:sz w:val="24"/>
                <w:szCs w:val="24"/>
                <w:rtl/>
              </w:rPr>
            </w:pPr>
          </w:p>
        </w:tc>
        <w:tc>
          <w:tcPr>
            <w:tcW w:w="1620" w:type="dxa"/>
            <w:tcBorders>
              <w:top w:val="nil"/>
              <w:bottom w:val="nil"/>
            </w:tcBorders>
          </w:tcPr>
          <w:p w:rsidR="003865AC" w:rsidRDefault="003865AC">
            <w:pPr>
              <w:spacing w:before="0" w:after="0"/>
              <w:jc w:val="center"/>
              <w:rPr>
                <w:rFonts w:hint="cs"/>
                <w:sz w:val="24"/>
                <w:szCs w:val="24"/>
                <w:rtl/>
              </w:rPr>
            </w:pPr>
          </w:p>
        </w:tc>
      </w:tr>
      <w:tr w:rsidR="003865AC" w:rsidTr="003865AC">
        <w:tblPrEx>
          <w:tblCellMar>
            <w:top w:w="0" w:type="dxa"/>
            <w:bottom w:w="0" w:type="dxa"/>
          </w:tblCellMar>
        </w:tblPrEx>
        <w:tc>
          <w:tcPr>
            <w:tcW w:w="4500" w:type="dxa"/>
            <w:tcBorders>
              <w:top w:val="nil"/>
              <w:bottom w:val="nil"/>
            </w:tcBorders>
          </w:tcPr>
          <w:p w:rsidR="003865AC" w:rsidRDefault="003865AC">
            <w:pPr>
              <w:spacing w:before="0" w:after="0"/>
              <w:jc w:val="both"/>
              <w:rPr>
                <w:rFonts w:hint="cs"/>
                <w:sz w:val="24"/>
                <w:szCs w:val="24"/>
                <w:rtl/>
              </w:rPr>
            </w:pPr>
            <w:r>
              <w:rPr>
                <w:rFonts w:hint="cs"/>
                <w:sz w:val="24"/>
                <w:szCs w:val="24"/>
                <w:rtl/>
              </w:rPr>
              <w:t xml:space="preserve">  معاشات التقاعد عن العمل</w:t>
            </w:r>
          </w:p>
        </w:tc>
        <w:tc>
          <w:tcPr>
            <w:tcW w:w="1620" w:type="dxa"/>
            <w:tcBorders>
              <w:top w:val="nil"/>
              <w:bottom w:val="nil"/>
            </w:tcBorders>
          </w:tcPr>
          <w:p w:rsidR="003865AC" w:rsidRDefault="003865AC">
            <w:pPr>
              <w:spacing w:before="0" w:after="0"/>
              <w:jc w:val="center"/>
              <w:rPr>
                <w:rFonts w:hint="cs"/>
                <w:sz w:val="24"/>
                <w:szCs w:val="24"/>
                <w:rtl/>
              </w:rPr>
            </w:pPr>
            <w:r>
              <w:rPr>
                <w:rFonts w:hint="cs"/>
                <w:sz w:val="24"/>
                <w:szCs w:val="24"/>
                <w:rtl/>
              </w:rPr>
              <w:t>878.2</w:t>
            </w:r>
          </w:p>
        </w:tc>
        <w:tc>
          <w:tcPr>
            <w:tcW w:w="1620" w:type="dxa"/>
            <w:tcBorders>
              <w:top w:val="nil"/>
              <w:bottom w:val="nil"/>
            </w:tcBorders>
          </w:tcPr>
          <w:p w:rsidR="003865AC" w:rsidRDefault="003865AC">
            <w:pPr>
              <w:spacing w:before="0" w:after="0"/>
              <w:jc w:val="center"/>
              <w:rPr>
                <w:rFonts w:hint="cs"/>
                <w:sz w:val="24"/>
                <w:szCs w:val="24"/>
                <w:rtl/>
              </w:rPr>
            </w:pPr>
            <w:r>
              <w:rPr>
                <w:rFonts w:hint="cs"/>
                <w:sz w:val="24"/>
                <w:szCs w:val="24"/>
                <w:rtl/>
              </w:rPr>
              <w:t>860.5</w:t>
            </w:r>
          </w:p>
        </w:tc>
        <w:tc>
          <w:tcPr>
            <w:tcW w:w="1620" w:type="dxa"/>
            <w:tcBorders>
              <w:top w:val="nil"/>
              <w:bottom w:val="nil"/>
            </w:tcBorders>
          </w:tcPr>
          <w:p w:rsidR="003865AC" w:rsidRDefault="003865AC">
            <w:pPr>
              <w:spacing w:before="0" w:after="0"/>
              <w:jc w:val="center"/>
              <w:rPr>
                <w:rFonts w:hint="cs"/>
                <w:sz w:val="24"/>
                <w:szCs w:val="24"/>
                <w:rtl/>
              </w:rPr>
            </w:pPr>
            <w:r>
              <w:rPr>
                <w:rFonts w:hint="cs"/>
                <w:sz w:val="24"/>
                <w:szCs w:val="24"/>
                <w:rtl/>
              </w:rPr>
              <w:t>814.2</w:t>
            </w:r>
          </w:p>
        </w:tc>
      </w:tr>
      <w:tr w:rsidR="003865AC" w:rsidTr="003865AC">
        <w:tblPrEx>
          <w:tblCellMar>
            <w:top w:w="0" w:type="dxa"/>
            <w:bottom w:w="0" w:type="dxa"/>
          </w:tblCellMar>
        </w:tblPrEx>
        <w:tc>
          <w:tcPr>
            <w:tcW w:w="4500" w:type="dxa"/>
            <w:tcBorders>
              <w:top w:val="nil"/>
              <w:bottom w:val="nil"/>
            </w:tcBorders>
          </w:tcPr>
          <w:p w:rsidR="003865AC" w:rsidRDefault="003865AC">
            <w:pPr>
              <w:spacing w:before="0" w:after="0"/>
              <w:jc w:val="both"/>
              <w:rPr>
                <w:rFonts w:hint="cs"/>
                <w:sz w:val="24"/>
                <w:szCs w:val="24"/>
                <w:rtl/>
              </w:rPr>
            </w:pPr>
            <w:r>
              <w:rPr>
                <w:rFonts w:hint="cs"/>
                <w:sz w:val="24"/>
                <w:szCs w:val="24"/>
                <w:rtl/>
              </w:rPr>
              <w:t xml:space="preserve">  منها معاشات كبار السن</w:t>
            </w:r>
          </w:p>
        </w:tc>
        <w:tc>
          <w:tcPr>
            <w:tcW w:w="1620" w:type="dxa"/>
            <w:tcBorders>
              <w:top w:val="nil"/>
              <w:bottom w:val="nil"/>
            </w:tcBorders>
          </w:tcPr>
          <w:p w:rsidR="003865AC" w:rsidRDefault="003865AC">
            <w:pPr>
              <w:spacing w:before="0" w:after="0"/>
              <w:jc w:val="center"/>
              <w:rPr>
                <w:rFonts w:hint="cs"/>
                <w:sz w:val="24"/>
                <w:szCs w:val="24"/>
                <w:rtl/>
              </w:rPr>
            </w:pPr>
            <w:r>
              <w:rPr>
                <w:rFonts w:hint="cs"/>
                <w:sz w:val="24"/>
                <w:szCs w:val="24"/>
                <w:rtl/>
              </w:rPr>
              <w:t>768.9</w:t>
            </w:r>
          </w:p>
        </w:tc>
        <w:tc>
          <w:tcPr>
            <w:tcW w:w="1620" w:type="dxa"/>
            <w:tcBorders>
              <w:top w:val="nil"/>
              <w:bottom w:val="nil"/>
            </w:tcBorders>
          </w:tcPr>
          <w:p w:rsidR="003865AC" w:rsidRDefault="003865AC">
            <w:pPr>
              <w:spacing w:before="0" w:after="0"/>
              <w:jc w:val="center"/>
              <w:rPr>
                <w:rFonts w:hint="cs"/>
                <w:sz w:val="24"/>
                <w:szCs w:val="24"/>
                <w:rtl/>
              </w:rPr>
            </w:pPr>
            <w:r>
              <w:rPr>
                <w:rFonts w:hint="cs"/>
                <w:sz w:val="24"/>
                <w:szCs w:val="24"/>
                <w:rtl/>
              </w:rPr>
              <w:t>665.3</w:t>
            </w:r>
          </w:p>
        </w:tc>
        <w:tc>
          <w:tcPr>
            <w:tcW w:w="1620" w:type="dxa"/>
            <w:tcBorders>
              <w:top w:val="nil"/>
              <w:bottom w:val="nil"/>
            </w:tcBorders>
          </w:tcPr>
          <w:p w:rsidR="003865AC" w:rsidRDefault="003865AC">
            <w:pPr>
              <w:spacing w:before="0" w:after="0"/>
              <w:jc w:val="center"/>
              <w:rPr>
                <w:rFonts w:hint="cs"/>
                <w:sz w:val="24"/>
                <w:szCs w:val="24"/>
                <w:rtl/>
              </w:rPr>
            </w:pPr>
            <w:r>
              <w:rPr>
                <w:rFonts w:hint="cs"/>
                <w:sz w:val="24"/>
                <w:szCs w:val="24"/>
                <w:rtl/>
              </w:rPr>
              <w:t>620.3</w:t>
            </w:r>
          </w:p>
        </w:tc>
      </w:tr>
      <w:tr w:rsidR="003865AC" w:rsidTr="003865AC">
        <w:tblPrEx>
          <w:tblCellMar>
            <w:top w:w="0" w:type="dxa"/>
            <w:bottom w:w="0" w:type="dxa"/>
          </w:tblCellMar>
        </w:tblPrEx>
        <w:tc>
          <w:tcPr>
            <w:tcW w:w="4500" w:type="dxa"/>
            <w:tcBorders>
              <w:top w:val="nil"/>
              <w:bottom w:val="nil"/>
            </w:tcBorders>
          </w:tcPr>
          <w:p w:rsidR="003865AC" w:rsidRDefault="003865AC">
            <w:pPr>
              <w:spacing w:before="0" w:after="0"/>
              <w:jc w:val="both"/>
              <w:rPr>
                <w:rFonts w:hint="cs"/>
                <w:spacing w:val="-4"/>
                <w:sz w:val="24"/>
                <w:szCs w:val="24"/>
                <w:rtl/>
              </w:rPr>
            </w:pPr>
            <w:r>
              <w:rPr>
                <w:rFonts w:hint="cs"/>
                <w:spacing w:val="-4"/>
                <w:sz w:val="24"/>
                <w:szCs w:val="24"/>
                <w:rtl/>
              </w:rPr>
              <w:t xml:space="preserve">  معاشات العجز، معاشات مهنية أو إعانات عامة بسبب الإصابة بمرض</w:t>
            </w:r>
          </w:p>
        </w:tc>
        <w:tc>
          <w:tcPr>
            <w:tcW w:w="1620" w:type="dxa"/>
            <w:tcBorders>
              <w:top w:val="nil"/>
              <w:bottom w:val="nil"/>
            </w:tcBorders>
          </w:tcPr>
          <w:p w:rsidR="003865AC" w:rsidRDefault="003865AC">
            <w:pPr>
              <w:spacing w:before="0" w:after="0"/>
              <w:jc w:val="center"/>
              <w:rPr>
                <w:rFonts w:hint="cs"/>
                <w:sz w:val="24"/>
                <w:szCs w:val="24"/>
                <w:rtl/>
              </w:rPr>
            </w:pPr>
            <w:r>
              <w:rPr>
                <w:rFonts w:hint="cs"/>
                <w:sz w:val="24"/>
                <w:szCs w:val="24"/>
                <w:rtl/>
              </w:rPr>
              <w:t>138.1</w:t>
            </w:r>
          </w:p>
        </w:tc>
        <w:tc>
          <w:tcPr>
            <w:tcW w:w="1620" w:type="dxa"/>
            <w:tcBorders>
              <w:top w:val="nil"/>
              <w:bottom w:val="nil"/>
            </w:tcBorders>
          </w:tcPr>
          <w:p w:rsidR="003865AC" w:rsidRDefault="003865AC">
            <w:pPr>
              <w:spacing w:before="0" w:after="0"/>
              <w:jc w:val="center"/>
              <w:rPr>
                <w:rFonts w:hint="cs"/>
                <w:sz w:val="24"/>
                <w:szCs w:val="24"/>
                <w:rtl/>
              </w:rPr>
            </w:pPr>
            <w:r>
              <w:rPr>
                <w:rFonts w:hint="cs"/>
                <w:sz w:val="24"/>
                <w:szCs w:val="24"/>
                <w:rtl/>
              </w:rPr>
              <w:t>136.6</w:t>
            </w:r>
          </w:p>
        </w:tc>
        <w:tc>
          <w:tcPr>
            <w:tcW w:w="1620" w:type="dxa"/>
            <w:tcBorders>
              <w:top w:val="nil"/>
              <w:bottom w:val="nil"/>
            </w:tcBorders>
          </w:tcPr>
          <w:p w:rsidR="003865AC" w:rsidRDefault="003865AC">
            <w:pPr>
              <w:spacing w:before="0" w:after="0"/>
              <w:jc w:val="center"/>
              <w:rPr>
                <w:rFonts w:hint="cs"/>
                <w:sz w:val="24"/>
                <w:szCs w:val="24"/>
                <w:rtl/>
              </w:rPr>
            </w:pPr>
            <w:r>
              <w:rPr>
                <w:rFonts w:hint="cs"/>
                <w:sz w:val="24"/>
                <w:szCs w:val="24"/>
                <w:rtl/>
              </w:rPr>
              <w:t>129.1</w:t>
            </w:r>
          </w:p>
        </w:tc>
      </w:tr>
      <w:tr w:rsidR="003865AC" w:rsidTr="003865AC">
        <w:tblPrEx>
          <w:tblCellMar>
            <w:top w:w="0" w:type="dxa"/>
            <w:bottom w:w="0" w:type="dxa"/>
          </w:tblCellMar>
        </w:tblPrEx>
        <w:tc>
          <w:tcPr>
            <w:tcW w:w="4500" w:type="dxa"/>
            <w:tcBorders>
              <w:top w:val="nil"/>
              <w:bottom w:val="nil"/>
            </w:tcBorders>
          </w:tcPr>
          <w:p w:rsidR="003865AC" w:rsidRDefault="003865AC">
            <w:pPr>
              <w:spacing w:before="0" w:after="0"/>
              <w:jc w:val="both"/>
              <w:rPr>
                <w:rFonts w:hint="cs"/>
                <w:sz w:val="24"/>
                <w:szCs w:val="24"/>
                <w:rtl/>
              </w:rPr>
            </w:pPr>
            <w:r>
              <w:rPr>
                <w:rFonts w:hint="cs"/>
                <w:sz w:val="24"/>
                <w:szCs w:val="24"/>
                <w:rtl/>
              </w:rPr>
              <w:t xml:space="preserve">  إعانات اجتماعية</w:t>
            </w:r>
          </w:p>
        </w:tc>
        <w:tc>
          <w:tcPr>
            <w:tcW w:w="1620" w:type="dxa"/>
            <w:tcBorders>
              <w:top w:val="nil"/>
              <w:bottom w:val="nil"/>
            </w:tcBorders>
          </w:tcPr>
          <w:p w:rsidR="003865AC" w:rsidRDefault="003865AC">
            <w:pPr>
              <w:spacing w:before="0" w:after="0"/>
              <w:jc w:val="center"/>
              <w:rPr>
                <w:rFonts w:hint="cs"/>
                <w:sz w:val="24"/>
                <w:szCs w:val="24"/>
                <w:rtl/>
              </w:rPr>
            </w:pPr>
            <w:r>
              <w:rPr>
                <w:rFonts w:hint="cs"/>
                <w:sz w:val="24"/>
                <w:szCs w:val="24"/>
                <w:rtl/>
              </w:rPr>
              <w:t>69.3</w:t>
            </w:r>
          </w:p>
        </w:tc>
        <w:tc>
          <w:tcPr>
            <w:tcW w:w="1620" w:type="dxa"/>
            <w:tcBorders>
              <w:top w:val="nil"/>
              <w:bottom w:val="nil"/>
            </w:tcBorders>
          </w:tcPr>
          <w:p w:rsidR="003865AC" w:rsidRDefault="003865AC">
            <w:pPr>
              <w:spacing w:before="0" w:after="0"/>
              <w:jc w:val="center"/>
              <w:rPr>
                <w:rFonts w:hint="cs"/>
                <w:sz w:val="24"/>
                <w:szCs w:val="24"/>
                <w:rtl/>
              </w:rPr>
            </w:pPr>
            <w:r>
              <w:rPr>
                <w:rFonts w:hint="cs"/>
                <w:sz w:val="24"/>
                <w:szCs w:val="24"/>
                <w:rtl/>
              </w:rPr>
              <w:t>71.0</w:t>
            </w:r>
          </w:p>
        </w:tc>
        <w:tc>
          <w:tcPr>
            <w:tcW w:w="1620" w:type="dxa"/>
            <w:tcBorders>
              <w:top w:val="nil"/>
              <w:bottom w:val="nil"/>
            </w:tcBorders>
          </w:tcPr>
          <w:p w:rsidR="003865AC" w:rsidRDefault="003865AC">
            <w:pPr>
              <w:spacing w:before="0" w:after="0"/>
              <w:jc w:val="center"/>
              <w:rPr>
                <w:rFonts w:hint="cs"/>
                <w:sz w:val="24"/>
                <w:szCs w:val="24"/>
                <w:rtl/>
              </w:rPr>
            </w:pPr>
            <w:r>
              <w:rPr>
                <w:rFonts w:hint="cs"/>
                <w:sz w:val="24"/>
                <w:szCs w:val="24"/>
                <w:rtl/>
              </w:rPr>
              <w:t>71.7</w:t>
            </w:r>
          </w:p>
        </w:tc>
      </w:tr>
      <w:tr w:rsidR="003865AC" w:rsidTr="003865AC">
        <w:tblPrEx>
          <w:tblCellMar>
            <w:top w:w="0" w:type="dxa"/>
            <w:bottom w:w="0" w:type="dxa"/>
          </w:tblCellMar>
        </w:tblPrEx>
        <w:tc>
          <w:tcPr>
            <w:tcW w:w="4500" w:type="dxa"/>
            <w:tcBorders>
              <w:top w:val="nil"/>
              <w:bottom w:val="nil"/>
            </w:tcBorders>
          </w:tcPr>
          <w:p w:rsidR="003865AC" w:rsidRDefault="003865AC">
            <w:pPr>
              <w:spacing w:before="0" w:after="0"/>
              <w:jc w:val="both"/>
              <w:rPr>
                <w:rFonts w:hint="cs"/>
                <w:sz w:val="24"/>
                <w:szCs w:val="24"/>
                <w:rtl/>
              </w:rPr>
            </w:pPr>
            <w:r>
              <w:rPr>
                <w:rFonts w:hint="cs"/>
                <w:sz w:val="24"/>
                <w:szCs w:val="24"/>
                <w:rtl/>
              </w:rPr>
              <w:t xml:space="preserve">  معاشات بسبب فقدان العائل</w:t>
            </w:r>
          </w:p>
        </w:tc>
        <w:tc>
          <w:tcPr>
            <w:tcW w:w="1620" w:type="dxa"/>
            <w:tcBorders>
              <w:top w:val="nil"/>
              <w:bottom w:val="nil"/>
            </w:tcBorders>
          </w:tcPr>
          <w:p w:rsidR="003865AC" w:rsidRDefault="003865AC">
            <w:pPr>
              <w:spacing w:before="0" w:after="0"/>
              <w:jc w:val="center"/>
              <w:rPr>
                <w:rFonts w:hint="cs"/>
                <w:sz w:val="24"/>
                <w:szCs w:val="24"/>
                <w:rtl/>
              </w:rPr>
            </w:pPr>
            <w:r>
              <w:rPr>
                <w:rFonts w:hint="cs"/>
                <w:sz w:val="24"/>
                <w:szCs w:val="24"/>
                <w:rtl/>
              </w:rPr>
              <w:t>72.0</w:t>
            </w:r>
          </w:p>
        </w:tc>
        <w:tc>
          <w:tcPr>
            <w:tcW w:w="1620" w:type="dxa"/>
            <w:tcBorders>
              <w:top w:val="nil"/>
              <w:bottom w:val="nil"/>
            </w:tcBorders>
          </w:tcPr>
          <w:p w:rsidR="003865AC" w:rsidRDefault="003865AC">
            <w:pPr>
              <w:spacing w:before="0" w:after="0"/>
              <w:jc w:val="center"/>
              <w:rPr>
                <w:rFonts w:hint="cs"/>
                <w:sz w:val="24"/>
                <w:szCs w:val="24"/>
                <w:rtl/>
              </w:rPr>
            </w:pPr>
            <w:r>
              <w:rPr>
                <w:rFonts w:hint="cs"/>
                <w:sz w:val="24"/>
                <w:szCs w:val="24"/>
                <w:rtl/>
              </w:rPr>
              <w:t>50.8</w:t>
            </w:r>
          </w:p>
        </w:tc>
        <w:tc>
          <w:tcPr>
            <w:tcW w:w="1620" w:type="dxa"/>
            <w:tcBorders>
              <w:top w:val="nil"/>
              <w:bottom w:val="nil"/>
            </w:tcBorders>
          </w:tcPr>
          <w:p w:rsidR="003865AC" w:rsidRDefault="003865AC">
            <w:pPr>
              <w:spacing w:before="0" w:after="0"/>
              <w:jc w:val="center"/>
              <w:rPr>
                <w:rFonts w:hint="cs"/>
                <w:sz w:val="24"/>
                <w:szCs w:val="24"/>
                <w:rtl/>
              </w:rPr>
            </w:pPr>
            <w:r>
              <w:rPr>
                <w:rFonts w:hint="cs"/>
                <w:sz w:val="24"/>
                <w:szCs w:val="24"/>
                <w:rtl/>
              </w:rPr>
              <w:t>53.2</w:t>
            </w:r>
          </w:p>
        </w:tc>
      </w:tr>
      <w:tr w:rsidR="003865AC" w:rsidTr="003865AC">
        <w:tblPrEx>
          <w:tblCellMar>
            <w:top w:w="0" w:type="dxa"/>
            <w:bottom w:w="0" w:type="dxa"/>
          </w:tblCellMar>
        </w:tblPrEx>
        <w:tc>
          <w:tcPr>
            <w:tcW w:w="4500" w:type="dxa"/>
            <w:tcBorders>
              <w:top w:val="nil"/>
              <w:bottom w:val="nil"/>
            </w:tcBorders>
          </w:tcPr>
          <w:p w:rsidR="003865AC" w:rsidRDefault="003865AC">
            <w:pPr>
              <w:spacing w:before="0" w:after="0"/>
              <w:jc w:val="both"/>
              <w:rPr>
                <w:rFonts w:hint="cs"/>
                <w:sz w:val="24"/>
                <w:szCs w:val="24"/>
                <w:rtl/>
              </w:rPr>
            </w:pPr>
            <w:r>
              <w:rPr>
                <w:rFonts w:hint="cs"/>
                <w:sz w:val="24"/>
                <w:szCs w:val="24"/>
                <w:rtl/>
              </w:rPr>
              <w:t xml:space="preserve">  معاشات تقدم لقدماء المحاربين من صندوق الضمان الاجتماعي</w:t>
            </w:r>
          </w:p>
        </w:tc>
        <w:tc>
          <w:tcPr>
            <w:tcW w:w="1620" w:type="dxa"/>
            <w:tcBorders>
              <w:top w:val="nil"/>
              <w:bottom w:val="nil"/>
            </w:tcBorders>
          </w:tcPr>
          <w:p w:rsidR="003865AC" w:rsidRDefault="003865AC">
            <w:pPr>
              <w:spacing w:before="0" w:after="0"/>
              <w:jc w:val="center"/>
              <w:rPr>
                <w:rFonts w:hint="cs"/>
                <w:sz w:val="24"/>
                <w:szCs w:val="24"/>
                <w:rtl/>
              </w:rPr>
            </w:pPr>
            <w:r>
              <w:rPr>
                <w:rFonts w:hint="cs"/>
                <w:sz w:val="24"/>
                <w:szCs w:val="24"/>
                <w:rtl/>
              </w:rPr>
              <w:t>31.9</w:t>
            </w:r>
          </w:p>
        </w:tc>
        <w:tc>
          <w:tcPr>
            <w:tcW w:w="1620" w:type="dxa"/>
            <w:tcBorders>
              <w:top w:val="nil"/>
              <w:bottom w:val="nil"/>
            </w:tcBorders>
          </w:tcPr>
          <w:p w:rsidR="003865AC" w:rsidRDefault="003865AC">
            <w:pPr>
              <w:spacing w:before="0" w:after="0"/>
              <w:jc w:val="center"/>
              <w:rPr>
                <w:rFonts w:hint="cs"/>
                <w:sz w:val="24"/>
                <w:szCs w:val="24"/>
                <w:rtl/>
              </w:rPr>
            </w:pPr>
            <w:r>
              <w:rPr>
                <w:rFonts w:hint="cs"/>
                <w:sz w:val="24"/>
                <w:szCs w:val="24"/>
                <w:rtl/>
              </w:rPr>
              <w:t>31.0</w:t>
            </w:r>
          </w:p>
        </w:tc>
        <w:tc>
          <w:tcPr>
            <w:tcW w:w="1620" w:type="dxa"/>
            <w:tcBorders>
              <w:top w:val="nil"/>
              <w:bottom w:val="nil"/>
            </w:tcBorders>
          </w:tcPr>
          <w:p w:rsidR="003865AC" w:rsidRDefault="003865AC">
            <w:pPr>
              <w:spacing w:before="0" w:after="0"/>
              <w:jc w:val="center"/>
              <w:rPr>
                <w:rFonts w:hint="cs"/>
                <w:sz w:val="24"/>
                <w:szCs w:val="24"/>
                <w:rtl/>
              </w:rPr>
            </w:pPr>
            <w:r>
              <w:rPr>
                <w:rFonts w:hint="cs"/>
                <w:sz w:val="24"/>
                <w:szCs w:val="24"/>
                <w:rtl/>
              </w:rPr>
              <w:t>29.1</w:t>
            </w:r>
          </w:p>
        </w:tc>
      </w:tr>
      <w:tr w:rsidR="003865AC" w:rsidTr="003865AC">
        <w:tblPrEx>
          <w:tblCellMar>
            <w:top w:w="0" w:type="dxa"/>
            <w:bottom w:w="0" w:type="dxa"/>
          </w:tblCellMar>
        </w:tblPrEx>
        <w:tc>
          <w:tcPr>
            <w:tcW w:w="4500" w:type="dxa"/>
            <w:tcBorders>
              <w:top w:val="nil"/>
              <w:bottom w:val="nil"/>
            </w:tcBorders>
          </w:tcPr>
          <w:p w:rsidR="003865AC" w:rsidRDefault="003865AC">
            <w:pPr>
              <w:spacing w:before="0" w:after="0"/>
              <w:jc w:val="both"/>
              <w:rPr>
                <w:rFonts w:hint="cs"/>
                <w:sz w:val="24"/>
                <w:szCs w:val="24"/>
                <w:rtl/>
              </w:rPr>
            </w:pPr>
            <w:r>
              <w:rPr>
                <w:rFonts w:hint="cs"/>
                <w:sz w:val="24"/>
                <w:szCs w:val="24"/>
                <w:rtl/>
              </w:rPr>
              <w:t xml:space="preserve">  معاشات الخدمة الخاصة</w:t>
            </w:r>
          </w:p>
        </w:tc>
        <w:tc>
          <w:tcPr>
            <w:tcW w:w="1620" w:type="dxa"/>
            <w:tcBorders>
              <w:top w:val="nil"/>
              <w:bottom w:val="nil"/>
            </w:tcBorders>
          </w:tcPr>
          <w:p w:rsidR="003865AC" w:rsidRDefault="003865AC">
            <w:pPr>
              <w:spacing w:before="0" w:after="0"/>
              <w:jc w:val="center"/>
              <w:rPr>
                <w:rFonts w:hint="cs"/>
                <w:sz w:val="24"/>
                <w:szCs w:val="24"/>
                <w:rtl/>
              </w:rPr>
            </w:pPr>
            <w:r>
              <w:rPr>
                <w:rFonts w:hint="cs"/>
                <w:sz w:val="24"/>
                <w:szCs w:val="24"/>
                <w:rtl/>
              </w:rPr>
              <w:t>9.4</w:t>
            </w:r>
          </w:p>
        </w:tc>
        <w:tc>
          <w:tcPr>
            <w:tcW w:w="1620" w:type="dxa"/>
            <w:tcBorders>
              <w:top w:val="nil"/>
              <w:bottom w:val="nil"/>
            </w:tcBorders>
          </w:tcPr>
          <w:p w:rsidR="003865AC" w:rsidRDefault="003865AC">
            <w:pPr>
              <w:spacing w:before="0" w:after="0"/>
              <w:jc w:val="center"/>
              <w:rPr>
                <w:rFonts w:hint="cs"/>
                <w:sz w:val="24"/>
                <w:szCs w:val="24"/>
                <w:rtl/>
              </w:rPr>
            </w:pPr>
            <w:r>
              <w:rPr>
                <w:rFonts w:hint="cs"/>
                <w:sz w:val="24"/>
                <w:szCs w:val="24"/>
                <w:rtl/>
              </w:rPr>
              <w:t>5.0</w:t>
            </w:r>
          </w:p>
        </w:tc>
        <w:tc>
          <w:tcPr>
            <w:tcW w:w="1620" w:type="dxa"/>
            <w:tcBorders>
              <w:top w:val="nil"/>
              <w:bottom w:val="nil"/>
            </w:tcBorders>
          </w:tcPr>
          <w:p w:rsidR="003865AC" w:rsidRDefault="003865AC">
            <w:pPr>
              <w:spacing w:before="0" w:after="0"/>
              <w:jc w:val="center"/>
              <w:rPr>
                <w:rFonts w:hint="cs"/>
                <w:sz w:val="24"/>
                <w:szCs w:val="24"/>
                <w:rtl/>
              </w:rPr>
            </w:pPr>
            <w:r>
              <w:rPr>
                <w:rFonts w:hint="cs"/>
                <w:sz w:val="24"/>
                <w:szCs w:val="24"/>
                <w:rtl/>
              </w:rPr>
              <w:t>8.4</w:t>
            </w:r>
          </w:p>
        </w:tc>
      </w:tr>
      <w:tr w:rsidR="003865AC" w:rsidTr="003865AC">
        <w:tblPrEx>
          <w:tblCellMar>
            <w:top w:w="0" w:type="dxa"/>
            <w:bottom w:w="0" w:type="dxa"/>
          </w:tblCellMar>
        </w:tblPrEx>
        <w:tc>
          <w:tcPr>
            <w:tcW w:w="4500" w:type="dxa"/>
            <w:tcBorders>
              <w:top w:val="nil"/>
            </w:tcBorders>
          </w:tcPr>
          <w:p w:rsidR="003865AC" w:rsidRDefault="003865AC">
            <w:pPr>
              <w:spacing w:before="0" w:after="0"/>
              <w:jc w:val="both"/>
              <w:rPr>
                <w:rFonts w:hint="cs"/>
                <w:sz w:val="24"/>
                <w:szCs w:val="24"/>
                <w:rtl/>
              </w:rPr>
            </w:pPr>
            <w:r>
              <w:rPr>
                <w:rFonts w:hint="cs"/>
                <w:sz w:val="24"/>
                <w:szCs w:val="24"/>
                <w:rtl/>
              </w:rPr>
              <w:t>متوسط مستوى المعاشات الشهري (باللاريات)</w:t>
            </w:r>
          </w:p>
        </w:tc>
        <w:tc>
          <w:tcPr>
            <w:tcW w:w="1620" w:type="dxa"/>
            <w:tcBorders>
              <w:top w:val="nil"/>
            </w:tcBorders>
          </w:tcPr>
          <w:p w:rsidR="003865AC" w:rsidRDefault="003865AC">
            <w:pPr>
              <w:spacing w:before="0" w:after="0"/>
              <w:jc w:val="center"/>
              <w:rPr>
                <w:rFonts w:hint="cs"/>
                <w:sz w:val="24"/>
                <w:szCs w:val="24"/>
                <w:rtl/>
              </w:rPr>
            </w:pPr>
            <w:r>
              <w:rPr>
                <w:rFonts w:hint="cs"/>
                <w:sz w:val="24"/>
                <w:szCs w:val="24"/>
                <w:rtl/>
              </w:rPr>
              <w:t>11.1</w:t>
            </w:r>
          </w:p>
        </w:tc>
        <w:tc>
          <w:tcPr>
            <w:tcW w:w="1620" w:type="dxa"/>
            <w:tcBorders>
              <w:top w:val="nil"/>
            </w:tcBorders>
          </w:tcPr>
          <w:p w:rsidR="003865AC" w:rsidRDefault="003865AC">
            <w:pPr>
              <w:spacing w:before="0" w:after="0"/>
              <w:jc w:val="center"/>
              <w:rPr>
                <w:rFonts w:hint="cs"/>
                <w:sz w:val="24"/>
                <w:szCs w:val="24"/>
                <w:rtl/>
              </w:rPr>
            </w:pPr>
            <w:r>
              <w:rPr>
                <w:rFonts w:hint="cs"/>
                <w:sz w:val="24"/>
                <w:szCs w:val="24"/>
                <w:rtl/>
              </w:rPr>
              <w:t>15.0</w:t>
            </w:r>
          </w:p>
        </w:tc>
        <w:tc>
          <w:tcPr>
            <w:tcW w:w="1620" w:type="dxa"/>
            <w:tcBorders>
              <w:top w:val="nil"/>
            </w:tcBorders>
          </w:tcPr>
          <w:p w:rsidR="003865AC" w:rsidRDefault="003865AC">
            <w:pPr>
              <w:spacing w:before="0" w:after="0"/>
              <w:jc w:val="center"/>
              <w:rPr>
                <w:rFonts w:hint="cs"/>
                <w:sz w:val="24"/>
                <w:szCs w:val="24"/>
                <w:rtl/>
              </w:rPr>
            </w:pPr>
            <w:r>
              <w:rPr>
                <w:rFonts w:hint="cs"/>
                <w:sz w:val="24"/>
                <w:szCs w:val="24"/>
                <w:rtl/>
              </w:rPr>
              <w:t>14.0</w:t>
            </w:r>
          </w:p>
        </w:tc>
      </w:tr>
    </w:tbl>
    <w:p w:rsidR="00000000" w:rsidRDefault="003865AC">
      <w:pPr>
        <w:jc w:val="both"/>
        <w:rPr>
          <w:rFonts w:hint="cs"/>
          <w:sz w:val="30"/>
          <w:rtl/>
        </w:rPr>
      </w:pPr>
      <w:r>
        <w:rPr>
          <w:rFonts w:hint="cs"/>
          <w:sz w:val="30"/>
          <w:rtl/>
        </w:rPr>
        <w:t>102-</w:t>
      </w:r>
      <w:r>
        <w:rPr>
          <w:rFonts w:hint="cs"/>
          <w:sz w:val="30"/>
          <w:rtl/>
        </w:rPr>
        <w:tab/>
        <w:t xml:space="preserve">كما يتلقى الأشخاص الذين لا </w:t>
      </w:r>
      <w:r>
        <w:rPr>
          <w:rFonts w:hint="cs"/>
          <w:sz w:val="30"/>
          <w:rtl/>
        </w:rPr>
        <w:t>حق لهم في المعاشات لأن مدة خدمتهم لا تستحق معاشا أو لأنهم لم يزاولوا عملاً يستحق المعاش دعماً حكومياً عند بلوغهم سناً معينة (65 بالنسبة للرجال و60 بالنسبة للنساء)، فيحصلون على إعانة اجتماعية قدرها 14 لاريا. وقد تمنح هذه الإعانات إلى أشخاص من فئات أخرى. ويب</w:t>
      </w:r>
      <w:r>
        <w:rPr>
          <w:rFonts w:hint="cs"/>
          <w:sz w:val="30"/>
          <w:rtl/>
        </w:rPr>
        <w:t>ين الجدول الآتي فئات وعدد الأشخاص الذين تُمنَح لهم  مثل هذه الإعانات:</w:t>
      </w:r>
    </w:p>
    <w:tbl>
      <w:tblPr>
        <w:bidiVisual/>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22"/>
        <w:gridCol w:w="1800"/>
        <w:gridCol w:w="1620"/>
        <w:gridCol w:w="1620"/>
      </w:tblGrid>
      <w:tr w:rsidR="003865AC" w:rsidTr="003865AC">
        <w:trPr>
          <w:cantSplit/>
        </w:trPr>
        <w:tc>
          <w:tcPr>
            <w:tcW w:w="4422" w:type="dxa"/>
            <w:vMerge w:val="restart"/>
          </w:tcPr>
          <w:p w:rsidR="003865AC" w:rsidRDefault="003865AC">
            <w:pPr>
              <w:spacing w:before="0" w:after="0" w:line="320" w:lineRule="exact"/>
              <w:jc w:val="center"/>
              <w:rPr>
                <w:rFonts w:hint="cs"/>
                <w:b/>
                <w:bCs/>
                <w:sz w:val="30"/>
                <w:rtl/>
              </w:rPr>
            </w:pPr>
            <w:r>
              <w:rPr>
                <w:rFonts w:hint="cs"/>
                <w:b/>
                <w:bCs/>
                <w:sz w:val="30"/>
                <w:rtl/>
              </w:rPr>
              <w:t>نوع الإعانة</w:t>
            </w:r>
          </w:p>
        </w:tc>
        <w:tc>
          <w:tcPr>
            <w:tcW w:w="5040" w:type="dxa"/>
            <w:gridSpan w:val="3"/>
          </w:tcPr>
          <w:p w:rsidR="003865AC" w:rsidRDefault="003865AC">
            <w:pPr>
              <w:spacing w:before="0" w:after="0" w:line="320" w:lineRule="exact"/>
              <w:jc w:val="center"/>
              <w:rPr>
                <w:rFonts w:hint="cs"/>
                <w:b/>
                <w:bCs/>
                <w:sz w:val="30"/>
                <w:rtl/>
              </w:rPr>
            </w:pPr>
            <w:r>
              <w:rPr>
                <w:rFonts w:hint="cs"/>
                <w:b/>
                <w:bCs/>
                <w:sz w:val="30"/>
                <w:rtl/>
              </w:rPr>
              <w:t>السنوات</w:t>
            </w:r>
          </w:p>
        </w:tc>
      </w:tr>
      <w:tr w:rsidR="003865AC" w:rsidTr="003865AC">
        <w:trPr>
          <w:cantSplit/>
        </w:trPr>
        <w:tc>
          <w:tcPr>
            <w:tcW w:w="4422" w:type="dxa"/>
            <w:vMerge/>
          </w:tcPr>
          <w:p w:rsidR="003865AC" w:rsidRDefault="003865AC">
            <w:pPr>
              <w:spacing w:before="0" w:after="0" w:line="320" w:lineRule="exact"/>
              <w:jc w:val="both"/>
              <w:rPr>
                <w:rFonts w:hint="cs"/>
                <w:b/>
                <w:bCs/>
                <w:sz w:val="30"/>
                <w:rtl/>
              </w:rPr>
            </w:pPr>
          </w:p>
        </w:tc>
        <w:tc>
          <w:tcPr>
            <w:tcW w:w="1800" w:type="dxa"/>
          </w:tcPr>
          <w:p w:rsidR="003865AC" w:rsidRDefault="003865AC">
            <w:pPr>
              <w:spacing w:before="0" w:after="0" w:line="320" w:lineRule="exact"/>
              <w:jc w:val="center"/>
              <w:rPr>
                <w:rFonts w:hint="cs"/>
                <w:b/>
                <w:bCs/>
                <w:sz w:val="30"/>
                <w:rtl/>
              </w:rPr>
            </w:pPr>
            <w:r>
              <w:rPr>
                <w:rFonts w:hint="cs"/>
                <w:b/>
                <w:bCs/>
                <w:sz w:val="30"/>
                <w:rtl/>
              </w:rPr>
              <w:t>1997</w:t>
            </w:r>
          </w:p>
        </w:tc>
        <w:tc>
          <w:tcPr>
            <w:tcW w:w="1620" w:type="dxa"/>
          </w:tcPr>
          <w:p w:rsidR="003865AC" w:rsidRDefault="003865AC">
            <w:pPr>
              <w:spacing w:before="0" w:after="0" w:line="320" w:lineRule="exact"/>
              <w:jc w:val="center"/>
              <w:rPr>
                <w:rFonts w:hint="cs"/>
                <w:b/>
                <w:bCs/>
                <w:sz w:val="30"/>
                <w:rtl/>
              </w:rPr>
            </w:pPr>
            <w:r>
              <w:rPr>
                <w:rFonts w:hint="cs"/>
                <w:b/>
                <w:bCs/>
                <w:sz w:val="30"/>
                <w:rtl/>
              </w:rPr>
              <w:t>1998</w:t>
            </w:r>
          </w:p>
        </w:tc>
        <w:tc>
          <w:tcPr>
            <w:tcW w:w="1620" w:type="dxa"/>
          </w:tcPr>
          <w:p w:rsidR="003865AC" w:rsidRDefault="003865AC">
            <w:pPr>
              <w:spacing w:before="0" w:after="0" w:line="320" w:lineRule="exact"/>
              <w:jc w:val="center"/>
              <w:rPr>
                <w:rFonts w:hint="cs"/>
                <w:b/>
                <w:bCs/>
                <w:sz w:val="30"/>
                <w:rtl/>
              </w:rPr>
            </w:pPr>
            <w:r>
              <w:rPr>
                <w:rFonts w:hint="cs"/>
                <w:b/>
                <w:bCs/>
                <w:sz w:val="30"/>
                <w:rtl/>
              </w:rPr>
              <w:t>1999</w:t>
            </w:r>
          </w:p>
        </w:tc>
      </w:tr>
      <w:tr w:rsidR="003865AC" w:rsidTr="003865AC">
        <w:tc>
          <w:tcPr>
            <w:tcW w:w="4422" w:type="dxa"/>
            <w:tcBorders>
              <w:bottom w:val="nil"/>
            </w:tcBorders>
          </w:tcPr>
          <w:p w:rsidR="003865AC" w:rsidRDefault="003865AC">
            <w:pPr>
              <w:spacing w:before="0" w:after="0" w:line="320" w:lineRule="exact"/>
              <w:jc w:val="both"/>
              <w:rPr>
                <w:rFonts w:hint="cs"/>
                <w:sz w:val="30"/>
                <w:rtl/>
              </w:rPr>
            </w:pPr>
            <w:r>
              <w:rPr>
                <w:rFonts w:hint="cs"/>
                <w:sz w:val="30"/>
                <w:rtl/>
              </w:rPr>
              <w:t>للمسنين</w:t>
            </w:r>
          </w:p>
        </w:tc>
        <w:tc>
          <w:tcPr>
            <w:tcW w:w="1800" w:type="dxa"/>
            <w:tcBorders>
              <w:bottom w:val="nil"/>
            </w:tcBorders>
          </w:tcPr>
          <w:p w:rsidR="003865AC" w:rsidRDefault="003865AC">
            <w:pPr>
              <w:spacing w:before="0" w:after="0" w:line="320" w:lineRule="exact"/>
              <w:jc w:val="center"/>
              <w:rPr>
                <w:rFonts w:hint="cs"/>
                <w:sz w:val="30"/>
                <w:rtl/>
              </w:rPr>
            </w:pPr>
            <w:r>
              <w:rPr>
                <w:rFonts w:hint="cs"/>
                <w:sz w:val="30"/>
                <w:rtl/>
              </w:rPr>
              <w:t>843 26</w:t>
            </w:r>
          </w:p>
        </w:tc>
        <w:tc>
          <w:tcPr>
            <w:tcW w:w="1620" w:type="dxa"/>
            <w:tcBorders>
              <w:bottom w:val="nil"/>
            </w:tcBorders>
          </w:tcPr>
          <w:p w:rsidR="003865AC" w:rsidRDefault="003865AC">
            <w:pPr>
              <w:spacing w:before="0" w:after="0" w:line="320" w:lineRule="exact"/>
              <w:jc w:val="center"/>
              <w:rPr>
                <w:rFonts w:hint="cs"/>
                <w:sz w:val="30"/>
                <w:rtl/>
              </w:rPr>
            </w:pPr>
            <w:r>
              <w:rPr>
                <w:rFonts w:hint="cs"/>
                <w:sz w:val="30"/>
                <w:rtl/>
              </w:rPr>
              <w:t>616 25</w:t>
            </w:r>
          </w:p>
        </w:tc>
        <w:tc>
          <w:tcPr>
            <w:tcW w:w="1620" w:type="dxa"/>
            <w:tcBorders>
              <w:bottom w:val="nil"/>
            </w:tcBorders>
          </w:tcPr>
          <w:p w:rsidR="003865AC" w:rsidRDefault="003865AC">
            <w:pPr>
              <w:spacing w:before="0" w:after="0" w:line="320" w:lineRule="exact"/>
              <w:jc w:val="center"/>
              <w:rPr>
                <w:rFonts w:hint="cs"/>
                <w:sz w:val="30"/>
                <w:rtl/>
              </w:rPr>
            </w:pPr>
            <w:r>
              <w:rPr>
                <w:rFonts w:hint="cs"/>
                <w:sz w:val="30"/>
                <w:rtl/>
              </w:rPr>
              <w:t>701 23</w:t>
            </w:r>
          </w:p>
        </w:tc>
      </w:tr>
      <w:tr w:rsidR="003865AC" w:rsidTr="003865AC">
        <w:tc>
          <w:tcPr>
            <w:tcW w:w="4422" w:type="dxa"/>
            <w:tcBorders>
              <w:top w:val="nil"/>
              <w:bottom w:val="nil"/>
            </w:tcBorders>
          </w:tcPr>
          <w:p w:rsidR="003865AC" w:rsidRDefault="003865AC">
            <w:pPr>
              <w:spacing w:before="0" w:after="0" w:line="320" w:lineRule="exact"/>
              <w:jc w:val="both"/>
              <w:rPr>
                <w:rFonts w:hint="cs"/>
                <w:sz w:val="30"/>
                <w:rtl/>
              </w:rPr>
            </w:pPr>
            <w:r>
              <w:rPr>
                <w:rFonts w:hint="cs"/>
                <w:sz w:val="30"/>
                <w:rtl/>
              </w:rPr>
              <w:t>للعجزة</w:t>
            </w:r>
          </w:p>
        </w:tc>
        <w:tc>
          <w:tcPr>
            <w:tcW w:w="1800" w:type="dxa"/>
            <w:tcBorders>
              <w:top w:val="nil"/>
              <w:bottom w:val="nil"/>
            </w:tcBorders>
          </w:tcPr>
          <w:p w:rsidR="003865AC" w:rsidRDefault="003865AC">
            <w:pPr>
              <w:spacing w:before="0" w:after="0" w:line="320" w:lineRule="exact"/>
              <w:jc w:val="center"/>
              <w:rPr>
                <w:rFonts w:hint="cs"/>
                <w:sz w:val="30"/>
                <w:rtl/>
              </w:rPr>
            </w:pPr>
            <w:r>
              <w:rPr>
                <w:rFonts w:hint="cs"/>
                <w:sz w:val="30"/>
                <w:rtl/>
              </w:rPr>
              <w:t>804 8</w:t>
            </w:r>
          </w:p>
        </w:tc>
        <w:tc>
          <w:tcPr>
            <w:tcW w:w="1620" w:type="dxa"/>
            <w:tcBorders>
              <w:top w:val="nil"/>
              <w:bottom w:val="nil"/>
            </w:tcBorders>
          </w:tcPr>
          <w:p w:rsidR="003865AC" w:rsidRDefault="003865AC">
            <w:pPr>
              <w:spacing w:before="0" w:after="0" w:line="320" w:lineRule="exact"/>
              <w:jc w:val="center"/>
              <w:rPr>
                <w:rFonts w:hint="cs"/>
                <w:sz w:val="30"/>
                <w:rtl/>
              </w:rPr>
            </w:pPr>
            <w:r>
              <w:rPr>
                <w:rFonts w:hint="cs"/>
                <w:sz w:val="30"/>
                <w:rtl/>
              </w:rPr>
              <w:t>377 13</w:t>
            </w:r>
          </w:p>
        </w:tc>
        <w:tc>
          <w:tcPr>
            <w:tcW w:w="1620" w:type="dxa"/>
            <w:tcBorders>
              <w:top w:val="nil"/>
              <w:bottom w:val="nil"/>
            </w:tcBorders>
          </w:tcPr>
          <w:p w:rsidR="003865AC" w:rsidRDefault="003865AC">
            <w:pPr>
              <w:spacing w:before="0" w:after="0" w:line="320" w:lineRule="exact"/>
              <w:jc w:val="center"/>
              <w:rPr>
                <w:rFonts w:hint="cs"/>
                <w:sz w:val="30"/>
                <w:rtl/>
              </w:rPr>
            </w:pPr>
            <w:r>
              <w:rPr>
                <w:rFonts w:hint="cs"/>
                <w:sz w:val="30"/>
                <w:rtl/>
              </w:rPr>
              <w:t>144 13</w:t>
            </w:r>
          </w:p>
        </w:tc>
      </w:tr>
      <w:tr w:rsidR="003865AC" w:rsidTr="003865AC">
        <w:tc>
          <w:tcPr>
            <w:tcW w:w="4422" w:type="dxa"/>
            <w:tcBorders>
              <w:top w:val="nil"/>
              <w:bottom w:val="nil"/>
            </w:tcBorders>
          </w:tcPr>
          <w:p w:rsidR="003865AC" w:rsidRDefault="003865AC">
            <w:pPr>
              <w:spacing w:before="0" w:after="0" w:line="320" w:lineRule="exact"/>
              <w:jc w:val="both"/>
              <w:rPr>
                <w:rFonts w:hint="cs"/>
                <w:sz w:val="30"/>
                <w:rtl/>
              </w:rPr>
            </w:pPr>
            <w:r>
              <w:rPr>
                <w:rFonts w:hint="cs"/>
                <w:sz w:val="30"/>
                <w:rtl/>
              </w:rPr>
              <w:t>لفاقدي العائل</w:t>
            </w:r>
          </w:p>
        </w:tc>
        <w:tc>
          <w:tcPr>
            <w:tcW w:w="1800" w:type="dxa"/>
            <w:tcBorders>
              <w:top w:val="nil"/>
              <w:bottom w:val="nil"/>
            </w:tcBorders>
          </w:tcPr>
          <w:p w:rsidR="003865AC" w:rsidRDefault="003865AC">
            <w:pPr>
              <w:spacing w:before="0" w:after="0" w:line="320" w:lineRule="exact"/>
              <w:jc w:val="center"/>
              <w:rPr>
                <w:rFonts w:hint="cs"/>
                <w:sz w:val="30"/>
                <w:rtl/>
              </w:rPr>
            </w:pPr>
            <w:r>
              <w:rPr>
                <w:rFonts w:hint="cs"/>
                <w:sz w:val="30"/>
                <w:rtl/>
              </w:rPr>
              <w:t>862 4</w:t>
            </w:r>
          </w:p>
        </w:tc>
        <w:tc>
          <w:tcPr>
            <w:tcW w:w="1620" w:type="dxa"/>
            <w:tcBorders>
              <w:top w:val="nil"/>
              <w:bottom w:val="nil"/>
            </w:tcBorders>
          </w:tcPr>
          <w:p w:rsidR="003865AC" w:rsidRDefault="003865AC">
            <w:pPr>
              <w:spacing w:before="0" w:after="0" w:line="320" w:lineRule="exact"/>
              <w:jc w:val="center"/>
              <w:rPr>
                <w:rFonts w:hint="cs"/>
                <w:sz w:val="30"/>
                <w:rtl/>
              </w:rPr>
            </w:pPr>
            <w:r>
              <w:rPr>
                <w:rFonts w:hint="cs"/>
                <w:sz w:val="30"/>
                <w:rtl/>
              </w:rPr>
              <w:t>862 4</w:t>
            </w:r>
          </w:p>
        </w:tc>
        <w:tc>
          <w:tcPr>
            <w:tcW w:w="1620" w:type="dxa"/>
            <w:tcBorders>
              <w:top w:val="nil"/>
              <w:bottom w:val="nil"/>
            </w:tcBorders>
          </w:tcPr>
          <w:p w:rsidR="003865AC" w:rsidRDefault="003865AC">
            <w:pPr>
              <w:spacing w:before="0" w:after="0" w:line="320" w:lineRule="exact"/>
              <w:jc w:val="center"/>
              <w:rPr>
                <w:rFonts w:hint="cs"/>
                <w:sz w:val="30"/>
                <w:rtl/>
              </w:rPr>
            </w:pPr>
            <w:r>
              <w:rPr>
                <w:rFonts w:hint="cs"/>
                <w:sz w:val="30"/>
                <w:rtl/>
              </w:rPr>
              <w:t>879 7</w:t>
            </w:r>
          </w:p>
        </w:tc>
      </w:tr>
      <w:tr w:rsidR="003865AC" w:rsidTr="003865AC">
        <w:tc>
          <w:tcPr>
            <w:tcW w:w="4422" w:type="dxa"/>
            <w:tcBorders>
              <w:top w:val="nil"/>
              <w:bottom w:val="nil"/>
            </w:tcBorders>
          </w:tcPr>
          <w:p w:rsidR="003865AC" w:rsidRDefault="003865AC">
            <w:pPr>
              <w:spacing w:before="0" w:after="0" w:line="320" w:lineRule="exact"/>
              <w:jc w:val="both"/>
              <w:rPr>
                <w:rFonts w:hint="cs"/>
                <w:sz w:val="30"/>
                <w:rtl/>
              </w:rPr>
            </w:pPr>
            <w:r>
              <w:rPr>
                <w:rFonts w:hint="cs"/>
                <w:sz w:val="30"/>
                <w:rtl/>
              </w:rPr>
              <w:t>الموقين منذ الطفولة</w:t>
            </w:r>
          </w:p>
        </w:tc>
        <w:tc>
          <w:tcPr>
            <w:tcW w:w="1800" w:type="dxa"/>
            <w:tcBorders>
              <w:top w:val="nil"/>
              <w:bottom w:val="nil"/>
            </w:tcBorders>
          </w:tcPr>
          <w:p w:rsidR="003865AC" w:rsidRDefault="003865AC">
            <w:pPr>
              <w:spacing w:before="0" w:after="0" w:line="320" w:lineRule="exact"/>
              <w:jc w:val="center"/>
              <w:rPr>
                <w:rFonts w:hint="cs"/>
                <w:sz w:val="30"/>
                <w:rtl/>
              </w:rPr>
            </w:pPr>
            <w:r>
              <w:rPr>
                <w:rFonts w:hint="cs"/>
                <w:sz w:val="30"/>
                <w:rtl/>
              </w:rPr>
              <w:t>159 17</w:t>
            </w:r>
          </w:p>
        </w:tc>
        <w:tc>
          <w:tcPr>
            <w:tcW w:w="1620" w:type="dxa"/>
            <w:tcBorders>
              <w:top w:val="nil"/>
              <w:bottom w:val="nil"/>
            </w:tcBorders>
          </w:tcPr>
          <w:p w:rsidR="003865AC" w:rsidRDefault="003865AC">
            <w:pPr>
              <w:spacing w:before="0" w:after="0" w:line="320" w:lineRule="exact"/>
              <w:jc w:val="center"/>
              <w:rPr>
                <w:rFonts w:hint="cs"/>
                <w:sz w:val="30"/>
                <w:rtl/>
              </w:rPr>
            </w:pPr>
            <w:r>
              <w:rPr>
                <w:rFonts w:hint="cs"/>
                <w:sz w:val="30"/>
                <w:rtl/>
              </w:rPr>
              <w:t>810 17</w:t>
            </w:r>
          </w:p>
        </w:tc>
        <w:tc>
          <w:tcPr>
            <w:tcW w:w="1620" w:type="dxa"/>
            <w:tcBorders>
              <w:top w:val="nil"/>
              <w:bottom w:val="nil"/>
            </w:tcBorders>
          </w:tcPr>
          <w:p w:rsidR="003865AC" w:rsidRDefault="003865AC">
            <w:pPr>
              <w:spacing w:before="0" w:after="0" w:line="320" w:lineRule="exact"/>
              <w:jc w:val="center"/>
              <w:rPr>
                <w:rFonts w:hint="cs"/>
                <w:sz w:val="30"/>
                <w:rtl/>
              </w:rPr>
            </w:pPr>
            <w:r>
              <w:rPr>
                <w:rFonts w:hint="cs"/>
                <w:sz w:val="30"/>
                <w:rtl/>
              </w:rPr>
              <w:t>744 18</w:t>
            </w:r>
          </w:p>
        </w:tc>
      </w:tr>
      <w:tr w:rsidR="003865AC" w:rsidTr="003865AC">
        <w:tc>
          <w:tcPr>
            <w:tcW w:w="4422" w:type="dxa"/>
            <w:tcBorders>
              <w:top w:val="nil"/>
            </w:tcBorders>
          </w:tcPr>
          <w:p w:rsidR="003865AC" w:rsidRDefault="003865AC">
            <w:pPr>
              <w:spacing w:before="0" w:after="0" w:line="320" w:lineRule="exact"/>
              <w:jc w:val="both"/>
              <w:rPr>
                <w:rFonts w:hint="cs"/>
                <w:sz w:val="30"/>
                <w:rtl/>
              </w:rPr>
            </w:pPr>
            <w:r>
              <w:rPr>
                <w:rFonts w:hint="cs"/>
                <w:sz w:val="30"/>
                <w:rtl/>
              </w:rPr>
              <w:t>للأطفال المعوقين (حتى سن 16)</w:t>
            </w:r>
          </w:p>
        </w:tc>
        <w:tc>
          <w:tcPr>
            <w:tcW w:w="1800" w:type="dxa"/>
            <w:tcBorders>
              <w:top w:val="nil"/>
            </w:tcBorders>
          </w:tcPr>
          <w:p w:rsidR="003865AC" w:rsidRDefault="003865AC">
            <w:pPr>
              <w:spacing w:before="0" w:after="0" w:line="320" w:lineRule="exact"/>
              <w:jc w:val="center"/>
              <w:rPr>
                <w:rFonts w:hint="cs"/>
                <w:sz w:val="30"/>
                <w:rtl/>
              </w:rPr>
            </w:pPr>
            <w:r>
              <w:rPr>
                <w:rFonts w:hint="cs"/>
                <w:sz w:val="30"/>
                <w:rtl/>
              </w:rPr>
              <w:t>382 7</w:t>
            </w:r>
          </w:p>
        </w:tc>
        <w:tc>
          <w:tcPr>
            <w:tcW w:w="1620" w:type="dxa"/>
            <w:tcBorders>
              <w:top w:val="nil"/>
            </w:tcBorders>
          </w:tcPr>
          <w:p w:rsidR="003865AC" w:rsidRDefault="003865AC">
            <w:pPr>
              <w:spacing w:before="0" w:after="0" w:line="320" w:lineRule="exact"/>
              <w:jc w:val="center"/>
              <w:rPr>
                <w:rFonts w:hint="cs"/>
                <w:sz w:val="30"/>
                <w:rtl/>
              </w:rPr>
            </w:pPr>
            <w:r>
              <w:rPr>
                <w:rFonts w:hint="cs"/>
                <w:sz w:val="30"/>
                <w:rtl/>
              </w:rPr>
              <w:t>665 7</w:t>
            </w:r>
          </w:p>
        </w:tc>
        <w:tc>
          <w:tcPr>
            <w:tcW w:w="1620" w:type="dxa"/>
            <w:tcBorders>
              <w:top w:val="nil"/>
            </w:tcBorders>
          </w:tcPr>
          <w:p w:rsidR="003865AC" w:rsidRDefault="003865AC">
            <w:pPr>
              <w:spacing w:before="0" w:after="0" w:line="320" w:lineRule="exact"/>
              <w:jc w:val="center"/>
              <w:rPr>
                <w:rFonts w:hint="cs"/>
                <w:sz w:val="30"/>
                <w:rtl/>
              </w:rPr>
            </w:pPr>
            <w:r>
              <w:rPr>
                <w:rFonts w:hint="cs"/>
                <w:sz w:val="30"/>
                <w:rtl/>
              </w:rPr>
              <w:t>264 8</w:t>
            </w:r>
          </w:p>
        </w:tc>
      </w:tr>
    </w:tbl>
    <w:p w:rsidR="00000000" w:rsidRDefault="003865AC">
      <w:pPr>
        <w:jc w:val="both"/>
        <w:rPr>
          <w:rFonts w:hint="cs"/>
          <w:sz w:val="30"/>
          <w:rtl/>
        </w:rPr>
      </w:pPr>
    </w:p>
    <w:p w:rsidR="00000000" w:rsidRDefault="003865AC">
      <w:pPr>
        <w:jc w:val="both"/>
        <w:rPr>
          <w:rFonts w:hint="cs"/>
          <w:sz w:val="30"/>
          <w:rtl/>
        </w:rPr>
      </w:pPr>
      <w:r>
        <w:rPr>
          <w:rFonts w:hint="cs"/>
          <w:sz w:val="30"/>
          <w:rtl/>
        </w:rPr>
        <w:t>103-</w:t>
      </w:r>
      <w:r>
        <w:rPr>
          <w:rFonts w:hint="cs"/>
          <w:sz w:val="30"/>
          <w:rtl/>
        </w:rPr>
        <w:tab/>
        <w:t>واستحدثت جورجيا سنة 1997 نظاماً لمنح إعانات اجتماعية (أسرية) في شكل مساعدات مادية تقدمها الدولة إلى بعض الأشخاص من الفئات الاجتماعية المحرومة. ويقدَّم هذا الدعم بواسطة برنامج حكومي خاص.</w:t>
      </w:r>
    </w:p>
    <w:p w:rsidR="00000000" w:rsidRDefault="003865AC">
      <w:pPr>
        <w:jc w:val="both"/>
        <w:rPr>
          <w:rFonts w:hint="cs"/>
          <w:sz w:val="30"/>
          <w:rtl/>
        </w:rPr>
      </w:pPr>
      <w:r>
        <w:rPr>
          <w:rFonts w:hint="cs"/>
          <w:sz w:val="30"/>
          <w:rtl/>
        </w:rPr>
        <w:t>104-</w:t>
      </w:r>
      <w:r>
        <w:rPr>
          <w:rFonts w:hint="cs"/>
          <w:sz w:val="30"/>
          <w:rtl/>
        </w:rPr>
        <w:tab/>
        <w:t>واستفاد من هذا الدعم سنة 1</w:t>
      </w:r>
      <w:r>
        <w:rPr>
          <w:rFonts w:hint="cs"/>
          <w:sz w:val="30"/>
          <w:rtl/>
        </w:rPr>
        <w:t>997 أشخاص من الفئات التالية: أصحاب المعاشات من المسنين الذين يعد هذا المعاش مصدر رزقهم الوحيد، وأسر أصحاب المعاشات التي تربي أطفالا صغارا يعيش والداهما في أماكن أخرى دون لعمل، والأُسَر الحضرية التي تتألف من أفراد عاطلين عن العمل ومسجَّلين لدى مراكز التوظيف</w:t>
      </w:r>
      <w:r>
        <w:rPr>
          <w:rFonts w:hint="cs"/>
          <w:sz w:val="30"/>
          <w:rtl/>
        </w:rPr>
        <w:t xml:space="preserve">. </w:t>
      </w:r>
    </w:p>
    <w:p w:rsidR="00000000" w:rsidRDefault="003865AC">
      <w:pPr>
        <w:jc w:val="both"/>
        <w:rPr>
          <w:rFonts w:hint="cs"/>
          <w:sz w:val="30"/>
          <w:rtl/>
        </w:rPr>
      </w:pPr>
      <w:r>
        <w:rPr>
          <w:rFonts w:hint="cs"/>
          <w:sz w:val="30"/>
          <w:rtl/>
        </w:rPr>
        <w:t>105-</w:t>
      </w:r>
      <w:r>
        <w:rPr>
          <w:rFonts w:hint="cs"/>
          <w:sz w:val="30"/>
          <w:rtl/>
        </w:rPr>
        <w:tab/>
        <w:t xml:space="preserve">وقد روجِعَ هذا البرنامج سنة 1998 بحيث أصبح يقتصر على أصحاب المعاشات الذين تعد معاشاتهم مصدر رزقهم الوحيد والأطفال القاصرين الذين يدعمونهم والذين ليس لديهم وصي يتكفل بهم بموجب القانون. </w:t>
      </w:r>
    </w:p>
    <w:p w:rsidR="00000000" w:rsidRDefault="003865AC">
      <w:pPr>
        <w:jc w:val="both"/>
        <w:rPr>
          <w:rFonts w:hint="cs"/>
          <w:sz w:val="30"/>
          <w:rtl/>
        </w:rPr>
      </w:pPr>
      <w:r>
        <w:rPr>
          <w:rFonts w:hint="cs"/>
          <w:sz w:val="30"/>
          <w:rtl/>
        </w:rPr>
        <w:t>106-</w:t>
      </w:r>
      <w:r>
        <w:rPr>
          <w:rFonts w:hint="cs"/>
          <w:sz w:val="30"/>
          <w:rtl/>
        </w:rPr>
        <w:tab/>
        <w:t>ثم وسِّع البرنامج سنة 1999 ليشمل الأيتام والأوصياء المعوقي</w:t>
      </w:r>
      <w:r>
        <w:rPr>
          <w:rFonts w:hint="cs"/>
          <w:sz w:val="30"/>
          <w:rtl/>
        </w:rPr>
        <w:t>ن على حد سواء. وابتداء من عام 2000، أصبح من حق الأيتام الاستفادة من الإعانات الاجتماعية بصرف النظر عن قدرة أو عدم قدرة الأوصياء على العمل. ويختلف مستوى هذه الإعانات بحسب حجم الأسرة المعنية.</w:t>
      </w:r>
    </w:p>
    <w:p w:rsidR="00000000" w:rsidRDefault="003865AC">
      <w:pPr>
        <w:jc w:val="both"/>
        <w:rPr>
          <w:rFonts w:hint="cs"/>
          <w:sz w:val="30"/>
          <w:rtl/>
        </w:rPr>
      </w:pPr>
      <w:r>
        <w:rPr>
          <w:rFonts w:hint="cs"/>
          <w:sz w:val="30"/>
          <w:rtl/>
        </w:rPr>
        <w:t>107-</w:t>
      </w:r>
      <w:r>
        <w:rPr>
          <w:rFonts w:hint="cs"/>
          <w:sz w:val="30"/>
          <w:rtl/>
        </w:rPr>
        <w:tab/>
        <w:t>وترد أدناه إحصاءات إضافية بشأن هذا الموضوع.</w:t>
      </w:r>
    </w:p>
    <w:p w:rsidR="00000000" w:rsidRDefault="003865AC">
      <w:pPr>
        <w:jc w:val="both"/>
        <w:rPr>
          <w:rFonts w:hint="cs"/>
          <w:sz w:val="30"/>
          <w:rtl/>
        </w:rPr>
      </w:pPr>
      <w:r>
        <w:rPr>
          <w:rFonts w:hint="cs"/>
          <w:sz w:val="30"/>
          <w:rtl/>
        </w:rPr>
        <w:t>108-</w:t>
      </w:r>
      <w:r>
        <w:rPr>
          <w:rFonts w:hint="cs"/>
          <w:sz w:val="30"/>
          <w:rtl/>
        </w:rPr>
        <w:tab/>
        <w:t>وفي سنة 1997</w:t>
      </w:r>
      <w:r>
        <w:rPr>
          <w:rFonts w:hint="cs"/>
          <w:sz w:val="30"/>
          <w:rtl/>
        </w:rPr>
        <w:t>، دُفعت الإعانات الإجمالية التالية (ترد القيمة النقدية بين قوسين)</w:t>
      </w:r>
    </w:p>
    <w:p w:rsidR="00000000" w:rsidRDefault="003865AC">
      <w:pPr>
        <w:ind w:left="1434" w:hanging="720"/>
        <w:jc w:val="both"/>
        <w:rPr>
          <w:rFonts w:hint="cs"/>
          <w:sz w:val="30"/>
          <w:rtl/>
        </w:rPr>
      </w:pPr>
      <w:r>
        <w:rPr>
          <w:rFonts w:hint="cs"/>
          <w:sz w:val="30"/>
          <w:rtl/>
        </w:rPr>
        <w:t>•</w:t>
      </w:r>
      <w:r>
        <w:rPr>
          <w:rFonts w:hint="cs"/>
          <w:sz w:val="30"/>
          <w:rtl/>
        </w:rPr>
        <w:tab/>
        <w:t xml:space="preserve">أسر أصحاب المعاشات العاطلين عن العمل والذين يقتصر مصدر رزقهم على هذه المعاشات فقط: 987 87 (9 لاريات للفرد)؛ </w:t>
      </w:r>
    </w:p>
    <w:p w:rsidR="00000000" w:rsidRDefault="003865AC">
      <w:pPr>
        <w:ind w:left="1434" w:hanging="720"/>
        <w:jc w:val="both"/>
        <w:rPr>
          <w:rFonts w:hint="cs"/>
          <w:sz w:val="30"/>
          <w:rtl/>
        </w:rPr>
      </w:pPr>
      <w:r>
        <w:rPr>
          <w:rFonts w:hint="cs"/>
          <w:sz w:val="30"/>
          <w:rtl/>
        </w:rPr>
        <w:t>•</w:t>
      </w:r>
      <w:r>
        <w:rPr>
          <w:rFonts w:hint="cs"/>
          <w:sz w:val="30"/>
          <w:rtl/>
        </w:rPr>
        <w:tab/>
        <w:t xml:space="preserve">أُسر أفرادها غير قادرين على العمل: 598 46 (147 112 شخصاً؛ 7.2 لاريات للخشص)؛ </w:t>
      </w:r>
    </w:p>
    <w:p w:rsidR="00000000" w:rsidRDefault="003865AC">
      <w:pPr>
        <w:ind w:left="1434" w:hanging="720"/>
        <w:jc w:val="both"/>
        <w:rPr>
          <w:rFonts w:hint="cs"/>
          <w:sz w:val="30"/>
        </w:rPr>
      </w:pPr>
      <w:r>
        <w:rPr>
          <w:rFonts w:hint="cs"/>
          <w:sz w:val="30"/>
          <w:rtl/>
        </w:rPr>
        <w:t>•</w:t>
      </w:r>
      <w:r>
        <w:rPr>
          <w:rFonts w:hint="cs"/>
          <w:sz w:val="30"/>
          <w:rtl/>
        </w:rPr>
        <w:tab/>
        <w:t>أسر حضرية كل أفرادها عاطلون عن العمل:012 174 (802 348 شخص يتلقى كل منهم 5.4 لاريات).</w:t>
      </w:r>
    </w:p>
    <w:p w:rsidR="00000000" w:rsidRDefault="003865AC">
      <w:pPr>
        <w:jc w:val="both"/>
        <w:rPr>
          <w:rFonts w:hint="cs"/>
          <w:sz w:val="30"/>
          <w:rtl/>
        </w:rPr>
      </w:pPr>
      <w:r>
        <w:rPr>
          <w:rFonts w:hint="cs"/>
          <w:sz w:val="30"/>
          <w:rtl/>
        </w:rPr>
        <w:t>109-</w:t>
      </w:r>
      <w:r>
        <w:rPr>
          <w:rFonts w:hint="cs"/>
          <w:sz w:val="30"/>
          <w:rtl/>
        </w:rPr>
        <w:tab/>
        <w:t>وفي سنة 1998، دفعت الإعانات الإجمالية التالية:</w:t>
      </w:r>
    </w:p>
    <w:p w:rsidR="00000000" w:rsidRDefault="003865AC">
      <w:pPr>
        <w:ind w:left="1434" w:hanging="720"/>
        <w:jc w:val="both"/>
        <w:rPr>
          <w:rFonts w:hint="cs"/>
          <w:sz w:val="30"/>
          <w:rtl/>
        </w:rPr>
      </w:pPr>
      <w:r>
        <w:rPr>
          <w:rFonts w:hint="cs"/>
          <w:sz w:val="30"/>
          <w:rtl/>
        </w:rPr>
        <w:t>•</w:t>
      </w:r>
      <w:r>
        <w:rPr>
          <w:rFonts w:hint="cs"/>
          <w:sz w:val="30"/>
          <w:rtl/>
        </w:rPr>
        <w:tab/>
        <w:t>أسر أصحاب المعاشات العاطلين عن العمل والذين يقتصر مصدر رزقهم على هذه المعاشات فقط: 619 45 (9 لاريات) بما في ذلك 14</w:t>
      </w:r>
      <w:r>
        <w:rPr>
          <w:rFonts w:hint="cs"/>
          <w:sz w:val="30"/>
          <w:rtl/>
        </w:rPr>
        <w:t>0 6 أسرة تتكون من فردين (280 12 شخصاً لكل منهم 7 لاريات)؛ و777 1 أسرة تتكون من ثلاثة أفراد أو أكثر (246 6 شخصاً، لكل منهم 5 لاريات).</w:t>
      </w:r>
    </w:p>
    <w:p w:rsidR="00000000" w:rsidRDefault="003865AC">
      <w:pPr>
        <w:jc w:val="both"/>
        <w:rPr>
          <w:rFonts w:hint="cs"/>
          <w:sz w:val="30"/>
          <w:rtl/>
        </w:rPr>
      </w:pPr>
      <w:r>
        <w:rPr>
          <w:rFonts w:hint="cs"/>
          <w:sz w:val="30"/>
          <w:rtl/>
        </w:rPr>
        <w:t>110-</w:t>
      </w:r>
      <w:r>
        <w:rPr>
          <w:rFonts w:hint="cs"/>
          <w:sz w:val="30"/>
          <w:rtl/>
        </w:rPr>
        <w:tab/>
        <w:t>وفي سنة 1999 دفعت الإعانات الإجمالية التالية:</w:t>
      </w:r>
    </w:p>
    <w:p w:rsidR="00000000" w:rsidRDefault="003865AC">
      <w:pPr>
        <w:ind w:left="1434" w:hanging="720"/>
        <w:jc w:val="both"/>
        <w:rPr>
          <w:rFonts w:hint="cs"/>
          <w:sz w:val="30"/>
        </w:rPr>
      </w:pPr>
      <w:r>
        <w:rPr>
          <w:rFonts w:hint="cs"/>
          <w:sz w:val="30"/>
          <w:rtl/>
        </w:rPr>
        <w:t>•</w:t>
      </w:r>
      <w:r>
        <w:rPr>
          <w:rFonts w:hint="cs"/>
          <w:sz w:val="30"/>
          <w:rtl/>
        </w:rPr>
        <w:tab/>
        <w:t>أسر أصحاب المعاشات العاطلين عن العمل والذين يقتصر مصدر رزقهم على هذه ا</w:t>
      </w:r>
      <w:r>
        <w:rPr>
          <w:rFonts w:hint="cs"/>
          <w:sz w:val="30"/>
          <w:rtl/>
        </w:rPr>
        <w:t xml:space="preserve">لمعاشات فقط: 743 48 أسرة بما فيها 640 40 أسرة تتكون من فرد واحد (18 لاريا)، و103 8 أسر تتكون من فردين أو أكثر (571 18 شخصاً؛ لكل أسرة 29 لاريا). </w:t>
      </w:r>
    </w:p>
    <w:p w:rsidR="00000000" w:rsidRDefault="003865AC">
      <w:pPr>
        <w:jc w:val="both"/>
        <w:rPr>
          <w:rFonts w:hint="cs"/>
          <w:sz w:val="30"/>
          <w:rtl/>
        </w:rPr>
      </w:pPr>
      <w:r>
        <w:rPr>
          <w:rFonts w:hint="cs"/>
          <w:sz w:val="30"/>
          <w:rtl/>
        </w:rPr>
        <w:t>111-</w:t>
      </w:r>
      <w:r>
        <w:rPr>
          <w:rFonts w:hint="cs"/>
          <w:sz w:val="30"/>
          <w:rtl/>
        </w:rPr>
        <w:tab/>
        <w:t>وفي سنة 2000، دفعت الإعانات الإجمالية التالية:</w:t>
      </w:r>
    </w:p>
    <w:p w:rsidR="00000000" w:rsidRDefault="003865AC">
      <w:pPr>
        <w:ind w:left="1434" w:hanging="720"/>
        <w:jc w:val="both"/>
        <w:rPr>
          <w:rFonts w:hint="cs"/>
          <w:sz w:val="30"/>
          <w:rtl/>
        </w:rPr>
      </w:pPr>
      <w:r>
        <w:rPr>
          <w:rFonts w:hint="cs"/>
          <w:sz w:val="30"/>
          <w:rtl/>
        </w:rPr>
        <w:t>•</w:t>
      </w:r>
      <w:r>
        <w:rPr>
          <w:rFonts w:hint="cs"/>
          <w:sz w:val="30"/>
          <w:rtl/>
        </w:rPr>
        <w:tab/>
        <w:t>أسر أصحاب المعاشات العاطلين عن العمل والذين يقتصر مصدر ر</w:t>
      </w:r>
      <w:r>
        <w:rPr>
          <w:rFonts w:hint="cs"/>
          <w:sz w:val="30"/>
          <w:rtl/>
        </w:rPr>
        <w:t>زقهم على هذه المعاشات فقط: 874 44، بما فيها 020 38 أسرة تتكون من فرد واحد (20 لاريا)، و160 6 أسرة تتكون من فردين أو أكثر (442 14 شخصاً؛ 32 لاريا لكل أسرة)؛</w:t>
      </w:r>
    </w:p>
    <w:p w:rsidR="00000000" w:rsidRDefault="003865AC">
      <w:pPr>
        <w:ind w:left="1434" w:hanging="720"/>
        <w:jc w:val="both"/>
        <w:rPr>
          <w:rFonts w:hint="cs"/>
          <w:sz w:val="30"/>
        </w:rPr>
      </w:pPr>
      <w:r>
        <w:rPr>
          <w:rFonts w:hint="cs"/>
          <w:sz w:val="30"/>
          <w:rtl/>
        </w:rPr>
        <w:t>•</w:t>
      </w:r>
      <w:r>
        <w:rPr>
          <w:rFonts w:hint="cs"/>
          <w:sz w:val="30"/>
          <w:rtl/>
        </w:rPr>
        <w:tab/>
        <w:t>الأطفال الأيتام: 694 أسرة (013 1 شخصاً؛ 20 لاريا لكل طفل).</w:t>
      </w:r>
    </w:p>
    <w:p w:rsidR="00000000" w:rsidRDefault="003865AC">
      <w:pPr>
        <w:numPr>
          <w:ilvl w:val="0"/>
          <w:numId w:val="66"/>
        </w:numPr>
        <w:tabs>
          <w:tab w:val="clear" w:pos="722"/>
        </w:tabs>
        <w:ind w:left="0" w:right="0" w:firstLine="0"/>
        <w:jc w:val="both"/>
        <w:rPr>
          <w:rFonts w:hint="cs"/>
          <w:sz w:val="30"/>
          <w:rtl/>
        </w:rPr>
      </w:pPr>
      <w:r>
        <w:rPr>
          <w:rFonts w:hint="cs"/>
          <w:sz w:val="30"/>
          <w:rtl/>
        </w:rPr>
        <w:t>ولتمويل هذا البرنامج، كانت مخصصـات المي</w:t>
      </w:r>
      <w:r>
        <w:rPr>
          <w:rFonts w:hint="cs"/>
          <w:sz w:val="30"/>
          <w:rtl/>
        </w:rPr>
        <w:t>زانية المركزية على الشكل الآتي: 000 880 15 لاري سنة 1997، 000 400 14 لاري سنـة 1998، 000 300 14 لاري سنة 1999؛ و000 300 13 لاري سنة 2000.</w:t>
      </w:r>
    </w:p>
    <w:p w:rsidR="00000000" w:rsidRDefault="003865AC">
      <w:pPr>
        <w:jc w:val="both"/>
        <w:rPr>
          <w:rFonts w:hint="cs"/>
          <w:sz w:val="30"/>
          <w:rtl/>
        </w:rPr>
      </w:pPr>
      <w:r>
        <w:rPr>
          <w:rFonts w:hint="cs"/>
          <w:sz w:val="30"/>
          <w:rtl/>
        </w:rPr>
        <w:t>113-</w:t>
      </w:r>
      <w:r>
        <w:rPr>
          <w:rFonts w:hint="cs"/>
          <w:sz w:val="30"/>
          <w:rtl/>
        </w:rPr>
        <w:tab/>
        <w:t>ووُضِع برنامج للتأمين الطبي لتقديم الدعم الاجتماعي للقطاعات الأضعف من السكان. ويشمل البرنامج الفئات التالية:</w:t>
      </w:r>
    </w:p>
    <w:p w:rsidR="00000000" w:rsidRDefault="003865AC">
      <w:pPr>
        <w:ind w:left="1434" w:hanging="720"/>
        <w:jc w:val="both"/>
        <w:rPr>
          <w:rFonts w:hint="cs"/>
          <w:sz w:val="30"/>
          <w:rtl/>
        </w:rPr>
      </w:pPr>
      <w:r>
        <w:rPr>
          <w:rFonts w:hint="cs"/>
          <w:sz w:val="30"/>
          <w:rtl/>
        </w:rPr>
        <w:t>•</w:t>
      </w:r>
      <w:r>
        <w:rPr>
          <w:rFonts w:hint="cs"/>
          <w:sz w:val="30"/>
          <w:rtl/>
        </w:rPr>
        <w:tab/>
        <w:t>أص</w:t>
      </w:r>
      <w:r>
        <w:rPr>
          <w:rFonts w:hint="cs"/>
          <w:sz w:val="30"/>
          <w:rtl/>
        </w:rPr>
        <w:t>حاب المعاشات الذين يعيشون بمعاشاتهم فقط، والذين لا يعملون وغير القادرين على العمل، أو عائلات أصحاب المعاشات (الأزواج والإخوان والأخوات والوالدان والأطفال) التي ليس لها عائل قانوني يتكفل بها؛</w:t>
      </w:r>
    </w:p>
    <w:p w:rsidR="00000000" w:rsidRDefault="003865AC">
      <w:pPr>
        <w:ind w:left="1434" w:hanging="720"/>
        <w:jc w:val="both"/>
        <w:rPr>
          <w:rFonts w:hint="cs"/>
          <w:sz w:val="30"/>
          <w:rtl/>
        </w:rPr>
      </w:pPr>
      <w:r>
        <w:rPr>
          <w:rFonts w:hint="cs"/>
          <w:sz w:val="30"/>
          <w:rtl/>
        </w:rPr>
        <w:t>•</w:t>
      </w:r>
      <w:r>
        <w:rPr>
          <w:rFonts w:hint="cs"/>
          <w:sz w:val="30"/>
          <w:rtl/>
        </w:rPr>
        <w:tab/>
        <w:t>أصحاب المعاشات الذين يعيشون بمعاشاتهم فقط والذين لا يعملون وغير</w:t>
      </w:r>
      <w:r>
        <w:rPr>
          <w:rFonts w:hint="cs"/>
          <w:sz w:val="30"/>
          <w:rtl/>
        </w:rPr>
        <w:t xml:space="preserve"> القادرين على العمل، أو أسر أصحاب المعاشات التي ليس لديها عائل قانوني يتكفل بها والتي تعيل أيتاما صغارا قاصرين؛</w:t>
      </w:r>
    </w:p>
    <w:p w:rsidR="00000000" w:rsidRDefault="003865AC">
      <w:pPr>
        <w:ind w:left="1434" w:hanging="720"/>
        <w:jc w:val="both"/>
        <w:rPr>
          <w:rFonts w:hint="cs"/>
          <w:sz w:val="30"/>
          <w:rtl/>
        </w:rPr>
      </w:pPr>
      <w:r>
        <w:rPr>
          <w:rFonts w:hint="cs"/>
          <w:sz w:val="30"/>
          <w:rtl/>
        </w:rPr>
        <w:t>•</w:t>
      </w:r>
      <w:r>
        <w:rPr>
          <w:rFonts w:hint="cs"/>
          <w:sz w:val="30"/>
          <w:rtl/>
        </w:rPr>
        <w:tab/>
        <w:t>الأمهات العازبات اللواتي يُعلن أطفالا صغارا؛</w:t>
      </w:r>
    </w:p>
    <w:p w:rsidR="00000000" w:rsidRDefault="003865AC">
      <w:pPr>
        <w:ind w:left="1434" w:hanging="720"/>
        <w:jc w:val="both"/>
        <w:rPr>
          <w:rFonts w:hint="cs"/>
          <w:sz w:val="30"/>
          <w:rtl/>
        </w:rPr>
      </w:pPr>
      <w:r>
        <w:rPr>
          <w:rFonts w:hint="cs"/>
          <w:sz w:val="30"/>
          <w:rtl/>
        </w:rPr>
        <w:t>•</w:t>
      </w:r>
      <w:r>
        <w:rPr>
          <w:rFonts w:hint="cs"/>
          <w:sz w:val="30"/>
          <w:rtl/>
        </w:rPr>
        <w:tab/>
        <w:t>الأشخاص الذين يحصلون على معاشات استحقوها لأدائهم خدمة إلى الدولة؛</w:t>
      </w:r>
    </w:p>
    <w:p w:rsidR="00000000" w:rsidRDefault="003865AC">
      <w:pPr>
        <w:ind w:left="1434" w:hanging="720"/>
        <w:jc w:val="both"/>
        <w:rPr>
          <w:rFonts w:hint="cs"/>
          <w:sz w:val="30"/>
          <w:rtl/>
        </w:rPr>
      </w:pPr>
      <w:r>
        <w:rPr>
          <w:rFonts w:hint="cs"/>
          <w:sz w:val="30"/>
          <w:rtl/>
        </w:rPr>
        <w:t>•</w:t>
      </w:r>
      <w:r>
        <w:rPr>
          <w:rFonts w:hint="cs"/>
          <w:sz w:val="30"/>
          <w:rtl/>
        </w:rPr>
        <w:tab/>
        <w:t>الأشخاص الذين ساعدوا في عمل</w:t>
      </w:r>
      <w:r>
        <w:rPr>
          <w:rFonts w:hint="cs"/>
          <w:sz w:val="30"/>
          <w:rtl/>
        </w:rPr>
        <w:t>ية التطهير بعد حادثة المفاعل النووي في تشيرنوبيل وأفراد أسرهم؛</w:t>
      </w:r>
    </w:p>
    <w:p w:rsidR="00000000" w:rsidRDefault="003865AC">
      <w:pPr>
        <w:ind w:left="1434" w:hanging="720"/>
        <w:jc w:val="both"/>
        <w:rPr>
          <w:rFonts w:hint="cs"/>
          <w:sz w:val="30"/>
          <w:rtl/>
        </w:rPr>
      </w:pPr>
      <w:r>
        <w:rPr>
          <w:rFonts w:hint="cs"/>
          <w:sz w:val="30"/>
          <w:rtl/>
        </w:rPr>
        <w:t>•</w:t>
      </w:r>
      <w:r>
        <w:rPr>
          <w:rFonts w:hint="cs"/>
          <w:sz w:val="30"/>
          <w:rtl/>
        </w:rPr>
        <w:tab/>
        <w:t>الأشخاص الذين يعانون من آثار التسمم بعد حوادث 9 نيسان/أبريل 1989؛</w:t>
      </w:r>
    </w:p>
    <w:p w:rsidR="00000000" w:rsidRDefault="003865AC">
      <w:pPr>
        <w:ind w:left="1434" w:hanging="720"/>
        <w:jc w:val="both"/>
        <w:rPr>
          <w:rFonts w:hint="cs"/>
          <w:sz w:val="30"/>
          <w:rtl/>
        </w:rPr>
      </w:pPr>
      <w:r>
        <w:rPr>
          <w:rFonts w:hint="cs"/>
          <w:sz w:val="30"/>
          <w:rtl/>
        </w:rPr>
        <w:t>•</w:t>
      </w:r>
      <w:r>
        <w:rPr>
          <w:rFonts w:hint="cs"/>
          <w:sz w:val="30"/>
          <w:rtl/>
        </w:rPr>
        <w:tab/>
        <w:t>الأشخاص الذين يُشْهَد بكونهم من ضحايا القمع السياسي؛</w:t>
      </w:r>
    </w:p>
    <w:p w:rsidR="00000000" w:rsidRDefault="003865AC">
      <w:pPr>
        <w:ind w:left="1434" w:hanging="720"/>
        <w:jc w:val="both"/>
        <w:rPr>
          <w:rFonts w:hint="cs"/>
          <w:sz w:val="30"/>
          <w:rtl/>
        </w:rPr>
      </w:pPr>
      <w:r>
        <w:rPr>
          <w:rFonts w:hint="cs"/>
          <w:sz w:val="30"/>
          <w:rtl/>
        </w:rPr>
        <w:t>•</w:t>
      </w:r>
      <w:r>
        <w:rPr>
          <w:rFonts w:hint="cs"/>
          <w:sz w:val="30"/>
          <w:rtl/>
        </w:rPr>
        <w:tab/>
        <w:t>عمال المناجم الذين تعرضوا لإصابات أثناء العمل أو الذين يعانون من أمر</w:t>
      </w:r>
      <w:r>
        <w:rPr>
          <w:rFonts w:hint="cs"/>
          <w:sz w:val="30"/>
          <w:rtl/>
        </w:rPr>
        <w:t>اض مهنية أدت إلى إعاقتهم؛</w:t>
      </w:r>
    </w:p>
    <w:p w:rsidR="00000000" w:rsidRDefault="003865AC">
      <w:pPr>
        <w:ind w:left="1434" w:hanging="720"/>
        <w:jc w:val="both"/>
        <w:rPr>
          <w:rFonts w:hint="cs"/>
          <w:sz w:val="30"/>
          <w:rtl/>
        </w:rPr>
      </w:pPr>
      <w:r>
        <w:rPr>
          <w:rFonts w:hint="cs"/>
          <w:sz w:val="30"/>
          <w:rtl/>
        </w:rPr>
        <w:t>•</w:t>
      </w:r>
      <w:r>
        <w:rPr>
          <w:rFonts w:hint="cs"/>
          <w:sz w:val="30"/>
          <w:rtl/>
        </w:rPr>
        <w:tab/>
        <w:t>المستفيدون من برنامج الإعانات (الأسرية) الاجتماعية؛</w:t>
      </w:r>
    </w:p>
    <w:p w:rsidR="00000000" w:rsidRDefault="003865AC">
      <w:pPr>
        <w:ind w:left="1434" w:hanging="720"/>
        <w:jc w:val="both"/>
        <w:rPr>
          <w:rFonts w:hint="cs"/>
          <w:sz w:val="30"/>
          <w:rtl/>
        </w:rPr>
      </w:pPr>
      <w:r>
        <w:rPr>
          <w:rFonts w:hint="cs"/>
          <w:sz w:val="30"/>
          <w:rtl/>
        </w:rPr>
        <w:t>•</w:t>
      </w:r>
      <w:r>
        <w:rPr>
          <w:rFonts w:hint="cs"/>
          <w:sz w:val="30"/>
          <w:rtl/>
        </w:rPr>
        <w:tab/>
        <w:t>الأشخاص الذين أصيبوا بالعجز دفاعا عن السلامة الإقليمية لجورجيا؛</w:t>
      </w:r>
    </w:p>
    <w:p w:rsidR="00000000" w:rsidRDefault="003865AC">
      <w:pPr>
        <w:ind w:left="1434" w:hanging="720"/>
        <w:jc w:val="both"/>
        <w:rPr>
          <w:rFonts w:hint="cs"/>
          <w:sz w:val="30"/>
        </w:rPr>
      </w:pPr>
      <w:r>
        <w:rPr>
          <w:rFonts w:hint="cs"/>
          <w:sz w:val="30"/>
          <w:rtl/>
        </w:rPr>
        <w:t>•</w:t>
      </w:r>
      <w:r>
        <w:rPr>
          <w:rFonts w:hint="cs"/>
          <w:sz w:val="30"/>
          <w:rtl/>
        </w:rPr>
        <w:tab/>
        <w:t>قدامى محاربي الحرب العالمية الثانية.</w:t>
      </w:r>
    </w:p>
    <w:p w:rsidR="00000000" w:rsidRDefault="003865AC">
      <w:pPr>
        <w:jc w:val="both"/>
        <w:rPr>
          <w:rFonts w:hint="cs"/>
          <w:sz w:val="30"/>
          <w:rtl/>
        </w:rPr>
      </w:pPr>
      <w:r>
        <w:rPr>
          <w:rFonts w:hint="cs"/>
          <w:sz w:val="30"/>
          <w:rtl/>
        </w:rPr>
        <w:t>114-</w:t>
      </w:r>
      <w:r>
        <w:rPr>
          <w:rFonts w:hint="cs"/>
          <w:sz w:val="30"/>
          <w:rtl/>
        </w:rPr>
        <w:tab/>
        <w:t>ويغطي برنامج التأمين الطبي ما مجموعه 000 400 شخص من الفئات المذكور</w:t>
      </w:r>
      <w:r>
        <w:rPr>
          <w:rFonts w:hint="cs"/>
          <w:sz w:val="30"/>
          <w:rtl/>
        </w:rPr>
        <w:t xml:space="preserve">ة أعلاه. وعلاوة على ذلك، يقَدَّم التأمين الطبي بموجب البرنامج إلى أصحاب المعاشات من فئة المشردين قسرا وللأطفال حتى سن </w:t>
      </w:r>
      <w:r>
        <w:rPr>
          <w:sz w:val="30"/>
          <w:rtl/>
        </w:rPr>
        <w:br/>
      </w:r>
      <w:r>
        <w:rPr>
          <w:rFonts w:hint="cs"/>
          <w:sz w:val="30"/>
          <w:rtl/>
        </w:rPr>
        <w:t>ال‍ 15 سنة.</w:t>
      </w:r>
    </w:p>
    <w:p w:rsidR="00000000" w:rsidRDefault="003865AC">
      <w:pPr>
        <w:jc w:val="both"/>
        <w:rPr>
          <w:rFonts w:hint="cs"/>
          <w:sz w:val="30"/>
          <w:rtl/>
        </w:rPr>
      </w:pPr>
      <w:r>
        <w:rPr>
          <w:rFonts w:hint="cs"/>
          <w:sz w:val="30"/>
          <w:rtl/>
        </w:rPr>
        <w:t>115-</w:t>
      </w:r>
      <w:r>
        <w:rPr>
          <w:rFonts w:hint="cs"/>
          <w:sz w:val="30"/>
          <w:rtl/>
        </w:rPr>
        <w:tab/>
        <w:t>وهناك برامج حكومية خاصة للرعاية الاجتماعية للمعوقين تغطي الفترة الممتدة من 2000 إلى 2001.</w:t>
      </w:r>
    </w:p>
    <w:p w:rsidR="00000000" w:rsidRDefault="003865AC">
      <w:pPr>
        <w:jc w:val="both"/>
        <w:rPr>
          <w:rFonts w:hint="cs"/>
          <w:i/>
          <w:iCs/>
          <w:sz w:val="30"/>
          <w:rtl/>
        </w:rPr>
      </w:pPr>
      <w:r>
        <w:rPr>
          <w:rFonts w:hint="cs"/>
          <w:i/>
          <w:iCs/>
          <w:sz w:val="30"/>
          <w:rtl/>
        </w:rPr>
        <w:t>الإنفاق على الضمان الاجتماعي</w:t>
      </w:r>
    </w:p>
    <w:p w:rsidR="00000000" w:rsidRDefault="003865AC">
      <w:pPr>
        <w:jc w:val="both"/>
        <w:rPr>
          <w:rFonts w:hint="cs"/>
          <w:sz w:val="30"/>
          <w:rtl/>
        </w:rPr>
      </w:pPr>
      <w:r>
        <w:rPr>
          <w:rFonts w:hint="cs"/>
          <w:sz w:val="30"/>
          <w:rtl/>
        </w:rPr>
        <w:t>1</w:t>
      </w:r>
      <w:r>
        <w:rPr>
          <w:rFonts w:hint="cs"/>
          <w:sz w:val="30"/>
          <w:rtl/>
        </w:rPr>
        <w:t>16-</w:t>
      </w:r>
      <w:r>
        <w:rPr>
          <w:rFonts w:hint="cs"/>
          <w:sz w:val="30"/>
          <w:rtl/>
        </w:rPr>
        <w:tab/>
        <w:t>كانت النفقات من ميزانية الدولة، طبقا لبيانات مكتب الإحصاءات الوطني، كالآتي:</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38"/>
        <w:gridCol w:w="3202"/>
        <w:gridCol w:w="3240"/>
      </w:tblGrid>
      <w:tr w:rsidR="003865AC" w:rsidTr="003865AC">
        <w:tc>
          <w:tcPr>
            <w:tcW w:w="2738" w:type="dxa"/>
          </w:tcPr>
          <w:p w:rsidR="003865AC" w:rsidRDefault="003865AC">
            <w:pPr>
              <w:spacing w:before="0" w:after="0" w:line="300" w:lineRule="exact"/>
              <w:jc w:val="center"/>
              <w:rPr>
                <w:rFonts w:hint="cs"/>
                <w:sz w:val="30"/>
                <w:rtl/>
              </w:rPr>
            </w:pPr>
          </w:p>
        </w:tc>
        <w:tc>
          <w:tcPr>
            <w:tcW w:w="3202" w:type="dxa"/>
          </w:tcPr>
          <w:p w:rsidR="003865AC" w:rsidRDefault="003865AC">
            <w:pPr>
              <w:spacing w:before="0" w:after="0" w:line="300" w:lineRule="exact"/>
              <w:jc w:val="center"/>
              <w:rPr>
                <w:rFonts w:hint="cs"/>
                <w:sz w:val="30"/>
                <w:rtl/>
              </w:rPr>
            </w:pPr>
            <w:r>
              <w:rPr>
                <w:rFonts w:hint="cs"/>
                <w:b/>
                <w:bCs/>
                <w:sz w:val="30"/>
                <w:rtl/>
              </w:rPr>
              <w:t>الدخل</w:t>
            </w:r>
            <w:r>
              <w:rPr>
                <w:sz w:val="30"/>
                <w:rtl/>
              </w:rPr>
              <w:br/>
            </w:r>
            <w:r>
              <w:rPr>
                <w:rFonts w:hint="cs"/>
                <w:sz w:val="30"/>
                <w:rtl/>
              </w:rPr>
              <w:t>(باللاريات)</w:t>
            </w:r>
          </w:p>
        </w:tc>
        <w:tc>
          <w:tcPr>
            <w:tcW w:w="3240" w:type="dxa"/>
          </w:tcPr>
          <w:p w:rsidR="003865AC" w:rsidRDefault="003865AC">
            <w:pPr>
              <w:spacing w:before="0" w:after="0" w:line="300" w:lineRule="exact"/>
              <w:jc w:val="center"/>
              <w:rPr>
                <w:rFonts w:hint="cs"/>
                <w:sz w:val="30"/>
                <w:rtl/>
              </w:rPr>
            </w:pPr>
            <w:r>
              <w:rPr>
                <w:rFonts w:hint="cs"/>
                <w:b/>
                <w:bCs/>
                <w:sz w:val="30"/>
                <w:rtl/>
              </w:rPr>
              <w:t>النفقات</w:t>
            </w:r>
            <w:r>
              <w:rPr>
                <w:sz w:val="30"/>
                <w:rtl/>
              </w:rPr>
              <w:br/>
            </w:r>
            <w:r>
              <w:rPr>
                <w:rFonts w:hint="cs"/>
                <w:sz w:val="30"/>
                <w:rtl/>
              </w:rPr>
              <w:t>(باللاريات)</w:t>
            </w:r>
          </w:p>
        </w:tc>
      </w:tr>
      <w:tr w:rsidR="003865AC" w:rsidTr="003865AC">
        <w:tc>
          <w:tcPr>
            <w:tcW w:w="2738" w:type="dxa"/>
          </w:tcPr>
          <w:p w:rsidR="003865AC" w:rsidRDefault="003865AC">
            <w:pPr>
              <w:spacing w:before="0" w:after="0"/>
              <w:jc w:val="center"/>
              <w:rPr>
                <w:rFonts w:hint="cs"/>
                <w:sz w:val="30"/>
                <w:rtl/>
              </w:rPr>
            </w:pPr>
            <w:r>
              <w:rPr>
                <w:rFonts w:hint="cs"/>
                <w:sz w:val="30"/>
                <w:rtl/>
              </w:rPr>
              <w:t>1997</w:t>
            </w:r>
          </w:p>
        </w:tc>
        <w:tc>
          <w:tcPr>
            <w:tcW w:w="3202" w:type="dxa"/>
          </w:tcPr>
          <w:p w:rsidR="003865AC" w:rsidRDefault="003865AC">
            <w:pPr>
              <w:spacing w:before="0" w:after="0"/>
              <w:jc w:val="center"/>
              <w:rPr>
                <w:rFonts w:hint="cs"/>
                <w:sz w:val="30"/>
                <w:rtl/>
              </w:rPr>
            </w:pPr>
            <w:r>
              <w:rPr>
                <w:rFonts w:hint="cs"/>
                <w:sz w:val="30"/>
                <w:rtl/>
              </w:rPr>
              <w:t>000 300 593</w:t>
            </w:r>
          </w:p>
        </w:tc>
        <w:tc>
          <w:tcPr>
            <w:tcW w:w="3240" w:type="dxa"/>
          </w:tcPr>
          <w:p w:rsidR="003865AC" w:rsidRDefault="003865AC">
            <w:pPr>
              <w:spacing w:before="0" w:after="0"/>
              <w:jc w:val="center"/>
              <w:rPr>
                <w:rFonts w:hint="cs"/>
                <w:sz w:val="30"/>
                <w:rtl/>
              </w:rPr>
            </w:pPr>
            <w:r>
              <w:rPr>
                <w:rFonts w:hint="cs"/>
                <w:sz w:val="30"/>
                <w:rtl/>
              </w:rPr>
              <w:t>000 800 767</w:t>
            </w:r>
          </w:p>
        </w:tc>
      </w:tr>
      <w:tr w:rsidR="003865AC" w:rsidTr="003865AC">
        <w:tc>
          <w:tcPr>
            <w:tcW w:w="2738" w:type="dxa"/>
          </w:tcPr>
          <w:p w:rsidR="003865AC" w:rsidRDefault="003865AC">
            <w:pPr>
              <w:spacing w:before="0" w:after="0"/>
              <w:jc w:val="center"/>
              <w:rPr>
                <w:rFonts w:hint="cs"/>
                <w:sz w:val="30"/>
                <w:rtl/>
              </w:rPr>
            </w:pPr>
            <w:r>
              <w:rPr>
                <w:rFonts w:hint="cs"/>
                <w:sz w:val="30"/>
                <w:rtl/>
              </w:rPr>
              <w:t>1998</w:t>
            </w:r>
          </w:p>
        </w:tc>
        <w:tc>
          <w:tcPr>
            <w:tcW w:w="3202" w:type="dxa"/>
          </w:tcPr>
          <w:p w:rsidR="003865AC" w:rsidRDefault="003865AC">
            <w:pPr>
              <w:spacing w:before="0" w:after="0"/>
              <w:jc w:val="center"/>
              <w:rPr>
                <w:rFonts w:hint="cs"/>
                <w:sz w:val="30"/>
                <w:rtl/>
              </w:rPr>
            </w:pPr>
            <w:r>
              <w:rPr>
                <w:rFonts w:hint="cs"/>
                <w:sz w:val="30"/>
                <w:rtl/>
              </w:rPr>
              <w:t>000 900 621</w:t>
            </w:r>
          </w:p>
        </w:tc>
        <w:tc>
          <w:tcPr>
            <w:tcW w:w="3240" w:type="dxa"/>
          </w:tcPr>
          <w:p w:rsidR="003865AC" w:rsidRDefault="003865AC">
            <w:pPr>
              <w:spacing w:before="0" w:after="0"/>
              <w:jc w:val="center"/>
              <w:rPr>
                <w:rFonts w:hint="cs"/>
                <w:sz w:val="30"/>
                <w:rtl/>
              </w:rPr>
            </w:pPr>
            <w:r>
              <w:rPr>
                <w:rFonts w:hint="cs"/>
                <w:sz w:val="30"/>
                <w:rtl/>
              </w:rPr>
              <w:t>000 300 797</w:t>
            </w:r>
          </w:p>
        </w:tc>
      </w:tr>
      <w:tr w:rsidR="003865AC" w:rsidTr="003865AC">
        <w:tc>
          <w:tcPr>
            <w:tcW w:w="2738" w:type="dxa"/>
          </w:tcPr>
          <w:p w:rsidR="003865AC" w:rsidRDefault="003865AC">
            <w:pPr>
              <w:spacing w:before="0" w:after="0"/>
              <w:jc w:val="center"/>
              <w:rPr>
                <w:rFonts w:hint="cs"/>
                <w:sz w:val="30"/>
                <w:rtl/>
              </w:rPr>
            </w:pPr>
            <w:r>
              <w:rPr>
                <w:rFonts w:hint="cs"/>
                <w:sz w:val="30"/>
                <w:rtl/>
              </w:rPr>
              <w:t>1999</w:t>
            </w:r>
          </w:p>
        </w:tc>
        <w:tc>
          <w:tcPr>
            <w:tcW w:w="3202" w:type="dxa"/>
          </w:tcPr>
          <w:p w:rsidR="003865AC" w:rsidRDefault="003865AC">
            <w:pPr>
              <w:spacing w:before="0" w:after="0"/>
              <w:jc w:val="center"/>
              <w:rPr>
                <w:rFonts w:hint="cs"/>
                <w:sz w:val="30"/>
                <w:rtl/>
              </w:rPr>
            </w:pPr>
            <w:r>
              <w:rPr>
                <w:rFonts w:hint="cs"/>
                <w:sz w:val="30"/>
                <w:rtl/>
              </w:rPr>
              <w:t>000 200 650</w:t>
            </w:r>
          </w:p>
        </w:tc>
        <w:tc>
          <w:tcPr>
            <w:tcW w:w="3240" w:type="dxa"/>
          </w:tcPr>
          <w:p w:rsidR="003865AC" w:rsidRDefault="003865AC">
            <w:pPr>
              <w:spacing w:before="0" w:after="0"/>
              <w:jc w:val="center"/>
              <w:rPr>
                <w:rFonts w:hint="cs"/>
                <w:sz w:val="30"/>
                <w:rtl/>
              </w:rPr>
            </w:pPr>
            <w:r>
              <w:rPr>
                <w:rFonts w:hint="cs"/>
                <w:sz w:val="30"/>
                <w:rtl/>
              </w:rPr>
              <w:t>000 800 904</w:t>
            </w:r>
          </w:p>
        </w:tc>
      </w:tr>
    </w:tbl>
    <w:p w:rsidR="00000000" w:rsidRDefault="003865AC">
      <w:pPr>
        <w:jc w:val="both"/>
        <w:rPr>
          <w:rFonts w:hint="cs"/>
          <w:spacing w:val="0"/>
          <w:sz w:val="30"/>
          <w:rtl/>
        </w:rPr>
      </w:pPr>
      <w:r>
        <w:rPr>
          <w:rFonts w:hint="cs"/>
          <w:sz w:val="30"/>
          <w:rtl/>
        </w:rPr>
        <w:t>117-</w:t>
      </w:r>
      <w:r>
        <w:rPr>
          <w:rFonts w:hint="cs"/>
          <w:sz w:val="30"/>
          <w:rtl/>
        </w:rPr>
        <w:tab/>
        <w:t>وتبين بيانات وزارة المالية ومكتب الميزاني</w:t>
      </w:r>
      <w:r>
        <w:rPr>
          <w:rFonts w:hint="cs"/>
          <w:sz w:val="30"/>
          <w:rtl/>
        </w:rPr>
        <w:t xml:space="preserve">ة التابع للبرلمان الجورجي النفقات التالية على الرعاية والتأمين </w:t>
      </w:r>
      <w:r>
        <w:rPr>
          <w:rFonts w:hint="cs"/>
          <w:spacing w:val="0"/>
          <w:sz w:val="30"/>
          <w:rtl/>
        </w:rPr>
        <w:t>الاجتماعييْن على مدى نفس الفترة: 000 100 146 دولار سنة 1997 (أو 191.09 مليون لاري بسعر صرف</w:t>
      </w:r>
      <w:r>
        <w:rPr>
          <w:spacing w:val="0"/>
          <w:sz w:val="30"/>
          <w:rtl/>
        </w:rPr>
        <w:br/>
      </w:r>
      <w:r>
        <w:rPr>
          <w:rFonts w:hint="cs"/>
          <w:spacing w:val="0"/>
          <w:sz w:val="30"/>
          <w:rtl/>
        </w:rPr>
        <w:t xml:space="preserve"> 1 دولار أمريكي يساوي 1.309 لاري حدده مكتب الإحصاءات الوطني)؛ و154.3 مليون دولار أمريكي سنة 1998 (أو 2</w:t>
      </w:r>
      <w:r>
        <w:rPr>
          <w:rFonts w:hint="cs"/>
          <w:spacing w:val="0"/>
          <w:sz w:val="30"/>
          <w:rtl/>
        </w:rPr>
        <w:t>39.16 مليون لاري بسعر صرف 1 دولار أمريكي يساوي 1.55 لاري)؛ و123.5 مليون دولار أمريكي سنة 1999 (أو 240.7 مليون لاري بسعر صرف 1 دولار أمريكي يساوي 1.949 لاري).</w:t>
      </w:r>
    </w:p>
    <w:p w:rsidR="00000000" w:rsidRDefault="003865AC">
      <w:pPr>
        <w:jc w:val="both"/>
        <w:rPr>
          <w:rFonts w:hint="cs"/>
          <w:sz w:val="30"/>
          <w:rtl/>
        </w:rPr>
      </w:pPr>
      <w:r>
        <w:rPr>
          <w:rFonts w:hint="cs"/>
          <w:sz w:val="30"/>
          <w:rtl/>
        </w:rPr>
        <w:t>118-</w:t>
      </w:r>
      <w:r>
        <w:rPr>
          <w:rFonts w:hint="cs"/>
          <w:sz w:val="30"/>
          <w:rtl/>
        </w:rPr>
        <w:tab/>
        <w:t>وطبقا لهذه الأرقام فقد كانت نسبة النفقات من الميزانية على التأمين والضمان الاجتماعيين في جورج</w:t>
      </w:r>
      <w:r>
        <w:rPr>
          <w:rFonts w:hint="cs"/>
          <w:sz w:val="30"/>
          <w:rtl/>
        </w:rPr>
        <w:t>يا كالآتي: حوالي 24.6 في المائة سنة 1997؛ حوالي 30 في المائة سنة 1998 وحوالي 26.6 في المائة سنة 1999.</w:t>
      </w:r>
    </w:p>
    <w:p w:rsidR="00000000" w:rsidRDefault="003865AC">
      <w:pPr>
        <w:jc w:val="both"/>
        <w:rPr>
          <w:rFonts w:hint="cs"/>
          <w:sz w:val="30"/>
          <w:rtl/>
        </w:rPr>
      </w:pPr>
      <w:r>
        <w:rPr>
          <w:rFonts w:hint="cs"/>
          <w:sz w:val="30"/>
          <w:rtl/>
        </w:rPr>
        <w:t>119-</w:t>
      </w:r>
      <w:r>
        <w:rPr>
          <w:rFonts w:hint="cs"/>
          <w:sz w:val="30"/>
          <w:rtl/>
        </w:rPr>
        <w:tab/>
        <w:t xml:space="preserve">وكنسب من الناتج المحلي الاجمالي، بلغت النفقات على الضمان والرعاية الاجتماعييْن سنة 1999 ما نسبته 3 في المائة طبقا للبيانات الواردة في التقرير الوطني </w:t>
      </w:r>
      <w:r>
        <w:rPr>
          <w:rFonts w:hint="cs"/>
          <w:sz w:val="30"/>
          <w:rtl/>
        </w:rPr>
        <w:t>عن التنمية البشرية في جورجيا لعام 2000 الذي أعده برنامج الأمم المتحدة الانمائي استناداً إلى مصادر البنك الدولي، والمعلومات المتاحة من مكتب الميزانية التابع للبرلمان والتقرير الجورجي عن ميزانية الدولة المخصصة لسنة 1999. ولا تتوفر معلومات عن السنوات السابقة.</w:t>
      </w:r>
    </w:p>
    <w:p w:rsidR="00000000" w:rsidRDefault="003865AC">
      <w:pPr>
        <w:jc w:val="both"/>
        <w:rPr>
          <w:rFonts w:hint="cs"/>
          <w:sz w:val="30"/>
          <w:rtl/>
        </w:rPr>
      </w:pPr>
      <w:r>
        <w:rPr>
          <w:rFonts w:hint="cs"/>
          <w:sz w:val="30"/>
          <w:rtl/>
        </w:rPr>
        <w:t>120-</w:t>
      </w:r>
      <w:r>
        <w:rPr>
          <w:rFonts w:hint="cs"/>
          <w:sz w:val="30"/>
          <w:rtl/>
        </w:rPr>
        <w:tab/>
        <w:t xml:space="preserve">ووفقا لبيانات وزارة المالية ومكتب الميزانية التابع للبرلمان، تم رصد ما مجموعه 273.4 مليون لاري لاحتياجات الضمان والتأمين الاجتماعييْن لسنة 2000. </w:t>
      </w:r>
    </w:p>
    <w:p w:rsidR="00000000" w:rsidRDefault="003865AC">
      <w:pPr>
        <w:jc w:val="both"/>
        <w:rPr>
          <w:rFonts w:hint="cs"/>
          <w:i/>
          <w:iCs/>
          <w:sz w:val="30"/>
          <w:rtl/>
        </w:rPr>
      </w:pPr>
      <w:r>
        <w:rPr>
          <w:rFonts w:hint="cs"/>
          <w:i/>
          <w:iCs/>
          <w:sz w:val="30"/>
          <w:rtl/>
        </w:rPr>
        <w:t>برامج الضمان الاجتماعي الخاصة</w:t>
      </w:r>
    </w:p>
    <w:p w:rsidR="00000000" w:rsidRDefault="003865AC">
      <w:pPr>
        <w:jc w:val="both"/>
        <w:rPr>
          <w:rFonts w:hint="cs"/>
          <w:sz w:val="30"/>
          <w:rtl/>
        </w:rPr>
      </w:pPr>
      <w:r>
        <w:rPr>
          <w:rFonts w:hint="cs"/>
          <w:sz w:val="30"/>
          <w:rtl/>
        </w:rPr>
        <w:t>121-</w:t>
      </w:r>
      <w:r>
        <w:rPr>
          <w:rFonts w:hint="cs"/>
          <w:sz w:val="30"/>
          <w:rtl/>
        </w:rPr>
        <w:tab/>
        <w:t>وإلى جانب برامج الضمان الاجتماعي الحكومية، يجري العمل في جورجيا ببرام</w:t>
      </w:r>
      <w:r>
        <w:rPr>
          <w:rFonts w:hint="cs"/>
          <w:sz w:val="30"/>
          <w:rtl/>
        </w:rPr>
        <w:t xml:space="preserve">ج إنسانية خاصة تديرها منظمات محلية ودولية غير حكومية. ولا ينحصر عملها فقط في توفير الأغذية والملابس المستعمَلة وغيرها من اللوازم المنزلية وإنما يقدم بعضها، مثل </w:t>
      </w:r>
      <w:r>
        <w:rPr>
          <w:sz w:val="30"/>
          <w:rtl/>
        </w:rPr>
        <w:t>وكالة التنمية الدولية التابعة للولايات المتح</w:t>
      </w:r>
      <w:r>
        <w:rPr>
          <w:rFonts w:hint="cs"/>
          <w:sz w:val="30"/>
          <w:rtl/>
        </w:rPr>
        <w:t>دة، مساعدة إلى القطاعات الأمس حاجة بمدها بالطاقة الك</w:t>
      </w:r>
      <w:r>
        <w:rPr>
          <w:rFonts w:hint="cs"/>
          <w:sz w:val="30"/>
          <w:rtl/>
        </w:rPr>
        <w:t>هربائية.</w:t>
      </w:r>
    </w:p>
    <w:p w:rsidR="00000000" w:rsidRDefault="003865AC">
      <w:pPr>
        <w:jc w:val="both"/>
        <w:rPr>
          <w:rFonts w:hint="cs"/>
          <w:sz w:val="30"/>
          <w:rtl/>
        </w:rPr>
      </w:pPr>
      <w:r>
        <w:rPr>
          <w:rFonts w:hint="cs"/>
          <w:sz w:val="30"/>
          <w:rtl/>
        </w:rPr>
        <w:t>122-</w:t>
      </w:r>
      <w:r>
        <w:rPr>
          <w:rFonts w:hint="cs"/>
          <w:sz w:val="30"/>
          <w:rtl/>
        </w:rPr>
        <w:tab/>
        <w:t>ولا توجد في جورجيا فئات اجتماعية يمكن حرمانها من الاستفادة من نظام الضمان الاجتماعي. وفي الوقت ذاته، لا تكفي مستويات هذا الضمان الاجتماعي لتأمين الرعاية للمستفيدين منه. ولتقويم هذا العجز، تم في السنة الماضية اعتماد التدابير التالية:</w:t>
      </w:r>
    </w:p>
    <w:p w:rsidR="00000000" w:rsidRDefault="003865AC">
      <w:pPr>
        <w:ind w:left="1434" w:hanging="720"/>
        <w:jc w:val="both"/>
        <w:rPr>
          <w:rFonts w:hint="cs"/>
          <w:sz w:val="30"/>
          <w:rtl/>
        </w:rPr>
      </w:pPr>
      <w:r>
        <w:rPr>
          <w:rFonts w:hint="cs"/>
          <w:sz w:val="30"/>
          <w:rtl/>
        </w:rPr>
        <w:t>•</w:t>
      </w:r>
      <w:r>
        <w:rPr>
          <w:rFonts w:hint="cs"/>
          <w:sz w:val="30"/>
          <w:rtl/>
        </w:rPr>
        <w:tab/>
        <w:t>أصدر ال</w:t>
      </w:r>
      <w:r>
        <w:rPr>
          <w:rFonts w:hint="cs"/>
          <w:sz w:val="30"/>
          <w:rtl/>
        </w:rPr>
        <w:t>رئيس الجورجي في 1 تموز/يوليه 2000 أمرا بشأن التدابير التنظيمية لتسهيل وضع برامج للتغلب على الفقر وتعزيز التنمية الاقتصادية. ولتنفيذ هذا الأمر، أُنشئت لجنة حكومية يترأسها الرئيس؛</w:t>
      </w:r>
    </w:p>
    <w:p w:rsidR="00000000" w:rsidRDefault="003865AC">
      <w:pPr>
        <w:ind w:left="1434" w:hanging="720"/>
        <w:jc w:val="both"/>
        <w:rPr>
          <w:rFonts w:hint="cs"/>
          <w:sz w:val="30"/>
        </w:rPr>
      </w:pPr>
      <w:r>
        <w:rPr>
          <w:rFonts w:hint="cs"/>
          <w:sz w:val="30"/>
          <w:rtl/>
        </w:rPr>
        <w:t>•</w:t>
      </w:r>
      <w:r>
        <w:rPr>
          <w:rFonts w:hint="cs"/>
          <w:sz w:val="30"/>
          <w:rtl/>
        </w:rPr>
        <w:tab/>
        <w:t>وعلى أساس نتائج عمل هذه اللجنة، أصدر الرئيس في 30 تشرين الثاني/نوفمبر 2000 أ</w:t>
      </w:r>
      <w:r>
        <w:rPr>
          <w:rFonts w:hint="cs"/>
          <w:sz w:val="30"/>
          <w:rtl/>
        </w:rPr>
        <w:t>مراً يقر بموجبه النص المؤقت للبرنامج الوطني لمكافحة الفقر وتعزيز التنمية الاقتصادية. وبموجب هذا الأمر، كُلِّفَت اللجان الفرعية التابعة للجنة الحكومية بمهمة القيام، بمشاركة المجتمع المدني، بتطوير المجالات ذات الصلة بالبرنامج الوطني بحلول 1 نيسان/أبريل 2001.</w:t>
      </w:r>
    </w:p>
    <w:p w:rsidR="00000000" w:rsidRDefault="003865AC">
      <w:pPr>
        <w:jc w:val="both"/>
        <w:rPr>
          <w:rFonts w:hint="cs"/>
          <w:sz w:val="30"/>
          <w:rtl/>
        </w:rPr>
      </w:pPr>
      <w:r>
        <w:rPr>
          <w:rFonts w:hint="cs"/>
          <w:sz w:val="30"/>
          <w:rtl/>
        </w:rPr>
        <w:t>وقد وُضِعت، بالتعاون مع البنك الدولي، استراتيجية خاصة بالاتصالات تقضي بتوفير المعلومات والتدابير التثقيفية لتأمين إقامة علاقات وثيقة مع المجتمع المدني ولإبقاء الناس على الدوام على علم بما يجري في إطار هذه المبادرة الجديدة. وكان قد سبق تقديم النص المؤقت كي</w:t>
      </w:r>
      <w:r>
        <w:rPr>
          <w:rFonts w:hint="cs"/>
          <w:sz w:val="30"/>
          <w:rtl/>
        </w:rPr>
        <w:t xml:space="preserve"> تنظر فيه المنظمات الدولية المانحة. </w:t>
      </w:r>
    </w:p>
    <w:p w:rsidR="00000000" w:rsidRDefault="003865AC">
      <w:pPr>
        <w:jc w:val="both"/>
        <w:rPr>
          <w:rFonts w:hint="cs"/>
          <w:sz w:val="30"/>
          <w:rtl/>
        </w:rPr>
      </w:pPr>
      <w:r>
        <w:rPr>
          <w:rFonts w:hint="cs"/>
          <w:sz w:val="30"/>
          <w:rtl/>
        </w:rPr>
        <w:t>123-</w:t>
      </w:r>
      <w:r>
        <w:rPr>
          <w:rFonts w:hint="cs"/>
          <w:sz w:val="30"/>
          <w:rtl/>
        </w:rPr>
        <w:tab/>
        <w:t xml:space="preserve">ويمكن اعتبار المعلومات المذكورة أعلاه ردا على الشواغل التي أعربت عنها لجنة الحقوق الاقتصادية والاجتماعية والثقافية في الفقرة 8 من ملاحظاتها الختامية. وكما قال الرئيس الجورجي في كلمة وجهها إلى أعضاء اللجنة الحكومية </w:t>
      </w:r>
      <w:r>
        <w:rPr>
          <w:rFonts w:hint="cs"/>
          <w:sz w:val="30"/>
          <w:rtl/>
        </w:rPr>
        <w:t>في 28 تشرين الثاني/نوفمبر 2000: "يجب أن يؤدي تنفيذ برنامج مكافحة الفقر وتعزيز النمو الاقتصادي إلى تحسن اقتصادي كبير. وينبغي في هذه السنوات الأولى من الألفية الثالثة أن يعيش الشعب الجورجي عيشة كريمة في ظل الضمانات الاجتماعية اللائقة".</w:t>
      </w:r>
    </w:p>
    <w:p w:rsidR="00000000" w:rsidRDefault="003865AC">
      <w:pPr>
        <w:jc w:val="both"/>
        <w:rPr>
          <w:rFonts w:hint="cs"/>
          <w:sz w:val="30"/>
          <w:rtl/>
        </w:rPr>
      </w:pPr>
      <w:r>
        <w:rPr>
          <w:rFonts w:hint="cs"/>
          <w:sz w:val="30"/>
          <w:rtl/>
        </w:rPr>
        <w:t>124-</w:t>
      </w:r>
      <w:r>
        <w:rPr>
          <w:rFonts w:hint="cs"/>
          <w:sz w:val="30"/>
          <w:rtl/>
        </w:rPr>
        <w:tab/>
        <w:t xml:space="preserve">كما يمكن الاطلاع </w:t>
      </w:r>
      <w:r>
        <w:rPr>
          <w:rFonts w:hint="cs"/>
          <w:sz w:val="30"/>
          <w:rtl/>
        </w:rPr>
        <w:t xml:space="preserve">على المزيد من المعلومات المتعلقة بالقضايا التي تغطيها هذه المادة من العهد في التقرير الأول لهذا البلد المقدم في إطار </w:t>
      </w:r>
      <w:r>
        <w:rPr>
          <w:sz w:val="30"/>
          <w:rtl/>
        </w:rPr>
        <w:t>الاتفاقية الدولية للقضاء على جميع أشكال التمييز العنصري</w:t>
      </w:r>
      <w:r>
        <w:rPr>
          <w:rFonts w:hint="cs"/>
          <w:sz w:val="30"/>
          <w:rtl/>
        </w:rPr>
        <w:t xml:space="preserve"> (من الفقرة 238 إلى الفقرة 252).</w:t>
      </w:r>
    </w:p>
    <w:p w:rsidR="00000000" w:rsidRDefault="003865AC">
      <w:pPr>
        <w:jc w:val="both"/>
        <w:rPr>
          <w:rFonts w:hint="cs"/>
          <w:b/>
          <w:bCs/>
          <w:sz w:val="30"/>
          <w:rtl/>
        </w:rPr>
      </w:pPr>
      <w:r>
        <w:rPr>
          <w:rFonts w:hint="cs"/>
          <w:b/>
          <w:bCs/>
          <w:sz w:val="30"/>
          <w:rtl/>
        </w:rPr>
        <w:t>المادة 10</w:t>
      </w:r>
    </w:p>
    <w:p w:rsidR="00000000" w:rsidRDefault="003865AC">
      <w:pPr>
        <w:jc w:val="both"/>
        <w:rPr>
          <w:rFonts w:hint="cs"/>
          <w:i/>
          <w:iCs/>
          <w:sz w:val="30"/>
          <w:rtl/>
        </w:rPr>
      </w:pPr>
      <w:r>
        <w:rPr>
          <w:rFonts w:hint="cs"/>
          <w:i/>
          <w:iCs/>
          <w:sz w:val="30"/>
          <w:rtl/>
        </w:rPr>
        <w:t>الزواج والأسرة</w:t>
      </w:r>
    </w:p>
    <w:p w:rsidR="00000000" w:rsidRDefault="003865AC">
      <w:pPr>
        <w:jc w:val="both"/>
        <w:rPr>
          <w:rFonts w:hint="cs"/>
          <w:sz w:val="30"/>
          <w:rtl/>
        </w:rPr>
      </w:pPr>
      <w:r>
        <w:rPr>
          <w:rFonts w:hint="cs"/>
          <w:sz w:val="30"/>
          <w:rtl/>
        </w:rPr>
        <w:t>125-</w:t>
      </w:r>
      <w:r>
        <w:rPr>
          <w:rFonts w:hint="cs"/>
          <w:sz w:val="30"/>
          <w:rtl/>
        </w:rPr>
        <w:tab/>
        <w:t>وكما لوحظ أعلاه، قدمت</w:t>
      </w:r>
      <w:r>
        <w:rPr>
          <w:rFonts w:hint="cs"/>
          <w:sz w:val="30"/>
          <w:rtl/>
        </w:rPr>
        <w:t xml:space="preserve"> جورجيا في عام 2000 إلى الهيئتين التعاهديتين المعنيتين في الأمم المتحدة تقريرها الأول في إطار </w:t>
      </w:r>
      <w:r>
        <w:rPr>
          <w:sz w:val="30"/>
          <w:rtl/>
        </w:rPr>
        <w:t>الاتفاقية الدولية للقضاء على جميع أشكال التمييز العنصري</w:t>
      </w:r>
      <w:r>
        <w:rPr>
          <w:rFonts w:hint="cs"/>
          <w:sz w:val="30"/>
          <w:rtl/>
        </w:rPr>
        <w:t xml:space="preserve"> وتقريرها الدوري الثاني في إطار العهد الدولي الخاص بالحقوق المدنية والسياسة. ويستكشف هذان التقريران المسائل</w:t>
      </w:r>
      <w:r>
        <w:rPr>
          <w:rFonts w:hint="cs"/>
          <w:sz w:val="30"/>
          <w:rtl/>
        </w:rPr>
        <w:t xml:space="preserve"> التي تشملها هذه المادة من العهد. وعليه، يسترعى الانتباه إلى الفقرات المقابلة في التقريرين المذكورين.</w:t>
      </w:r>
    </w:p>
    <w:p w:rsidR="00000000" w:rsidRDefault="003865AC">
      <w:pPr>
        <w:jc w:val="both"/>
        <w:rPr>
          <w:rFonts w:hint="cs"/>
          <w:sz w:val="30"/>
          <w:rtl/>
        </w:rPr>
      </w:pPr>
      <w:r>
        <w:rPr>
          <w:rFonts w:hint="cs"/>
          <w:sz w:val="30"/>
          <w:rtl/>
        </w:rPr>
        <w:t>126-</w:t>
      </w:r>
      <w:r>
        <w:rPr>
          <w:rFonts w:hint="cs"/>
          <w:sz w:val="30"/>
          <w:rtl/>
        </w:rPr>
        <w:tab/>
        <w:t>وفيما يخص مفهوم "الأسرة" ومعناها، يرجى الرجوع إلى الفقرة 418 من التقرير المقدم في إطار العهد الدولي الخاص بالحقوق المدنية والسياسية.</w:t>
      </w:r>
    </w:p>
    <w:p w:rsidR="00000000" w:rsidRDefault="003865AC">
      <w:pPr>
        <w:jc w:val="both"/>
        <w:rPr>
          <w:rFonts w:hint="cs"/>
          <w:sz w:val="30"/>
          <w:rtl/>
        </w:rPr>
      </w:pPr>
      <w:r>
        <w:rPr>
          <w:rFonts w:hint="cs"/>
          <w:sz w:val="30"/>
          <w:rtl/>
        </w:rPr>
        <w:t>127-</w:t>
      </w:r>
      <w:r>
        <w:rPr>
          <w:rFonts w:hint="cs"/>
          <w:sz w:val="30"/>
          <w:rtl/>
        </w:rPr>
        <w:tab/>
        <w:t>وفيما يتعلق</w:t>
      </w:r>
      <w:r>
        <w:rPr>
          <w:rFonts w:hint="cs"/>
          <w:sz w:val="30"/>
          <w:rtl/>
        </w:rPr>
        <w:t xml:space="preserve"> بالسن القانونية، انظر الفقرات 520 و521 و523 من نفس التقرير.</w:t>
      </w:r>
    </w:p>
    <w:p w:rsidR="00000000" w:rsidRDefault="003865AC">
      <w:pPr>
        <w:jc w:val="both"/>
        <w:rPr>
          <w:rFonts w:hint="cs"/>
          <w:sz w:val="30"/>
          <w:rtl/>
        </w:rPr>
      </w:pPr>
      <w:r>
        <w:rPr>
          <w:rFonts w:hint="cs"/>
          <w:sz w:val="30"/>
          <w:rtl/>
        </w:rPr>
        <w:t>128-</w:t>
      </w:r>
      <w:r>
        <w:rPr>
          <w:rFonts w:hint="cs"/>
          <w:sz w:val="30"/>
          <w:rtl/>
        </w:rPr>
        <w:tab/>
        <w:t xml:space="preserve">ويمكن أيضا الاطلاع على المعلومات ذات الصلة بحماية ومساعد الأسرة في الفقرات من 501 إلى 513 و516 من التقرير المذكور والفقرات من 138 إلى 144 من التقرير المقدم في إطار </w:t>
      </w:r>
      <w:r>
        <w:rPr>
          <w:sz w:val="30"/>
          <w:rtl/>
        </w:rPr>
        <w:t>الاتفاقية الدولية للقضاء ع</w:t>
      </w:r>
      <w:r>
        <w:rPr>
          <w:sz w:val="30"/>
          <w:rtl/>
        </w:rPr>
        <w:t>لى جميع أشكال التمييز العنصري</w:t>
      </w:r>
      <w:r>
        <w:rPr>
          <w:rFonts w:hint="cs"/>
          <w:sz w:val="30"/>
          <w:rtl/>
        </w:rPr>
        <w:t>.</w:t>
      </w:r>
    </w:p>
    <w:p w:rsidR="00000000" w:rsidRDefault="003865AC">
      <w:pPr>
        <w:jc w:val="both"/>
        <w:rPr>
          <w:rFonts w:hint="cs"/>
          <w:sz w:val="30"/>
          <w:rtl/>
        </w:rPr>
      </w:pPr>
      <w:r>
        <w:rPr>
          <w:rFonts w:hint="cs"/>
          <w:sz w:val="30"/>
          <w:rtl/>
        </w:rPr>
        <w:t>129-</w:t>
      </w:r>
      <w:r>
        <w:rPr>
          <w:rFonts w:hint="cs"/>
          <w:sz w:val="30"/>
          <w:rtl/>
        </w:rPr>
        <w:tab/>
        <w:t>ويرد أدناه مزيد من الإحصاءات بهذا الشأن.</w:t>
      </w:r>
    </w:p>
    <w:p w:rsidR="00000000" w:rsidRDefault="003865AC">
      <w:pPr>
        <w:ind w:left="-58"/>
        <w:jc w:val="both"/>
        <w:rPr>
          <w:rFonts w:hint="cs"/>
          <w:sz w:val="30"/>
          <w:rtl/>
        </w:rPr>
      </w:pPr>
      <w:r>
        <w:rPr>
          <w:rFonts w:hint="cs"/>
          <w:sz w:val="30"/>
          <w:rtl/>
        </w:rPr>
        <w:t>130-</w:t>
      </w:r>
      <w:r>
        <w:rPr>
          <w:rFonts w:hint="cs"/>
          <w:sz w:val="30"/>
          <w:rtl/>
        </w:rPr>
        <w:tab/>
        <w:t>شهد عام 1999 ما مجموعه 800 13 حالة زواج و600 1 حالة طلاق، أو 3.9 حالة زواج و0.4 حالة طلاق في كل 000 1 نسمة. ووصل متوسط طول مدة الزواج قبل الطلاق إلى 11.5 سنة. ويبين تحليل هذه</w:t>
      </w:r>
      <w:r>
        <w:rPr>
          <w:rFonts w:hint="cs"/>
          <w:sz w:val="30"/>
          <w:rtl/>
        </w:rPr>
        <w:t xml:space="preserve"> الأرقام، بصورة مطلقة وبالنسبة لعدد السكان، انخفاضا مطردا في عدد حالات الزواج وكذلك (بدرجة أقل) في عدد حالات الطلاق خلال السنوات الخمس الأخيرة.</w:t>
      </w:r>
    </w:p>
    <w:p w:rsidR="00000000" w:rsidRDefault="003865AC">
      <w:pPr>
        <w:ind w:left="-58"/>
        <w:jc w:val="center"/>
        <w:rPr>
          <w:rFonts w:hint="cs"/>
          <w:b/>
          <w:bCs/>
          <w:sz w:val="30"/>
          <w:rtl/>
        </w:rPr>
      </w:pPr>
      <w:r>
        <w:rPr>
          <w:rFonts w:hint="cs"/>
          <w:b/>
          <w:bCs/>
          <w:sz w:val="30"/>
          <w:rtl/>
        </w:rPr>
        <w:t>متوسط السن عند أول زواج</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0"/>
        <w:gridCol w:w="3060"/>
        <w:gridCol w:w="2931"/>
      </w:tblGrid>
      <w:tr w:rsidR="003865AC" w:rsidTr="003865AC">
        <w:tblPrEx>
          <w:tblCellMar>
            <w:top w:w="0" w:type="dxa"/>
            <w:bottom w:w="0" w:type="dxa"/>
          </w:tblCellMar>
        </w:tblPrEx>
        <w:tc>
          <w:tcPr>
            <w:tcW w:w="3420" w:type="dxa"/>
          </w:tcPr>
          <w:p w:rsidR="003865AC" w:rsidRDefault="003865AC">
            <w:pPr>
              <w:spacing w:before="0" w:after="0"/>
              <w:jc w:val="center"/>
              <w:rPr>
                <w:rFonts w:hint="cs"/>
                <w:b/>
                <w:bCs/>
                <w:sz w:val="30"/>
              </w:rPr>
            </w:pPr>
            <w:r>
              <w:rPr>
                <w:rFonts w:hint="cs"/>
                <w:b/>
                <w:bCs/>
                <w:sz w:val="30"/>
                <w:rtl/>
              </w:rPr>
              <w:t>السنوات</w:t>
            </w:r>
          </w:p>
        </w:tc>
        <w:tc>
          <w:tcPr>
            <w:tcW w:w="3060" w:type="dxa"/>
          </w:tcPr>
          <w:p w:rsidR="003865AC" w:rsidRDefault="003865AC">
            <w:pPr>
              <w:spacing w:before="0" w:after="0"/>
              <w:jc w:val="center"/>
              <w:rPr>
                <w:rFonts w:hint="cs"/>
                <w:b/>
                <w:bCs/>
                <w:sz w:val="30"/>
              </w:rPr>
            </w:pPr>
            <w:r>
              <w:rPr>
                <w:rFonts w:hint="cs"/>
                <w:b/>
                <w:bCs/>
                <w:sz w:val="30"/>
                <w:rtl/>
              </w:rPr>
              <w:t>الرجال</w:t>
            </w:r>
          </w:p>
        </w:tc>
        <w:tc>
          <w:tcPr>
            <w:tcW w:w="2931" w:type="dxa"/>
          </w:tcPr>
          <w:p w:rsidR="003865AC" w:rsidRDefault="003865AC">
            <w:pPr>
              <w:spacing w:before="0" w:after="0"/>
              <w:jc w:val="center"/>
              <w:rPr>
                <w:rFonts w:hint="cs"/>
                <w:b/>
                <w:bCs/>
                <w:sz w:val="30"/>
              </w:rPr>
            </w:pPr>
            <w:r>
              <w:rPr>
                <w:rFonts w:hint="cs"/>
                <w:b/>
                <w:bCs/>
                <w:sz w:val="30"/>
                <w:rtl/>
              </w:rPr>
              <w:t>النساء</w:t>
            </w:r>
          </w:p>
        </w:tc>
      </w:tr>
      <w:tr w:rsidR="003865AC" w:rsidTr="003865AC">
        <w:tblPrEx>
          <w:tblCellMar>
            <w:top w:w="0" w:type="dxa"/>
            <w:bottom w:w="0" w:type="dxa"/>
          </w:tblCellMar>
        </w:tblPrEx>
        <w:tc>
          <w:tcPr>
            <w:tcW w:w="3420" w:type="dxa"/>
          </w:tcPr>
          <w:p w:rsidR="003865AC" w:rsidRDefault="003865AC">
            <w:pPr>
              <w:spacing w:before="0" w:after="0"/>
              <w:jc w:val="center"/>
              <w:rPr>
                <w:rFonts w:hint="cs"/>
                <w:sz w:val="30"/>
                <w:rtl/>
              </w:rPr>
            </w:pPr>
            <w:r>
              <w:rPr>
                <w:rFonts w:hint="cs"/>
                <w:sz w:val="30"/>
                <w:rtl/>
              </w:rPr>
              <w:t>1995</w:t>
            </w:r>
          </w:p>
        </w:tc>
        <w:tc>
          <w:tcPr>
            <w:tcW w:w="3060" w:type="dxa"/>
          </w:tcPr>
          <w:p w:rsidR="003865AC" w:rsidRDefault="003865AC">
            <w:pPr>
              <w:spacing w:before="0" w:after="0"/>
              <w:jc w:val="center"/>
              <w:rPr>
                <w:rFonts w:hint="cs"/>
                <w:sz w:val="30"/>
                <w:rtl/>
              </w:rPr>
            </w:pPr>
            <w:r>
              <w:rPr>
                <w:rFonts w:hint="cs"/>
                <w:sz w:val="30"/>
                <w:rtl/>
              </w:rPr>
              <w:t>27.2</w:t>
            </w:r>
          </w:p>
        </w:tc>
        <w:tc>
          <w:tcPr>
            <w:tcW w:w="2931" w:type="dxa"/>
          </w:tcPr>
          <w:p w:rsidR="003865AC" w:rsidRDefault="003865AC">
            <w:pPr>
              <w:spacing w:before="0" w:after="0"/>
              <w:jc w:val="center"/>
              <w:rPr>
                <w:rFonts w:hint="cs"/>
                <w:sz w:val="30"/>
                <w:rtl/>
              </w:rPr>
            </w:pPr>
            <w:r>
              <w:rPr>
                <w:rFonts w:hint="cs"/>
                <w:sz w:val="30"/>
                <w:rtl/>
              </w:rPr>
              <w:t>23.7</w:t>
            </w:r>
          </w:p>
        </w:tc>
      </w:tr>
      <w:tr w:rsidR="003865AC" w:rsidTr="003865AC">
        <w:tblPrEx>
          <w:tblCellMar>
            <w:top w:w="0" w:type="dxa"/>
            <w:bottom w:w="0" w:type="dxa"/>
          </w:tblCellMar>
        </w:tblPrEx>
        <w:tc>
          <w:tcPr>
            <w:tcW w:w="3420" w:type="dxa"/>
          </w:tcPr>
          <w:p w:rsidR="003865AC" w:rsidRDefault="003865AC">
            <w:pPr>
              <w:spacing w:before="0" w:after="0"/>
              <w:jc w:val="center"/>
              <w:rPr>
                <w:rFonts w:hint="cs"/>
                <w:sz w:val="30"/>
                <w:rtl/>
              </w:rPr>
            </w:pPr>
            <w:r>
              <w:rPr>
                <w:rFonts w:hint="cs"/>
                <w:sz w:val="30"/>
                <w:rtl/>
              </w:rPr>
              <w:t>1996</w:t>
            </w:r>
          </w:p>
        </w:tc>
        <w:tc>
          <w:tcPr>
            <w:tcW w:w="3060" w:type="dxa"/>
          </w:tcPr>
          <w:p w:rsidR="003865AC" w:rsidRDefault="003865AC">
            <w:pPr>
              <w:spacing w:before="0" w:after="0"/>
              <w:jc w:val="center"/>
              <w:rPr>
                <w:rFonts w:hint="cs"/>
                <w:sz w:val="30"/>
                <w:rtl/>
              </w:rPr>
            </w:pPr>
            <w:r>
              <w:rPr>
                <w:rFonts w:hint="cs"/>
                <w:sz w:val="30"/>
                <w:rtl/>
              </w:rPr>
              <w:t>27.3</w:t>
            </w:r>
          </w:p>
        </w:tc>
        <w:tc>
          <w:tcPr>
            <w:tcW w:w="2931" w:type="dxa"/>
          </w:tcPr>
          <w:p w:rsidR="003865AC" w:rsidRDefault="003865AC">
            <w:pPr>
              <w:spacing w:before="0" w:after="0"/>
              <w:jc w:val="center"/>
              <w:rPr>
                <w:rFonts w:hint="cs"/>
                <w:sz w:val="30"/>
                <w:rtl/>
              </w:rPr>
            </w:pPr>
            <w:r>
              <w:rPr>
                <w:rFonts w:hint="cs"/>
                <w:sz w:val="30"/>
                <w:rtl/>
              </w:rPr>
              <w:t>23.8</w:t>
            </w:r>
          </w:p>
        </w:tc>
      </w:tr>
      <w:tr w:rsidR="003865AC" w:rsidTr="003865AC">
        <w:tblPrEx>
          <w:tblCellMar>
            <w:top w:w="0" w:type="dxa"/>
            <w:bottom w:w="0" w:type="dxa"/>
          </w:tblCellMar>
        </w:tblPrEx>
        <w:tc>
          <w:tcPr>
            <w:tcW w:w="3420" w:type="dxa"/>
          </w:tcPr>
          <w:p w:rsidR="003865AC" w:rsidRDefault="003865AC">
            <w:pPr>
              <w:spacing w:before="0" w:after="0"/>
              <w:jc w:val="center"/>
              <w:rPr>
                <w:rFonts w:hint="cs"/>
                <w:sz w:val="30"/>
                <w:rtl/>
              </w:rPr>
            </w:pPr>
            <w:r>
              <w:rPr>
                <w:rFonts w:hint="cs"/>
                <w:sz w:val="30"/>
                <w:rtl/>
              </w:rPr>
              <w:t>1997</w:t>
            </w:r>
          </w:p>
        </w:tc>
        <w:tc>
          <w:tcPr>
            <w:tcW w:w="3060" w:type="dxa"/>
          </w:tcPr>
          <w:p w:rsidR="003865AC" w:rsidRDefault="003865AC">
            <w:pPr>
              <w:spacing w:before="0" w:after="0"/>
              <w:jc w:val="center"/>
              <w:rPr>
                <w:rFonts w:hint="cs"/>
                <w:sz w:val="30"/>
                <w:rtl/>
              </w:rPr>
            </w:pPr>
            <w:r>
              <w:rPr>
                <w:rFonts w:hint="cs"/>
                <w:sz w:val="30"/>
                <w:rtl/>
              </w:rPr>
              <w:t>27.8</w:t>
            </w:r>
          </w:p>
        </w:tc>
        <w:tc>
          <w:tcPr>
            <w:tcW w:w="2931" w:type="dxa"/>
          </w:tcPr>
          <w:p w:rsidR="003865AC" w:rsidRDefault="003865AC">
            <w:pPr>
              <w:spacing w:before="0" w:after="0"/>
              <w:jc w:val="center"/>
              <w:rPr>
                <w:rFonts w:hint="cs"/>
                <w:sz w:val="30"/>
                <w:rtl/>
              </w:rPr>
            </w:pPr>
            <w:r>
              <w:rPr>
                <w:rFonts w:hint="cs"/>
                <w:sz w:val="30"/>
                <w:rtl/>
              </w:rPr>
              <w:t>24.0</w:t>
            </w:r>
          </w:p>
        </w:tc>
      </w:tr>
      <w:tr w:rsidR="003865AC" w:rsidTr="003865AC">
        <w:tblPrEx>
          <w:tblCellMar>
            <w:top w:w="0" w:type="dxa"/>
            <w:bottom w:w="0" w:type="dxa"/>
          </w:tblCellMar>
        </w:tblPrEx>
        <w:tc>
          <w:tcPr>
            <w:tcW w:w="3420" w:type="dxa"/>
          </w:tcPr>
          <w:p w:rsidR="003865AC" w:rsidRDefault="003865AC">
            <w:pPr>
              <w:spacing w:before="0" w:after="0"/>
              <w:jc w:val="center"/>
              <w:rPr>
                <w:rFonts w:hint="cs"/>
                <w:sz w:val="30"/>
                <w:rtl/>
              </w:rPr>
            </w:pPr>
            <w:r>
              <w:rPr>
                <w:rFonts w:hint="cs"/>
                <w:sz w:val="30"/>
                <w:rtl/>
              </w:rPr>
              <w:t>1998</w:t>
            </w:r>
          </w:p>
        </w:tc>
        <w:tc>
          <w:tcPr>
            <w:tcW w:w="3060" w:type="dxa"/>
          </w:tcPr>
          <w:p w:rsidR="003865AC" w:rsidRDefault="003865AC">
            <w:pPr>
              <w:spacing w:before="0" w:after="0"/>
              <w:jc w:val="center"/>
              <w:rPr>
                <w:rFonts w:hint="cs"/>
                <w:sz w:val="30"/>
                <w:rtl/>
              </w:rPr>
            </w:pPr>
            <w:r>
              <w:rPr>
                <w:rFonts w:hint="cs"/>
                <w:sz w:val="30"/>
                <w:rtl/>
              </w:rPr>
              <w:t>28.0</w:t>
            </w:r>
          </w:p>
        </w:tc>
        <w:tc>
          <w:tcPr>
            <w:tcW w:w="2931" w:type="dxa"/>
          </w:tcPr>
          <w:p w:rsidR="003865AC" w:rsidRDefault="003865AC">
            <w:pPr>
              <w:spacing w:before="0" w:after="0"/>
              <w:jc w:val="center"/>
              <w:rPr>
                <w:rFonts w:hint="cs"/>
                <w:sz w:val="30"/>
                <w:rtl/>
              </w:rPr>
            </w:pPr>
            <w:r>
              <w:rPr>
                <w:rFonts w:hint="cs"/>
                <w:sz w:val="30"/>
                <w:rtl/>
              </w:rPr>
              <w:t>24.4</w:t>
            </w:r>
          </w:p>
        </w:tc>
      </w:tr>
      <w:tr w:rsidR="003865AC" w:rsidTr="003865AC">
        <w:tblPrEx>
          <w:tblCellMar>
            <w:top w:w="0" w:type="dxa"/>
            <w:bottom w:w="0" w:type="dxa"/>
          </w:tblCellMar>
        </w:tblPrEx>
        <w:tc>
          <w:tcPr>
            <w:tcW w:w="3420" w:type="dxa"/>
          </w:tcPr>
          <w:p w:rsidR="003865AC" w:rsidRDefault="003865AC">
            <w:pPr>
              <w:spacing w:before="0" w:after="0"/>
              <w:jc w:val="center"/>
              <w:rPr>
                <w:rFonts w:hint="cs"/>
                <w:sz w:val="30"/>
                <w:rtl/>
              </w:rPr>
            </w:pPr>
            <w:r>
              <w:rPr>
                <w:rFonts w:hint="cs"/>
                <w:sz w:val="30"/>
                <w:rtl/>
              </w:rPr>
              <w:t>1999</w:t>
            </w:r>
          </w:p>
        </w:tc>
        <w:tc>
          <w:tcPr>
            <w:tcW w:w="3060" w:type="dxa"/>
          </w:tcPr>
          <w:p w:rsidR="003865AC" w:rsidRDefault="003865AC">
            <w:pPr>
              <w:spacing w:before="0" w:after="0"/>
              <w:jc w:val="center"/>
              <w:rPr>
                <w:rFonts w:hint="cs"/>
                <w:sz w:val="30"/>
                <w:rtl/>
              </w:rPr>
            </w:pPr>
            <w:r>
              <w:rPr>
                <w:rFonts w:hint="cs"/>
                <w:sz w:val="30"/>
                <w:rtl/>
              </w:rPr>
              <w:t>28.3</w:t>
            </w:r>
          </w:p>
        </w:tc>
        <w:tc>
          <w:tcPr>
            <w:tcW w:w="2931" w:type="dxa"/>
          </w:tcPr>
          <w:p w:rsidR="003865AC" w:rsidRDefault="003865AC">
            <w:pPr>
              <w:spacing w:before="0" w:after="0"/>
              <w:jc w:val="center"/>
              <w:rPr>
                <w:rFonts w:hint="cs"/>
                <w:sz w:val="30"/>
                <w:rtl/>
              </w:rPr>
            </w:pPr>
            <w:r>
              <w:rPr>
                <w:rFonts w:hint="cs"/>
                <w:sz w:val="30"/>
                <w:rtl/>
              </w:rPr>
              <w:t>24.6</w:t>
            </w:r>
          </w:p>
        </w:tc>
      </w:tr>
    </w:tbl>
    <w:p w:rsidR="00000000" w:rsidRDefault="003865AC">
      <w:pPr>
        <w:jc w:val="both"/>
        <w:rPr>
          <w:rFonts w:hint="cs"/>
          <w:sz w:val="30"/>
          <w:rtl/>
        </w:rPr>
      </w:pPr>
      <w:r>
        <w:rPr>
          <w:rFonts w:hint="cs"/>
          <w:sz w:val="30"/>
          <w:rtl/>
        </w:rPr>
        <w:t>131-</w:t>
      </w:r>
      <w:r>
        <w:rPr>
          <w:rFonts w:hint="cs"/>
          <w:sz w:val="30"/>
          <w:rtl/>
        </w:rPr>
        <w:tab/>
        <w:t>يبين الجدول أعلاه، الارتفاع المطرد الذي شهدته سن الزواج الأول لكل من الرجال والنساء. وقد حدث العكس في الفترة الممتدة من عام 1980 إلى عام 1982 حيث أخذت سن الزواج الأول في الانخفاض ببطء لكن بشكل مطرد.</w:t>
      </w:r>
    </w:p>
    <w:p w:rsidR="00000000" w:rsidRDefault="003865AC">
      <w:pPr>
        <w:jc w:val="both"/>
        <w:rPr>
          <w:rFonts w:hint="cs"/>
          <w:i/>
          <w:iCs/>
          <w:sz w:val="30"/>
          <w:rtl/>
        </w:rPr>
      </w:pPr>
      <w:r>
        <w:rPr>
          <w:rFonts w:hint="cs"/>
          <w:i/>
          <w:iCs/>
          <w:sz w:val="30"/>
          <w:rtl/>
        </w:rPr>
        <w:t>نظام حماية الأمهات</w:t>
      </w:r>
    </w:p>
    <w:p w:rsidR="00000000" w:rsidRDefault="003865AC">
      <w:pPr>
        <w:jc w:val="both"/>
        <w:rPr>
          <w:rFonts w:hint="cs"/>
          <w:sz w:val="30"/>
          <w:rtl/>
        </w:rPr>
      </w:pPr>
      <w:r>
        <w:rPr>
          <w:rFonts w:hint="cs"/>
          <w:sz w:val="30"/>
          <w:rtl/>
        </w:rPr>
        <w:t>132-</w:t>
      </w:r>
      <w:r>
        <w:rPr>
          <w:rFonts w:hint="cs"/>
          <w:sz w:val="30"/>
          <w:rtl/>
        </w:rPr>
        <w:tab/>
        <w:t>تبقى المعلوما</w:t>
      </w:r>
      <w:r>
        <w:rPr>
          <w:rFonts w:hint="cs"/>
          <w:sz w:val="30"/>
          <w:rtl/>
        </w:rPr>
        <w:t>ت الواردة في التقرير الأول (الفقرات من 136 إلى 138) بشأن نظام حماية الأمهات معلومات صحيحة. فلم يطرأ أي تغيير على هذا النظام خلال الفترة المشمولة بالتقرير. فلا يزال هذا النظام يوفر حماية متساوية لكل المجموعات النسائية الممَثَّلة في المجتمع الجورجي.</w:t>
      </w:r>
    </w:p>
    <w:p w:rsidR="00000000" w:rsidRDefault="003865AC">
      <w:pPr>
        <w:jc w:val="both"/>
        <w:rPr>
          <w:rFonts w:hint="cs"/>
          <w:i/>
          <w:iCs/>
          <w:sz w:val="30"/>
          <w:rtl/>
        </w:rPr>
      </w:pPr>
      <w:r>
        <w:rPr>
          <w:rFonts w:hint="cs"/>
          <w:i/>
          <w:iCs/>
          <w:sz w:val="30"/>
          <w:rtl/>
        </w:rPr>
        <w:t>حماية ال</w:t>
      </w:r>
      <w:r>
        <w:rPr>
          <w:rFonts w:hint="cs"/>
          <w:i/>
          <w:iCs/>
          <w:sz w:val="30"/>
          <w:rtl/>
        </w:rPr>
        <w:t>أطفال والمراهقين من الاستغلال الاقتصادي</w:t>
      </w:r>
    </w:p>
    <w:p w:rsidR="00000000" w:rsidRDefault="003865AC">
      <w:pPr>
        <w:jc w:val="both"/>
        <w:rPr>
          <w:rFonts w:hint="cs"/>
          <w:sz w:val="30"/>
          <w:rtl/>
        </w:rPr>
      </w:pPr>
      <w:r>
        <w:rPr>
          <w:rFonts w:hint="cs"/>
          <w:sz w:val="30"/>
          <w:rtl/>
        </w:rPr>
        <w:t>133-</w:t>
      </w:r>
      <w:r>
        <w:rPr>
          <w:rFonts w:hint="cs"/>
          <w:sz w:val="30"/>
          <w:rtl/>
        </w:rPr>
        <w:tab/>
        <w:t>يرجى الرجوع إلى الفقرة 523 من التقرير الدوري الثاني لجورجيا المقدم في إطار العهد الدولي الخاص بالحقوق المدنية والسياسية والفقرة 30 من تقريرها الأول المقدَّم في إطار اتفاقية حقوق الطفل، للاطلاع على المعلومات المت</w:t>
      </w:r>
      <w:r>
        <w:rPr>
          <w:rFonts w:hint="cs"/>
          <w:sz w:val="30"/>
          <w:rtl/>
        </w:rPr>
        <w:t>علقة بالسن القانونية التي يحظر دونها في جورجيا استخدام الأطفال في أعمال مدفوعة الأجر.</w:t>
      </w:r>
    </w:p>
    <w:p w:rsidR="00000000" w:rsidRDefault="003865AC">
      <w:pPr>
        <w:jc w:val="both"/>
        <w:rPr>
          <w:rFonts w:hint="cs"/>
          <w:sz w:val="30"/>
          <w:rtl/>
        </w:rPr>
      </w:pPr>
      <w:r>
        <w:rPr>
          <w:rFonts w:hint="cs"/>
          <w:sz w:val="30"/>
          <w:rtl/>
        </w:rPr>
        <w:t>134-</w:t>
      </w:r>
      <w:r>
        <w:rPr>
          <w:rFonts w:hint="cs"/>
          <w:sz w:val="30"/>
          <w:rtl/>
        </w:rPr>
        <w:tab/>
        <w:t>وقد أجرى مكتب الإحصاءات الوطني في الفترة 1990-2000 دراسة تناولت عمل الأطفال الذين هم في سن النشاط الاقتصادي (7-17 سنة). وبينت نتائج الدراسة أن 4.5 في المائة من مجموع</w:t>
      </w:r>
      <w:r>
        <w:rPr>
          <w:rFonts w:hint="cs"/>
          <w:sz w:val="30"/>
          <w:rtl/>
        </w:rPr>
        <w:t xml:space="preserve"> أطفال البلد يمارسون نشاطا ما من الأنشطة الاقتصادية: 50.9 في المائة يمارسون عملا في البيت أو عملا عائليا، و39.5 في المائة يتابعون الدراسة فقط، و5.1 في المائة لا يذهبون إلى المدرسة، و1.4 في المائة لا يتعلمون ولا يمارسون عملا. </w:t>
      </w:r>
    </w:p>
    <w:p w:rsidR="00000000" w:rsidRDefault="003865AC">
      <w:pPr>
        <w:jc w:val="both"/>
        <w:rPr>
          <w:rFonts w:hint="cs"/>
          <w:sz w:val="30"/>
          <w:rtl/>
        </w:rPr>
      </w:pPr>
      <w:r>
        <w:rPr>
          <w:rFonts w:hint="cs"/>
          <w:sz w:val="30"/>
          <w:rtl/>
        </w:rPr>
        <w:t>135-</w:t>
      </w:r>
      <w:r>
        <w:rPr>
          <w:rFonts w:hint="cs"/>
          <w:sz w:val="30"/>
          <w:rtl/>
        </w:rPr>
        <w:tab/>
        <w:t>وفي المجموع، يصل عدد الأط</w:t>
      </w:r>
      <w:r>
        <w:rPr>
          <w:rFonts w:hint="cs"/>
          <w:sz w:val="30"/>
          <w:rtl/>
        </w:rPr>
        <w:t xml:space="preserve">فال الذين يتراوح عمرهم بين 7 سنوات و17 سنة إلى 600 829 طفل، وعند تقسيم هذا العدد إلى مجموعات عمرية، تصبح الأرقام على الشكل التالي: 200 141 طفل يتراوح سنهم بين 7 و8 سنوات (17 في المائة)، و000 214 طفل تتراوح أعمارهم بين 9 و11 سنة (25.8 في المائة)، </w:t>
      </w:r>
      <w:r>
        <w:rPr>
          <w:sz w:val="30"/>
          <w:rtl/>
        </w:rPr>
        <w:br/>
      </w:r>
      <w:r>
        <w:rPr>
          <w:rFonts w:hint="cs"/>
          <w:sz w:val="30"/>
          <w:rtl/>
        </w:rPr>
        <w:t xml:space="preserve">و800 237 </w:t>
      </w:r>
      <w:r>
        <w:rPr>
          <w:rFonts w:hint="cs"/>
          <w:sz w:val="30"/>
          <w:rtl/>
        </w:rPr>
        <w:t>طفل تتراوح أعمارهم بين 12 و14 سنة (28.7 في المائة)، و600 236 طفل تتراوح أعمارهم بين 15 و17 سنة (28.5 في المائة).</w:t>
      </w:r>
    </w:p>
    <w:p w:rsidR="00000000" w:rsidRDefault="003865AC">
      <w:pPr>
        <w:jc w:val="both"/>
        <w:rPr>
          <w:rFonts w:hint="cs"/>
          <w:sz w:val="30"/>
          <w:rtl/>
        </w:rPr>
      </w:pPr>
      <w:r>
        <w:rPr>
          <w:rFonts w:hint="cs"/>
          <w:sz w:val="30"/>
          <w:rtl/>
        </w:rPr>
        <w:t>136-</w:t>
      </w:r>
      <w:r>
        <w:rPr>
          <w:rFonts w:hint="cs"/>
          <w:sz w:val="30"/>
          <w:rtl/>
        </w:rPr>
        <w:tab/>
        <w:t xml:space="preserve">وحسب الجنس، </w:t>
      </w:r>
      <w:r>
        <w:rPr>
          <w:rFonts w:hint="cs"/>
          <w:spacing w:val="0"/>
          <w:sz w:val="30"/>
          <w:rtl/>
        </w:rPr>
        <w:t>يمثل الإناث 49 في المائة من الأطفال</w:t>
      </w:r>
      <w:r>
        <w:rPr>
          <w:rFonts w:hint="cs"/>
          <w:sz w:val="30"/>
          <w:rtl/>
        </w:rPr>
        <w:t xml:space="preserve"> (900 406) والذكور 51 في المائة (700 422).</w:t>
      </w:r>
    </w:p>
    <w:p w:rsidR="00000000" w:rsidRDefault="003865AC">
      <w:pPr>
        <w:spacing w:after="120"/>
        <w:jc w:val="both"/>
        <w:rPr>
          <w:sz w:val="30"/>
          <w:rtl/>
        </w:rPr>
      </w:pPr>
      <w:r>
        <w:rPr>
          <w:rFonts w:hint="cs"/>
          <w:sz w:val="30"/>
          <w:rtl/>
        </w:rPr>
        <w:t>137-</w:t>
      </w:r>
      <w:r>
        <w:rPr>
          <w:rFonts w:hint="cs"/>
          <w:sz w:val="30"/>
          <w:rtl/>
        </w:rPr>
        <w:tab/>
        <w:t>ومن بين الأطفال الذين تتراوح أعمارهم بين 15</w:t>
      </w:r>
      <w:r>
        <w:rPr>
          <w:rFonts w:hint="cs"/>
          <w:sz w:val="30"/>
          <w:rtl/>
        </w:rPr>
        <w:t xml:space="preserve"> و17 عاما (15 سنة هي العمر الأدنى الذي يجوز للطفل عند بلوغه دخول سوق العمل)، يتعاطى ما نسبته 7.66 في المائة نشاطا اقتصاديا، ويمارس 61.9 في المائة عملا في البيت أو عملا عائليا، وهناك 14.1 في المائة لا يذهبون إلى المدرسة. وحسب الجنس، تتضح الأرقام التالية:</w:t>
      </w:r>
    </w:p>
    <w:tbl>
      <w:tblPr>
        <w:bidiVisual/>
        <w:tblW w:w="0" w:type="auto"/>
        <w:tblInd w:w="1002" w:type="dxa"/>
        <w:tblLook w:val="0000" w:firstRow="0" w:lastRow="0" w:firstColumn="0" w:lastColumn="0" w:noHBand="0" w:noVBand="0"/>
      </w:tblPr>
      <w:tblGrid>
        <w:gridCol w:w="1620"/>
        <w:gridCol w:w="1260"/>
        <w:gridCol w:w="1206"/>
        <w:gridCol w:w="1134"/>
      </w:tblGrid>
      <w:tr w:rsidR="003865AC" w:rsidTr="003865AC">
        <w:tblPrEx>
          <w:tblCellMar>
            <w:top w:w="0" w:type="dxa"/>
            <w:bottom w:w="0" w:type="dxa"/>
          </w:tblCellMar>
        </w:tblPrEx>
        <w:tc>
          <w:tcPr>
            <w:tcW w:w="1620" w:type="dxa"/>
          </w:tcPr>
          <w:p w:rsidR="003865AC" w:rsidRDefault="003865AC">
            <w:pPr>
              <w:jc w:val="both"/>
              <w:rPr>
                <w:rFonts w:hint="cs"/>
                <w:sz w:val="30"/>
              </w:rPr>
            </w:pPr>
            <w:r>
              <w:rPr>
                <w:rFonts w:hint="cs"/>
                <w:sz w:val="30"/>
                <w:rtl/>
              </w:rPr>
              <w:t>البنين:</w:t>
            </w:r>
          </w:p>
        </w:tc>
        <w:tc>
          <w:tcPr>
            <w:tcW w:w="1260" w:type="dxa"/>
          </w:tcPr>
          <w:p w:rsidR="003865AC" w:rsidRDefault="003865AC">
            <w:pPr>
              <w:jc w:val="both"/>
              <w:rPr>
                <w:rFonts w:hint="cs"/>
                <w:sz w:val="30"/>
              </w:rPr>
            </w:pPr>
            <w:r>
              <w:rPr>
                <w:rFonts w:hint="cs"/>
                <w:sz w:val="30"/>
                <w:rtl/>
              </w:rPr>
              <w:t>5.2</w:t>
            </w:r>
            <w:r>
              <w:rPr>
                <w:rFonts w:cs="Mudir MT" w:hint="cs"/>
                <w:sz w:val="24"/>
                <w:szCs w:val="24"/>
                <w:rtl/>
                <w:lang w:eastAsia="en-US"/>
              </w:rPr>
              <w:t>%</w:t>
            </w:r>
            <w:r>
              <w:rPr>
                <w:rFonts w:hint="cs"/>
                <w:sz w:val="30"/>
                <w:rtl/>
              </w:rPr>
              <w:t>؛</w:t>
            </w:r>
          </w:p>
        </w:tc>
        <w:tc>
          <w:tcPr>
            <w:tcW w:w="1206" w:type="dxa"/>
          </w:tcPr>
          <w:p w:rsidR="003865AC" w:rsidRDefault="003865AC">
            <w:pPr>
              <w:jc w:val="both"/>
              <w:rPr>
                <w:rFonts w:hint="cs"/>
                <w:sz w:val="30"/>
              </w:rPr>
            </w:pPr>
            <w:r>
              <w:rPr>
                <w:rFonts w:hint="cs"/>
                <w:sz w:val="30"/>
                <w:rtl/>
              </w:rPr>
              <w:t>41.1</w:t>
            </w:r>
            <w:r>
              <w:rPr>
                <w:rFonts w:cs="Mudir MT" w:hint="cs"/>
                <w:sz w:val="24"/>
                <w:szCs w:val="24"/>
                <w:rtl/>
                <w:lang w:eastAsia="en-US"/>
              </w:rPr>
              <w:t>%</w:t>
            </w:r>
            <w:r>
              <w:rPr>
                <w:rFonts w:hint="cs"/>
                <w:sz w:val="30"/>
                <w:rtl/>
              </w:rPr>
              <w:t>؛</w:t>
            </w:r>
          </w:p>
        </w:tc>
        <w:tc>
          <w:tcPr>
            <w:tcW w:w="1134" w:type="dxa"/>
          </w:tcPr>
          <w:p w:rsidR="003865AC" w:rsidRDefault="003865AC">
            <w:pPr>
              <w:jc w:val="both"/>
              <w:rPr>
                <w:rFonts w:hint="cs"/>
                <w:sz w:val="30"/>
              </w:rPr>
            </w:pPr>
            <w:r>
              <w:rPr>
                <w:rFonts w:hint="cs"/>
                <w:sz w:val="30"/>
                <w:rtl/>
              </w:rPr>
              <w:t>5.2</w:t>
            </w:r>
            <w:r>
              <w:rPr>
                <w:rFonts w:cs="Mudir MT" w:hint="cs"/>
                <w:sz w:val="24"/>
                <w:szCs w:val="24"/>
                <w:rtl/>
                <w:lang w:eastAsia="en-US"/>
              </w:rPr>
              <w:t>%</w:t>
            </w:r>
            <w:r>
              <w:rPr>
                <w:rFonts w:hint="cs"/>
                <w:sz w:val="30"/>
                <w:rtl/>
              </w:rPr>
              <w:t>؛</w:t>
            </w:r>
          </w:p>
        </w:tc>
      </w:tr>
      <w:tr w:rsidR="003865AC" w:rsidTr="003865AC">
        <w:tblPrEx>
          <w:tblCellMar>
            <w:top w:w="0" w:type="dxa"/>
            <w:bottom w:w="0" w:type="dxa"/>
          </w:tblCellMar>
        </w:tblPrEx>
        <w:tc>
          <w:tcPr>
            <w:tcW w:w="1620" w:type="dxa"/>
          </w:tcPr>
          <w:p w:rsidR="003865AC" w:rsidRDefault="003865AC">
            <w:pPr>
              <w:jc w:val="both"/>
              <w:rPr>
                <w:rFonts w:hint="cs"/>
                <w:sz w:val="30"/>
                <w:rtl/>
              </w:rPr>
            </w:pPr>
            <w:r>
              <w:rPr>
                <w:rFonts w:hint="cs"/>
                <w:sz w:val="30"/>
                <w:rtl/>
              </w:rPr>
              <w:t>البنات:</w:t>
            </w:r>
          </w:p>
        </w:tc>
        <w:tc>
          <w:tcPr>
            <w:tcW w:w="1260" w:type="dxa"/>
          </w:tcPr>
          <w:p w:rsidR="003865AC" w:rsidRDefault="003865AC">
            <w:pPr>
              <w:jc w:val="both"/>
              <w:rPr>
                <w:rFonts w:hint="cs"/>
                <w:sz w:val="30"/>
                <w:rtl/>
              </w:rPr>
            </w:pPr>
            <w:r>
              <w:rPr>
                <w:rFonts w:hint="cs"/>
                <w:sz w:val="30"/>
                <w:rtl/>
              </w:rPr>
              <w:t>3.8</w:t>
            </w:r>
            <w:r>
              <w:rPr>
                <w:rFonts w:cs="Mudir MT" w:hint="cs"/>
                <w:sz w:val="24"/>
                <w:szCs w:val="24"/>
                <w:rtl/>
                <w:lang w:eastAsia="en-US"/>
              </w:rPr>
              <w:t>%</w:t>
            </w:r>
            <w:r>
              <w:rPr>
                <w:rFonts w:hint="cs"/>
                <w:sz w:val="30"/>
                <w:rtl/>
              </w:rPr>
              <w:t>؛</w:t>
            </w:r>
          </w:p>
        </w:tc>
        <w:tc>
          <w:tcPr>
            <w:tcW w:w="1206" w:type="dxa"/>
          </w:tcPr>
          <w:p w:rsidR="003865AC" w:rsidRDefault="003865AC">
            <w:pPr>
              <w:jc w:val="both"/>
              <w:rPr>
                <w:rFonts w:hint="cs"/>
                <w:sz w:val="30"/>
                <w:rtl/>
              </w:rPr>
            </w:pPr>
            <w:r>
              <w:rPr>
                <w:rFonts w:hint="cs"/>
                <w:sz w:val="30"/>
                <w:rtl/>
              </w:rPr>
              <w:t>61.1</w:t>
            </w:r>
            <w:r>
              <w:rPr>
                <w:rFonts w:cs="Mudir MT" w:hint="cs"/>
                <w:sz w:val="24"/>
                <w:szCs w:val="24"/>
                <w:rtl/>
                <w:lang w:eastAsia="en-US"/>
              </w:rPr>
              <w:t>%</w:t>
            </w:r>
            <w:r>
              <w:rPr>
                <w:rFonts w:hint="cs"/>
                <w:sz w:val="30"/>
                <w:rtl/>
              </w:rPr>
              <w:t>؛</w:t>
            </w:r>
          </w:p>
        </w:tc>
        <w:tc>
          <w:tcPr>
            <w:tcW w:w="1134" w:type="dxa"/>
          </w:tcPr>
          <w:p w:rsidR="003865AC" w:rsidRDefault="003865AC">
            <w:pPr>
              <w:jc w:val="both"/>
              <w:rPr>
                <w:rFonts w:hint="cs"/>
                <w:sz w:val="30"/>
                <w:rtl/>
              </w:rPr>
            </w:pPr>
            <w:r>
              <w:rPr>
                <w:rFonts w:hint="cs"/>
                <w:sz w:val="30"/>
                <w:rtl/>
              </w:rPr>
              <w:t>3.8</w:t>
            </w:r>
            <w:r>
              <w:rPr>
                <w:rFonts w:cs="Mudir MT" w:hint="cs"/>
                <w:sz w:val="24"/>
                <w:szCs w:val="24"/>
                <w:rtl/>
                <w:lang w:eastAsia="en-US"/>
              </w:rPr>
              <w:t>%</w:t>
            </w:r>
            <w:r>
              <w:rPr>
                <w:rFonts w:hint="cs"/>
                <w:sz w:val="30"/>
                <w:rtl/>
              </w:rPr>
              <w:t>؛</w:t>
            </w:r>
          </w:p>
        </w:tc>
      </w:tr>
    </w:tbl>
    <w:p w:rsidR="00000000" w:rsidRDefault="003865AC">
      <w:pPr>
        <w:jc w:val="both"/>
        <w:rPr>
          <w:rFonts w:hint="cs"/>
          <w:sz w:val="30"/>
          <w:rtl/>
        </w:rPr>
      </w:pPr>
      <w:r>
        <w:rPr>
          <w:rFonts w:hint="cs"/>
          <w:sz w:val="30"/>
          <w:rtl/>
        </w:rPr>
        <w:t>138-</w:t>
      </w:r>
      <w:r>
        <w:rPr>
          <w:rFonts w:hint="cs"/>
          <w:sz w:val="30"/>
          <w:rtl/>
        </w:rPr>
        <w:tab/>
        <w:t>أما أعداد الأطفال العاملين، حسب القطاعات الاقتصادية، فهي كالآتي: 70.3 في المائة يعملون في القطاع الزراعي؛ و3.6 في المائة في الصناعات التحضيرية؛ و1.4 في المائة في قطاع البناء؛ و15.2 في المائة في الخ</w:t>
      </w:r>
      <w:r>
        <w:rPr>
          <w:rFonts w:hint="cs"/>
          <w:sz w:val="30"/>
          <w:rtl/>
        </w:rPr>
        <w:t>دمات الفنية؛ و1.2 في المائة في قطاع النقل والاتصالات؛ و0.5 في المائة في قطاع التعليم؛ و7.8 في المائة في مجالات أخرى.</w:t>
      </w:r>
    </w:p>
    <w:p w:rsidR="00000000" w:rsidRDefault="003865AC">
      <w:pPr>
        <w:jc w:val="both"/>
        <w:rPr>
          <w:sz w:val="30"/>
        </w:rPr>
      </w:pPr>
      <w:r>
        <w:rPr>
          <w:rFonts w:hint="cs"/>
          <w:sz w:val="30"/>
          <w:rtl/>
        </w:rPr>
        <w:t>139-</w:t>
      </w:r>
      <w:r>
        <w:rPr>
          <w:rFonts w:hint="cs"/>
          <w:sz w:val="30"/>
          <w:rtl/>
        </w:rPr>
        <w:tab/>
        <w:t xml:space="preserve">ويبلغ متوسط ساعات عمل الأطفال 5.8 ساعات. </w:t>
      </w:r>
    </w:p>
    <w:p w:rsidR="00000000" w:rsidRDefault="003865AC">
      <w:pPr>
        <w:jc w:val="both"/>
        <w:rPr>
          <w:rFonts w:hint="cs"/>
          <w:rtl/>
        </w:rPr>
      </w:pPr>
      <w:r>
        <w:rPr>
          <w:rFonts w:hint="cs"/>
          <w:rtl/>
        </w:rPr>
        <w:t>140-</w:t>
      </w:r>
      <w:r>
        <w:rPr>
          <w:rFonts w:hint="cs"/>
          <w:rtl/>
        </w:rPr>
        <w:tab/>
        <w:t>ولا توجد في جورجيا أي مجموعة من الأطفال أو المراهقين مستبعدة من الاستفادة من تدابير الح</w:t>
      </w:r>
      <w:r>
        <w:rPr>
          <w:rFonts w:hint="cs"/>
          <w:rtl/>
        </w:rPr>
        <w:t>ماية والمساعدة. ويمكن الحصول على معلومات وافية بشأن موضوع تدابير الحماية الخاصة بمجموعات محددة من الأطفال في التقرير الأولي لجورجيا المقدم في إطار اتفاقية حقوق الطفل وأيضا في ردودها الخطية المؤرخة في نيسان/أبريل 2000 على قائمة المسائل التي أعدتها لجنة حقوق</w:t>
      </w:r>
      <w:r>
        <w:rPr>
          <w:rFonts w:hint="cs"/>
          <w:rtl/>
        </w:rPr>
        <w:t xml:space="preserve"> الطفل. </w:t>
      </w:r>
    </w:p>
    <w:p w:rsidR="00000000" w:rsidRDefault="003865AC">
      <w:pPr>
        <w:jc w:val="both"/>
        <w:rPr>
          <w:rFonts w:hint="cs"/>
          <w:rtl/>
        </w:rPr>
      </w:pPr>
      <w:r>
        <w:rPr>
          <w:rFonts w:hint="cs"/>
          <w:rtl/>
        </w:rPr>
        <w:t>141-</w:t>
      </w:r>
      <w:r>
        <w:rPr>
          <w:rFonts w:hint="cs"/>
          <w:rtl/>
        </w:rPr>
        <w:tab/>
        <w:t xml:space="preserve">وإضافة إلى ذلك، يسترعى الانتباه إلى الفقرات من 525 إلى 530 من تقرير جورجيا الدوري الثاني المقدم بموجب العهد الدولي الخاص بالحقوق المدنية والسياسية. </w:t>
      </w:r>
    </w:p>
    <w:p w:rsidR="00000000" w:rsidRDefault="003865AC">
      <w:pPr>
        <w:jc w:val="both"/>
        <w:rPr>
          <w:rFonts w:hint="cs"/>
          <w:b/>
          <w:bCs/>
          <w:rtl/>
        </w:rPr>
      </w:pPr>
      <w:r>
        <w:rPr>
          <w:rFonts w:hint="cs"/>
          <w:b/>
          <w:bCs/>
          <w:rtl/>
        </w:rPr>
        <w:t>المادة 11</w:t>
      </w:r>
    </w:p>
    <w:p w:rsidR="00000000" w:rsidRDefault="003865AC">
      <w:pPr>
        <w:jc w:val="both"/>
        <w:rPr>
          <w:rFonts w:hint="cs"/>
          <w:i/>
          <w:iCs/>
          <w:rtl/>
        </w:rPr>
      </w:pPr>
      <w:r>
        <w:rPr>
          <w:rFonts w:hint="cs"/>
          <w:i/>
          <w:iCs/>
          <w:rtl/>
        </w:rPr>
        <w:t>مستوى المعيشة</w:t>
      </w:r>
    </w:p>
    <w:p w:rsidR="00000000" w:rsidRDefault="003865AC">
      <w:pPr>
        <w:jc w:val="both"/>
        <w:rPr>
          <w:rFonts w:hint="cs"/>
          <w:rtl/>
        </w:rPr>
      </w:pPr>
      <w:r>
        <w:rPr>
          <w:rFonts w:hint="cs"/>
          <w:rtl/>
        </w:rPr>
        <w:t>142-</w:t>
      </w:r>
      <w:r>
        <w:rPr>
          <w:rFonts w:hint="cs"/>
          <w:rtl/>
        </w:rPr>
        <w:tab/>
      </w:r>
      <w:r>
        <w:rPr>
          <w:rFonts w:hint="cs"/>
          <w:spacing w:val="0"/>
          <w:rtl/>
        </w:rPr>
        <w:t xml:space="preserve">كان الحد الأدنى لمستوى الكفاف في المدن الجورجية، على أساس متوسط </w:t>
      </w:r>
      <w:r>
        <w:rPr>
          <w:rFonts w:hint="cs"/>
          <w:spacing w:val="0"/>
          <w:rtl/>
        </w:rPr>
        <w:t>الأسعار في كانون الأول/ديسمبر</w:t>
      </w:r>
      <w:r>
        <w:rPr>
          <w:rFonts w:hint="cs"/>
          <w:rtl/>
        </w:rPr>
        <w:t xml:space="preserve"> 2000، محتَسبا بالاستناد إلى المعايير التي كانت سائدة آنذاك، كما يلي: 104.5 لاريات للرجال البالغين سن العمل، و100.4 لاريات</w:t>
      </w:r>
      <w:r>
        <w:rPr>
          <w:rFonts w:hint="cs"/>
          <w:b/>
          <w:bCs/>
          <w:rtl/>
        </w:rPr>
        <w:t xml:space="preserve"> </w:t>
      </w:r>
      <w:r>
        <w:rPr>
          <w:rFonts w:hint="cs"/>
          <w:rtl/>
        </w:rPr>
        <w:t>للمستهلك العادي، و199.2 لاريات للأسرة العادية. أما فيما يخص مختلف أنواع الأسر فقد شهد الحد الأدنى لمستوى</w:t>
      </w:r>
      <w:r>
        <w:rPr>
          <w:rFonts w:hint="cs"/>
          <w:rtl/>
        </w:rPr>
        <w:t xml:space="preserve"> الكفاف، المحتسَب على هذا الأساس، تقلبات كانت على الشكل التالي:</w:t>
      </w:r>
    </w:p>
    <w:tbl>
      <w:tblPr>
        <w:bidiVisual/>
        <w:tblW w:w="9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2"/>
        <w:gridCol w:w="1440"/>
        <w:gridCol w:w="1440"/>
        <w:gridCol w:w="1440"/>
        <w:gridCol w:w="1260"/>
        <w:gridCol w:w="1260"/>
        <w:gridCol w:w="1295"/>
      </w:tblGrid>
      <w:tr w:rsidR="003865AC" w:rsidTr="003865AC">
        <w:trPr>
          <w:trHeight w:val="689"/>
        </w:trPr>
        <w:tc>
          <w:tcPr>
            <w:tcW w:w="1542" w:type="dxa"/>
            <w:tcBorders>
              <w:bottom w:val="single" w:sz="4" w:space="0" w:color="auto"/>
            </w:tcBorders>
          </w:tcPr>
          <w:p w:rsidR="003865AC" w:rsidRDefault="003865AC">
            <w:pPr>
              <w:spacing w:before="0" w:after="0" w:line="440" w:lineRule="exact"/>
              <w:jc w:val="center"/>
              <w:rPr>
                <w:rFonts w:hint="cs"/>
                <w:b/>
                <w:bCs/>
                <w:szCs w:val="22"/>
                <w:rtl/>
              </w:rPr>
            </w:pPr>
            <w:r>
              <w:rPr>
                <w:rFonts w:hint="cs"/>
                <w:b/>
                <w:bCs/>
                <w:szCs w:val="22"/>
                <w:rtl/>
              </w:rPr>
              <w:t>الأسرة</w:t>
            </w:r>
          </w:p>
        </w:tc>
        <w:tc>
          <w:tcPr>
            <w:tcW w:w="1440" w:type="dxa"/>
            <w:tcBorders>
              <w:bottom w:val="single" w:sz="4" w:space="0" w:color="auto"/>
            </w:tcBorders>
          </w:tcPr>
          <w:p w:rsidR="003865AC" w:rsidRDefault="003865AC">
            <w:pPr>
              <w:spacing w:before="0" w:after="0" w:line="440" w:lineRule="exact"/>
              <w:jc w:val="center"/>
              <w:rPr>
                <w:rFonts w:hint="cs"/>
                <w:b/>
                <w:bCs/>
                <w:szCs w:val="22"/>
                <w:rtl/>
              </w:rPr>
            </w:pPr>
            <w:r>
              <w:rPr>
                <w:rFonts w:hint="cs"/>
                <w:b/>
                <w:bCs/>
                <w:szCs w:val="22"/>
                <w:rtl/>
              </w:rPr>
              <w:t>من فرد واحد</w:t>
            </w:r>
          </w:p>
        </w:tc>
        <w:tc>
          <w:tcPr>
            <w:tcW w:w="1440" w:type="dxa"/>
            <w:tcBorders>
              <w:bottom w:val="single" w:sz="4" w:space="0" w:color="auto"/>
            </w:tcBorders>
          </w:tcPr>
          <w:p w:rsidR="003865AC" w:rsidRDefault="003865AC">
            <w:pPr>
              <w:spacing w:before="0" w:after="0" w:line="440" w:lineRule="exact"/>
              <w:jc w:val="center"/>
              <w:rPr>
                <w:rFonts w:hint="cs"/>
                <w:b/>
                <w:bCs/>
                <w:szCs w:val="22"/>
                <w:rtl/>
              </w:rPr>
            </w:pPr>
            <w:r>
              <w:rPr>
                <w:rFonts w:hint="cs"/>
                <w:b/>
                <w:bCs/>
                <w:szCs w:val="22"/>
                <w:rtl/>
              </w:rPr>
              <w:t>من فردين</w:t>
            </w:r>
          </w:p>
        </w:tc>
        <w:tc>
          <w:tcPr>
            <w:tcW w:w="1440" w:type="dxa"/>
            <w:tcBorders>
              <w:bottom w:val="single" w:sz="4" w:space="0" w:color="auto"/>
            </w:tcBorders>
          </w:tcPr>
          <w:p w:rsidR="003865AC" w:rsidRDefault="003865AC">
            <w:pPr>
              <w:spacing w:before="0" w:after="0" w:line="440" w:lineRule="exact"/>
              <w:jc w:val="center"/>
              <w:rPr>
                <w:rFonts w:hint="cs"/>
                <w:b/>
                <w:bCs/>
                <w:szCs w:val="22"/>
                <w:rtl/>
              </w:rPr>
            </w:pPr>
            <w:r>
              <w:rPr>
                <w:rFonts w:hint="cs"/>
                <w:b/>
                <w:bCs/>
                <w:szCs w:val="22"/>
                <w:rtl/>
              </w:rPr>
              <w:t>ثلاثة أفراد</w:t>
            </w:r>
          </w:p>
        </w:tc>
        <w:tc>
          <w:tcPr>
            <w:tcW w:w="1260" w:type="dxa"/>
            <w:tcBorders>
              <w:bottom w:val="single" w:sz="4" w:space="0" w:color="auto"/>
            </w:tcBorders>
          </w:tcPr>
          <w:p w:rsidR="003865AC" w:rsidRDefault="003865AC">
            <w:pPr>
              <w:spacing w:before="0" w:after="0" w:line="440" w:lineRule="exact"/>
              <w:jc w:val="center"/>
              <w:rPr>
                <w:rFonts w:hint="cs"/>
                <w:b/>
                <w:bCs/>
                <w:szCs w:val="22"/>
                <w:rtl/>
              </w:rPr>
            </w:pPr>
            <w:r>
              <w:rPr>
                <w:rFonts w:hint="cs"/>
                <w:b/>
                <w:bCs/>
                <w:szCs w:val="22"/>
                <w:rtl/>
              </w:rPr>
              <w:t>أربعة أفراد</w:t>
            </w:r>
          </w:p>
        </w:tc>
        <w:tc>
          <w:tcPr>
            <w:tcW w:w="1260" w:type="dxa"/>
            <w:tcBorders>
              <w:bottom w:val="single" w:sz="4" w:space="0" w:color="auto"/>
            </w:tcBorders>
          </w:tcPr>
          <w:p w:rsidR="003865AC" w:rsidRDefault="003865AC">
            <w:pPr>
              <w:spacing w:before="0" w:after="0" w:line="440" w:lineRule="exact"/>
              <w:jc w:val="center"/>
              <w:rPr>
                <w:rFonts w:hint="cs"/>
                <w:b/>
                <w:bCs/>
                <w:szCs w:val="22"/>
                <w:rtl/>
              </w:rPr>
            </w:pPr>
            <w:r>
              <w:rPr>
                <w:rFonts w:hint="cs"/>
                <w:b/>
                <w:bCs/>
                <w:szCs w:val="22"/>
                <w:rtl/>
              </w:rPr>
              <w:t>خمسة أفراد</w:t>
            </w:r>
          </w:p>
        </w:tc>
        <w:tc>
          <w:tcPr>
            <w:tcW w:w="1295" w:type="dxa"/>
            <w:tcBorders>
              <w:bottom w:val="single" w:sz="4" w:space="0" w:color="auto"/>
            </w:tcBorders>
          </w:tcPr>
          <w:p w:rsidR="003865AC" w:rsidRDefault="003865AC">
            <w:pPr>
              <w:spacing w:before="0" w:after="0" w:line="440" w:lineRule="exact"/>
              <w:jc w:val="center"/>
              <w:rPr>
                <w:rFonts w:hint="cs"/>
                <w:b/>
                <w:bCs/>
                <w:szCs w:val="22"/>
                <w:rtl/>
              </w:rPr>
            </w:pPr>
            <w:r>
              <w:rPr>
                <w:rFonts w:hint="cs"/>
                <w:b/>
                <w:bCs/>
                <w:szCs w:val="22"/>
                <w:rtl/>
              </w:rPr>
              <w:t>ستة أفراد وأكثر</w:t>
            </w:r>
          </w:p>
        </w:tc>
      </w:tr>
      <w:tr w:rsidR="003865AC" w:rsidTr="003865AC">
        <w:tc>
          <w:tcPr>
            <w:tcW w:w="1542" w:type="dxa"/>
            <w:tcBorders>
              <w:bottom w:val="nil"/>
            </w:tcBorders>
          </w:tcPr>
          <w:p w:rsidR="003865AC" w:rsidRDefault="003865AC">
            <w:pPr>
              <w:spacing w:before="0" w:after="0" w:line="440" w:lineRule="exact"/>
              <w:jc w:val="both"/>
              <w:rPr>
                <w:rFonts w:hint="cs"/>
                <w:spacing w:val="-16"/>
                <w:szCs w:val="22"/>
                <w:rtl/>
              </w:rPr>
            </w:pPr>
            <w:r>
              <w:rPr>
                <w:rFonts w:hint="cs"/>
                <w:spacing w:val="-16"/>
                <w:szCs w:val="22"/>
                <w:rtl/>
              </w:rPr>
              <w:t>كانون الأول/ديسمبر 1999</w:t>
            </w:r>
          </w:p>
        </w:tc>
        <w:tc>
          <w:tcPr>
            <w:tcW w:w="1440" w:type="dxa"/>
            <w:tcBorders>
              <w:bottom w:val="nil"/>
            </w:tcBorders>
          </w:tcPr>
          <w:p w:rsidR="003865AC" w:rsidRDefault="003865AC">
            <w:pPr>
              <w:spacing w:before="0" w:after="0" w:line="440" w:lineRule="exact"/>
              <w:jc w:val="center"/>
              <w:rPr>
                <w:rFonts w:hint="cs"/>
                <w:szCs w:val="22"/>
                <w:rtl/>
              </w:rPr>
            </w:pPr>
            <w:r>
              <w:rPr>
                <w:rFonts w:hint="cs"/>
                <w:szCs w:val="22"/>
                <w:rtl/>
              </w:rPr>
              <w:t>96.7</w:t>
            </w:r>
          </w:p>
        </w:tc>
        <w:tc>
          <w:tcPr>
            <w:tcW w:w="1440" w:type="dxa"/>
            <w:tcBorders>
              <w:bottom w:val="nil"/>
            </w:tcBorders>
          </w:tcPr>
          <w:p w:rsidR="003865AC" w:rsidRDefault="003865AC">
            <w:pPr>
              <w:spacing w:before="0" w:after="0" w:line="440" w:lineRule="exact"/>
              <w:jc w:val="center"/>
              <w:rPr>
                <w:rFonts w:hint="cs"/>
                <w:szCs w:val="22"/>
                <w:rtl/>
              </w:rPr>
            </w:pPr>
            <w:r>
              <w:rPr>
                <w:rFonts w:hint="cs"/>
                <w:szCs w:val="22"/>
                <w:rtl/>
              </w:rPr>
              <w:t>154.8</w:t>
            </w:r>
          </w:p>
        </w:tc>
        <w:tc>
          <w:tcPr>
            <w:tcW w:w="1440" w:type="dxa"/>
            <w:tcBorders>
              <w:bottom w:val="nil"/>
            </w:tcBorders>
          </w:tcPr>
          <w:p w:rsidR="003865AC" w:rsidRDefault="003865AC">
            <w:pPr>
              <w:spacing w:before="0" w:after="0" w:line="440" w:lineRule="exact"/>
              <w:jc w:val="center"/>
              <w:rPr>
                <w:rFonts w:hint="cs"/>
                <w:szCs w:val="22"/>
                <w:rtl/>
              </w:rPr>
            </w:pPr>
            <w:r>
              <w:rPr>
                <w:rFonts w:hint="cs"/>
                <w:szCs w:val="22"/>
                <w:rtl/>
              </w:rPr>
              <w:t>174.1</w:t>
            </w:r>
          </w:p>
        </w:tc>
        <w:tc>
          <w:tcPr>
            <w:tcW w:w="1260" w:type="dxa"/>
            <w:tcBorders>
              <w:bottom w:val="nil"/>
            </w:tcBorders>
          </w:tcPr>
          <w:p w:rsidR="003865AC" w:rsidRDefault="003865AC">
            <w:pPr>
              <w:spacing w:before="0" w:after="0" w:line="440" w:lineRule="exact"/>
              <w:jc w:val="center"/>
              <w:rPr>
                <w:rFonts w:hint="cs"/>
                <w:szCs w:val="22"/>
                <w:rtl/>
              </w:rPr>
            </w:pPr>
            <w:r>
              <w:rPr>
                <w:rFonts w:hint="cs"/>
                <w:szCs w:val="22"/>
                <w:rtl/>
              </w:rPr>
              <w:t>193.5</w:t>
            </w:r>
          </w:p>
        </w:tc>
        <w:tc>
          <w:tcPr>
            <w:tcW w:w="1260" w:type="dxa"/>
            <w:tcBorders>
              <w:bottom w:val="nil"/>
            </w:tcBorders>
          </w:tcPr>
          <w:p w:rsidR="003865AC" w:rsidRDefault="003865AC">
            <w:pPr>
              <w:spacing w:before="0" w:after="0" w:line="440" w:lineRule="exact"/>
              <w:jc w:val="center"/>
              <w:rPr>
                <w:rFonts w:hint="cs"/>
                <w:szCs w:val="22"/>
                <w:rtl/>
              </w:rPr>
            </w:pPr>
            <w:r>
              <w:rPr>
                <w:rFonts w:hint="cs"/>
                <w:szCs w:val="22"/>
                <w:rtl/>
              </w:rPr>
              <w:t>217.6</w:t>
            </w:r>
          </w:p>
        </w:tc>
        <w:tc>
          <w:tcPr>
            <w:tcW w:w="1295" w:type="dxa"/>
            <w:tcBorders>
              <w:bottom w:val="nil"/>
            </w:tcBorders>
          </w:tcPr>
          <w:p w:rsidR="003865AC" w:rsidRDefault="003865AC">
            <w:pPr>
              <w:spacing w:before="0" w:after="0" w:line="440" w:lineRule="exact"/>
              <w:jc w:val="center"/>
              <w:rPr>
                <w:rFonts w:hint="cs"/>
                <w:szCs w:val="22"/>
                <w:rtl/>
              </w:rPr>
            </w:pPr>
            <w:r>
              <w:rPr>
                <w:rFonts w:hint="cs"/>
                <w:szCs w:val="22"/>
                <w:rtl/>
              </w:rPr>
              <w:t>301.8</w:t>
            </w:r>
          </w:p>
        </w:tc>
      </w:tr>
      <w:tr w:rsidR="003865AC" w:rsidTr="003865AC">
        <w:tc>
          <w:tcPr>
            <w:tcW w:w="1542" w:type="dxa"/>
            <w:tcBorders>
              <w:top w:val="nil"/>
              <w:bottom w:val="nil"/>
            </w:tcBorders>
          </w:tcPr>
          <w:p w:rsidR="003865AC" w:rsidRDefault="003865AC">
            <w:pPr>
              <w:spacing w:before="0" w:after="0" w:line="440" w:lineRule="exact"/>
              <w:jc w:val="both"/>
              <w:rPr>
                <w:rFonts w:hint="cs"/>
                <w:szCs w:val="22"/>
                <w:rtl/>
              </w:rPr>
            </w:pPr>
            <w:r>
              <w:rPr>
                <w:rFonts w:hint="cs"/>
                <w:szCs w:val="22"/>
                <w:rtl/>
              </w:rPr>
              <w:t>2000</w:t>
            </w:r>
          </w:p>
        </w:tc>
        <w:tc>
          <w:tcPr>
            <w:tcW w:w="1440" w:type="dxa"/>
            <w:tcBorders>
              <w:top w:val="nil"/>
              <w:bottom w:val="nil"/>
            </w:tcBorders>
          </w:tcPr>
          <w:p w:rsidR="003865AC" w:rsidRDefault="003865AC">
            <w:pPr>
              <w:spacing w:before="0" w:after="0" w:line="440" w:lineRule="exact"/>
              <w:jc w:val="center"/>
              <w:rPr>
                <w:rFonts w:hint="cs"/>
                <w:szCs w:val="22"/>
                <w:rtl/>
              </w:rPr>
            </w:pPr>
          </w:p>
        </w:tc>
        <w:tc>
          <w:tcPr>
            <w:tcW w:w="1440" w:type="dxa"/>
            <w:tcBorders>
              <w:top w:val="nil"/>
              <w:bottom w:val="nil"/>
            </w:tcBorders>
          </w:tcPr>
          <w:p w:rsidR="003865AC" w:rsidRDefault="003865AC">
            <w:pPr>
              <w:spacing w:before="0" w:after="0" w:line="440" w:lineRule="exact"/>
              <w:jc w:val="center"/>
              <w:rPr>
                <w:rFonts w:hint="cs"/>
                <w:szCs w:val="22"/>
                <w:rtl/>
              </w:rPr>
            </w:pPr>
          </w:p>
        </w:tc>
        <w:tc>
          <w:tcPr>
            <w:tcW w:w="1440" w:type="dxa"/>
            <w:tcBorders>
              <w:top w:val="nil"/>
              <w:bottom w:val="nil"/>
            </w:tcBorders>
          </w:tcPr>
          <w:p w:rsidR="003865AC" w:rsidRDefault="003865AC">
            <w:pPr>
              <w:spacing w:before="0" w:after="0" w:line="440" w:lineRule="exact"/>
              <w:jc w:val="center"/>
              <w:rPr>
                <w:rFonts w:hint="cs"/>
                <w:szCs w:val="22"/>
                <w:rtl/>
              </w:rPr>
            </w:pPr>
          </w:p>
        </w:tc>
        <w:tc>
          <w:tcPr>
            <w:tcW w:w="1260" w:type="dxa"/>
            <w:tcBorders>
              <w:top w:val="nil"/>
              <w:bottom w:val="nil"/>
            </w:tcBorders>
          </w:tcPr>
          <w:p w:rsidR="003865AC" w:rsidRDefault="003865AC">
            <w:pPr>
              <w:spacing w:before="0" w:after="0" w:line="440" w:lineRule="exact"/>
              <w:jc w:val="center"/>
              <w:rPr>
                <w:rFonts w:hint="cs"/>
                <w:szCs w:val="22"/>
                <w:rtl/>
              </w:rPr>
            </w:pPr>
          </w:p>
        </w:tc>
        <w:tc>
          <w:tcPr>
            <w:tcW w:w="1260" w:type="dxa"/>
            <w:tcBorders>
              <w:top w:val="nil"/>
              <w:bottom w:val="nil"/>
            </w:tcBorders>
          </w:tcPr>
          <w:p w:rsidR="003865AC" w:rsidRDefault="003865AC">
            <w:pPr>
              <w:spacing w:before="0" w:after="0" w:line="440" w:lineRule="exact"/>
              <w:jc w:val="center"/>
              <w:rPr>
                <w:rFonts w:hint="cs"/>
                <w:szCs w:val="22"/>
                <w:rtl/>
              </w:rPr>
            </w:pPr>
          </w:p>
        </w:tc>
        <w:tc>
          <w:tcPr>
            <w:tcW w:w="1295" w:type="dxa"/>
            <w:tcBorders>
              <w:top w:val="nil"/>
              <w:bottom w:val="nil"/>
            </w:tcBorders>
          </w:tcPr>
          <w:p w:rsidR="003865AC" w:rsidRDefault="003865AC">
            <w:pPr>
              <w:spacing w:before="0" w:after="0" w:line="440" w:lineRule="exact"/>
              <w:jc w:val="center"/>
              <w:rPr>
                <w:rFonts w:hint="cs"/>
                <w:szCs w:val="22"/>
                <w:rtl/>
              </w:rPr>
            </w:pPr>
          </w:p>
        </w:tc>
      </w:tr>
      <w:tr w:rsidR="003865AC" w:rsidTr="003865AC">
        <w:trPr>
          <w:trHeight w:val="364"/>
        </w:trPr>
        <w:tc>
          <w:tcPr>
            <w:tcW w:w="1542" w:type="dxa"/>
            <w:tcBorders>
              <w:top w:val="nil"/>
              <w:bottom w:val="nil"/>
            </w:tcBorders>
          </w:tcPr>
          <w:p w:rsidR="003865AC" w:rsidRDefault="003865AC">
            <w:pPr>
              <w:spacing w:before="0" w:after="0" w:line="440" w:lineRule="exact"/>
              <w:jc w:val="both"/>
              <w:rPr>
                <w:rFonts w:hint="cs"/>
                <w:szCs w:val="22"/>
                <w:rtl/>
              </w:rPr>
            </w:pPr>
            <w:r>
              <w:rPr>
                <w:rFonts w:hint="cs"/>
                <w:szCs w:val="22"/>
                <w:rtl/>
              </w:rPr>
              <w:t>كانون الثاني/يناير</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103.4</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165.5</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186.2</w:t>
            </w:r>
          </w:p>
        </w:tc>
        <w:tc>
          <w:tcPr>
            <w:tcW w:w="1260" w:type="dxa"/>
            <w:tcBorders>
              <w:top w:val="nil"/>
              <w:bottom w:val="nil"/>
            </w:tcBorders>
          </w:tcPr>
          <w:p w:rsidR="003865AC" w:rsidRDefault="003865AC">
            <w:pPr>
              <w:spacing w:before="0" w:after="0" w:line="440" w:lineRule="exact"/>
              <w:jc w:val="center"/>
              <w:rPr>
                <w:rFonts w:hint="cs"/>
                <w:szCs w:val="22"/>
                <w:rtl/>
              </w:rPr>
            </w:pPr>
            <w:r>
              <w:rPr>
                <w:rFonts w:hint="cs"/>
                <w:szCs w:val="22"/>
                <w:rtl/>
              </w:rPr>
              <w:t>206.9</w:t>
            </w:r>
          </w:p>
        </w:tc>
        <w:tc>
          <w:tcPr>
            <w:tcW w:w="1260" w:type="dxa"/>
            <w:tcBorders>
              <w:top w:val="nil"/>
              <w:bottom w:val="nil"/>
            </w:tcBorders>
          </w:tcPr>
          <w:p w:rsidR="003865AC" w:rsidRDefault="003865AC">
            <w:pPr>
              <w:spacing w:before="0" w:after="0" w:line="440" w:lineRule="exact"/>
              <w:jc w:val="center"/>
              <w:rPr>
                <w:rFonts w:hint="cs"/>
                <w:szCs w:val="22"/>
                <w:rtl/>
              </w:rPr>
            </w:pPr>
            <w:r>
              <w:rPr>
                <w:rFonts w:hint="cs"/>
                <w:szCs w:val="22"/>
                <w:rtl/>
              </w:rPr>
              <w:t>232.7</w:t>
            </w:r>
          </w:p>
        </w:tc>
        <w:tc>
          <w:tcPr>
            <w:tcW w:w="1295" w:type="dxa"/>
            <w:tcBorders>
              <w:top w:val="nil"/>
              <w:bottom w:val="nil"/>
            </w:tcBorders>
          </w:tcPr>
          <w:p w:rsidR="003865AC" w:rsidRDefault="003865AC">
            <w:pPr>
              <w:spacing w:before="0" w:after="0" w:line="440" w:lineRule="exact"/>
              <w:jc w:val="center"/>
              <w:rPr>
                <w:rFonts w:hint="cs"/>
                <w:szCs w:val="22"/>
                <w:rtl/>
              </w:rPr>
            </w:pPr>
            <w:r>
              <w:rPr>
                <w:rFonts w:hint="cs"/>
                <w:szCs w:val="22"/>
                <w:rtl/>
              </w:rPr>
              <w:t>322.7</w:t>
            </w:r>
          </w:p>
        </w:tc>
      </w:tr>
      <w:tr w:rsidR="003865AC" w:rsidTr="003865AC">
        <w:tc>
          <w:tcPr>
            <w:tcW w:w="1542" w:type="dxa"/>
            <w:tcBorders>
              <w:top w:val="nil"/>
              <w:bottom w:val="nil"/>
            </w:tcBorders>
          </w:tcPr>
          <w:p w:rsidR="003865AC" w:rsidRDefault="003865AC">
            <w:pPr>
              <w:spacing w:before="0" w:after="0" w:line="440" w:lineRule="exact"/>
              <w:jc w:val="both"/>
              <w:rPr>
                <w:rFonts w:hint="cs"/>
                <w:szCs w:val="22"/>
                <w:rtl/>
              </w:rPr>
            </w:pPr>
            <w:r>
              <w:rPr>
                <w:rFonts w:hint="cs"/>
                <w:szCs w:val="22"/>
                <w:rtl/>
              </w:rPr>
              <w:t>شباط/فبراير</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104.0</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166.3</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186.1</w:t>
            </w:r>
          </w:p>
        </w:tc>
        <w:tc>
          <w:tcPr>
            <w:tcW w:w="1260" w:type="dxa"/>
            <w:tcBorders>
              <w:top w:val="nil"/>
              <w:bottom w:val="nil"/>
            </w:tcBorders>
          </w:tcPr>
          <w:p w:rsidR="003865AC" w:rsidRDefault="003865AC">
            <w:pPr>
              <w:spacing w:before="0" w:after="0" w:line="440" w:lineRule="exact"/>
              <w:jc w:val="center"/>
              <w:rPr>
                <w:rFonts w:hint="cs"/>
                <w:szCs w:val="22"/>
                <w:rtl/>
              </w:rPr>
            </w:pPr>
            <w:r>
              <w:rPr>
                <w:rFonts w:hint="cs"/>
                <w:szCs w:val="22"/>
                <w:rtl/>
              </w:rPr>
              <w:t>207.9</w:t>
            </w:r>
          </w:p>
        </w:tc>
        <w:tc>
          <w:tcPr>
            <w:tcW w:w="1260" w:type="dxa"/>
            <w:tcBorders>
              <w:top w:val="nil"/>
              <w:bottom w:val="nil"/>
            </w:tcBorders>
          </w:tcPr>
          <w:p w:rsidR="003865AC" w:rsidRDefault="003865AC">
            <w:pPr>
              <w:spacing w:before="0" w:after="0" w:line="440" w:lineRule="exact"/>
              <w:jc w:val="center"/>
              <w:rPr>
                <w:rFonts w:hint="cs"/>
                <w:szCs w:val="22"/>
                <w:rtl/>
              </w:rPr>
            </w:pPr>
            <w:r>
              <w:rPr>
                <w:rFonts w:hint="cs"/>
                <w:szCs w:val="22"/>
                <w:rtl/>
              </w:rPr>
              <w:t>233.9</w:t>
            </w:r>
          </w:p>
        </w:tc>
        <w:tc>
          <w:tcPr>
            <w:tcW w:w="1295" w:type="dxa"/>
            <w:tcBorders>
              <w:top w:val="nil"/>
              <w:bottom w:val="nil"/>
            </w:tcBorders>
          </w:tcPr>
          <w:p w:rsidR="003865AC" w:rsidRDefault="003865AC">
            <w:pPr>
              <w:spacing w:before="0" w:after="0" w:line="440" w:lineRule="exact"/>
              <w:jc w:val="center"/>
              <w:rPr>
                <w:rFonts w:hint="cs"/>
                <w:szCs w:val="22"/>
                <w:rtl/>
              </w:rPr>
            </w:pPr>
            <w:r>
              <w:rPr>
                <w:rFonts w:hint="cs"/>
                <w:szCs w:val="22"/>
                <w:rtl/>
              </w:rPr>
              <w:t>324.4</w:t>
            </w:r>
          </w:p>
        </w:tc>
      </w:tr>
      <w:tr w:rsidR="003865AC" w:rsidTr="003865AC">
        <w:tc>
          <w:tcPr>
            <w:tcW w:w="1542" w:type="dxa"/>
            <w:tcBorders>
              <w:top w:val="nil"/>
              <w:bottom w:val="nil"/>
            </w:tcBorders>
          </w:tcPr>
          <w:p w:rsidR="003865AC" w:rsidRDefault="003865AC">
            <w:pPr>
              <w:spacing w:before="0" w:after="0" w:line="440" w:lineRule="exact"/>
              <w:jc w:val="both"/>
              <w:rPr>
                <w:rFonts w:hint="cs"/>
                <w:szCs w:val="22"/>
                <w:rtl/>
              </w:rPr>
            </w:pPr>
            <w:r>
              <w:rPr>
                <w:rFonts w:hint="cs"/>
                <w:szCs w:val="22"/>
                <w:rtl/>
              </w:rPr>
              <w:t>آذار/مارس</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102.2</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163.5</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183.9</w:t>
            </w:r>
          </w:p>
        </w:tc>
        <w:tc>
          <w:tcPr>
            <w:tcW w:w="1260" w:type="dxa"/>
            <w:tcBorders>
              <w:top w:val="nil"/>
              <w:bottom w:val="nil"/>
            </w:tcBorders>
          </w:tcPr>
          <w:p w:rsidR="003865AC" w:rsidRDefault="003865AC">
            <w:pPr>
              <w:spacing w:before="0" w:after="0" w:line="440" w:lineRule="exact"/>
              <w:jc w:val="center"/>
              <w:rPr>
                <w:rFonts w:hint="cs"/>
                <w:szCs w:val="22"/>
                <w:rtl/>
              </w:rPr>
            </w:pPr>
            <w:r>
              <w:rPr>
                <w:rFonts w:hint="cs"/>
                <w:szCs w:val="22"/>
                <w:rtl/>
              </w:rPr>
              <w:t>204.4</w:t>
            </w:r>
          </w:p>
        </w:tc>
        <w:tc>
          <w:tcPr>
            <w:tcW w:w="1260" w:type="dxa"/>
            <w:tcBorders>
              <w:top w:val="nil"/>
              <w:bottom w:val="nil"/>
            </w:tcBorders>
          </w:tcPr>
          <w:p w:rsidR="003865AC" w:rsidRDefault="003865AC">
            <w:pPr>
              <w:spacing w:before="0" w:after="0" w:line="440" w:lineRule="exact"/>
              <w:jc w:val="center"/>
              <w:rPr>
                <w:rFonts w:hint="cs"/>
                <w:szCs w:val="22"/>
                <w:rtl/>
              </w:rPr>
            </w:pPr>
            <w:r>
              <w:rPr>
                <w:rFonts w:hint="cs"/>
                <w:szCs w:val="22"/>
                <w:rtl/>
              </w:rPr>
              <w:t>229.9</w:t>
            </w:r>
          </w:p>
        </w:tc>
        <w:tc>
          <w:tcPr>
            <w:tcW w:w="1295" w:type="dxa"/>
            <w:tcBorders>
              <w:top w:val="nil"/>
              <w:bottom w:val="nil"/>
            </w:tcBorders>
          </w:tcPr>
          <w:p w:rsidR="003865AC" w:rsidRDefault="003865AC">
            <w:pPr>
              <w:spacing w:before="0" w:after="0" w:line="440" w:lineRule="exact"/>
              <w:jc w:val="center"/>
              <w:rPr>
                <w:rFonts w:hint="cs"/>
                <w:szCs w:val="22"/>
                <w:rtl/>
              </w:rPr>
            </w:pPr>
            <w:r>
              <w:rPr>
                <w:rFonts w:hint="cs"/>
                <w:szCs w:val="22"/>
                <w:rtl/>
              </w:rPr>
              <w:t>318.8</w:t>
            </w:r>
          </w:p>
        </w:tc>
      </w:tr>
      <w:tr w:rsidR="003865AC" w:rsidTr="003865AC">
        <w:tc>
          <w:tcPr>
            <w:tcW w:w="1542" w:type="dxa"/>
            <w:tcBorders>
              <w:top w:val="nil"/>
              <w:bottom w:val="nil"/>
            </w:tcBorders>
          </w:tcPr>
          <w:p w:rsidR="003865AC" w:rsidRDefault="003865AC">
            <w:pPr>
              <w:spacing w:before="0" w:after="0" w:line="440" w:lineRule="exact"/>
              <w:jc w:val="both"/>
              <w:rPr>
                <w:rFonts w:hint="cs"/>
                <w:szCs w:val="22"/>
                <w:rtl/>
              </w:rPr>
            </w:pPr>
            <w:r>
              <w:rPr>
                <w:rFonts w:hint="cs"/>
                <w:szCs w:val="22"/>
                <w:rtl/>
              </w:rPr>
              <w:t>نيسان/أبريل</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103.3</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165.3</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186.0</w:t>
            </w:r>
          </w:p>
        </w:tc>
        <w:tc>
          <w:tcPr>
            <w:tcW w:w="1260" w:type="dxa"/>
            <w:tcBorders>
              <w:top w:val="nil"/>
              <w:bottom w:val="nil"/>
            </w:tcBorders>
          </w:tcPr>
          <w:p w:rsidR="003865AC" w:rsidRDefault="003865AC">
            <w:pPr>
              <w:spacing w:before="0" w:after="0" w:line="440" w:lineRule="exact"/>
              <w:jc w:val="center"/>
              <w:rPr>
                <w:rFonts w:hint="cs"/>
                <w:szCs w:val="22"/>
                <w:rtl/>
              </w:rPr>
            </w:pPr>
            <w:r>
              <w:rPr>
                <w:rFonts w:hint="cs"/>
                <w:szCs w:val="22"/>
                <w:rtl/>
              </w:rPr>
              <w:t>206.6</w:t>
            </w:r>
          </w:p>
        </w:tc>
        <w:tc>
          <w:tcPr>
            <w:tcW w:w="1260" w:type="dxa"/>
            <w:tcBorders>
              <w:top w:val="nil"/>
              <w:bottom w:val="nil"/>
            </w:tcBorders>
          </w:tcPr>
          <w:p w:rsidR="003865AC" w:rsidRDefault="003865AC">
            <w:pPr>
              <w:spacing w:before="0" w:after="0" w:line="440" w:lineRule="exact"/>
              <w:jc w:val="center"/>
              <w:rPr>
                <w:rFonts w:hint="cs"/>
                <w:szCs w:val="22"/>
                <w:rtl/>
              </w:rPr>
            </w:pPr>
            <w:r>
              <w:rPr>
                <w:rFonts w:hint="cs"/>
                <w:szCs w:val="22"/>
                <w:rtl/>
              </w:rPr>
              <w:t>232.5</w:t>
            </w:r>
          </w:p>
        </w:tc>
        <w:tc>
          <w:tcPr>
            <w:tcW w:w="1295" w:type="dxa"/>
            <w:tcBorders>
              <w:top w:val="nil"/>
              <w:bottom w:val="nil"/>
            </w:tcBorders>
          </w:tcPr>
          <w:p w:rsidR="003865AC" w:rsidRDefault="003865AC">
            <w:pPr>
              <w:spacing w:before="0" w:after="0" w:line="440" w:lineRule="exact"/>
              <w:jc w:val="center"/>
              <w:rPr>
                <w:rFonts w:hint="cs"/>
                <w:szCs w:val="22"/>
                <w:rtl/>
              </w:rPr>
            </w:pPr>
            <w:r>
              <w:rPr>
                <w:rFonts w:hint="cs"/>
                <w:szCs w:val="22"/>
                <w:rtl/>
              </w:rPr>
              <w:t>322.4</w:t>
            </w:r>
          </w:p>
        </w:tc>
      </w:tr>
      <w:tr w:rsidR="003865AC" w:rsidTr="003865AC">
        <w:tc>
          <w:tcPr>
            <w:tcW w:w="1542" w:type="dxa"/>
            <w:tcBorders>
              <w:top w:val="nil"/>
              <w:bottom w:val="nil"/>
            </w:tcBorders>
          </w:tcPr>
          <w:p w:rsidR="003865AC" w:rsidRDefault="003865AC">
            <w:pPr>
              <w:spacing w:before="0" w:after="0" w:line="440" w:lineRule="exact"/>
              <w:jc w:val="both"/>
              <w:rPr>
                <w:rFonts w:hint="cs"/>
                <w:szCs w:val="22"/>
                <w:rtl/>
              </w:rPr>
            </w:pPr>
            <w:r>
              <w:rPr>
                <w:rFonts w:hint="cs"/>
                <w:szCs w:val="22"/>
                <w:rtl/>
              </w:rPr>
              <w:t>أيار/مايو</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100.5</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160.8</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180.9</w:t>
            </w:r>
          </w:p>
        </w:tc>
        <w:tc>
          <w:tcPr>
            <w:tcW w:w="1260" w:type="dxa"/>
            <w:tcBorders>
              <w:top w:val="nil"/>
              <w:bottom w:val="nil"/>
            </w:tcBorders>
          </w:tcPr>
          <w:p w:rsidR="003865AC" w:rsidRDefault="003865AC">
            <w:pPr>
              <w:spacing w:before="0" w:after="0" w:line="440" w:lineRule="exact"/>
              <w:jc w:val="center"/>
              <w:rPr>
                <w:rFonts w:hint="cs"/>
                <w:szCs w:val="22"/>
                <w:rtl/>
              </w:rPr>
            </w:pPr>
            <w:r>
              <w:rPr>
                <w:rFonts w:hint="cs"/>
                <w:szCs w:val="22"/>
                <w:rtl/>
              </w:rPr>
              <w:t>201.1</w:t>
            </w:r>
          </w:p>
        </w:tc>
        <w:tc>
          <w:tcPr>
            <w:tcW w:w="1260" w:type="dxa"/>
            <w:tcBorders>
              <w:top w:val="nil"/>
              <w:bottom w:val="nil"/>
            </w:tcBorders>
          </w:tcPr>
          <w:p w:rsidR="003865AC" w:rsidRDefault="003865AC">
            <w:pPr>
              <w:spacing w:before="0" w:after="0" w:line="440" w:lineRule="exact"/>
              <w:jc w:val="center"/>
              <w:rPr>
                <w:rFonts w:hint="cs"/>
                <w:szCs w:val="22"/>
                <w:rtl/>
              </w:rPr>
            </w:pPr>
            <w:r>
              <w:rPr>
                <w:rFonts w:hint="cs"/>
                <w:szCs w:val="22"/>
                <w:rtl/>
              </w:rPr>
              <w:t>226.2</w:t>
            </w:r>
          </w:p>
        </w:tc>
        <w:tc>
          <w:tcPr>
            <w:tcW w:w="1295" w:type="dxa"/>
            <w:tcBorders>
              <w:top w:val="nil"/>
              <w:bottom w:val="nil"/>
            </w:tcBorders>
          </w:tcPr>
          <w:p w:rsidR="003865AC" w:rsidRDefault="003865AC">
            <w:pPr>
              <w:spacing w:before="0" w:after="0" w:line="440" w:lineRule="exact"/>
              <w:jc w:val="center"/>
              <w:rPr>
                <w:rFonts w:hint="cs"/>
                <w:szCs w:val="22"/>
                <w:rtl/>
              </w:rPr>
            </w:pPr>
            <w:r>
              <w:rPr>
                <w:rFonts w:hint="cs"/>
                <w:szCs w:val="22"/>
                <w:rtl/>
              </w:rPr>
              <w:t>313.6</w:t>
            </w:r>
          </w:p>
        </w:tc>
      </w:tr>
      <w:tr w:rsidR="003865AC" w:rsidTr="003865AC">
        <w:tc>
          <w:tcPr>
            <w:tcW w:w="1542" w:type="dxa"/>
            <w:tcBorders>
              <w:top w:val="nil"/>
              <w:bottom w:val="nil"/>
            </w:tcBorders>
          </w:tcPr>
          <w:p w:rsidR="003865AC" w:rsidRDefault="003865AC">
            <w:pPr>
              <w:spacing w:before="0" w:after="0" w:line="440" w:lineRule="exact"/>
              <w:jc w:val="both"/>
              <w:rPr>
                <w:rFonts w:hint="cs"/>
                <w:szCs w:val="22"/>
                <w:rtl/>
              </w:rPr>
            </w:pPr>
            <w:r>
              <w:rPr>
                <w:rFonts w:hint="cs"/>
                <w:szCs w:val="22"/>
                <w:rtl/>
              </w:rPr>
              <w:t>حزيران/يونيه</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99.0</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158.3</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178.1</w:t>
            </w:r>
          </w:p>
        </w:tc>
        <w:tc>
          <w:tcPr>
            <w:tcW w:w="1260" w:type="dxa"/>
            <w:tcBorders>
              <w:top w:val="nil"/>
              <w:bottom w:val="nil"/>
            </w:tcBorders>
          </w:tcPr>
          <w:p w:rsidR="003865AC" w:rsidRDefault="003865AC">
            <w:pPr>
              <w:spacing w:before="0" w:after="0" w:line="440" w:lineRule="exact"/>
              <w:jc w:val="center"/>
              <w:rPr>
                <w:rFonts w:hint="cs"/>
                <w:szCs w:val="22"/>
                <w:rtl/>
              </w:rPr>
            </w:pPr>
            <w:r>
              <w:rPr>
                <w:rFonts w:hint="cs"/>
                <w:szCs w:val="22"/>
                <w:rtl/>
              </w:rPr>
              <w:t>197.9</w:t>
            </w:r>
          </w:p>
        </w:tc>
        <w:tc>
          <w:tcPr>
            <w:tcW w:w="1260" w:type="dxa"/>
            <w:tcBorders>
              <w:top w:val="nil"/>
              <w:bottom w:val="nil"/>
            </w:tcBorders>
          </w:tcPr>
          <w:p w:rsidR="003865AC" w:rsidRDefault="003865AC">
            <w:pPr>
              <w:spacing w:before="0" w:after="0" w:line="440" w:lineRule="exact"/>
              <w:jc w:val="center"/>
              <w:rPr>
                <w:rFonts w:hint="cs"/>
                <w:szCs w:val="22"/>
                <w:rtl/>
              </w:rPr>
            </w:pPr>
            <w:r>
              <w:rPr>
                <w:rFonts w:hint="cs"/>
                <w:szCs w:val="22"/>
                <w:rtl/>
              </w:rPr>
              <w:t>222.7</w:t>
            </w:r>
          </w:p>
        </w:tc>
        <w:tc>
          <w:tcPr>
            <w:tcW w:w="1295" w:type="dxa"/>
            <w:tcBorders>
              <w:top w:val="nil"/>
              <w:bottom w:val="nil"/>
            </w:tcBorders>
          </w:tcPr>
          <w:p w:rsidR="003865AC" w:rsidRDefault="003865AC">
            <w:pPr>
              <w:spacing w:before="0" w:after="0" w:line="440" w:lineRule="exact"/>
              <w:jc w:val="center"/>
              <w:rPr>
                <w:rFonts w:hint="cs"/>
                <w:szCs w:val="22"/>
                <w:rtl/>
              </w:rPr>
            </w:pPr>
            <w:r>
              <w:rPr>
                <w:rFonts w:hint="cs"/>
                <w:szCs w:val="22"/>
                <w:rtl/>
              </w:rPr>
              <w:t>308.8</w:t>
            </w:r>
          </w:p>
        </w:tc>
      </w:tr>
      <w:tr w:rsidR="003865AC" w:rsidTr="003865AC">
        <w:tc>
          <w:tcPr>
            <w:tcW w:w="1542" w:type="dxa"/>
            <w:tcBorders>
              <w:top w:val="nil"/>
              <w:bottom w:val="nil"/>
            </w:tcBorders>
          </w:tcPr>
          <w:p w:rsidR="003865AC" w:rsidRDefault="003865AC">
            <w:pPr>
              <w:spacing w:before="0" w:after="0" w:line="440" w:lineRule="exact"/>
              <w:jc w:val="both"/>
              <w:rPr>
                <w:rFonts w:hint="cs"/>
                <w:szCs w:val="22"/>
                <w:rtl/>
              </w:rPr>
            </w:pPr>
            <w:r>
              <w:rPr>
                <w:rFonts w:hint="cs"/>
                <w:szCs w:val="22"/>
                <w:rtl/>
              </w:rPr>
              <w:t>تموز/يوليه</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96.1</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153.8</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175.0</w:t>
            </w:r>
          </w:p>
        </w:tc>
        <w:tc>
          <w:tcPr>
            <w:tcW w:w="1260" w:type="dxa"/>
            <w:tcBorders>
              <w:top w:val="nil"/>
              <w:bottom w:val="nil"/>
            </w:tcBorders>
          </w:tcPr>
          <w:p w:rsidR="003865AC" w:rsidRDefault="003865AC">
            <w:pPr>
              <w:spacing w:before="0" w:after="0" w:line="440" w:lineRule="exact"/>
              <w:jc w:val="center"/>
              <w:rPr>
                <w:rFonts w:hint="cs"/>
                <w:szCs w:val="22"/>
                <w:rtl/>
              </w:rPr>
            </w:pPr>
            <w:r>
              <w:rPr>
                <w:rFonts w:hint="cs"/>
                <w:szCs w:val="22"/>
                <w:rtl/>
              </w:rPr>
              <w:t>192.2</w:t>
            </w:r>
          </w:p>
        </w:tc>
        <w:tc>
          <w:tcPr>
            <w:tcW w:w="1260" w:type="dxa"/>
            <w:tcBorders>
              <w:top w:val="nil"/>
              <w:bottom w:val="nil"/>
            </w:tcBorders>
          </w:tcPr>
          <w:p w:rsidR="003865AC" w:rsidRDefault="003865AC">
            <w:pPr>
              <w:spacing w:before="0" w:after="0" w:line="440" w:lineRule="exact"/>
              <w:jc w:val="center"/>
              <w:rPr>
                <w:rFonts w:hint="cs"/>
                <w:szCs w:val="22"/>
                <w:rtl/>
              </w:rPr>
            </w:pPr>
            <w:r>
              <w:rPr>
                <w:rFonts w:hint="cs"/>
                <w:szCs w:val="22"/>
                <w:rtl/>
              </w:rPr>
              <w:t>216.2</w:t>
            </w:r>
          </w:p>
        </w:tc>
        <w:tc>
          <w:tcPr>
            <w:tcW w:w="1295" w:type="dxa"/>
            <w:tcBorders>
              <w:top w:val="nil"/>
              <w:bottom w:val="nil"/>
            </w:tcBorders>
          </w:tcPr>
          <w:p w:rsidR="003865AC" w:rsidRDefault="003865AC">
            <w:pPr>
              <w:spacing w:before="0" w:after="0" w:line="440" w:lineRule="exact"/>
              <w:jc w:val="center"/>
              <w:rPr>
                <w:rFonts w:hint="cs"/>
                <w:szCs w:val="22"/>
                <w:rtl/>
              </w:rPr>
            </w:pPr>
            <w:r>
              <w:rPr>
                <w:rFonts w:hint="cs"/>
                <w:szCs w:val="22"/>
                <w:rtl/>
              </w:rPr>
              <w:t>299.8</w:t>
            </w:r>
          </w:p>
        </w:tc>
      </w:tr>
      <w:tr w:rsidR="003865AC" w:rsidTr="003865AC">
        <w:tc>
          <w:tcPr>
            <w:tcW w:w="1542" w:type="dxa"/>
            <w:tcBorders>
              <w:top w:val="nil"/>
              <w:bottom w:val="nil"/>
            </w:tcBorders>
          </w:tcPr>
          <w:p w:rsidR="003865AC" w:rsidRDefault="003865AC">
            <w:pPr>
              <w:spacing w:before="0" w:after="0" w:line="440" w:lineRule="exact"/>
              <w:jc w:val="both"/>
              <w:rPr>
                <w:rFonts w:hint="cs"/>
                <w:szCs w:val="22"/>
                <w:rtl/>
              </w:rPr>
            </w:pPr>
            <w:r>
              <w:rPr>
                <w:rFonts w:hint="cs"/>
                <w:szCs w:val="22"/>
                <w:rtl/>
              </w:rPr>
              <w:t>آب/أغسطس</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98.5</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157.5</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177.2</w:t>
            </w:r>
          </w:p>
        </w:tc>
        <w:tc>
          <w:tcPr>
            <w:tcW w:w="1260" w:type="dxa"/>
            <w:tcBorders>
              <w:top w:val="nil"/>
              <w:bottom w:val="nil"/>
            </w:tcBorders>
          </w:tcPr>
          <w:p w:rsidR="003865AC" w:rsidRDefault="003865AC">
            <w:pPr>
              <w:spacing w:before="0" w:after="0" w:line="440" w:lineRule="exact"/>
              <w:jc w:val="center"/>
              <w:rPr>
                <w:rFonts w:hint="cs"/>
                <w:szCs w:val="22"/>
                <w:rtl/>
              </w:rPr>
            </w:pPr>
            <w:r>
              <w:rPr>
                <w:rFonts w:hint="cs"/>
                <w:szCs w:val="22"/>
                <w:rtl/>
              </w:rPr>
              <w:t>196.9</w:t>
            </w:r>
          </w:p>
        </w:tc>
        <w:tc>
          <w:tcPr>
            <w:tcW w:w="1260" w:type="dxa"/>
            <w:tcBorders>
              <w:top w:val="nil"/>
              <w:bottom w:val="nil"/>
            </w:tcBorders>
          </w:tcPr>
          <w:p w:rsidR="003865AC" w:rsidRDefault="003865AC">
            <w:pPr>
              <w:spacing w:before="0" w:after="0" w:line="440" w:lineRule="exact"/>
              <w:jc w:val="center"/>
              <w:rPr>
                <w:rFonts w:hint="cs"/>
                <w:szCs w:val="22"/>
                <w:rtl/>
              </w:rPr>
            </w:pPr>
            <w:r>
              <w:rPr>
                <w:rFonts w:hint="cs"/>
                <w:szCs w:val="22"/>
                <w:rtl/>
              </w:rPr>
              <w:t>221.5</w:t>
            </w:r>
          </w:p>
        </w:tc>
        <w:tc>
          <w:tcPr>
            <w:tcW w:w="1295" w:type="dxa"/>
            <w:tcBorders>
              <w:top w:val="nil"/>
              <w:bottom w:val="nil"/>
            </w:tcBorders>
          </w:tcPr>
          <w:p w:rsidR="003865AC" w:rsidRDefault="003865AC">
            <w:pPr>
              <w:spacing w:before="0" w:after="0" w:line="440" w:lineRule="exact"/>
              <w:jc w:val="center"/>
              <w:rPr>
                <w:rFonts w:hint="cs"/>
                <w:szCs w:val="22"/>
                <w:rtl/>
              </w:rPr>
            </w:pPr>
            <w:r>
              <w:rPr>
                <w:rFonts w:hint="cs"/>
                <w:szCs w:val="22"/>
                <w:rtl/>
              </w:rPr>
              <w:t>307.2</w:t>
            </w:r>
          </w:p>
        </w:tc>
      </w:tr>
      <w:tr w:rsidR="003865AC" w:rsidTr="003865AC">
        <w:tc>
          <w:tcPr>
            <w:tcW w:w="1542" w:type="dxa"/>
            <w:tcBorders>
              <w:top w:val="nil"/>
              <w:bottom w:val="nil"/>
            </w:tcBorders>
          </w:tcPr>
          <w:p w:rsidR="003865AC" w:rsidRDefault="003865AC">
            <w:pPr>
              <w:spacing w:before="0" w:after="0" w:line="440" w:lineRule="exact"/>
              <w:jc w:val="both"/>
              <w:rPr>
                <w:rFonts w:hint="cs"/>
                <w:szCs w:val="22"/>
                <w:rtl/>
              </w:rPr>
            </w:pPr>
            <w:r>
              <w:rPr>
                <w:rFonts w:hint="cs"/>
                <w:szCs w:val="22"/>
                <w:rtl/>
              </w:rPr>
              <w:t>أيلول/سبتمبر</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99.3</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158.9</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178.8</w:t>
            </w:r>
          </w:p>
        </w:tc>
        <w:tc>
          <w:tcPr>
            <w:tcW w:w="1260" w:type="dxa"/>
            <w:tcBorders>
              <w:top w:val="nil"/>
              <w:bottom w:val="nil"/>
            </w:tcBorders>
          </w:tcPr>
          <w:p w:rsidR="003865AC" w:rsidRDefault="003865AC">
            <w:pPr>
              <w:spacing w:before="0" w:after="0" w:line="440" w:lineRule="exact"/>
              <w:jc w:val="center"/>
              <w:rPr>
                <w:rFonts w:hint="cs"/>
                <w:szCs w:val="22"/>
                <w:rtl/>
              </w:rPr>
            </w:pPr>
            <w:r>
              <w:rPr>
                <w:rFonts w:hint="cs"/>
                <w:szCs w:val="22"/>
                <w:rtl/>
              </w:rPr>
              <w:t>198.7</w:t>
            </w:r>
          </w:p>
        </w:tc>
        <w:tc>
          <w:tcPr>
            <w:tcW w:w="1260" w:type="dxa"/>
            <w:tcBorders>
              <w:top w:val="nil"/>
              <w:bottom w:val="nil"/>
            </w:tcBorders>
          </w:tcPr>
          <w:p w:rsidR="003865AC" w:rsidRDefault="003865AC">
            <w:pPr>
              <w:spacing w:before="0" w:after="0" w:line="440" w:lineRule="exact"/>
              <w:jc w:val="center"/>
              <w:rPr>
                <w:rFonts w:hint="cs"/>
                <w:szCs w:val="22"/>
                <w:rtl/>
              </w:rPr>
            </w:pPr>
            <w:r>
              <w:rPr>
                <w:rFonts w:hint="cs"/>
                <w:szCs w:val="22"/>
                <w:rtl/>
              </w:rPr>
              <w:t>223.5</w:t>
            </w:r>
          </w:p>
        </w:tc>
        <w:tc>
          <w:tcPr>
            <w:tcW w:w="1295" w:type="dxa"/>
            <w:tcBorders>
              <w:top w:val="nil"/>
              <w:bottom w:val="nil"/>
            </w:tcBorders>
          </w:tcPr>
          <w:p w:rsidR="003865AC" w:rsidRDefault="003865AC">
            <w:pPr>
              <w:spacing w:before="0" w:after="0" w:line="440" w:lineRule="exact"/>
              <w:jc w:val="center"/>
              <w:rPr>
                <w:rFonts w:hint="cs"/>
                <w:szCs w:val="22"/>
                <w:rtl/>
              </w:rPr>
            </w:pPr>
            <w:r>
              <w:rPr>
                <w:rFonts w:hint="cs"/>
                <w:szCs w:val="22"/>
                <w:rtl/>
              </w:rPr>
              <w:t>309.9</w:t>
            </w:r>
          </w:p>
        </w:tc>
      </w:tr>
      <w:tr w:rsidR="003865AC" w:rsidTr="003865AC">
        <w:tc>
          <w:tcPr>
            <w:tcW w:w="1542" w:type="dxa"/>
            <w:tcBorders>
              <w:top w:val="nil"/>
              <w:bottom w:val="nil"/>
            </w:tcBorders>
          </w:tcPr>
          <w:p w:rsidR="003865AC" w:rsidRDefault="003865AC">
            <w:pPr>
              <w:spacing w:before="0" w:after="0" w:line="440" w:lineRule="exact"/>
              <w:jc w:val="both"/>
              <w:rPr>
                <w:rFonts w:hint="cs"/>
                <w:szCs w:val="22"/>
                <w:rtl/>
              </w:rPr>
            </w:pPr>
            <w:r>
              <w:rPr>
                <w:rFonts w:hint="cs"/>
                <w:szCs w:val="22"/>
                <w:rtl/>
              </w:rPr>
              <w:t>تشرين الأول/أكتوبر</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100.4</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160.7</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180.8</w:t>
            </w:r>
          </w:p>
        </w:tc>
        <w:tc>
          <w:tcPr>
            <w:tcW w:w="1260" w:type="dxa"/>
            <w:tcBorders>
              <w:top w:val="nil"/>
              <w:bottom w:val="nil"/>
            </w:tcBorders>
          </w:tcPr>
          <w:p w:rsidR="003865AC" w:rsidRDefault="003865AC">
            <w:pPr>
              <w:spacing w:before="0" w:after="0" w:line="440" w:lineRule="exact"/>
              <w:jc w:val="center"/>
              <w:rPr>
                <w:rFonts w:hint="cs"/>
                <w:szCs w:val="22"/>
                <w:rtl/>
              </w:rPr>
            </w:pPr>
            <w:r>
              <w:rPr>
                <w:rFonts w:hint="cs"/>
                <w:szCs w:val="22"/>
                <w:rtl/>
              </w:rPr>
              <w:t>200.9</w:t>
            </w:r>
          </w:p>
        </w:tc>
        <w:tc>
          <w:tcPr>
            <w:tcW w:w="1260" w:type="dxa"/>
            <w:tcBorders>
              <w:top w:val="nil"/>
              <w:bottom w:val="nil"/>
            </w:tcBorders>
          </w:tcPr>
          <w:p w:rsidR="003865AC" w:rsidRDefault="003865AC">
            <w:pPr>
              <w:spacing w:before="0" w:after="0" w:line="440" w:lineRule="exact"/>
              <w:jc w:val="center"/>
              <w:rPr>
                <w:rFonts w:hint="cs"/>
                <w:szCs w:val="22"/>
                <w:rtl/>
              </w:rPr>
            </w:pPr>
            <w:r>
              <w:rPr>
                <w:rFonts w:hint="cs"/>
                <w:szCs w:val="22"/>
                <w:rtl/>
              </w:rPr>
              <w:t>226.0</w:t>
            </w:r>
          </w:p>
        </w:tc>
        <w:tc>
          <w:tcPr>
            <w:tcW w:w="1295" w:type="dxa"/>
            <w:tcBorders>
              <w:top w:val="nil"/>
              <w:bottom w:val="nil"/>
            </w:tcBorders>
          </w:tcPr>
          <w:p w:rsidR="003865AC" w:rsidRDefault="003865AC">
            <w:pPr>
              <w:spacing w:before="0" w:after="0" w:line="440" w:lineRule="exact"/>
              <w:jc w:val="center"/>
              <w:rPr>
                <w:rFonts w:hint="cs"/>
                <w:szCs w:val="22"/>
                <w:rtl/>
              </w:rPr>
            </w:pPr>
            <w:r>
              <w:rPr>
                <w:rFonts w:hint="cs"/>
                <w:szCs w:val="22"/>
                <w:rtl/>
              </w:rPr>
              <w:t>313.3</w:t>
            </w:r>
          </w:p>
        </w:tc>
      </w:tr>
      <w:tr w:rsidR="003865AC" w:rsidTr="003865AC">
        <w:tc>
          <w:tcPr>
            <w:tcW w:w="1542" w:type="dxa"/>
            <w:tcBorders>
              <w:top w:val="nil"/>
              <w:bottom w:val="nil"/>
            </w:tcBorders>
          </w:tcPr>
          <w:p w:rsidR="003865AC" w:rsidRDefault="003865AC">
            <w:pPr>
              <w:spacing w:before="0" w:after="0" w:line="440" w:lineRule="exact"/>
              <w:jc w:val="both"/>
              <w:rPr>
                <w:rFonts w:hint="cs"/>
                <w:szCs w:val="22"/>
                <w:rtl/>
              </w:rPr>
            </w:pPr>
            <w:r>
              <w:rPr>
                <w:rFonts w:hint="cs"/>
                <w:szCs w:val="22"/>
                <w:rtl/>
              </w:rPr>
              <w:t>تشرين الثاني/نوفمبر</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101.7</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162.7</w:t>
            </w:r>
          </w:p>
        </w:tc>
        <w:tc>
          <w:tcPr>
            <w:tcW w:w="1440" w:type="dxa"/>
            <w:tcBorders>
              <w:top w:val="nil"/>
              <w:bottom w:val="nil"/>
            </w:tcBorders>
          </w:tcPr>
          <w:p w:rsidR="003865AC" w:rsidRDefault="003865AC">
            <w:pPr>
              <w:spacing w:before="0" w:after="0" w:line="440" w:lineRule="exact"/>
              <w:jc w:val="center"/>
              <w:rPr>
                <w:rFonts w:hint="cs"/>
                <w:szCs w:val="22"/>
                <w:rtl/>
              </w:rPr>
            </w:pPr>
            <w:r>
              <w:rPr>
                <w:rFonts w:hint="cs"/>
                <w:szCs w:val="22"/>
                <w:rtl/>
              </w:rPr>
              <w:t>183.1</w:t>
            </w:r>
          </w:p>
        </w:tc>
        <w:tc>
          <w:tcPr>
            <w:tcW w:w="1260" w:type="dxa"/>
            <w:tcBorders>
              <w:top w:val="nil"/>
              <w:bottom w:val="nil"/>
            </w:tcBorders>
          </w:tcPr>
          <w:p w:rsidR="003865AC" w:rsidRDefault="003865AC">
            <w:pPr>
              <w:spacing w:before="0" w:after="0" w:line="440" w:lineRule="exact"/>
              <w:jc w:val="center"/>
              <w:rPr>
                <w:rFonts w:hint="cs"/>
                <w:szCs w:val="22"/>
                <w:rtl/>
              </w:rPr>
            </w:pPr>
            <w:r>
              <w:rPr>
                <w:rFonts w:hint="cs"/>
                <w:szCs w:val="22"/>
                <w:rtl/>
              </w:rPr>
              <w:t>203.4</w:t>
            </w:r>
          </w:p>
        </w:tc>
        <w:tc>
          <w:tcPr>
            <w:tcW w:w="1260" w:type="dxa"/>
            <w:tcBorders>
              <w:top w:val="nil"/>
              <w:bottom w:val="nil"/>
            </w:tcBorders>
          </w:tcPr>
          <w:p w:rsidR="003865AC" w:rsidRDefault="003865AC">
            <w:pPr>
              <w:spacing w:before="0" w:after="0" w:line="440" w:lineRule="exact"/>
              <w:jc w:val="center"/>
              <w:rPr>
                <w:rFonts w:hint="cs"/>
                <w:szCs w:val="22"/>
                <w:rtl/>
              </w:rPr>
            </w:pPr>
            <w:r>
              <w:rPr>
                <w:rFonts w:hint="cs"/>
                <w:szCs w:val="22"/>
                <w:rtl/>
              </w:rPr>
              <w:t>228.8</w:t>
            </w:r>
          </w:p>
        </w:tc>
        <w:tc>
          <w:tcPr>
            <w:tcW w:w="1295" w:type="dxa"/>
            <w:tcBorders>
              <w:top w:val="nil"/>
              <w:bottom w:val="nil"/>
            </w:tcBorders>
          </w:tcPr>
          <w:p w:rsidR="003865AC" w:rsidRDefault="003865AC">
            <w:pPr>
              <w:spacing w:before="0" w:after="0" w:line="440" w:lineRule="exact"/>
              <w:jc w:val="center"/>
              <w:rPr>
                <w:rFonts w:hint="cs"/>
                <w:szCs w:val="22"/>
                <w:rtl/>
              </w:rPr>
            </w:pPr>
            <w:r>
              <w:rPr>
                <w:rFonts w:hint="cs"/>
                <w:szCs w:val="22"/>
                <w:rtl/>
              </w:rPr>
              <w:t>317.3</w:t>
            </w:r>
          </w:p>
        </w:tc>
      </w:tr>
      <w:tr w:rsidR="003865AC" w:rsidTr="003865AC">
        <w:tc>
          <w:tcPr>
            <w:tcW w:w="1542" w:type="dxa"/>
            <w:tcBorders>
              <w:top w:val="nil"/>
            </w:tcBorders>
          </w:tcPr>
          <w:p w:rsidR="003865AC" w:rsidRDefault="003865AC">
            <w:pPr>
              <w:spacing w:before="0" w:after="120" w:line="440" w:lineRule="exact"/>
              <w:jc w:val="both"/>
              <w:rPr>
                <w:rFonts w:hint="cs"/>
                <w:spacing w:val="0"/>
                <w:szCs w:val="22"/>
                <w:rtl/>
              </w:rPr>
            </w:pPr>
            <w:r>
              <w:rPr>
                <w:rFonts w:hint="cs"/>
                <w:spacing w:val="0"/>
                <w:szCs w:val="22"/>
                <w:rtl/>
              </w:rPr>
              <w:t>كانون الأول/ديسمبر</w:t>
            </w:r>
          </w:p>
        </w:tc>
        <w:tc>
          <w:tcPr>
            <w:tcW w:w="1440" w:type="dxa"/>
            <w:tcBorders>
              <w:top w:val="nil"/>
            </w:tcBorders>
          </w:tcPr>
          <w:p w:rsidR="003865AC" w:rsidRDefault="003865AC">
            <w:pPr>
              <w:spacing w:before="0" w:after="120" w:line="440" w:lineRule="exact"/>
              <w:jc w:val="center"/>
              <w:rPr>
                <w:rFonts w:hint="cs"/>
                <w:szCs w:val="22"/>
                <w:rtl/>
              </w:rPr>
            </w:pPr>
            <w:r>
              <w:rPr>
                <w:rFonts w:hint="cs"/>
                <w:szCs w:val="22"/>
                <w:rtl/>
              </w:rPr>
              <w:t>100.4</w:t>
            </w:r>
          </w:p>
        </w:tc>
        <w:tc>
          <w:tcPr>
            <w:tcW w:w="1440" w:type="dxa"/>
            <w:tcBorders>
              <w:top w:val="nil"/>
            </w:tcBorders>
          </w:tcPr>
          <w:p w:rsidR="003865AC" w:rsidRDefault="003865AC">
            <w:pPr>
              <w:spacing w:before="0" w:after="120" w:line="440" w:lineRule="exact"/>
              <w:jc w:val="center"/>
              <w:rPr>
                <w:rFonts w:hint="cs"/>
                <w:szCs w:val="22"/>
                <w:rtl/>
              </w:rPr>
            </w:pPr>
            <w:r>
              <w:rPr>
                <w:rFonts w:hint="cs"/>
                <w:szCs w:val="22"/>
                <w:rtl/>
              </w:rPr>
              <w:t>160.7</w:t>
            </w:r>
          </w:p>
        </w:tc>
        <w:tc>
          <w:tcPr>
            <w:tcW w:w="1440" w:type="dxa"/>
            <w:tcBorders>
              <w:top w:val="nil"/>
            </w:tcBorders>
          </w:tcPr>
          <w:p w:rsidR="003865AC" w:rsidRDefault="003865AC">
            <w:pPr>
              <w:spacing w:before="0" w:after="120" w:line="440" w:lineRule="exact"/>
              <w:jc w:val="center"/>
              <w:rPr>
                <w:rFonts w:hint="cs"/>
                <w:szCs w:val="22"/>
                <w:rtl/>
              </w:rPr>
            </w:pPr>
            <w:r>
              <w:rPr>
                <w:rFonts w:hint="cs"/>
                <w:szCs w:val="22"/>
                <w:rtl/>
              </w:rPr>
              <w:t>180.8</w:t>
            </w:r>
          </w:p>
        </w:tc>
        <w:tc>
          <w:tcPr>
            <w:tcW w:w="1260" w:type="dxa"/>
            <w:tcBorders>
              <w:top w:val="nil"/>
            </w:tcBorders>
          </w:tcPr>
          <w:p w:rsidR="003865AC" w:rsidRDefault="003865AC">
            <w:pPr>
              <w:spacing w:before="0" w:after="120" w:line="440" w:lineRule="exact"/>
              <w:jc w:val="center"/>
              <w:rPr>
                <w:rFonts w:hint="cs"/>
                <w:szCs w:val="22"/>
                <w:rtl/>
              </w:rPr>
            </w:pPr>
            <w:r>
              <w:rPr>
                <w:rFonts w:hint="cs"/>
                <w:szCs w:val="22"/>
                <w:rtl/>
              </w:rPr>
              <w:t>200.9</w:t>
            </w:r>
          </w:p>
        </w:tc>
        <w:tc>
          <w:tcPr>
            <w:tcW w:w="1260" w:type="dxa"/>
            <w:tcBorders>
              <w:top w:val="nil"/>
            </w:tcBorders>
          </w:tcPr>
          <w:p w:rsidR="003865AC" w:rsidRDefault="003865AC">
            <w:pPr>
              <w:spacing w:before="0" w:after="120" w:line="440" w:lineRule="exact"/>
              <w:jc w:val="center"/>
              <w:rPr>
                <w:rFonts w:hint="cs"/>
                <w:szCs w:val="22"/>
                <w:rtl/>
              </w:rPr>
            </w:pPr>
            <w:r>
              <w:rPr>
                <w:rFonts w:hint="cs"/>
                <w:szCs w:val="22"/>
                <w:rtl/>
              </w:rPr>
              <w:t>226.0</w:t>
            </w:r>
          </w:p>
        </w:tc>
        <w:tc>
          <w:tcPr>
            <w:tcW w:w="1295" w:type="dxa"/>
            <w:tcBorders>
              <w:top w:val="nil"/>
            </w:tcBorders>
          </w:tcPr>
          <w:p w:rsidR="003865AC" w:rsidRDefault="003865AC">
            <w:pPr>
              <w:spacing w:before="0" w:after="120" w:line="440" w:lineRule="exact"/>
              <w:jc w:val="center"/>
              <w:rPr>
                <w:rFonts w:hint="cs"/>
                <w:szCs w:val="22"/>
                <w:rtl/>
              </w:rPr>
            </w:pPr>
            <w:r>
              <w:rPr>
                <w:rFonts w:hint="cs"/>
                <w:szCs w:val="22"/>
                <w:rtl/>
              </w:rPr>
              <w:t>313.4</w:t>
            </w:r>
          </w:p>
        </w:tc>
      </w:tr>
    </w:tbl>
    <w:p w:rsidR="00000000" w:rsidRDefault="003865AC">
      <w:pPr>
        <w:jc w:val="both"/>
        <w:rPr>
          <w:rFonts w:hint="cs"/>
          <w:rtl/>
        </w:rPr>
      </w:pPr>
      <w:r>
        <w:rPr>
          <w:rFonts w:hint="cs"/>
          <w:rtl/>
        </w:rPr>
        <w:t>143-</w:t>
      </w:r>
      <w:r>
        <w:rPr>
          <w:rFonts w:hint="cs"/>
          <w:rtl/>
        </w:rPr>
        <w:tab/>
        <w:t>ويزيد الحد الأدنى لمستوى الكفاف في العاصمة تبيليسي بنسبة 4 في المائة عن متوسطه في البلد ككل.</w:t>
      </w:r>
    </w:p>
    <w:p w:rsidR="00000000" w:rsidRDefault="003865AC">
      <w:pPr>
        <w:jc w:val="both"/>
        <w:rPr>
          <w:rFonts w:hint="cs"/>
          <w:rtl/>
        </w:rPr>
      </w:pPr>
      <w:r>
        <w:rPr>
          <w:rFonts w:hint="cs"/>
          <w:rtl/>
        </w:rPr>
        <w:t>144-</w:t>
      </w:r>
      <w:r>
        <w:rPr>
          <w:rFonts w:hint="cs"/>
          <w:rtl/>
        </w:rPr>
        <w:tab/>
        <w:t xml:space="preserve">وقد بلغ الحد الأدنى القياسي للأجور، أي الأجر الذي يعتبر في ظل الظروف التي نشأت في الفترة الأخيرة، </w:t>
      </w:r>
      <w:r>
        <w:rPr>
          <w:rFonts w:hint="cs"/>
          <w:rtl/>
        </w:rPr>
        <w:t>كافيا إلى جانب مصادر الدخل الأخرى، لتمكين أسرة من أربعة أفراد من أن تعيش بميزانيتها عند الحد الأدنى لمستوى الكفاف 43.5 لاريات لكل شخص عامل (كانون الأول/ديسمبر 2000). ويبلغ الحد الأدنى للأجور (20 لاريا) ما نسبته 43.9 في المائة من ذلك الأجر القياسي.</w:t>
      </w:r>
    </w:p>
    <w:p w:rsidR="00000000" w:rsidRDefault="003865AC">
      <w:pPr>
        <w:jc w:val="both"/>
        <w:rPr>
          <w:rFonts w:hint="cs"/>
          <w:rtl/>
        </w:rPr>
      </w:pPr>
      <w:r>
        <w:rPr>
          <w:rFonts w:hint="cs"/>
          <w:rtl/>
        </w:rPr>
        <w:t>145-</w:t>
      </w:r>
      <w:r>
        <w:rPr>
          <w:rFonts w:hint="cs"/>
          <w:rtl/>
        </w:rPr>
        <w:tab/>
        <w:t>ولذ</w:t>
      </w:r>
      <w:r>
        <w:rPr>
          <w:rFonts w:hint="cs"/>
          <w:rtl/>
        </w:rPr>
        <w:t xml:space="preserve">لك، لم يتسنَّ بعد لجورجيا </w:t>
      </w:r>
      <w:r>
        <w:rPr>
          <w:rFonts w:hint="cs"/>
          <w:spacing w:val="0"/>
          <w:rtl/>
        </w:rPr>
        <w:t>تنفيذ توصية لجنة الحقوق الاقتصادية</w:t>
      </w:r>
      <w:r>
        <w:rPr>
          <w:rFonts w:hint="cs"/>
          <w:rtl/>
        </w:rPr>
        <w:t xml:space="preserve"> </w:t>
      </w:r>
      <w:r>
        <w:rPr>
          <w:rFonts w:hint="cs"/>
          <w:spacing w:val="0"/>
          <w:rtl/>
        </w:rPr>
        <w:t>والاجتماعية والثقافية</w:t>
      </w:r>
      <w:r>
        <w:rPr>
          <w:rFonts w:hint="cs"/>
          <w:rtl/>
        </w:rPr>
        <w:t xml:space="preserve"> (الفقرة 23) التي تحث الدولة الطرف على "اتخاذ التدابير الملائمة لضمان أن يكون الحد الأدنى للأجور كافياً لتلبية الحاجات الأساسية للأجير ولعائلته".</w:t>
      </w:r>
    </w:p>
    <w:p w:rsidR="00000000" w:rsidRDefault="003865AC">
      <w:pPr>
        <w:jc w:val="both"/>
        <w:rPr>
          <w:rFonts w:hint="cs"/>
          <w:rtl/>
        </w:rPr>
      </w:pPr>
      <w:r>
        <w:rPr>
          <w:rFonts w:hint="cs"/>
          <w:rtl/>
        </w:rPr>
        <w:t>146-</w:t>
      </w:r>
      <w:r>
        <w:rPr>
          <w:rFonts w:hint="cs"/>
          <w:rtl/>
        </w:rPr>
        <w:tab/>
        <w:t>وكما سبق ذكره في هذا ال</w:t>
      </w:r>
      <w:r>
        <w:rPr>
          <w:rFonts w:hint="cs"/>
          <w:rtl/>
        </w:rPr>
        <w:t xml:space="preserve">تقرير، فقد أعدت حكومة جورجيا، بتعاون واسع مع المجتمع المدني، مشروعا مؤقتا لبرنامج يهدف إلى مكافحة الفقر وإلى تعزيز النمو الاقتصادي. والأهداف الرئيسية لهذا البرنامج، علاوة على الأهداف الواردة في عنوانه، هي تحسين الظروف الاجتماعية، وتحسين مستوى معيشة السكان </w:t>
      </w:r>
      <w:r>
        <w:rPr>
          <w:rFonts w:hint="cs"/>
          <w:rtl/>
        </w:rPr>
        <w:t>وتعزيز مشاركة القطاعات الأفقر من السكان في تنمية البلد. ويحدد البرنامج آجالاً زمنية صارمة لأداء مهامه الرئيسية ويضع ترتيبات لرصد أعمال المتابعة. وقد قُدِّم المشروع إلى صندوق النقد الدولي والبنك الدولي، كما بُعِث أيضا إلى المنظمات المانحة (أنظر المرفقات بهذ</w:t>
      </w:r>
      <w:r>
        <w:rPr>
          <w:rFonts w:hint="cs"/>
          <w:rtl/>
        </w:rPr>
        <w:t>ا التقرير).</w:t>
      </w:r>
    </w:p>
    <w:p w:rsidR="00000000" w:rsidRDefault="003865AC">
      <w:pPr>
        <w:jc w:val="both"/>
        <w:rPr>
          <w:rFonts w:hint="cs"/>
          <w:rtl/>
        </w:rPr>
      </w:pPr>
      <w:r>
        <w:rPr>
          <w:rFonts w:hint="cs"/>
          <w:rtl/>
        </w:rPr>
        <w:t>147-</w:t>
      </w:r>
      <w:r>
        <w:rPr>
          <w:rFonts w:hint="cs"/>
          <w:rtl/>
        </w:rPr>
        <w:tab/>
        <w:t>ويبين الجدول التالي الإحصاءات المتعلقة بالدخل بالنسبة للفترة 1995-1999.</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1440"/>
        <w:gridCol w:w="1260"/>
        <w:gridCol w:w="1260"/>
        <w:gridCol w:w="1260"/>
        <w:gridCol w:w="1080"/>
        <w:gridCol w:w="1008"/>
      </w:tblGrid>
      <w:tr w:rsidR="003865AC" w:rsidTr="003865AC">
        <w:tc>
          <w:tcPr>
            <w:tcW w:w="2160" w:type="dxa"/>
            <w:tcBorders>
              <w:bottom w:val="single" w:sz="4" w:space="0" w:color="auto"/>
            </w:tcBorders>
          </w:tcPr>
          <w:p w:rsidR="003865AC" w:rsidRDefault="003865AC">
            <w:pPr>
              <w:spacing w:before="0" w:after="0"/>
              <w:jc w:val="center"/>
              <w:rPr>
                <w:rFonts w:hint="cs"/>
                <w:b/>
                <w:bCs/>
                <w:sz w:val="24"/>
                <w:szCs w:val="24"/>
                <w:rtl/>
              </w:rPr>
            </w:pPr>
            <w:r>
              <w:rPr>
                <w:rFonts w:hint="cs"/>
                <w:b/>
                <w:bCs/>
                <w:sz w:val="24"/>
                <w:szCs w:val="24"/>
                <w:rtl/>
              </w:rPr>
              <w:t>المؤشر</w:t>
            </w:r>
          </w:p>
        </w:tc>
        <w:tc>
          <w:tcPr>
            <w:tcW w:w="1440" w:type="dxa"/>
            <w:tcBorders>
              <w:bottom w:val="single" w:sz="4" w:space="0" w:color="auto"/>
            </w:tcBorders>
          </w:tcPr>
          <w:p w:rsidR="003865AC" w:rsidRDefault="003865AC">
            <w:pPr>
              <w:spacing w:before="0" w:after="0"/>
              <w:jc w:val="center"/>
              <w:rPr>
                <w:rFonts w:hint="cs"/>
                <w:b/>
                <w:bCs/>
                <w:sz w:val="24"/>
                <w:szCs w:val="24"/>
                <w:rtl/>
              </w:rPr>
            </w:pPr>
            <w:r>
              <w:rPr>
                <w:rFonts w:hint="cs"/>
                <w:b/>
                <w:bCs/>
                <w:sz w:val="24"/>
                <w:szCs w:val="24"/>
                <w:rtl/>
              </w:rPr>
              <w:t>الوحدة</w:t>
            </w:r>
          </w:p>
        </w:tc>
        <w:tc>
          <w:tcPr>
            <w:tcW w:w="1260" w:type="dxa"/>
            <w:tcBorders>
              <w:bottom w:val="single" w:sz="4" w:space="0" w:color="auto"/>
            </w:tcBorders>
          </w:tcPr>
          <w:p w:rsidR="003865AC" w:rsidRDefault="003865AC">
            <w:pPr>
              <w:spacing w:before="0" w:after="0"/>
              <w:jc w:val="center"/>
              <w:rPr>
                <w:rFonts w:hint="cs"/>
                <w:b/>
                <w:bCs/>
                <w:sz w:val="24"/>
                <w:szCs w:val="24"/>
                <w:rtl/>
              </w:rPr>
            </w:pPr>
            <w:r>
              <w:rPr>
                <w:rFonts w:hint="cs"/>
                <w:b/>
                <w:bCs/>
                <w:sz w:val="24"/>
                <w:szCs w:val="24"/>
                <w:rtl/>
              </w:rPr>
              <w:t>1995</w:t>
            </w:r>
          </w:p>
        </w:tc>
        <w:tc>
          <w:tcPr>
            <w:tcW w:w="1260" w:type="dxa"/>
            <w:tcBorders>
              <w:bottom w:val="single" w:sz="4" w:space="0" w:color="auto"/>
            </w:tcBorders>
          </w:tcPr>
          <w:p w:rsidR="003865AC" w:rsidRDefault="003865AC">
            <w:pPr>
              <w:spacing w:before="0" w:after="0"/>
              <w:jc w:val="center"/>
              <w:rPr>
                <w:rFonts w:hint="cs"/>
                <w:b/>
                <w:bCs/>
                <w:sz w:val="24"/>
                <w:szCs w:val="24"/>
                <w:rtl/>
              </w:rPr>
            </w:pPr>
            <w:r>
              <w:rPr>
                <w:rFonts w:hint="cs"/>
                <w:b/>
                <w:bCs/>
                <w:sz w:val="24"/>
                <w:szCs w:val="24"/>
                <w:rtl/>
              </w:rPr>
              <w:t>1996</w:t>
            </w:r>
          </w:p>
        </w:tc>
        <w:tc>
          <w:tcPr>
            <w:tcW w:w="1260" w:type="dxa"/>
            <w:tcBorders>
              <w:bottom w:val="single" w:sz="4" w:space="0" w:color="auto"/>
            </w:tcBorders>
          </w:tcPr>
          <w:p w:rsidR="003865AC" w:rsidRDefault="003865AC">
            <w:pPr>
              <w:spacing w:before="0" w:after="0"/>
              <w:jc w:val="center"/>
              <w:rPr>
                <w:rFonts w:hint="cs"/>
                <w:b/>
                <w:bCs/>
                <w:sz w:val="24"/>
                <w:szCs w:val="24"/>
                <w:rtl/>
              </w:rPr>
            </w:pPr>
            <w:r>
              <w:rPr>
                <w:rFonts w:hint="cs"/>
                <w:b/>
                <w:bCs/>
                <w:sz w:val="24"/>
                <w:szCs w:val="24"/>
                <w:rtl/>
              </w:rPr>
              <w:t>1997</w:t>
            </w:r>
          </w:p>
        </w:tc>
        <w:tc>
          <w:tcPr>
            <w:tcW w:w="1080" w:type="dxa"/>
            <w:tcBorders>
              <w:bottom w:val="single" w:sz="4" w:space="0" w:color="auto"/>
            </w:tcBorders>
          </w:tcPr>
          <w:p w:rsidR="003865AC" w:rsidRDefault="003865AC">
            <w:pPr>
              <w:spacing w:before="0" w:after="0"/>
              <w:jc w:val="center"/>
              <w:rPr>
                <w:rFonts w:hint="cs"/>
                <w:b/>
                <w:bCs/>
                <w:sz w:val="24"/>
                <w:szCs w:val="24"/>
                <w:rtl/>
              </w:rPr>
            </w:pPr>
            <w:r>
              <w:rPr>
                <w:rFonts w:hint="cs"/>
                <w:b/>
                <w:bCs/>
                <w:sz w:val="24"/>
                <w:szCs w:val="24"/>
                <w:rtl/>
              </w:rPr>
              <w:t>1998</w:t>
            </w:r>
          </w:p>
        </w:tc>
        <w:tc>
          <w:tcPr>
            <w:tcW w:w="1008" w:type="dxa"/>
            <w:tcBorders>
              <w:bottom w:val="single" w:sz="4" w:space="0" w:color="auto"/>
            </w:tcBorders>
          </w:tcPr>
          <w:p w:rsidR="003865AC" w:rsidRDefault="003865AC">
            <w:pPr>
              <w:spacing w:before="0" w:after="0"/>
              <w:jc w:val="center"/>
              <w:rPr>
                <w:rFonts w:hint="cs"/>
                <w:b/>
                <w:bCs/>
                <w:sz w:val="24"/>
                <w:szCs w:val="24"/>
                <w:rtl/>
              </w:rPr>
            </w:pPr>
            <w:r>
              <w:rPr>
                <w:rFonts w:hint="cs"/>
                <w:b/>
                <w:bCs/>
                <w:sz w:val="24"/>
                <w:szCs w:val="24"/>
                <w:rtl/>
              </w:rPr>
              <w:t>1999</w:t>
            </w:r>
          </w:p>
        </w:tc>
      </w:tr>
      <w:tr w:rsidR="003865AC" w:rsidTr="003865AC">
        <w:tc>
          <w:tcPr>
            <w:tcW w:w="2160" w:type="dxa"/>
            <w:tcBorders>
              <w:bottom w:val="nil"/>
            </w:tcBorders>
          </w:tcPr>
          <w:p w:rsidR="003865AC" w:rsidRDefault="003865AC">
            <w:pPr>
              <w:spacing w:before="0" w:after="0"/>
              <w:jc w:val="both"/>
              <w:rPr>
                <w:rFonts w:hint="cs"/>
                <w:sz w:val="24"/>
                <w:szCs w:val="24"/>
                <w:rtl/>
              </w:rPr>
            </w:pPr>
            <w:r>
              <w:rPr>
                <w:rFonts w:hint="cs"/>
                <w:sz w:val="24"/>
                <w:szCs w:val="24"/>
                <w:rtl/>
              </w:rPr>
              <w:t>الدخل النقدي للسكان</w:t>
            </w:r>
          </w:p>
        </w:tc>
        <w:tc>
          <w:tcPr>
            <w:tcW w:w="1440" w:type="dxa"/>
            <w:tcBorders>
              <w:bottom w:val="nil"/>
            </w:tcBorders>
          </w:tcPr>
          <w:p w:rsidR="003865AC" w:rsidRDefault="003865AC">
            <w:pPr>
              <w:spacing w:before="0" w:after="0"/>
              <w:jc w:val="both"/>
              <w:rPr>
                <w:rFonts w:hint="cs"/>
                <w:sz w:val="24"/>
                <w:szCs w:val="24"/>
                <w:rtl/>
              </w:rPr>
            </w:pPr>
            <w:r>
              <w:rPr>
                <w:rFonts w:hint="cs"/>
                <w:sz w:val="24"/>
                <w:szCs w:val="24"/>
                <w:rtl/>
              </w:rPr>
              <w:t>بملايين اللاريات</w:t>
            </w:r>
          </w:p>
        </w:tc>
        <w:tc>
          <w:tcPr>
            <w:tcW w:w="1260" w:type="dxa"/>
            <w:tcBorders>
              <w:bottom w:val="nil"/>
            </w:tcBorders>
          </w:tcPr>
          <w:p w:rsidR="003865AC" w:rsidRDefault="003865AC">
            <w:pPr>
              <w:spacing w:before="0" w:after="0"/>
              <w:jc w:val="both"/>
              <w:rPr>
                <w:rFonts w:hint="cs"/>
                <w:sz w:val="24"/>
                <w:szCs w:val="24"/>
                <w:rtl/>
              </w:rPr>
            </w:pPr>
            <w:r>
              <w:rPr>
                <w:rFonts w:hint="cs"/>
                <w:sz w:val="24"/>
                <w:szCs w:val="24"/>
                <w:rtl/>
              </w:rPr>
              <w:t>164.0 1</w:t>
            </w:r>
          </w:p>
        </w:tc>
        <w:tc>
          <w:tcPr>
            <w:tcW w:w="1260" w:type="dxa"/>
            <w:tcBorders>
              <w:bottom w:val="nil"/>
            </w:tcBorders>
          </w:tcPr>
          <w:p w:rsidR="003865AC" w:rsidRDefault="003865AC">
            <w:pPr>
              <w:spacing w:before="0" w:after="0"/>
              <w:jc w:val="both"/>
              <w:rPr>
                <w:rFonts w:hint="cs"/>
                <w:sz w:val="24"/>
                <w:szCs w:val="24"/>
                <w:rtl/>
              </w:rPr>
            </w:pPr>
            <w:r>
              <w:rPr>
                <w:rFonts w:hint="cs"/>
                <w:sz w:val="24"/>
                <w:szCs w:val="24"/>
                <w:rtl/>
              </w:rPr>
              <w:t>500.0 2</w:t>
            </w:r>
          </w:p>
        </w:tc>
        <w:tc>
          <w:tcPr>
            <w:tcW w:w="1260" w:type="dxa"/>
            <w:tcBorders>
              <w:bottom w:val="nil"/>
            </w:tcBorders>
          </w:tcPr>
          <w:p w:rsidR="003865AC" w:rsidRDefault="003865AC">
            <w:pPr>
              <w:spacing w:before="0" w:after="0"/>
              <w:jc w:val="both"/>
              <w:rPr>
                <w:rFonts w:hint="cs"/>
                <w:sz w:val="24"/>
                <w:szCs w:val="24"/>
                <w:rtl/>
              </w:rPr>
            </w:pPr>
            <w:r>
              <w:rPr>
                <w:rFonts w:hint="cs"/>
                <w:sz w:val="24"/>
                <w:szCs w:val="24"/>
                <w:rtl/>
              </w:rPr>
              <w:t>800.0 1</w:t>
            </w:r>
          </w:p>
        </w:tc>
        <w:tc>
          <w:tcPr>
            <w:tcW w:w="1080" w:type="dxa"/>
            <w:tcBorders>
              <w:bottom w:val="nil"/>
            </w:tcBorders>
          </w:tcPr>
          <w:p w:rsidR="003865AC" w:rsidRDefault="003865AC">
            <w:pPr>
              <w:spacing w:before="0" w:after="0"/>
              <w:jc w:val="both"/>
              <w:rPr>
                <w:rFonts w:hint="cs"/>
                <w:sz w:val="24"/>
                <w:szCs w:val="24"/>
                <w:rtl/>
              </w:rPr>
            </w:pPr>
            <w:r>
              <w:rPr>
                <w:rFonts w:hint="cs"/>
                <w:sz w:val="24"/>
                <w:szCs w:val="24"/>
                <w:rtl/>
              </w:rPr>
              <w:t>751.8 1</w:t>
            </w:r>
          </w:p>
        </w:tc>
        <w:tc>
          <w:tcPr>
            <w:tcW w:w="1008" w:type="dxa"/>
            <w:tcBorders>
              <w:bottom w:val="nil"/>
            </w:tcBorders>
          </w:tcPr>
          <w:p w:rsidR="003865AC" w:rsidRDefault="003865AC">
            <w:pPr>
              <w:spacing w:before="0" w:after="0"/>
              <w:jc w:val="both"/>
              <w:rPr>
                <w:rFonts w:hint="cs"/>
                <w:sz w:val="24"/>
                <w:szCs w:val="24"/>
                <w:rtl/>
              </w:rPr>
            </w:pPr>
            <w:r>
              <w:rPr>
                <w:rFonts w:hint="cs"/>
                <w:sz w:val="24"/>
                <w:szCs w:val="24"/>
                <w:rtl/>
              </w:rPr>
              <w:t>723.7 1</w:t>
            </w:r>
          </w:p>
        </w:tc>
      </w:tr>
      <w:tr w:rsidR="003865AC" w:rsidTr="003865AC">
        <w:tc>
          <w:tcPr>
            <w:tcW w:w="2160" w:type="dxa"/>
            <w:tcBorders>
              <w:top w:val="nil"/>
              <w:bottom w:val="nil"/>
            </w:tcBorders>
          </w:tcPr>
          <w:p w:rsidR="003865AC" w:rsidRDefault="003865AC">
            <w:pPr>
              <w:spacing w:before="0" w:after="0"/>
              <w:jc w:val="both"/>
              <w:rPr>
                <w:rFonts w:hint="cs"/>
                <w:spacing w:val="0"/>
                <w:sz w:val="24"/>
                <w:szCs w:val="24"/>
                <w:rtl/>
              </w:rPr>
            </w:pPr>
            <w:r>
              <w:rPr>
                <w:rFonts w:hint="cs"/>
                <w:spacing w:val="0"/>
                <w:sz w:val="24"/>
                <w:szCs w:val="24"/>
                <w:rtl/>
              </w:rPr>
              <w:t>النفقات النقدية للسكان</w:t>
            </w:r>
          </w:p>
        </w:tc>
        <w:tc>
          <w:tcPr>
            <w:tcW w:w="1440" w:type="dxa"/>
            <w:tcBorders>
              <w:top w:val="nil"/>
              <w:bottom w:val="nil"/>
            </w:tcBorders>
          </w:tcPr>
          <w:p w:rsidR="003865AC" w:rsidRDefault="003865AC">
            <w:pPr>
              <w:spacing w:before="0" w:after="0"/>
              <w:jc w:val="both"/>
              <w:rPr>
                <w:rFonts w:hint="cs"/>
                <w:sz w:val="24"/>
                <w:szCs w:val="24"/>
                <w:rtl/>
              </w:rPr>
            </w:pPr>
            <w:r>
              <w:rPr>
                <w:rFonts w:hint="cs"/>
                <w:sz w:val="24"/>
                <w:szCs w:val="24"/>
                <w:rtl/>
              </w:rPr>
              <w:t>بملايين اللاريات</w:t>
            </w:r>
          </w:p>
        </w:tc>
        <w:tc>
          <w:tcPr>
            <w:tcW w:w="1260" w:type="dxa"/>
            <w:tcBorders>
              <w:top w:val="nil"/>
              <w:bottom w:val="nil"/>
            </w:tcBorders>
          </w:tcPr>
          <w:p w:rsidR="003865AC" w:rsidRDefault="003865AC">
            <w:pPr>
              <w:spacing w:before="0" w:after="0"/>
              <w:jc w:val="both"/>
              <w:rPr>
                <w:rFonts w:hint="cs"/>
                <w:sz w:val="24"/>
                <w:szCs w:val="24"/>
                <w:rtl/>
              </w:rPr>
            </w:pPr>
            <w:r>
              <w:rPr>
                <w:rFonts w:hint="cs"/>
                <w:sz w:val="24"/>
                <w:szCs w:val="24"/>
                <w:rtl/>
              </w:rPr>
              <w:t>077.0 1</w:t>
            </w:r>
          </w:p>
        </w:tc>
        <w:tc>
          <w:tcPr>
            <w:tcW w:w="1260" w:type="dxa"/>
            <w:tcBorders>
              <w:top w:val="nil"/>
              <w:bottom w:val="nil"/>
            </w:tcBorders>
          </w:tcPr>
          <w:p w:rsidR="003865AC" w:rsidRDefault="003865AC">
            <w:pPr>
              <w:spacing w:before="0" w:after="0"/>
              <w:jc w:val="both"/>
              <w:rPr>
                <w:rFonts w:hint="cs"/>
                <w:sz w:val="24"/>
                <w:szCs w:val="24"/>
                <w:rtl/>
              </w:rPr>
            </w:pPr>
            <w:r>
              <w:rPr>
                <w:rFonts w:hint="cs"/>
                <w:sz w:val="24"/>
                <w:szCs w:val="24"/>
                <w:rtl/>
              </w:rPr>
              <w:t>454.6 2</w:t>
            </w:r>
          </w:p>
        </w:tc>
        <w:tc>
          <w:tcPr>
            <w:tcW w:w="1260" w:type="dxa"/>
            <w:tcBorders>
              <w:top w:val="nil"/>
              <w:bottom w:val="nil"/>
            </w:tcBorders>
          </w:tcPr>
          <w:p w:rsidR="003865AC" w:rsidRDefault="003865AC">
            <w:pPr>
              <w:spacing w:before="0" w:after="0"/>
              <w:jc w:val="both"/>
              <w:rPr>
                <w:rFonts w:hint="cs"/>
                <w:sz w:val="24"/>
                <w:szCs w:val="24"/>
                <w:rtl/>
              </w:rPr>
            </w:pPr>
            <w:r>
              <w:rPr>
                <w:rFonts w:hint="cs"/>
                <w:sz w:val="24"/>
                <w:szCs w:val="24"/>
                <w:rtl/>
              </w:rPr>
              <w:t>390.0 2</w:t>
            </w:r>
          </w:p>
        </w:tc>
        <w:tc>
          <w:tcPr>
            <w:tcW w:w="1080" w:type="dxa"/>
            <w:tcBorders>
              <w:top w:val="nil"/>
              <w:bottom w:val="nil"/>
            </w:tcBorders>
          </w:tcPr>
          <w:p w:rsidR="003865AC" w:rsidRDefault="003865AC">
            <w:pPr>
              <w:spacing w:before="0" w:after="0"/>
              <w:jc w:val="both"/>
              <w:rPr>
                <w:rFonts w:hint="cs"/>
                <w:sz w:val="24"/>
                <w:szCs w:val="24"/>
                <w:rtl/>
              </w:rPr>
            </w:pPr>
            <w:r>
              <w:rPr>
                <w:rFonts w:hint="cs"/>
                <w:sz w:val="24"/>
                <w:szCs w:val="24"/>
                <w:rtl/>
              </w:rPr>
              <w:t>534.6 2</w:t>
            </w:r>
          </w:p>
        </w:tc>
        <w:tc>
          <w:tcPr>
            <w:tcW w:w="1008" w:type="dxa"/>
            <w:tcBorders>
              <w:top w:val="nil"/>
              <w:bottom w:val="nil"/>
            </w:tcBorders>
          </w:tcPr>
          <w:p w:rsidR="003865AC" w:rsidRDefault="003865AC">
            <w:pPr>
              <w:spacing w:before="0" w:after="0"/>
              <w:jc w:val="both"/>
              <w:rPr>
                <w:rFonts w:hint="cs"/>
                <w:sz w:val="24"/>
                <w:szCs w:val="24"/>
                <w:rtl/>
              </w:rPr>
            </w:pPr>
            <w:r>
              <w:rPr>
                <w:rFonts w:hint="cs"/>
                <w:sz w:val="24"/>
                <w:szCs w:val="24"/>
                <w:rtl/>
              </w:rPr>
              <w:t>677.2 2</w:t>
            </w:r>
          </w:p>
        </w:tc>
      </w:tr>
      <w:tr w:rsidR="003865AC" w:rsidTr="003865AC">
        <w:tc>
          <w:tcPr>
            <w:tcW w:w="2160" w:type="dxa"/>
            <w:tcBorders>
              <w:top w:val="nil"/>
              <w:bottom w:val="nil"/>
            </w:tcBorders>
          </w:tcPr>
          <w:p w:rsidR="003865AC" w:rsidRDefault="003865AC">
            <w:pPr>
              <w:spacing w:before="0" w:after="0"/>
              <w:jc w:val="both"/>
              <w:rPr>
                <w:rFonts w:hint="cs"/>
                <w:sz w:val="24"/>
                <w:szCs w:val="24"/>
                <w:rtl/>
              </w:rPr>
            </w:pPr>
            <w:r>
              <w:rPr>
                <w:rFonts w:hint="cs"/>
                <w:sz w:val="24"/>
                <w:szCs w:val="24"/>
                <w:rtl/>
              </w:rPr>
              <w:t>متوسط الأجر</w:t>
            </w:r>
          </w:p>
        </w:tc>
        <w:tc>
          <w:tcPr>
            <w:tcW w:w="1440" w:type="dxa"/>
            <w:tcBorders>
              <w:top w:val="nil"/>
              <w:bottom w:val="nil"/>
            </w:tcBorders>
          </w:tcPr>
          <w:p w:rsidR="003865AC" w:rsidRDefault="003865AC">
            <w:pPr>
              <w:spacing w:before="0" w:after="0"/>
              <w:jc w:val="both"/>
              <w:rPr>
                <w:rFonts w:hint="cs"/>
                <w:sz w:val="24"/>
                <w:szCs w:val="24"/>
                <w:rtl/>
              </w:rPr>
            </w:pPr>
            <w:r>
              <w:rPr>
                <w:rFonts w:hint="cs"/>
                <w:sz w:val="24"/>
                <w:szCs w:val="24"/>
                <w:rtl/>
              </w:rPr>
              <w:t>باللاري</w:t>
            </w:r>
          </w:p>
        </w:tc>
        <w:tc>
          <w:tcPr>
            <w:tcW w:w="1260" w:type="dxa"/>
            <w:tcBorders>
              <w:top w:val="nil"/>
              <w:bottom w:val="nil"/>
            </w:tcBorders>
          </w:tcPr>
          <w:p w:rsidR="003865AC" w:rsidRDefault="003865AC">
            <w:pPr>
              <w:spacing w:before="0" w:after="0"/>
              <w:jc w:val="both"/>
              <w:rPr>
                <w:rFonts w:hint="cs"/>
                <w:sz w:val="24"/>
                <w:szCs w:val="24"/>
                <w:rtl/>
              </w:rPr>
            </w:pPr>
            <w:r>
              <w:rPr>
                <w:rFonts w:hint="cs"/>
                <w:sz w:val="24"/>
                <w:szCs w:val="24"/>
                <w:rtl/>
              </w:rPr>
              <w:t>13.6</w:t>
            </w:r>
          </w:p>
        </w:tc>
        <w:tc>
          <w:tcPr>
            <w:tcW w:w="1260" w:type="dxa"/>
            <w:tcBorders>
              <w:top w:val="nil"/>
              <w:bottom w:val="nil"/>
            </w:tcBorders>
          </w:tcPr>
          <w:p w:rsidR="003865AC" w:rsidRDefault="003865AC">
            <w:pPr>
              <w:spacing w:before="0" w:after="0"/>
              <w:jc w:val="both"/>
              <w:rPr>
                <w:rFonts w:hint="cs"/>
                <w:sz w:val="24"/>
                <w:szCs w:val="24"/>
                <w:rtl/>
              </w:rPr>
            </w:pPr>
            <w:r>
              <w:rPr>
                <w:rFonts w:hint="cs"/>
                <w:sz w:val="24"/>
                <w:szCs w:val="24"/>
                <w:rtl/>
              </w:rPr>
              <w:t>29.0</w:t>
            </w:r>
          </w:p>
        </w:tc>
        <w:tc>
          <w:tcPr>
            <w:tcW w:w="1260" w:type="dxa"/>
            <w:tcBorders>
              <w:top w:val="nil"/>
              <w:bottom w:val="nil"/>
            </w:tcBorders>
          </w:tcPr>
          <w:p w:rsidR="003865AC" w:rsidRDefault="003865AC">
            <w:pPr>
              <w:spacing w:before="0" w:after="0"/>
              <w:jc w:val="both"/>
              <w:rPr>
                <w:rFonts w:hint="cs"/>
                <w:sz w:val="24"/>
                <w:szCs w:val="24"/>
                <w:rtl/>
              </w:rPr>
            </w:pPr>
            <w:r>
              <w:rPr>
                <w:rFonts w:hint="cs"/>
                <w:sz w:val="24"/>
                <w:szCs w:val="24"/>
                <w:rtl/>
              </w:rPr>
              <w:t>42.5</w:t>
            </w:r>
          </w:p>
        </w:tc>
        <w:tc>
          <w:tcPr>
            <w:tcW w:w="1080" w:type="dxa"/>
            <w:tcBorders>
              <w:top w:val="nil"/>
              <w:bottom w:val="nil"/>
            </w:tcBorders>
          </w:tcPr>
          <w:p w:rsidR="003865AC" w:rsidRDefault="003865AC">
            <w:pPr>
              <w:spacing w:before="0" w:after="0"/>
              <w:jc w:val="both"/>
              <w:rPr>
                <w:rFonts w:hint="cs"/>
                <w:sz w:val="24"/>
                <w:szCs w:val="24"/>
                <w:rtl/>
              </w:rPr>
            </w:pPr>
            <w:r>
              <w:rPr>
                <w:rFonts w:hint="cs"/>
                <w:sz w:val="24"/>
                <w:szCs w:val="24"/>
                <w:rtl/>
              </w:rPr>
              <w:t>127.6</w:t>
            </w:r>
          </w:p>
        </w:tc>
        <w:tc>
          <w:tcPr>
            <w:tcW w:w="1008" w:type="dxa"/>
            <w:tcBorders>
              <w:top w:val="nil"/>
              <w:bottom w:val="nil"/>
            </w:tcBorders>
          </w:tcPr>
          <w:p w:rsidR="003865AC" w:rsidRDefault="003865AC">
            <w:pPr>
              <w:spacing w:before="0" w:after="0"/>
              <w:jc w:val="both"/>
              <w:rPr>
                <w:rFonts w:hint="cs"/>
                <w:sz w:val="24"/>
                <w:szCs w:val="24"/>
                <w:rtl/>
              </w:rPr>
            </w:pPr>
            <w:r>
              <w:rPr>
                <w:rFonts w:hint="cs"/>
                <w:sz w:val="24"/>
                <w:szCs w:val="24"/>
                <w:rtl/>
              </w:rPr>
              <w:t>114.4</w:t>
            </w:r>
          </w:p>
        </w:tc>
      </w:tr>
      <w:tr w:rsidR="003865AC" w:rsidTr="003865AC">
        <w:tc>
          <w:tcPr>
            <w:tcW w:w="2160" w:type="dxa"/>
            <w:tcBorders>
              <w:top w:val="nil"/>
              <w:bottom w:val="nil"/>
            </w:tcBorders>
          </w:tcPr>
          <w:p w:rsidR="003865AC" w:rsidRDefault="003865AC">
            <w:pPr>
              <w:spacing w:before="0" w:after="0"/>
              <w:jc w:val="both"/>
              <w:rPr>
                <w:rFonts w:hint="cs"/>
                <w:spacing w:val="0"/>
                <w:sz w:val="24"/>
                <w:szCs w:val="24"/>
                <w:rtl/>
              </w:rPr>
            </w:pPr>
            <w:r>
              <w:rPr>
                <w:rFonts w:hint="cs"/>
                <w:spacing w:val="0"/>
                <w:sz w:val="24"/>
                <w:szCs w:val="24"/>
                <w:rtl/>
              </w:rPr>
              <w:t>الزيادة في الإيرادات الفعلية في</w:t>
            </w:r>
            <w:r>
              <w:rPr>
                <w:spacing w:val="0"/>
                <w:sz w:val="24"/>
                <w:szCs w:val="24"/>
                <w:rtl/>
              </w:rPr>
              <w:br/>
            </w:r>
            <w:r>
              <w:rPr>
                <w:rFonts w:hint="cs"/>
                <w:spacing w:val="0"/>
                <w:sz w:val="24"/>
                <w:szCs w:val="24"/>
                <w:rtl/>
              </w:rPr>
              <w:t xml:space="preserve">   الشهر</w:t>
            </w:r>
          </w:p>
        </w:tc>
        <w:tc>
          <w:tcPr>
            <w:tcW w:w="1440" w:type="dxa"/>
            <w:tcBorders>
              <w:top w:val="nil"/>
              <w:bottom w:val="nil"/>
            </w:tcBorders>
          </w:tcPr>
          <w:p w:rsidR="003865AC" w:rsidRDefault="003865AC">
            <w:pPr>
              <w:spacing w:before="0" w:after="0"/>
              <w:jc w:val="both"/>
              <w:rPr>
                <w:rFonts w:hint="cs"/>
                <w:sz w:val="24"/>
                <w:szCs w:val="24"/>
                <w:rtl/>
              </w:rPr>
            </w:pPr>
            <w:r>
              <w:rPr>
                <w:rFonts w:hint="cs"/>
                <w:sz w:val="24"/>
                <w:szCs w:val="24"/>
                <w:rtl/>
              </w:rPr>
              <w:t>بالنسبة المئوية</w:t>
            </w:r>
          </w:p>
        </w:tc>
        <w:tc>
          <w:tcPr>
            <w:tcW w:w="1260" w:type="dxa"/>
            <w:tcBorders>
              <w:top w:val="nil"/>
              <w:bottom w:val="nil"/>
            </w:tcBorders>
          </w:tcPr>
          <w:p w:rsidR="003865AC" w:rsidRDefault="003865AC">
            <w:pPr>
              <w:spacing w:before="0" w:after="0"/>
              <w:jc w:val="both"/>
              <w:rPr>
                <w:rFonts w:hint="cs"/>
                <w:sz w:val="24"/>
                <w:szCs w:val="24"/>
                <w:rtl/>
              </w:rPr>
            </w:pPr>
            <w:r>
              <w:rPr>
                <w:rFonts w:hint="cs"/>
                <w:sz w:val="24"/>
                <w:szCs w:val="24"/>
                <w:rtl/>
              </w:rPr>
              <w:t>134.4</w:t>
            </w:r>
          </w:p>
        </w:tc>
        <w:tc>
          <w:tcPr>
            <w:tcW w:w="1260" w:type="dxa"/>
            <w:tcBorders>
              <w:top w:val="nil"/>
              <w:bottom w:val="nil"/>
            </w:tcBorders>
          </w:tcPr>
          <w:p w:rsidR="003865AC" w:rsidRDefault="003865AC">
            <w:pPr>
              <w:spacing w:before="0" w:after="0"/>
              <w:jc w:val="both"/>
              <w:rPr>
                <w:rFonts w:hint="cs"/>
                <w:sz w:val="24"/>
                <w:szCs w:val="24"/>
                <w:rtl/>
              </w:rPr>
            </w:pPr>
            <w:r>
              <w:rPr>
                <w:rFonts w:hint="cs"/>
                <w:sz w:val="24"/>
                <w:szCs w:val="24"/>
                <w:rtl/>
              </w:rPr>
              <w:t>152.9</w:t>
            </w:r>
          </w:p>
        </w:tc>
        <w:tc>
          <w:tcPr>
            <w:tcW w:w="1260" w:type="dxa"/>
            <w:tcBorders>
              <w:top w:val="nil"/>
              <w:bottom w:val="nil"/>
            </w:tcBorders>
          </w:tcPr>
          <w:p w:rsidR="003865AC" w:rsidRDefault="003865AC">
            <w:pPr>
              <w:spacing w:before="0" w:after="0"/>
              <w:jc w:val="both"/>
              <w:rPr>
                <w:rFonts w:hint="cs"/>
                <w:sz w:val="24"/>
                <w:szCs w:val="24"/>
                <w:rtl/>
              </w:rPr>
            </w:pPr>
            <w:r>
              <w:rPr>
                <w:rFonts w:hint="cs"/>
                <w:sz w:val="24"/>
                <w:szCs w:val="24"/>
                <w:rtl/>
              </w:rPr>
              <w:t>139.8</w:t>
            </w:r>
          </w:p>
        </w:tc>
        <w:tc>
          <w:tcPr>
            <w:tcW w:w="1080" w:type="dxa"/>
            <w:tcBorders>
              <w:top w:val="nil"/>
              <w:bottom w:val="nil"/>
            </w:tcBorders>
          </w:tcPr>
          <w:p w:rsidR="003865AC" w:rsidRDefault="003865AC">
            <w:pPr>
              <w:spacing w:before="0" w:after="0"/>
              <w:jc w:val="both"/>
              <w:rPr>
                <w:rFonts w:hint="cs"/>
                <w:sz w:val="24"/>
                <w:szCs w:val="24"/>
                <w:rtl/>
              </w:rPr>
            </w:pPr>
            <w:r>
              <w:rPr>
                <w:rFonts w:hint="cs"/>
                <w:sz w:val="24"/>
                <w:szCs w:val="24"/>
                <w:rtl/>
              </w:rPr>
              <w:t>123.2</w:t>
            </w:r>
          </w:p>
        </w:tc>
        <w:tc>
          <w:tcPr>
            <w:tcW w:w="1008" w:type="dxa"/>
            <w:tcBorders>
              <w:top w:val="nil"/>
              <w:bottom w:val="nil"/>
            </w:tcBorders>
          </w:tcPr>
          <w:p w:rsidR="003865AC" w:rsidRDefault="003865AC">
            <w:pPr>
              <w:spacing w:before="0" w:after="0"/>
              <w:jc w:val="both"/>
              <w:rPr>
                <w:rFonts w:hint="cs"/>
                <w:sz w:val="24"/>
                <w:szCs w:val="24"/>
                <w:rtl/>
              </w:rPr>
            </w:pPr>
            <w:r>
              <w:rPr>
                <w:rFonts w:hint="cs"/>
                <w:sz w:val="24"/>
                <w:szCs w:val="24"/>
                <w:rtl/>
              </w:rPr>
              <w:t>103.6</w:t>
            </w:r>
          </w:p>
        </w:tc>
      </w:tr>
      <w:tr w:rsidR="003865AC" w:rsidTr="003865AC">
        <w:tc>
          <w:tcPr>
            <w:tcW w:w="2160" w:type="dxa"/>
            <w:tcBorders>
              <w:top w:val="nil"/>
              <w:bottom w:val="nil"/>
            </w:tcBorders>
          </w:tcPr>
          <w:p w:rsidR="003865AC" w:rsidRDefault="003865AC">
            <w:pPr>
              <w:spacing w:before="0" w:after="0"/>
              <w:jc w:val="both"/>
              <w:rPr>
                <w:rFonts w:hint="cs"/>
                <w:sz w:val="24"/>
                <w:szCs w:val="24"/>
                <w:rtl/>
              </w:rPr>
            </w:pPr>
            <w:r>
              <w:rPr>
                <w:rFonts w:hint="cs"/>
                <w:sz w:val="24"/>
                <w:szCs w:val="24"/>
                <w:rtl/>
              </w:rPr>
              <w:t>سلة الاستهلاك الأدنى</w:t>
            </w:r>
          </w:p>
        </w:tc>
        <w:tc>
          <w:tcPr>
            <w:tcW w:w="1440" w:type="dxa"/>
            <w:tcBorders>
              <w:top w:val="nil"/>
              <w:bottom w:val="nil"/>
            </w:tcBorders>
          </w:tcPr>
          <w:p w:rsidR="003865AC" w:rsidRDefault="003865AC">
            <w:pPr>
              <w:spacing w:before="0" w:after="0"/>
              <w:jc w:val="both"/>
              <w:rPr>
                <w:rFonts w:hint="cs"/>
                <w:sz w:val="24"/>
                <w:szCs w:val="24"/>
                <w:rtl/>
              </w:rPr>
            </w:pPr>
            <w:r>
              <w:rPr>
                <w:rFonts w:hint="cs"/>
                <w:sz w:val="24"/>
                <w:szCs w:val="24"/>
                <w:rtl/>
              </w:rPr>
              <w:t>باللاري</w:t>
            </w:r>
          </w:p>
        </w:tc>
        <w:tc>
          <w:tcPr>
            <w:tcW w:w="1260" w:type="dxa"/>
            <w:tcBorders>
              <w:top w:val="nil"/>
              <w:bottom w:val="nil"/>
            </w:tcBorders>
          </w:tcPr>
          <w:p w:rsidR="003865AC" w:rsidRDefault="003865AC">
            <w:pPr>
              <w:spacing w:before="0" w:after="0"/>
              <w:jc w:val="both"/>
              <w:rPr>
                <w:rFonts w:hint="cs"/>
                <w:sz w:val="24"/>
                <w:szCs w:val="24"/>
                <w:rtl/>
              </w:rPr>
            </w:pPr>
            <w:r>
              <w:rPr>
                <w:rFonts w:hint="cs"/>
                <w:sz w:val="24"/>
                <w:szCs w:val="24"/>
                <w:rtl/>
              </w:rPr>
              <w:t>41.3</w:t>
            </w:r>
          </w:p>
        </w:tc>
        <w:tc>
          <w:tcPr>
            <w:tcW w:w="1260" w:type="dxa"/>
            <w:tcBorders>
              <w:top w:val="nil"/>
              <w:bottom w:val="nil"/>
            </w:tcBorders>
          </w:tcPr>
          <w:p w:rsidR="003865AC" w:rsidRDefault="003865AC">
            <w:pPr>
              <w:spacing w:before="0" w:after="0"/>
              <w:jc w:val="both"/>
              <w:rPr>
                <w:rFonts w:hint="cs"/>
                <w:sz w:val="24"/>
                <w:szCs w:val="24"/>
                <w:rtl/>
              </w:rPr>
            </w:pPr>
            <w:r>
              <w:rPr>
                <w:rFonts w:hint="cs"/>
                <w:sz w:val="24"/>
                <w:szCs w:val="24"/>
                <w:rtl/>
              </w:rPr>
              <w:t>47.7</w:t>
            </w:r>
          </w:p>
        </w:tc>
        <w:tc>
          <w:tcPr>
            <w:tcW w:w="1260" w:type="dxa"/>
            <w:tcBorders>
              <w:top w:val="nil"/>
              <w:bottom w:val="nil"/>
            </w:tcBorders>
          </w:tcPr>
          <w:p w:rsidR="003865AC" w:rsidRDefault="003865AC">
            <w:pPr>
              <w:spacing w:before="0" w:after="0"/>
              <w:jc w:val="both"/>
              <w:rPr>
                <w:rFonts w:hint="cs"/>
                <w:sz w:val="24"/>
                <w:szCs w:val="24"/>
                <w:rtl/>
              </w:rPr>
            </w:pPr>
            <w:r>
              <w:rPr>
                <w:rFonts w:hint="cs"/>
                <w:sz w:val="24"/>
                <w:szCs w:val="24"/>
                <w:rtl/>
              </w:rPr>
              <w:t>182.7</w:t>
            </w:r>
          </w:p>
        </w:tc>
        <w:tc>
          <w:tcPr>
            <w:tcW w:w="1080" w:type="dxa"/>
            <w:tcBorders>
              <w:top w:val="nil"/>
              <w:bottom w:val="nil"/>
            </w:tcBorders>
          </w:tcPr>
          <w:p w:rsidR="003865AC" w:rsidRDefault="003865AC">
            <w:pPr>
              <w:spacing w:before="0" w:after="0"/>
              <w:jc w:val="both"/>
              <w:rPr>
                <w:rFonts w:hint="cs"/>
                <w:sz w:val="24"/>
                <w:szCs w:val="24"/>
                <w:rtl/>
              </w:rPr>
            </w:pPr>
            <w:r>
              <w:rPr>
                <w:rFonts w:hint="cs"/>
                <w:sz w:val="24"/>
                <w:szCs w:val="24"/>
                <w:rtl/>
              </w:rPr>
              <w:t>183.9</w:t>
            </w:r>
          </w:p>
        </w:tc>
        <w:tc>
          <w:tcPr>
            <w:tcW w:w="1008" w:type="dxa"/>
            <w:tcBorders>
              <w:top w:val="nil"/>
              <w:bottom w:val="nil"/>
            </w:tcBorders>
          </w:tcPr>
          <w:p w:rsidR="003865AC" w:rsidRDefault="003865AC">
            <w:pPr>
              <w:spacing w:before="0" w:after="0"/>
              <w:jc w:val="both"/>
              <w:rPr>
                <w:rFonts w:hint="cs"/>
                <w:sz w:val="24"/>
                <w:szCs w:val="24"/>
                <w:rtl/>
              </w:rPr>
            </w:pPr>
            <w:r>
              <w:rPr>
                <w:rFonts w:hint="cs"/>
                <w:sz w:val="24"/>
                <w:szCs w:val="24"/>
                <w:rtl/>
              </w:rPr>
              <w:t>193.5</w:t>
            </w:r>
          </w:p>
        </w:tc>
      </w:tr>
      <w:tr w:rsidR="003865AC" w:rsidTr="003865AC">
        <w:tc>
          <w:tcPr>
            <w:tcW w:w="2160" w:type="dxa"/>
            <w:tcBorders>
              <w:top w:val="nil"/>
            </w:tcBorders>
          </w:tcPr>
          <w:p w:rsidR="003865AC" w:rsidRDefault="003865AC">
            <w:pPr>
              <w:spacing w:before="0" w:after="0"/>
              <w:jc w:val="both"/>
              <w:rPr>
                <w:rFonts w:hint="cs"/>
                <w:spacing w:val="-10"/>
                <w:sz w:val="24"/>
                <w:szCs w:val="24"/>
                <w:rtl/>
              </w:rPr>
            </w:pPr>
            <w:r>
              <w:rPr>
                <w:rFonts w:hint="cs"/>
                <w:spacing w:val="-10"/>
                <w:sz w:val="24"/>
                <w:szCs w:val="24"/>
                <w:rtl/>
              </w:rPr>
              <w:t>سلة الأغذية الدنيا</w:t>
            </w:r>
          </w:p>
        </w:tc>
        <w:tc>
          <w:tcPr>
            <w:tcW w:w="1440" w:type="dxa"/>
            <w:tcBorders>
              <w:top w:val="nil"/>
            </w:tcBorders>
          </w:tcPr>
          <w:p w:rsidR="003865AC" w:rsidRDefault="003865AC">
            <w:pPr>
              <w:spacing w:before="0" w:after="0"/>
              <w:jc w:val="both"/>
              <w:rPr>
                <w:rFonts w:hint="cs"/>
                <w:sz w:val="24"/>
                <w:szCs w:val="24"/>
                <w:rtl/>
              </w:rPr>
            </w:pPr>
            <w:r>
              <w:rPr>
                <w:rFonts w:hint="cs"/>
                <w:sz w:val="24"/>
                <w:szCs w:val="24"/>
                <w:rtl/>
              </w:rPr>
              <w:t>باللاري</w:t>
            </w:r>
          </w:p>
        </w:tc>
        <w:tc>
          <w:tcPr>
            <w:tcW w:w="1260" w:type="dxa"/>
            <w:tcBorders>
              <w:top w:val="nil"/>
            </w:tcBorders>
          </w:tcPr>
          <w:p w:rsidR="003865AC" w:rsidRDefault="003865AC">
            <w:pPr>
              <w:spacing w:before="0" w:after="0"/>
              <w:jc w:val="both"/>
              <w:rPr>
                <w:rFonts w:hint="cs"/>
                <w:sz w:val="24"/>
                <w:szCs w:val="24"/>
                <w:rtl/>
              </w:rPr>
            </w:pPr>
            <w:r>
              <w:rPr>
                <w:rFonts w:hint="cs"/>
                <w:sz w:val="24"/>
                <w:szCs w:val="24"/>
                <w:rtl/>
              </w:rPr>
              <w:t>28.9</w:t>
            </w:r>
          </w:p>
        </w:tc>
        <w:tc>
          <w:tcPr>
            <w:tcW w:w="1260" w:type="dxa"/>
            <w:tcBorders>
              <w:top w:val="nil"/>
            </w:tcBorders>
          </w:tcPr>
          <w:p w:rsidR="003865AC" w:rsidRDefault="003865AC">
            <w:pPr>
              <w:spacing w:before="0" w:after="0"/>
              <w:jc w:val="both"/>
              <w:rPr>
                <w:rFonts w:hint="cs"/>
                <w:sz w:val="24"/>
                <w:szCs w:val="24"/>
                <w:rtl/>
              </w:rPr>
            </w:pPr>
            <w:r>
              <w:rPr>
                <w:rFonts w:hint="cs"/>
                <w:sz w:val="24"/>
                <w:szCs w:val="24"/>
                <w:rtl/>
              </w:rPr>
              <w:t>33.4</w:t>
            </w:r>
          </w:p>
        </w:tc>
        <w:tc>
          <w:tcPr>
            <w:tcW w:w="1260" w:type="dxa"/>
            <w:tcBorders>
              <w:top w:val="nil"/>
            </w:tcBorders>
          </w:tcPr>
          <w:p w:rsidR="003865AC" w:rsidRDefault="003865AC">
            <w:pPr>
              <w:spacing w:before="0" w:after="0"/>
              <w:jc w:val="both"/>
              <w:rPr>
                <w:rFonts w:hint="cs"/>
                <w:sz w:val="24"/>
                <w:szCs w:val="24"/>
                <w:rtl/>
              </w:rPr>
            </w:pPr>
            <w:r>
              <w:rPr>
                <w:rFonts w:hint="cs"/>
                <w:sz w:val="24"/>
                <w:szCs w:val="24"/>
                <w:rtl/>
              </w:rPr>
              <w:t>128.0</w:t>
            </w:r>
          </w:p>
        </w:tc>
        <w:tc>
          <w:tcPr>
            <w:tcW w:w="1080" w:type="dxa"/>
            <w:tcBorders>
              <w:top w:val="nil"/>
            </w:tcBorders>
          </w:tcPr>
          <w:p w:rsidR="003865AC" w:rsidRDefault="003865AC">
            <w:pPr>
              <w:spacing w:before="0" w:after="0"/>
              <w:jc w:val="both"/>
              <w:rPr>
                <w:rFonts w:hint="cs"/>
                <w:sz w:val="24"/>
                <w:szCs w:val="24"/>
                <w:rtl/>
              </w:rPr>
            </w:pPr>
            <w:r>
              <w:rPr>
                <w:rFonts w:hint="cs"/>
                <w:sz w:val="24"/>
                <w:szCs w:val="24"/>
                <w:rtl/>
              </w:rPr>
              <w:t>128.7</w:t>
            </w:r>
          </w:p>
        </w:tc>
        <w:tc>
          <w:tcPr>
            <w:tcW w:w="1008" w:type="dxa"/>
            <w:tcBorders>
              <w:top w:val="nil"/>
            </w:tcBorders>
          </w:tcPr>
          <w:p w:rsidR="003865AC" w:rsidRDefault="003865AC">
            <w:pPr>
              <w:spacing w:before="0" w:after="0"/>
              <w:jc w:val="both"/>
              <w:rPr>
                <w:rFonts w:hint="cs"/>
                <w:sz w:val="24"/>
                <w:szCs w:val="24"/>
                <w:rtl/>
              </w:rPr>
            </w:pPr>
            <w:r>
              <w:rPr>
                <w:rFonts w:hint="cs"/>
                <w:sz w:val="24"/>
                <w:szCs w:val="24"/>
                <w:rtl/>
              </w:rPr>
              <w:t>135.5</w:t>
            </w:r>
          </w:p>
        </w:tc>
      </w:tr>
    </w:tbl>
    <w:p w:rsidR="00000000" w:rsidRDefault="003865AC">
      <w:pPr>
        <w:jc w:val="both"/>
        <w:rPr>
          <w:rFonts w:hint="cs"/>
          <w:i/>
          <w:iCs/>
          <w:rtl/>
        </w:rPr>
      </w:pPr>
      <w:r>
        <w:rPr>
          <w:rFonts w:hint="cs"/>
          <w:i/>
          <w:iCs/>
          <w:rtl/>
        </w:rPr>
        <w:t>الحق في الغذاء الكافي</w:t>
      </w:r>
    </w:p>
    <w:p w:rsidR="00000000" w:rsidRDefault="003865AC">
      <w:pPr>
        <w:jc w:val="both"/>
        <w:rPr>
          <w:rFonts w:hint="cs"/>
          <w:rtl/>
        </w:rPr>
      </w:pPr>
      <w:r>
        <w:rPr>
          <w:rFonts w:hint="cs"/>
          <w:rtl/>
        </w:rPr>
        <w:t>148-</w:t>
      </w:r>
      <w:r>
        <w:rPr>
          <w:rFonts w:hint="cs"/>
          <w:rtl/>
        </w:rPr>
        <w:tab/>
        <w:t>ترد أدناه معلومات من وزارة الزراعة والانتاج الغذائي تتعلق بكفالة هذا الحق. ووفق هذه المعلومات، فقد استُعملت في إعداد هذا الجدول أرقام رسمية وحديثة مصدرها مكتب الإحصاءات الوطني.</w:t>
      </w:r>
    </w:p>
    <w:p w:rsidR="00000000" w:rsidRDefault="003865AC">
      <w:pPr>
        <w:jc w:val="both"/>
        <w:rPr>
          <w:rFonts w:hint="cs"/>
          <w:rtl/>
        </w:rPr>
      </w:pPr>
      <w:r>
        <w:rPr>
          <w:rFonts w:hint="cs"/>
          <w:rtl/>
        </w:rPr>
        <w:t>149-</w:t>
      </w:r>
      <w:r>
        <w:rPr>
          <w:rFonts w:hint="cs"/>
          <w:rtl/>
        </w:rPr>
        <w:tab/>
        <w:t>وطبقا للبيانات عن الو</w:t>
      </w:r>
      <w:r>
        <w:rPr>
          <w:rFonts w:hint="cs"/>
          <w:rtl/>
        </w:rPr>
        <w:t>ضع في نهاية عام 2000، كان هناك 643 1 مؤسسة مسجلة من المؤسسات النشطة اقتصادياً في قطاعي إنتاج الأغذية والمشروبات ومعالجة التبغ وفي سنة 2000، بلغ حجم الإنتاج في هذا القطاع 298 مليون لاري بالأسعار المقارنة.</w:t>
      </w:r>
    </w:p>
    <w:p w:rsidR="00000000" w:rsidRDefault="003865AC">
      <w:pPr>
        <w:jc w:val="both"/>
        <w:rPr>
          <w:rFonts w:hint="cs"/>
          <w:rtl/>
        </w:rPr>
      </w:pPr>
      <w:r>
        <w:rPr>
          <w:rFonts w:hint="cs"/>
          <w:rtl/>
        </w:rPr>
        <w:t>150-</w:t>
      </w:r>
      <w:r>
        <w:rPr>
          <w:rFonts w:hint="cs"/>
          <w:rtl/>
        </w:rPr>
        <w:tab/>
        <w:t>ويعرض الجدول التالي الإحصاءات المتعلقة بإنتاج ا</w:t>
      </w:r>
      <w:r>
        <w:rPr>
          <w:rFonts w:hint="cs"/>
          <w:rtl/>
        </w:rPr>
        <w:t>لأغذية التي احتُفِظ بحسابات بشأنها، ويعبر عنها ماديا للفترة 1997-2000.</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16"/>
        <w:gridCol w:w="1784"/>
        <w:gridCol w:w="1096"/>
        <w:gridCol w:w="1064"/>
        <w:gridCol w:w="1080"/>
        <w:gridCol w:w="1008"/>
      </w:tblGrid>
      <w:tr w:rsidR="003865AC" w:rsidTr="003865AC">
        <w:tc>
          <w:tcPr>
            <w:tcW w:w="720" w:type="dxa"/>
            <w:tcBorders>
              <w:bottom w:val="single" w:sz="4" w:space="0" w:color="auto"/>
            </w:tcBorders>
          </w:tcPr>
          <w:p w:rsidR="003865AC" w:rsidRDefault="003865AC">
            <w:pPr>
              <w:spacing w:before="0" w:after="0" w:line="340" w:lineRule="exact"/>
              <w:jc w:val="center"/>
              <w:rPr>
                <w:rFonts w:hint="cs"/>
                <w:b/>
                <w:bCs/>
                <w:sz w:val="24"/>
                <w:szCs w:val="24"/>
                <w:rtl/>
              </w:rPr>
            </w:pPr>
            <w:r>
              <w:rPr>
                <w:rFonts w:hint="cs"/>
                <w:b/>
                <w:bCs/>
                <w:sz w:val="24"/>
                <w:szCs w:val="24"/>
                <w:rtl/>
              </w:rPr>
              <w:t>الرقم</w:t>
            </w:r>
          </w:p>
        </w:tc>
        <w:tc>
          <w:tcPr>
            <w:tcW w:w="2716" w:type="dxa"/>
            <w:tcBorders>
              <w:bottom w:val="single" w:sz="4" w:space="0" w:color="auto"/>
            </w:tcBorders>
          </w:tcPr>
          <w:p w:rsidR="003865AC" w:rsidRDefault="003865AC">
            <w:pPr>
              <w:spacing w:before="0" w:after="0" w:line="340" w:lineRule="exact"/>
              <w:jc w:val="center"/>
              <w:rPr>
                <w:rFonts w:hint="cs"/>
                <w:b/>
                <w:bCs/>
                <w:sz w:val="24"/>
                <w:szCs w:val="24"/>
                <w:rtl/>
              </w:rPr>
            </w:pPr>
            <w:r>
              <w:rPr>
                <w:rFonts w:hint="cs"/>
                <w:b/>
                <w:bCs/>
                <w:sz w:val="24"/>
                <w:szCs w:val="24"/>
                <w:rtl/>
              </w:rPr>
              <w:t>المنتَج</w:t>
            </w:r>
          </w:p>
        </w:tc>
        <w:tc>
          <w:tcPr>
            <w:tcW w:w="1784" w:type="dxa"/>
            <w:tcBorders>
              <w:bottom w:val="single" w:sz="4" w:space="0" w:color="auto"/>
            </w:tcBorders>
          </w:tcPr>
          <w:p w:rsidR="003865AC" w:rsidRDefault="003865AC">
            <w:pPr>
              <w:spacing w:before="0" w:after="0" w:line="340" w:lineRule="exact"/>
              <w:jc w:val="center"/>
              <w:rPr>
                <w:rFonts w:hint="cs"/>
                <w:b/>
                <w:bCs/>
                <w:sz w:val="24"/>
                <w:szCs w:val="24"/>
                <w:rtl/>
              </w:rPr>
            </w:pPr>
            <w:r>
              <w:rPr>
                <w:rFonts w:hint="cs"/>
                <w:b/>
                <w:bCs/>
                <w:sz w:val="24"/>
                <w:szCs w:val="24"/>
                <w:rtl/>
              </w:rPr>
              <w:t>الوحدة</w:t>
            </w:r>
          </w:p>
        </w:tc>
        <w:tc>
          <w:tcPr>
            <w:tcW w:w="1096" w:type="dxa"/>
            <w:tcBorders>
              <w:bottom w:val="single" w:sz="4" w:space="0" w:color="auto"/>
            </w:tcBorders>
          </w:tcPr>
          <w:p w:rsidR="003865AC" w:rsidRDefault="003865AC">
            <w:pPr>
              <w:spacing w:before="0" w:after="0" w:line="340" w:lineRule="exact"/>
              <w:jc w:val="center"/>
              <w:rPr>
                <w:rFonts w:hint="cs"/>
                <w:b/>
                <w:bCs/>
                <w:sz w:val="24"/>
                <w:szCs w:val="24"/>
                <w:rtl/>
              </w:rPr>
            </w:pPr>
            <w:r>
              <w:rPr>
                <w:rFonts w:hint="cs"/>
                <w:b/>
                <w:bCs/>
                <w:sz w:val="24"/>
                <w:szCs w:val="24"/>
                <w:rtl/>
              </w:rPr>
              <w:t>1997</w:t>
            </w:r>
          </w:p>
        </w:tc>
        <w:tc>
          <w:tcPr>
            <w:tcW w:w="1064" w:type="dxa"/>
            <w:tcBorders>
              <w:bottom w:val="single" w:sz="4" w:space="0" w:color="auto"/>
            </w:tcBorders>
          </w:tcPr>
          <w:p w:rsidR="003865AC" w:rsidRDefault="003865AC">
            <w:pPr>
              <w:spacing w:before="0" w:after="0" w:line="340" w:lineRule="exact"/>
              <w:jc w:val="center"/>
              <w:rPr>
                <w:rFonts w:hint="cs"/>
                <w:b/>
                <w:bCs/>
                <w:sz w:val="24"/>
                <w:szCs w:val="24"/>
                <w:rtl/>
              </w:rPr>
            </w:pPr>
            <w:r>
              <w:rPr>
                <w:rFonts w:hint="cs"/>
                <w:b/>
                <w:bCs/>
                <w:sz w:val="24"/>
                <w:szCs w:val="24"/>
                <w:rtl/>
              </w:rPr>
              <w:t>1998</w:t>
            </w:r>
          </w:p>
        </w:tc>
        <w:tc>
          <w:tcPr>
            <w:tcW w:w="1080" w:type="dxa"/>
            <w:tcBorders>
              <w:bottom w:val="single" w:sz="4" w:space="0" w:color="auto"/>
            </w:tcBorders>
          </w:tcPr>
          <w:p w:rsidR="003865AC" w:rsidRDefault="003865AC">
            <w:pPr>
              <w:spacing w:before="0" w:after="0" w:line="340" w:lineRule="exact"/>
              <w:jc w:val="center"/>
              <w:rPr>
                <w:rFonts w:hint="cs"/>
                <w:b/>
                <w:bCs/>
                <w:sz w:val="24"/>
                <w:szCs w:val="24"/>
                <w:rtl/>
              </w:rPr>
            </w:pPr>
            <w:r>
              <w:rPr>
                <w:rFonts w:hint="cs"/>
                <w:b/>
                <w:bCs/>
                <w:sz w:val="24"/>
                <w:szCs w:val="24"/>
                <w:rtl/>
              </w:rPr>
              <w:t>1999</w:t>
            </w:r>
          </w:p>
        </w:tc>
        <w:tc>
          <w:tcPr>
            <w:tcW w:w="1008" w:type="dxa"/>
            <w:tcBorders>
              <w:bottom w:val="single" w:sz="4" w:space="0" w:color="auto"/>
            </w:tcBorders>
          </w:tcPr>
          <w:p w:rsidR="003865AC" w:rsidRDefault="003865AC">
            <w:pPr>
              <w:spacing w:before="0" w:after="0" w:line="340" w:lineRule="exact"/>
              <w:jc w:val="center"/>
              <w:rPr>
                <w:rFonts w:hint="cs"/>
                <w:b/>
                <w:bCs/>
                <w:sz w:val="24"/>
                <w:szCs w:val="24"/>
                <w:rtl/>
              </w:rPr>
            </w:pPr>
            <w:r>
              <w:rPr>
                <w:rFonts w:hint="cs"/>
                <w:b/>
                <w:bCs/>
                <w:sz w:val="24"/>
                <w:szCs w:val="24"/>
                <w:rtl/>
              </w:rPr>
              <w:t>2000</w:t>
            </w:r>
          </w:p>
        </w:tc>
      </w:tr>
      <w:tr w:rsidR="003865AC" w:rsidTr="003865AC">
        <w:tc>
          <w:tcPr>
            <w:tcW w:w="720" w:type="dxa"/>
            <w:tcBorders>
              <w:bottom w:val="nil"/>
            </w:tcBorders>
          </w:tcPr>
          <w:p w:rsidR="003865AC" w:rsidRDefault="003865AC">
            <w:pPr>
              <w:spacing w:before="0" w:after="0" w:line="340" w:lineRule="exact"/>
              <w:jc w:val="center"/>
              <w:rPr>
                <w:rFonts w:hint="cs"/>
                <w:sz w:val="24"/>
                <w:szCs w:val="24"/>
                <w:rtl/>
              </w:rPr>
            </w:pPr>
            <w:r>
              <w:rPr>
                <w:rFonts w:hint="cs"/>
                <w:sz w:val="24"/>
                <w:szCs w:val="24"/>
                <w:rtl/>
              </w:rPr>
              <w:t>1</w:t>
            </w:r>
          </w:p>
        </w:tc>
        <w:tc>
          <w:tcPr>
            <w:tcW w:w="2716" w:type="dxa"/>
            <w:tcBorders>
              <w:bottom w:val="nil"/>
            </w:tcBorders>
          </w:tcPr>
          <w:p w:rsidR="003865AC" w:rsidRDefault="003865AC">
            <w:pPr>
              <w:spacing w:before="0" w:after="0" w:line="340" w:lineRule="exact"/>
              <w:jc w:val="both"/>
              <w:rPr>
                <w:rFonts w:hint="cs"/>
                <w:b/>
                <w:bCs/>
                <w:sz w:val="24"/>
                <w:szCs w:val="24"/>
                <w:rtl/>
              </w:rPr>
            </w:pPr>
            <w:r>
              <w:rPr>
                <w:rFonts w:hint="cs"/>
                <w:sz w:val="24"/>
                <w:szCs w:val="24"/>
                <w:rtl/>
              </w:rPr>
              <w:t>شاي معبأ</w:t>
            </w:r>
          </w:p>
        </w:tc>
        <w:tc>
          <w:tcPr>
            <w:tcW w:w="1784" w:type="dxa"/>
            <w:tcBorders>
              <w:bottom w:val="nil"/>
            </w:tcBorders>
          </w:tcPr>
          <w:p w:rsidR="003865AC" w:rsidRDefault="003865AC">
            <w:pPr>
              <w:spacing w:before="0" w:after="0" w:line="340" w:lineRule="exact"/>
              <w:jc w:val="both"/>
              <w:rPr>
                <w:rFonts w:hint="cs"/>
                <w:sz w:val="24"/>
                <w:szCs w:val="24"/>
                <w:rtl/>
              </w:rPr>
            </w:pPr>
            <w:r>
              <w:rPr>
                <w:rFonts w:hint="cs"/>
                <w:sz w:val="24"/>
                <w:szCs w:val="24"/>
                <w:rtl/>
              </w:rPr>
              <w:t>بالأطنان</w:t>
            </w:r>
          </w:p>
        </w:tc>
        <w:tc>
          <w:tcPr>
            <w:tcW w:w="1096" w:type="dxa"/>
            <w:tcBorders>
              <w:bottom w:val="nil"/>
            </w:tcBorders>
          </w:tcPr>
          <w:p w:rsidR="003865AC" w:rsidRDefault="003865AC">
            <w:pPr>
              <w:spacing w:before="0" w:after="0" w:line="340" w:lineRule="exact"/>
              <w:jc w:val="center"/>
              <w:rPr>
                <w:rFonts w:hint="cs"/>
                <w:sz w:val="24"/>
                <w:szCs w:val="24"/>
                <w:rtl/>
              </w:rPr>
            </w:pPr>
            <w:r>
              <w:rPr>
                <w:rFonts w:hint="cs"/>
                <w:sz w:val="24"/>
                <w:szCs w:val="24"/>
                <w:rtl/>
              </w:rPr>
              <w:t>303 6</w:t>
            </w:r>
          </w:p>
        </w:tc>
        <w:tc>
          <w:tcPr>
            <w:tcW w:w="1064" w:type="dxa"/>
            <w:tcBorders>
              <w:bottom w:val="nil"/>
            </w:tcBorders>
          </w:tcPr>
          <w:p w:rsidR="003865AC" w:rsidRDefault="003865AC">
            <w:pPr>
              <w:spacing w:before="0" w:after="0" w:line="340" w:lineRule="exact"/>
              <w:jc w:val="center"/>
              <w:rPr>
                <w:rFonts w:hint="cs"/>
                <w:sz w:val="24"/>
                <w:szCs w:val="24"/>
                <w:rtl/>
              </w:rPr>
            </w:pPr>
            <w:r>
              <w:rPr>
                <w:rFonts w:hint="cs"/>
                <w:sz w:val="24"/>
                <w:szCs w:val="24"/>
                <w:rtl/>
              </w:rPr>
              <w:t>956 2</w:t>
            </w:r>
          </w:p>
        </w:tc>
        <w:tc>
          <w:tcPr>
            <w:tcW w:w="1080" w:type="dxa"/>
            <w:tcBorders>
              <w:bottom w:val="nil"/>
            </w:tcBorders>
          </w:tcPr>
          <w:p w:rsidR="003865AC" w:rsidRDefault="003865AC">
            <w:pPr>
              <w:spacing w:before="0" w:after="0" w:line="340" w:lineRule="exact"/>
              <w:jc w:val="center"/>
              <w:rPr>
                <w:rFonts w:hint="cs"/>
                <w:sz w:val="24"/>
                <w:szCs w:val="24"/>
                <w:rtl/>
              </w:rPr>
            </w:pPr>
            <w:r>
              <w:rPr>
                <w:rFonts w:hint="cs"/>
                <w:sz w:val="24"/>
                <w:szCs w:val="24"/>
                <w:rtl/>
              </w:rPr>
              <w:t>648 2</w:t>
            </w:r>
          </w:p>
        </w:tc>
        <w:tc>
          <w:tcPr>
            <w:tcW w:w="1008" w:type="dxa"/>
            <w:tcBorders>
              <w:bottom w:val="nil"/>
            </w:tcBorders>
          </w:tcPr>
          <w:p w:rsidR="003865AC" w:rsidRDefault="003865AC">
            <w:pPr>
              <w:spacing w:before="0" w:after="0" w:line="340" w:lineRule="exact"/>
              <w:jc w:val="center"/>
              <w:rPr>
                <w:rFonts w:hint="cs"/>
                <w:sz w:val="24"/>
                <w:szCs w:val="24"/>
                <w:rtl/>
              </w:rPr>
            </w:pPr>
            <w:r>
              <w:rPr>
                <w:rFonts w:hint="cs"/>
                <w:sz w:val="24"/>
                <w:szCs w:val="24"/>
                <w:rtl/>
              </w:rPr>
              <w:t>031 2</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2</w:t>
            </w:r>
          </w:p>
        </w:tc>
        <w:tc>
          <w:tcPr>
            <w:tcW w:w="2716" w:type="dxa"/>
            <w:tcBorders>
              <w:top w:val="nil"/>
              <w:bottom w:val="nil"/>
            </w:tcBorders>
          </w:tcPr>
          <w:p w:rsidR="003865AC" w:rsidRDefault="003865AC">
            <w:pPr>
              <w:spacing w:before="0" w:after="0" w:line="340" w:lineRule="exact"/>
              <w:jc w:val="both"/>
              <w:rPr>
                <w:rFonts w:hint="cs"/>
                <w:b/>
                <w:bCs/>
                <w:spacing w:val="-8"/>
                <w:kern w:val="10"/>
                <w:sz w:val="24"/>
                <w:szCs w:val="24"/>
                <w:rtl/>
              </w:rPr>
            </w:pPr>
            <w:r>
              <w:rPr>
                <w:rFonts w:hint="cs"/>
                <w:spacing w:val="-8"/>
                <w:kern w:val="10"/>
                <w:sz w:val="24"/>
                <w:szCs w:val="24"/>
                <w:rtl/>
              </w:rPr>
              <w:t>شاي مستخلص من التحضير الأولي</w:t>
            </w:r>
          </w:p>
        </w:tc>
        <w:tc>
          <w:tcPr>
            <w:tcW w:w="1784"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بالأطنان</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274 9</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989 9</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898 12</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949 4</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3</w:t>
            </w:r>
          </w:p>
        </w:tc>
        <w:tc>
          <w:tcPr>
            <w:tcW w:w="2716" w:type="dxa"/>
            <w:tcBorders>
              <w:top w:val="nil"/>
              <w:bottom w:val="nil"/>
            </w:tcBorders>
          </w:tcPr>
          <w:p w:rsidR="003865AC" w:rsidRDefault="003865AC">
            <w:pPr>
              <w:spacing w:before="0" w:after="0" w:line="340" w:lineRule="exact"/>
              <w:jc w:val="both"/>
              <w:rPr>
                <w:rFonts w:hint="cs"/>
                <w:spacing w:val="0"/>
                <w:sz w:val="24"/>
                <w:szCs w:val="24"/>
                <w:rtl/>
              </w:rPr>
            </w:pPr>
            <w:r>
              <w:rPr>
                <w:rFonts w:hint="cs"/>
                <w:spacing w:val="0"/>
                <w:sz w:val="24"/>
                <w:szCs w:val="24"/>
                <w:rtl/>
              </w:rPr>
              <w:t>شاي أخضر في شكل قطع</w:t>
            </w:r>
          </w:p>
        </w:tc>
        <w:tc>
          <w:tcPr>
            <w:tcW w:w="1784"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بالأطنان</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249 1</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915 1</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861 1</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110 1</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4</w:t>
            </w:r>
          </w:p>
        </w:tc>
        <w:tc>
          <w:tcPr>
            <w:tcW w:w="2716"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نبيذ ومنتجاته</w:t>
            </w:r>
          </w:p>
        </w:tc>
        <w:tc>
          <w:tcPr>
            <w:tcW w:w="1784"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آلاف أعشار اللتر</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883.0 2</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304.0 2</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939.0 1</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816.0 1</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5</w:t>
            </w:r>
          </w:p>
        </w:tc>
        <w:tc>
          <w:tcPr>
            <w:tcW w:w="2716" w:type="dxa"/>
            <w:tcBorders>
              <w:top w:val="nil"/>
              <w:bottom w:val="nil"/>
            </w:tcBorders>
          </w:tcPr>
          <w:p w:rsidR="003865AC" w:rsidRDefault="003865AC">
            <w:pPr>
              <w:spacing w:before="0" w:after="0" w:line="340" w:lineRule="exact"/>
              <w:jc w:val="both"/>
              <w:rPr>
                <w:rFonts w:hint="cs"/>
                <w:spacing w:val="-18"/>
                <w:sz w:val="24"/>
                <w:szCs w:val="24"/>
                <w:rtl/>
              </w:rPr>
            </w:pPr>
            <w:r>
              <w:rPr>
                <w:rFonts w:hint="cs"/>
                <w:spacing w:val="-18"/>
                <w:sz w:val="24"/>
                <w:szCs w:val="24"/>
                <w:rtl/>
              </w:rPr>
              <w:t>"براندي"</w:t>
            </w:r>
          </w:p>
        </w:tc>
        <w:tc>
          <w:tcPr>
            <w:tcW w:w="1784" w:type="dxa"/>
            <w:tcBorders>
              <w:top w:val="nil"/>
              <w:bottom w:val="nil"/>
            </w:tcBorders>
          </w:tcPr>
          <w:p w:rsidR="003865AC" w:rsidRDefault="003865AC">
            <w:pPr>
              <w:spacing w:before="0" w:after="0" w:line="340" w:lineRule="exact"/>
              <w:jc w:val="both"/>
              <w:rPr>
                <w:rFonts w:hint="cs"/>
                <w:spacing w:val="0"/>
                <w:sz w:val="24"/>
                <w:szCs w:val="24"/>
                <w:rtl/>
              </w:rPr>
            </w:pPr>
            <w:r>
              <w:rPr>
                <w:rFonts w:hint="cs"/>
                <w:spacing w:val="0"/>
                <w:sz w:val="24"/>
                <w:szCs w:val="24"/>
                <w:rtl/>
              </w:rPr>
              <w:t>آلاف أعشار اللتر</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78.1</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37.8</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31.1</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70.6</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6</w:t>
            </w:r>
          </w:p>
        </w:tc>
        <w:tc>
          <w:tcPr>
            <w:tcW w:w="2716" w:type="dxa"/>
            <w:tcBorders>
              <w:top w:val="nil"/>
              <w:bottom w:val="nil"/>
            </w:tcBorders>
          </w:tcPr>
          <w:p w:rsidR="003865AC" w:rsidRDefault="003865AC">
            <w:pPr>
              <w:spacing w:before="0" w:after="0" w:line="340" w:lineRule="exact"/>
              <w:jc w:val="both"/>
              <w:rPr>
                <w:rFonts w:hint="cs"/>
                <w:spacing w:val="0"/>
                <w:sz w:val="24"/>
                <w:szCs w:val="24"/>
                <w:rtl/>
              </w:rPr>
            </w:pPr>
            <w:r>
              <w:rPr>
                <w:rFonts w:hint="cs"/>
                <w:spacing w:val="0"/>
                <w:sz w:val="24"/>
                <w:szCs w:val="24"/>
                <w:rtl/>
              </w:rPr>
              <w:t>فودكا ومشروبات كحولية أخرى</w:t>
            </w:r>
          </w:p>
        </w:tc>
        <w:tc>
          <w:tcPr>
            <w:tcW w:w="1784"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آلاف أعشار اللتر</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276.0</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112.7</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463.8</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430.1</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7</w:t>
            </w:r>
          </w:p>
        </w:tc>
        <w:tc>
          <w:tcPr>
            <w:tcW w:w="2716"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نبيذ فوار</w:t>
            </w:r>
          </w:p>
        </w:tc>
        <w:tc>
          <w:tcPr>
            <w:tcW w:w="1784"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بآلاف القوارير</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133.4</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40.3</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66.9</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87.9</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8</w:t>
            </w:r>
          </w:p>
        </w:tc>
        <w:tc>
          <w:tcPr>
            <w:tcW w:w="2716"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سجائر</w:t>
            </w:r>
          </w:p>
        </w:tc>
        <w:tc>
          <w:tcPr>
            <w:tcW w:w="1784"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بالملايين</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917</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601</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327 1</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285</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9</w:t>
            </w:r>
          </w:p>
        </w:tc>
        <w:tc>
          <w:tcPr>
            <w:tcW w:w="2716"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تبغ مخمَّر</w:t>
            </w:r>
          </w:p>
        </w:tc>
        <w:tc>
          <w:tcPr>
            <w:tcW w:w="1784"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بالأطنان</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318</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791</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161</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10</w:t>
            </w:r>
          </w:p>
        </w:tc>
        <w:tc>
          <w:tcPr>
            <w:tcW w:w="2716"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حلويات</w:t>
            </w:r>
          </w:p>
        </w:tc>
        <w:tc>
          <w:tcPr>
            <w:tcW w:w="1784"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بالأطنان</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234</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276</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154</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143</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11</w:t>
            </w:r>
          </w:p>
        </w:tc>
        <w:tc>
          <w:tcPr>
            <w:tcW w:w="2716"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سكر حبيبات</w:t>
            </w:r>
          </w:p>
        </w:tc>
        <w:tc>
          <w:tcPr>
            <w:tcW w:w="1784"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بالأطنان</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695 19</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012 20</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282 35</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12</w:t>
            </w:r>
          </w:p>
        </w:tc>
        <w:tc>
          <w:tcPr>
            <w:tcW w:w="2716"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 xml:space="preserve">مياه معدنية </w:t>
            </w:r>
          </w:p>
        </w:tc>
        <w:tc>
          <w:tcPr>
            <w:tcW w:w="1784"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بآلاف القوارير</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443 66</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286 61</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662 49</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265 72</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13</w:t>
            </w:r>
          </w:p>
        </w:tc>
        <w:tc>
          <w:tcPr>
            <w:tcW w:w="2716"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مياه شرب أخرى</w:t>
            </w:r>
          </w:p>
        </w:tc>
        <w:tc>
          <w:tcPr>
            <w:tcW w:w="1784"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بآلاف القوارير</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865</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462 7</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248 3</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186 8</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14</w:t>
            </w:r>
          </w:p>
        </w:tc>
        <w:tc>
          <w:tcPr>
            <w:tcW w:w="2716"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جعة</w:t>
            </w:r>
          </w:p>
        </w:tc>
        <w:tc>
          <w:tcPr>
            <w:tcW w:w="1784"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بآلاف القوارير</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783</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971</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257 1</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345 2</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 xml:space="preserve">15 </w:t>
            </w:r>
          </w:p>
        </w:tc>
        <w:tc>
          <w:tcPr>
            <w:tcW w:w="2716"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مشروبات غير كحولية</w:t>
            </w:r>
          </w:p>
        </w:tc>
        <w:tc>
          <w:tcPr>
            <w:tcW w:w="1784"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بآلاف القوارير</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031 4</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903 2</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195 2</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867 2</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16</w:t>
            </w:r>
          </w:p>
        </w:tc>
        <w:tc>
          <w:tcPr>
            <w:tcW w:w="2716"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فواكه وخضار محفوطة</w:t>
            </w:r>
          </w:p>
        </w:tc>
        <w:tc>
          <w:tcPr>
            <w:tcW w:w="1784" w:type="dxa"/>
            <w:tcBorders>
              <w:top w:val="nil"/>
              <w:bottom w:val="nil"/>
            </w:tcBorders>
          </w:tcPr>
          <w:p w:rsidR="003865AC" w:rsidRDefault="003865AC">
            <w:pPr>
              <w:spacing w:before="0" w:after="0" w:line="340" w:lineRule="exact"/>
              <w:jc w:val="both"/>
              <w:rPr>
                <w:rFonts w:hint="cs"/>
                <w:spacing w:val="0"/>
                <w:sz w:val="24"/>
                <w:szCs w:val="24"/>
                <w:rtl/>
              </w:rPr>
            </w:pPr>
            <w:r>
              <w:rPr>
                <w:rFonts w:hint="cs"/>
                <w:spacing w:val="0"/>
                <w:sz w:val="24"/>
                <w:szCs w:val="24"/>
                <w:rtl/>
              </w:rPr>
              <w:t>بآلاف العلب والجرار</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078 9</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943 2</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626 6</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625 4</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17</w:t>
            </w:r>
          </w:p>
        </w:tc>
        <w:tc>
          <w:tcPr>
            <w:tcW w:w="2716"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لحوم من الفئة 1 (مع مشتقاتها)</w:t>
            </w:r>
          </w:p>
        </w:tc>
        <w:tc>
          <w:tcPr>
            <w:tcW w:w="1784"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بالأطنان</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39</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178</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6</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9</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18</w:t>
            </w:r>
          </w:p>
        </w:tc>
        <w:tc>
          <w:tcPr>
            <w:tcW w:w="2716"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منتجات الحليب كامل الدسم</w:t>
            </w:r>
          </w:p>
        </w:tc>
        <w:tc>
          <w:tcPr>
            <w:tcW w:w="1784"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بالأطنان</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354 5</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639 6</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587 4</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739 3</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19</w:t>
            </w:r>
          </w:p>
        </w:tc>
        <w:tc>
          <w:tcPr>
            <w:tcW w:w="2716" w:type="dxa"/>
            <w:tcBorders>
              <w:top w:val="nil"/>
              <w:bottom w:val="nil"/>
            </w:tcBorders>
          </w:tcPr>
          <w:p w:rsidR="003865AC" w:rsidRDefault="003865AC">
            <w:pPr>
              <w:spacing w:before="0" w:after="0" w:line="340" w:lineRule="exact"/>
              <w:jc w:val="both"/>
              <w:rPr>
                <w:rFonts w:hint="cs"/>
                <w:spacing w:val="-6"/>
                <w:sz w:val="24"/>
                <w:szCs w:val="24"/>
                <w:rtl/>
              </w:rPr>
            </w:pPr>
            <w:r>
              <w:rPr>
                <w:rFonts w:hint="cs"/>
                <w:spacing w:val="-6"/>
                <w:sz w:val="24"/>
                <w:szCs w:val="24"/>
                <w:rtl/>
              </w:rPr>
              <w:t>الأجبان الدسمة والأجبان البيضاء الأخرى</w:t>
            </w:r>
          </w:p>
        </w:tc>
        <w:tc>
          <w:tcPr>
            <w:tcW w:w="1784"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بالأطنان</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132</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47</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92</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65</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20</w:t>
            </w:r>
          </w:p>
        </w:tc>
        <w:tc>
          <w:tcPr>
            <w:tcW w:w="2716"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زبدة</w:t>
            </w:r>
          </w:p>
        </w:tc>
        <w:tc>
          <w:tcPr>
            <w:tcW w:w="1784"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بالأطنان</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887</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265</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490 1</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812</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21</w:t>
            </w:r>
          </w:p>
        </w:tc>
        <w:tc>
          <w:tcPr>
            <w:tcW w:w="2716"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نقانق</w:t>
            </w:r>
          </w:p>
        </w:tc>
        <w:tc>
          <w:tcPr>
            <w:tcW w:w="1784"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بالأطنان</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898</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152 1</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422 1</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906</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22</w:t>
            </w:r>
          </w:p>
        </w:tc>
        <w:tc>
          <w:tcPr>
            <w:tcW w:w="2716" w:type="dxa"/>
            <w:tcBorders>
              <w:top w:val="nil"/>
              <w:bottom w:val="nil"/>
            </w:tcBorders>
          </w:tcPr>
          <w:p w:rsidR="003865AC" w:rsidRDefault="003865AC">
            <w:pPr>
              <w:spacing w:before="0" w:after="0" w:line="340" w:lineRule="exact"/>
              <w:jc w:val="both"/>
              <w:rPr>
                <w:rFonts w:hint="cs"/>
                <w:spacing w:val="0"/>
                <w:sz w:val="24"/>
                <w:szCs w:val="24"/>
                <w:rtl/>
              </w:rPr>
            </w:pPr>
            <w:r>
              <w:rPr>
                <w:rFonts w:hint="cs"/>
                <w:spacing w:val="0"/>
                <w:sz w:val="24"/>
                <w:szCs w:val="24"/>
                <w:rtl/>
              </w:rPr>
              <w:t>منتجات سمكية (بما فيها السمك المعلَّب)</w:t>
            </w:r>
          </w:p>
        </w:tc>
        <w:tc>
          <w:tcPr>
            <w:tcW w:w="1784"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بالأطنان</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107</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15.9</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3.1</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62</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23</w:t>
            </w:r>
          </w:p>
        </w:tc>
        <w:tc>
          <w:tcPr>
            <w:tcW w:w="2716"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مجموع الزيوت النباتية</w:t>
            </w:r>
          </w:p>
        </w:tc>
        <w:tc>
          <w:tcPr>
            <w:tcW w:w="1784"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بالأطنان</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830</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542</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476</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189</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24</w:t>
            </w:r>
          </w:p>
        </w:tc>
        <w:tc>
          <w:tcPr>
            <w:tcW w:w="2716"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الخبز ومنتجاته</w:t>
            </w:r>
          </w:p>
        </w:tc>
        <w:tc>
          <w:tcPr>
            <w:tcW w:w="1784"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بآلاف الأطنان</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297.9</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172.5</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113.6</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109.4</w:t>
            </w:r>
          </w:p>
        </w:tc>
      </w:tr>
      <w:tr w:rsidR="003865AC" w:rsidTr="003865AC">
        <w:tc>
          <w:tcPr>
            <w:tcW w:w="72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25</w:t>
            </w:r>
          </w:p>
        </w:tc>
        <w:tc>
          <w:tcPr>
            <w:tcW w:w="2716"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مجموع الدقيق</w:t>
            </w:r>
          </w:p>
        </w:tc>
        <w:tc>
          <w:tcPr>
            <w:tcW w:w="1784" w:type="dxa"/>
            <w:tcBorders>
              <w:top w:val="nil"/>
              <w:bottom w:val="nil"/>
            </w:tcBorders>
          </w:tcPr>
          <w:p w:rsidR="003865AC" w:rsidRDefault="003865AC">
            <w:pPr>
              <w:spacing w:before="0" w:after="0" w:line="340" w:lineRule="exact"/>
              <w:jc w:val="both"/>
              <w:rPr>
                <w:rFonts w:hint="cs"/>
                <w:sz w:val="24"/>
                <w:szCs w:val="24"/>
                <w:rtl/>
              </w:rPr>
            </w:pPr>
            <w:r>
              <w:rPr>
                <w:rFonts w:hint="cs"/>
                <w:sz w:val="24"/>
                <w:szCs w:val="24"/>
                <w:rtl/>
              </w:rPr>
              <w:t>بآلاف الأطنان</w:t>
            </w:r>
          </w:p>
        </w:tc>
        <w:tc>
          <w:tcPr>
            <w:tcW w:w="1096"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180.2</w:t>
            </w:r>
          </w:p>
        </w:tc>
        <w:tc>
          <w:tcPr>
            <w:tcW w:w="1064"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147.6</w:t>
            </w:r>
          </w:p>
        </w:tc>
        <w:tc>
          <w:tcPr>
            <w:tcW w:w="1080"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114.4</w:t>
            </w:r>
          </w:p>
        </w:tc>
        <w:tc>
          <w:tcPr>
            <w:tcW w:w="1008" w:type="dxa"/>
            <w:tcBorders>
              <w:top w:val="nil"/>
              <w:bottom w:val="nil"/>
            </w:tcBorders>
          </w:tcPr>
          <w:p w:rsidR="003865AC" w:rsidRDefault="003865AC">
            <w:pPr>
              <w:spacing w:before="0" w:after="0" w:line="340" w:lineRule="exact"/>
              <w:jc w:val="center"/>
              <w:rPr>
                <w:rFonts w:hint="cs"/>
                <w:sz w:val="24"/>
                <w:szCs w:val="24"/>
                <w:rtl/>
              </w:rPr>
            </w:pPr>
            <w:r>
              <w:rPr>
                <w:rFonts w:hint="cs"/>
                <w:sz w:val="24"/>
                <w:szCs w:val="24"/>
                <w:rtl/>
              </w:rPr>
              <w:t>101.4</w:t>
            </w:r>
          </w:p>
        </w:tc>
      </w:tr>
      <w:tr w:rsidR="003865AC" w:rsidTr="003865AC">
        <w:tc>
          <w:tcPr>
            <w:tcW w:w="720" w:type="dxa"/>
            <w:tcBorders>
              <w:top w:val="nil"/>
            </w:tcBorders>
          </w:tcPr>
          <w:p w:rsidR="003865AC" w:rsidRDefault="003865AC">
            <w:pPr>
              <w:spacing w:before="0" w:after="0" w:line="340" w:lineRule="exact"/>
              <w:jc w:val="center"/>
              <w:rPr>
                <w:rFonts w:hint="cs"/>
                <w:sz w:val="24"/>
                <w:szCs w:val="24"/>
                <w:rtl/>
              </w:rPr>
            </w:pPr>
            <w:r>
              <w:rPr>
                <w:rFonts w:hint="cs"/>
                <w:sz w:val="24"/>
                <w:szCs w:val="24"/>
                <w:rtl/>
              </w:rPr>
              <w:t>26</w:t>
            </w:r>
          </w:p>
        </w:tc>
        <w:tc>
          <w:tcPr>
            <w:tcW w:w="2716" w:type="dxa"/>
            <w:tcBorders>
              <w:top w:val="nil"/>
            </w:tcBorders>
          </w:tcPr>
          <w:p w:rsidR="003865AC" w:rsidRDefault="003865AC">
            <w:pPr>
              <w:spacing w:before="0" w:after="0" w:line="340" w:lineRule="exact"/>
              <w:jc w:val="both"/>
              <w:rPr>
                <w:rFonts w:hint="cs"/>
                <w:sz w:val="24"/>
                <w:szCs w:val="24"/>
                <w:rtl/>
              </w:rPr>
            </w:pPr>
            <w:r>
              <w:rPr>
                <w:rFonts w:hint="cs"/>
                <w:sz w:val="24"/>
                <w:szCs w:val="24"/>
                <w:rtl/>
              </w:rPr>
              <w:t>منتَجات العجائن</w:t>
            </w:r>
          </w:p>
        </w:tc>
        <w:tc>
          <w:tcPr>
            <w:tcW w:w="1784" w:type="dxa"/>
            <w:tcBorders>
              <w:top w:val="nil"/>
            </w:tcBorders>
          </w:tcPr>
          <w:p w:rsidR="003865AC" w:rsidRDefault="003865AC">
            <w:pPr>
              <w:spacing w:before="0" w:after="0" w:line="340" w:lineRule="exact"/>
              <w:jc w:val="both"/>
              <w:rPr>
                <w:rFonts w:hint="cs"/>
                <w:sz w:val="24"/>
                <w:szCs w:val="24"/>
                <w:rtl/>
              </w:rPr>
            </w:pPr>
            <w:r>
              <w:rPr>
                <w:rFonts w:hint="cs"/>
                <w:sz w:val="24"/>
                <w:szCs w:val="24"/>
                <w:rtl/>
              </w:rPr>
              <w:t>بالأطنان</w:t>
            </w:r>
          </w:p>
        </w:tc>
        <w:tc>
          <w:tcPr>
            <w:tcW w:w="1096" w:type="dxa"/>
            <w:tcBorders>
              <w:top w:val="nil"/>
            </w:tcBorders>
          </w:tcPr>
          <w:p w:rsidR="003865AC" w:rsidRDefault="003865AC">
            <w:pPr>
              <w:spacing w:before="0" w:after="0" w:line="340" w:lineRule="exact"/>
              <w:jc w:val="center"/>
              <w:rPr>
                <w:rFonts w:hint="cs"/>
                <w:sz w:val="24"/>
                <w:szCs w:val="24"/>
                <w:rtl/>
              </w:rPr>
            </w:pPr>
            <w:r>
              <w:rPr>
                <w:rFonts w:hint="cs"/>
                <w:sz w:val="24"/>
                <w:szCs w:val="24"/>
                <w:rtl/>
              </w:rPr>
              <w:t>344</w:t>
            </w:r>
          </w:p>
        </w:tc>
        <w:tc>
          <w:tcPr>
            <w:tcW w:w="1064" w:type="dxa"/>
            <w:tcBorders>
              <w:top w:val="nil"/>
            </w:tcBorders>
          </w:tcPr>
          <w:p w:rsidR="003865AC" w:rsidRDefault="003865AC">
            <w:pPr>
              <w:spacing w:before="0" w:after="0" w:line="340" w:lineRule="exact"/>
              <w:jc w:val="center"/>
              <w:rPr>
                <w:rFonts w:hint="cs"/>
                <w:sz w:val="24"/>
                <w:szCs w:val="24"/>
                <w:rtl/>
              </w:rPr>
            </w:pPr>
            <w:r>
              <w:rPr>
                <w:rFonts w:hint="cs"/>
                <w:sz w:val="24"/>
                <w:szCs w:val="24"/>
                <w:rtl/>
              </w:rPr>
              <w:t>860</w:t>
            </w:r>
          </w:p>
        </w:tc>
        <w:tc>
          <w:tcPr>
            <w:tcW w:w="1080" w:type="dxa"/>
            <w:tcBorders>
              <w:top w:val="nil"/>
            </w:tcBorders>
          </w:tcPr>
          <w:p w:rsidR="003865AC" w:rsidRDefault="003865AC">
            <w:pPr>
              <w:spacing w:before="0" w:after="0" w:line="340" w:lineRule="exact"/>
              <w:jc w:val="center"/>
              <w:rPr>
                <w:rFonts w:hint="cs"/>
                <w:sz w:val="24"/>
                <w:szCs w:val="24"/>
                <w:rtl/>
              </w:rPr>
            </w:pPr>
            <w:r>
              <w:rPr>
                <w:rFonts w:hint="cs"/>
                <w:sz w:val="24"/>
                <w:szCs w:val="24"/>
                <w:rtl/>
              </w:rPr>
              <w:t>470</w:t>
            </w:r>
          </w:p>
        </w:tc>
        <w:tc>
          <w:tcPr>
            <w:tcW w:w="1008" w:type="dxa"/>
            <w:tcBorders>
              <w:top w:val="nil"/>
            </w:tcBorders>
          </w:tcPr>
          <w:p w:rsidR="003865AC" w:rsidRDefault="003865AC">
            <w:pPr>
              <w:spacing w:before="0" w:after="0" w:line="340" w:lineRule="exact"/>
              <w:jc w:val="center"/>
              <w:rPr>
                <w:rFonts w:hint="cs"/>
                <w:sz w:val="24"/>
                <w:szCs w:val="24"/>
                <w:rtl/>
              </w:rPr>
            </w:pPr>
            <w:r>
              <w:rPr>
                <w:rFonts w:hint="cs"/>
                <w:sz w:val="24"/>
                <w:szCs w:val="24"/>
                <w:rtl/>
              </w:rPr>
              <w:t>270</w:t>
            </w:r>
          </w:p>
        </w:tc>
      </w:tr>
    </w:tbl>
    <w:p w:rsidR="00000000" w:rsidRDefault="003865AC">
      <w:pPr>
        <w:jc w:val="both"/>
        <w:rPr>
          <w:rFonts w:hint="cs"/>
          <w:rtl/>
        </w:rPr>
      </w:pPr>
    </w:p>
    <w:p w:rsidR="00000000" w:rsidRDefault="003865AC">
      <w:pPr>
        <w:jc w:val="both"/>
        <w:rPr>
          <w:rFonts w:hint="cs"/>
          <w:rtl/>
        </w:rPr>
      </w:pPr>
      <w:r>
        <w:rPr>
          <w:rFonts w:hint="cs"/>
          <w:rtl/>
        </w:rPr>
        <w:t>151-</w:t>
      </w:r>
      <w:r>
        <w:rPr>
          <w:rFonts w:hint="cs"/>
          <w:rtl/>
        </w:rPr>
        <w:tab/>
        <w:t>وكمـا يبدو مـن الجدول، فإن التوقف المؤ</w:t>
      </w:r>
      <w:r>
        <w:rPr>
          <w:rFonts w:hint="cs"/>
          <w:rtl/>
        </w:rPr>
        <w:t>قت في تراجـع الإنتاج مع بداية عملية الإصلاح الاقتصادي (1997) لم يصبح، مع الأسف، اتجاها عاما. ففي سنة 2000، مقارنة بسنة 1999، سُجل ارتفاع في مستوى الإنتاج في 4 فئات فقط من بين 26 فئة من المنتجات الغذائية (مشروب الفودكا ومشروبات كحولية أخرى والسكر والمياه ال</w:t>
      </w:r>
      <w:r>
        <w:rPr>
          <w:rFonts w:hint="cs"/>
          <w:rtl/>
        </w:rPr>
        <w:t>معدنية والجعة). وعلى أية حال، فإن مستوى الإنتاج الذي تم الاحتفاظ بحساباته يعد مستوى منخفضا جدا على كافة الأصعدة وذلك لأسباب عامة ذات طبيعة قانونية ومالية واجتماعية.</w:t>
      </w:r>
    </w:p>
    <w:p w:rsidR="00000000" w:rsidRDefault="003865AC">
      <w:pPr>
        <w:jc w:val="both"/>
        <w:rPr>
          <w:rFonts w:hint="cs"/>
          <w:rtl/>
        </w:rPr>
      </w:pPr>
      <w:r>
        <w:rPr>
          <w:rFonts w:hint="cs"/>
          <w:rtl/>
        </w:rPr>
        <w:t>152-</w:t>
      </w:r>
      <w:r>
        <w:rPr>
          <w:rFonts w:hint="cs"/>
          <w:rtl/>
        </w:rPr>
        <w:tab/>
        <w:t>ولإعطاء صورة أكمل عن التدابير التي اتخِذت في البلد لتعزيز الحق في الغذاء، نورد أدناه ا</w:t>
      </w:r>
      <w:r>
        <w:rPr>
          <w:rFonts w:hint="cs"/>
          <w:rtl/>
        </w:rPr>
        <w:t>لمؤشرات الأساسية بشأن تصدير واستيراد المواد الغذائية (بالأطنان) خلال الفترة 1997-2000.</w:t>
      </w:r>
    </w:p>
    <w:tbl>
      <w:tblPr>
        <w:bidiVisual/>
        <w:tblW w:w="0" w:type="auto"/>
        <w:tblInd w:w="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3"/>
        <w:gridCol w:w="1080"/>
        <w:gridCol w:w="900"/>
        <w:gridCol w:w="900"/>
        <w:gridCol w:w="900"/>
        <w:gridCol w:w="1080"/>
        <w:gridCol w:w="900"/>
        <w:gridCol w:w="900"/>
        <w:gridCol w:w="828"/>
      </w:tblGrid>
      <w:tr w:rsidR="003865AC" w:rsidTr="003865AC">
        <w:trPr>
          <w:cantSplit/>
        </w:trPr>
        <w:tc>
          <w:tcPr>
            <w:tcW w:w="1503" w:type="dxa"/>
            <w:vMerge w:val="restart"/>
          </w:tcPr>
          <w:p w:rsidR="003865AC" w:rsidRDefault="003865AC">
            <w:pPr>
              <w:spacing w:before="0" w:after="0" w:line="380" w:lineRule="exact"/>
              <w:jc w:val="both"/>
              <w:rPr>
                <w:rFonts w:hint="cs"/>
                <w:b/>
                <w:bCs/>
                <w:szCs w:val="22"/>
                <w:rtl/>
              </w:rPr>
            </w:pPr>
            <w:r>
              <w:rPr>
                <w:rFonts w:hint="cs"/>
                <w:b/>
                <w:bCs/>
                <w:szCs w:val="22"/>
                <w:rtl/>
              </w:rPr>
              <w:t>فئة المنتَج</w:t>
            </w:r>
          </w:p>
        </w:tc>
        <w:tc>
          <w:tcPr>
            <w:tcW w:w="1980" w:type="dxa"/>
            <w:gridSpan w:val="2"/>
          </w:tcPr>
          <w:p w:rsidR="003865AC" w:rsidRDefault="003865AC">
            <w:pPr>
              <w:spacing w:before="0" w:after="0" w:line="380" w:lineRule="exact"/>
              <w:jc w:val="center"/>
              <w:rPr>
                <w:rFonts w:hint="cs"/>
                <w:b/>
                <w:bCs/>
                <w:szCs w:val="22"/>
                <w:rtl/>
              </w:rPr>
            </w:pPr>
            <w:r>
              <w:rPr>
                <w:rFonts w:hint="cs"/>
                <w:b/>
                <w:bCs/>
                <w:szCs w:val="22"/>
                <w:rtl/>
              </w:rPr>
              <w:t>1997</w:t>
            </w:r>
          </w:p>
        </w:tc>
        <w:tc>
          <w:tcPr>
            <w:tcW w:w="1800" w:type="dxa"/>
            <w:gridSpan w:val="2"/>
          </w:tcPr>
          <w:p w:rsidR="003865AC" w:rsidRDefault="003865AC">
            <w:pPr>
              <w:spacing w:before="0" w:after="0" w:line="380" w:lineRule="exact"/>
              <w:jc w:val="center"/>
              <w:rPr>
                <w:rFonts w:hint="cs"/>
                <w:b/>
                <w:bCs/>
                <w:szCs w:val="22"/>
                <w:rtl/>
              </w:rPr>
            </w:pPr>
            <w:r>
              <w:rPr>
                <w:rFonts w:hint="cs"/>
                <w:b/>
                <w:bCs/>
                <w:szCs w:val="22"/>
                <w:rtl/>
              </w:rPr>
              <w:t>1998</w:t>
            </w:r>
          </w:p>
        </w:tc>
        <w:tc>
          <w:tcPr>
            <w:tcW w:w="1980" w:type="dxa"/>
            <w:gridSpan w:val="2"/>
          </w:tcPr>
          <w:p w:rsidR="003865AC" w:rsidRDefault="003865AC">
            <w:pPr>
              <w:spacing w:before="0" w:after="0" w:line="380" w:lineRule="exact"/>
              <w:jc w:val="center"/>
              <w:rPr>
                <w:rFonts w:hint="cs"/>
                <w:b/>
                <w:bCs/>
                <w:szCs w:val="22"/>
                <w:rtl/>
              </w:rPr>
            </w:pPr>
            <w:r>
              <w:rPr>
                <w:rFonts w:hint="cs"/>
                <w:b/>
                <w:bCs/>
                <w:szCs w:val="22"/>
                <w:rtl/>
              </w:rPr>
              <w:t>1999</w:t>
            </w:r>
          </w:p>
        </w:tc>
        <w:tc>
          <w:tcPr>
            <w:tcW w:w="1728" w:type="dxa"/>
            <w:gridSpan w:val="2"/>
          </w:tcPr>
          <w:p w:rsidR="003865AC" w:rsidRDefault="003865AC">
            <w:pPr>
              <w:spacing w:before="0" w:after="0" w:line="380" w:lineRule="exact"/>
              <w:jc w:val="center"/>
              <w:rPr>
                <w:rFonts w:hint="cs"/>
                <w:b/>
                <w:bCs/>
                <w:szCs w:val="22"/>
                <w:rtl/>
              </w:rPr>
            </w:pPr>
            <w:r>
              <w:rPr>
                <w:rFonts w:hint="cs"/>
                <w:b/>
                <w:bCs/>
                <w:szCs w:val="22"/>
                <w:rtl/>
              </w:rPr>
              <w:t>2000</w:t>
            </w:r>
          </w:p>
        </w:tc>
      </w:tr>
      <w:tr w:rsidR="003865AC" w:rsidTr="003865AC">
        <w:trPr>
          <w:cantSplit/>
        </w:trPr>
        <w:tc>
          <w:tcPr>
            <w:tcW w:w="1503" w:type="dxa"/>
            <w:vMerge/>
            <w:tcBorders>
              <w:bottom w:val="single" w:sz="4" w:space="0" w:color="auto"/>
            </w:tcBorders>
          </w:tcPr>
          <w:p w:rsidR="003865AC" w:rsidRDefault="003865AC">
            <w:pPr>
              <w:spacing w:before="0" w:after="0" w:line="380" w:lineRule="exact"/>
              <w:jc w:val="both"/>
              <w:rPr>
                <w:rFonts w:hint="cs"/>
                <w:b/>
                <w:bCs/>
                <w:szCs w:val="22"/>
                <w:rtl/>
              </w:rPr>
            </w:pPr>
          </w:p>
        </w:tc>
        <w:tc>
          <w:tcPr>
            <w:tcW w:w="1080" w:type="dxa"/>
            <w:tcBorders>
              <w:bottom w:val="single" w:sz="4" w:space="0" w:color="auto"/>
            </w:tcBorders>
          </w:tcPr>
          <w:p w:rsidR="003865AC" w:rsidRDefault="003865AC">
            <w:pPr>
              <w:spacing w:before="0" w:after="0" w:line="380" w:lineRule="exact"/>
              <w:jc w:val="center"/>
              <w:rPr>
                <w:rFonts w:hint="cs"/>
                <w:b/>
                <w:bCs/>
                <w:szCs w:val="22"/>
                <w:rtl/>
              </w:rPr>
            </w:pPr>
            <w:r>
              <w:rPr>
                <w:rFonts w:hint="cs"/>
                <w:b/>
                <w:bCs/>
                <w:szCs w:val="22"/>
                <w:rtl/>
              </w:rPr>
              <w:t>الاستيراد</w:t>
            </w:r>
          </w:p>
        </w:tc>
        <w:tc>
          <w:tcPr>
            <w:tcW w:w="900" w:type="dxa"/>
            <w:tcBorders>
              <w:bottom w:val="single" w:sz="4" w:space="0" w:color="auto"/>
            </w:tcBorders>
          </w:tcPr>
          <w:p w:rsidR="003865AC" w:rsidRDefault="003865AC">
            <w:pPr>
              <w:spacing w:before="0" w:after="0" w:line="380" w:lineRule="exact"/>
              <w:jc w:val="center"/>
              <w:rPr>
                <w:rFonts w:hint="cs"/>
                <w:b/>
                <w:bCs/>
                <w:szCs w:val="22"/>
                <w:rtl/>
              </w:rPr>
            </w:pPr>
            <w:r>
              <w:rPr>
                <w:rFonts w:hint="cs"/>
                <w:b/>
                <w:bCs/>
                <w:szCs w:val="22"/>
                <w:rtl/>
              </w:rPr>
              <w:t>التصدير</w:t>
            </w:r>
          </w:p>
        </w:tc>
        <w:tc>
          <w:tcPr>
            <w:tcW w:w="900" w:type="dxa"/>
            <w:tcBorders>
              <w:bottom w:val="single" w:sz="4" w:space="0" w:color="auto"/>
            </w:tcBorders>
          </w:tcPr>
          <w:p w:rsidR="003865AC" w:rsidRDefault="003865AC">
            <w:pPr>
              <w:spacing w:before="0" w:after="0" w:line="380" w:lineRule="exact"/>
              <w:jc w:val="center"/>
              <w:rPr>
                <w:rFonts w:hint="cs"/>
                <w:b/>
                <w:bCs/>
                <w:szCs w:val="22"/>
                <w:rtl/>
              </w:rPr>
            </w:pPr>
            <w:r>
              <w:rPr>
                <w:rFonts w:hint="cs"/>
                <w:b/>
                <w:bCs/>
                <w:szCs w:val="22"/>
                <w:rtl/>
              </w:rPr>
              <w:t>الاستيراد</w:t>
            </w:r>
          </w:p>
        </w:tc>
        <w:tc>
          <w:tcPr>
            <w:tcW w:w="900" w:type="dxa"/>
            <w:tcBorders>
              <w:bottom w:val="single" w:sz="4" w:space="0" w:color="auto"/>
            </w:tcBorders>
          </w:tcPr>
          <w:p w:rsidR="003865AC" w:rsidRDefault="003865AC">
            <w:pPr>
              <w:spacing w:before="0" w:after="0" w:line="380" w:lineRule="exact"/>
              <w:jc w:val="center"/>
              <w:rPr>
                <w:rFonts w:hint="cs"/>
                <w:b/>
                <w:bCs/>
                <w:szCs w:val="22"/>
                <w:rtl/>
              </w:rPr>
            </w:pPr>
            <w:r>
              <w:rPr>
                <w:rFonts w:hint="cs"/>
                <w:b/>
                <w:bCs/>
                <w:szCs w:val="22"/>
                <w:rtl/>
              </w:rPr>
              <w:t>التصدير</w:t>
            </w:r>
          </w:p>
        </w:tc>
        <w:tc>
          <w:tcPr>
            <w:tcW w:w="1080" w:type="dxa"/>
            <w:tcBorders>
              <w:bottom w:val="single" w:sz="4" w:space="0" w:color="auto"/>
            </w:tcBorders>
          </w:tcPr>
          <w:p w:rsidR="003865AC" w:rsidRDefault="003865AC">
            <w:pPr>
              <w:spacing w:before="0" w:after="0" w:line="380" w:lineRule="exact"/>
              <w:jc w:val="center"/>
              <w:rPr>
                <w:rFonts w:hint="cs"/>
                <w:b/>
                <w:bCs/>
                <w:szCs w:val="22"/>
                <w:rtl/>
              </w:rPr>
            </w:pPr>
            <w:r>
              <w:rPr>
                <w:rFonts w:hint="cs"/>
                <w:b/>
                <w:bCs/>
                <w:szCs w:val="22"/>
                <w:rtl/>
              </w:rPr>
              <w:t>الاستيراد</w:t>
            </w:r>
          </w:p>
        </w:tc>
        <w:tc>
          <w:tcPr>
            <w:tcW w:w="900" w:type="dxa"/>
            <w:tcBorders>
              <w:bottom w:val="single" w:sz="4" w:space="0" w:color="auto"/>
            </w:tcBorders>
          </w:tcPr>
          <w:p w:rsidR="003865AC" w:rsidRDefault="003865AC">
            <w:pPr>
              <w:spacing w:before="0" w:after="0" w:line="380" w:lineRule="exact"/>
              <w:jc w:val="center"/>
              <w:rPr>
                <w:rFonts w:hint="cs"/>
                <w:b/>
                <w:bCs/>
                <w:szCs w:val="22"/>
                <w:rtl/>
              </w:rPr>
            </w:pPr>
            <w:r>
              <w:rPr>
                <w:rFonts w:hint="cs"/>
                <w:b/>
                <w:bCs/>
                <w:szCs w:val="22"/>
                <w:rtl/>
              </w:rPr>
              <w:t>التصدير</w:t>
            </w:r>
          </w:p>
        </w:tc>
        <w:tc>
          <w:tcPr>
            <w:tcW w:w="900" w:type="dxa"/>
            <w:tcBorders>
              <w:bottom w:val="single" w:sz="4" w:space="0" w:color="auto"/>
            </w:tcBorders>
          </w:tcPr>
          <w:p w:rsidR="003865AC" w:rsidRDefault="003865AC">
            <w:pPr>
              <w:spacing w:before="0" w:after="0" w:line="380" w:lineRule="exact"/>
              <w:jc w:val="center"/>
              <w:rPr>
                <w:rFonts w:hint="cs"/>
                <w:b/>
                <w:bCs/>
                <w:szCs w:val="22"/>
                <w:rtl/>
              </w:rPr>
            </w:pPr>
            <w:r>
              <w:rPr>
                <w:rFonts w:hint="cs"/>
                <w:b/>
                <w:bCs/>
                <w:szCs w:val="22"/>
                <w:rtl/>
              </w:rPr>
              <w:t>الاستيراد</w:t>
            </w:r>
          </w:p>
        </w:tc>
        <w:tc>
          <w:tcPr>
            <w:tcW w:w="828" w:type="dxa"/>
            <w:tcBorders>
              <w:bottom w:val="single" w:sz="4" w:space="0" w:color="auto"/>
            </w:tcBorders>
          </w:tcPr>
          <w:p w:rsidR="003865AC" w:rsidRDefault="003865AC">
            <w:pPr>
              <w:spacing w:before="0" w:after="0" w:line="380" w:lineRule="exact"/>
              <w:jc w:val="center"/>
              <w:rPr>
                <w:rFonts w:hint="cs"/>
                <w:b/>
                <w:bCs/>
                <w:szCs w:val="22"/>
                <w:rtl/>
              </w:rPr>
            </w:pPr>
            <w:r>
              <w:rPr>
                <w:rFonts w:hint="cs"/>
                <w:b/>
                <w:bCs/>
                <w:szCs w:val="22"/>
                <w:rtl/>
              </w:rPr>
              <w:t>التصدير</w:t>
            </w:r>
          </w:p>
        </w:tc>
      </w:tr>
      <w:tr w:rsidR="003865AC" w:rsidTr="003865AC">
        <w:tc>
          <w:tcPr>
            <w:tcW w:w="1503" w:type="dxa"/>
            <w:tcBorders>
              <w:top w:val="single" w:sz="4" w:space="0" w:color="auto"/>
              <w:bottom w:val="nil"/>
            </w:tcBorders>
          </w:tcPr>
          <w:p w:rsidR="003865AC" w:rsidRDefault="003865AC">
            <w:pPr>
              <w:spacing w:before="0" w:after="0" w:line="380" w:lineRule="exact"/>
              <w:jc w:val="both"/>
              <w:rPr>
                <w:rFonts w:hint="cs"/>
                <w:szCs w:val="22"/>
                <w:rtl/>
              </w:rPr>
            </w:pPr>
            <w:r>
              <w:rPr>
                <w:rFonts w:hint="cs"/>
                <w:szCs w:val="22"/>
                <w:rtl/>
              </w:rPr>
              <w:t>حبوب</w:t>
            </w:r>
          </w:p>
        </w:tc>
        <w:tc>
          <w:tcPr>
            <w:tcW w:w="1080" w:type="dxa"/>
            <w:tcBorders>
              <w:bottom w:val="nil"/>
            </w:tcBorders>
          </w:tcPr>
          <w:p w:rsidR="003865AC" w:rsidRDefault="003865AC">
            <w:pPr>
              <w:spacing w:before="0" w:after="0" w:line="380" w:lineRule="exact"/>
              <w:jc w:val="both"/>
              <w:rPr>
                <w:rFonts w:hint="cs"/>
                <w:szCs w:val="22"/>
                <w:rtl/>
              </w:rPr>
            </w:pPr>
            <w:r>
              <w:rPr>
                <w:rFonts w:hint="cs"/>
                <w:szCs w:val="22"/>
                <w:rtl/>
              </w:rPr>
              <w:t>811 300</w:t>
            </w:r>
          </w:p>
        </w:tc>
        <w:tc>
          <w:tcPr>
            <w:tcW w:w="900" w:type="dxa"/>
            <w:tcBorders>
              <w:bottom w:val="nil"/>
            </w:tcBorders>
          </w:tcPr>
          <w:p w:rsidR="003865AC" w:rsidRDefault="003865AC">
            <w:pPr>
              <w:spacing w:before="0" w:after="0" w:line="380" w:lineRule="exact"/>
              <w:jc w:val="both"/>
              <w:rPr>
                <w:rFonts w:hint="cs"/>
                <w:szCs w:val="22"/>
                <w:rtl/>
              </w:rPr>
            </w:pPr>
            <w:r>
              <w:rPr>
                <w:rFonts w:hint="cs"/>
                <w:szCs w:val="22"/>
                <w:rtl/>
              </w:rPr>
              <w:t>-</w:t>
            </w:r>
          </w:p>
        </w:tc>
        <w:tc>
          <w:tcPr>
            <w:tcW w:w="900" w:type="dxa"/>
            <w:tcBorders>
              <w:bottom w:val="nil"/>
            </w:tcBorders>
          </w:tcPr>
          <w:p w:rsidR="003865AC" w:rsidRDefault="003865AC">
            <w:pPr>
              <w:spacing w:before="0" w:after="0" w:line="380" w:lineRule="exact"/>
              <w:jc w:val="both"/>
              <w:rPr>
                <w:rFonts w:hint="cs"/>
                <w:szCs w:val="22"/>
                <w:rtl/>
              </w:rPr>
            </w:pPr>
            <w:r>
              <w:rPr>
                <w:rFonts w:hint="cs"/>
                <w:szCs w:val="22"/>
                <w:rtl/>
              </w:rPr>
              <w:t>623 222</w:t>
            </w:r>
          </w:p>
        </w:tc>
        <w:tc>
          <w:tcPr>
            <w:tcW w:w="900" w:type="dxa"/>
            <w:tcBorders>
              <w:bottom w:val="nil"/>
            </w:tcBorders>
          </w:tcPr>
          <w:p w:rsidR="003865AC" w:rsidRDefault="003865AC">
            <w:pPr>
              <w:spacing w:before="0" w:after="0" w:line="380" w:lineRule="exact"/>
              <w:jc w:val="both"/>
              <w:rPr>
                <w:rFonts w:hint="cs"/>
                <w:szCs w:val="22"/>
                <w:rtl/>
              </w:rPr>
            </w:pPr>
            <w:r>
              <w:rPr>
                <w:rFonts w:hint="cs"/>
                <w:szCs w:val="22"/>
                <w:rtl/>
              </w:rPr>
              <w:t>728 11</w:t>
            </w:r>
          </w:p>
        </w:tc>
        <w:tc>
          <w:tcPr>
            <w:tcW w:w="1080" w:type="dxa"/>
            <w:tcBorders>
              <w:bottom w:val="nil"/>
            </w:tcBorders>
          </w:tcPr>
          <w:p w:rsidR="003865AC" w:rsidRDefault="003865AC">
            <w:pPr>
              <w:spacing w:before="0" w:after="0" w:line="380" w:lineRule="exact"/>
              <w:jc w:val="both"/>
              <w:rPr>
                <w:rFonts w:hint="cs"/>
                <w:szCs w:val="22"/>
                <w:rtl/>
              </w:rPr>
            </w:pPr>
            <w:r>
              <w:rPr>
                <w:rFonts w:hint="cs"/>
                <w:szCs w:val="22"/>
                <w:rtl/>
              </w:rPr>
              <w:t>410 162</w:t>
            </w:r>
          </w:p>
        </w:tc>
        <w:tc>
          <w:tcPr>
            <w:tcW w:w="900" w:type="dxa"/>
            <w:tcBorders>
              <w:bottom w:val="nil"/>
            </w:tcBorders>
          </w:tcPr>
          <w:p w:rsidR="003865AC" w:rsidRDefault="003865AC">
            <w:pPr>
              <w:spacing w:before="0" w:after="0" w:line="380" w:lineRule="exact"/>
              <w:jc w:val="both"/>
              <w:rPr>
                <w:rFonts w:hint="cs"/>
                <w:szCs w:val="22"/>
                <w:rtl/>
              </w:rPr>
            </w:pPr>
            <w:r>
              <w:rPr>
                <w:rFonts w:hint="cs"/>
                <w:szCs w:val="22"/>
                <w:rtl/>
              </w:rPr>
              <w:t>594 10</w:t>
            </w:r>
          </w:p>
        </w:tc>
        <w:tc>
          <w:tcPr>
            <w:tcW w:w="900" w:type="dxa"/>
            <w:tcBorders>
              <w:bottom w:val="nil"/>
            </w:tcBorders>
          </w:tcPr>
          <w:p w:rsidR="003865AC" w:rsidRDefault="003865AC">
            <w:pPr>
              <w:spacing w:before="0" w:after="0" w:line="380" w:lineRule="exact"/>
              <w:jc w:val="both"/>
              <w:rPr>
                <w:rFonts w:hint="cs"/>
                <w:szCs w:val="22"/>
                <w:rtl/>
              </w:rPr>
            </w:pPr>
            <w:r>
              <w:rPr>
                <w:rFonts w:hint="cs"/>
                <w:szCs w:val="22"/>
                <w:rtl/>
              </w:rPr>
              <w:t>250 202</w:t>
            </w:r>
          </w:p>
        </w:tc>
        <w:tc>
          <w:tcPr>
            <w:tcW w:w="828" w:type="dxa"/>
            <w:tcBorders>
              <w:bottom w:val="nil"/>
            </w:tcBorders>
          </w:tcPr>
          <w:p w:rsidR="003865AC" w:rsidRDefault="003865AC">
            <w:pPr>
              <w:spacing w:before="0" w:after="0" w:line="380" w:lineRule="exact"/>
              <w:jc w:val="both"/>
              <w:rPr>
                <w:rFonts w:hint="cs"/>
                <w:szCs w:val="22"/>
                <w:rtl/>
              </w:rPr>
            </w:pPr>
            <w:r>
              <w:rPr>
                <w:rFonts w:hint="cs"/>
                <w:szCs w:val="22"/>
                <w:rtl/>
              </w:rPr>
              <w:t>952 6</w:t>
            </w:r>
          </w:p>
        </w:tc>
      </w:tr>
      <w:tr w:rsidR="003865AC" w:rsidTr="003865AC">
        <w:tc>
          <w:tcPr>
            <w:tcW w:w="1503" w:type="dxa"/>
            <w:tcBorders>
              <w:top w:val="nil"/>
              <w:bottom w:val="nil"/>
            </w:tcBorders>
          </w:tcPr>
          <w:p w:rsidR="003865AC" w:rsidRDefault="003865AC">
            <w:pPr>
              <w:spacing w:before="0" w:after="0" w:line="380" w:lineRule="exact"/>
              <w:jc w:val="both"/>
              <w:rPr>
                <w:rFonts w:hint="cs"/>
                <w:szCs w:val="22"/>
                <w:rtl/>
              </w:rPr>
            </w:pPr>
            <w:r>
              <w:rPr>
                <w:rFonts w:hint="cs"/>
                <w:szCs w:val="22"/>
                <w:rtl/>
              </w:rPr>
              <w:t>دقيق</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540 126</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792 1</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815 95</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688 1</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845 85</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510 3</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666 130</w:t>
            </w:r>
          </w:p>
        </w:tc>
        <w:tc>
          <w:tcPr>
            <w:tcW w:w="828" w:type="dxa"/>
            <w:tcBorders>
              <w:top w:val="nil"/>
              <w:bottom w:val="nil"/>
            </w:tcBorders>
          </w:tcPr>
          <w:p w:rsidR="003865AC" w:rsidRDefault="003865AC">
            <w:pPr>
              <w:spacing w:before="0" w:after="0" w:line="380" w:lineRule="exact"/>
              <w:jc w:val="both"/>
              <w:rPr>
                <w:rFonts w:hint="cs"/>
                <w:szCs w:val="22"/>
                <w:rtl/>
              </w:rPr>
            </w:pPr>
            <w:r>
              <w:rPr>
                <w:rFonts w:hint="cs"/>
                <w:szCs w:val="22"/>
                <w:rtl/>
              </w:rPr>
              <w:t>648 9</w:t>
            </w:r>
          </w:p>
        </w:tc>
      </w:tr>
      <w:tr w:rsidR="003865AC" w:rsidTr="003865AC">
        <w:tc>
          <w:tcPr>
            <w:tcW w:w="1503" w:type="dxa"/>
            <w:tcBorders>
              <w:top w:val="nil"/>
              <w:bottom w:val="nil"/>
            </w:tcBorders>
          </w:tcPr>
          <w:p w:rsidR="003865AC" w:rsidRDefault="003865AC">
            <w:pPr>
              <w:spacing w:before="0" w:after="0" w:line="380" w:lineRule="exact"/>
              <w:jc w:val="both"/>
              <w:rPr>
                <w:rFonts w:hint="cs"/>
                <w:szCs w:val="22"/>
                <w:rtl/>
              </w:rPr>
            </w:pPr>
            <w:r>
              <w:rPr>
                <w:rFonts w:hint="cs"/>
                <w:szCs w:val="22"/>
                <w:rtl/>
              </w:rPr>
              <w:t>لحوم</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396 10</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381</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252 25</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782 20</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995 22</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520 17</w:t>
            </w:r>
          </w:p>
        </w:tc>
        <w:tc>
          <w:tcPr>
            <w:tcW w:w="828" w:type="dxa"/>
            <w:tcBorders>
              <w:top w:val="nil"/>
              <w:bottom w:val="nil"/>
            </w:tcBorders>
          </w:tcPr>
          <w:p w:rsidR="003865AC" w:rsidRDefault="003865AC">
            <w:pPr>
              <w:spacing w:before="0" w:after="0" w:line="380" w:lineRule="exact"/>
              <w:jc w:val="both"/>
              <w:rPr>
                <w:rFonts w:hint="cs"/>
                <w:szCs w:val="22"/>
                <w:rtl/>
              </w:rPr>
            </w:pPr>
            <w:r>
              <w:rPr>
                <w:rFonts w:hint="cs"/>
                <w:szCs w:val="22"/>
                <w:rtl/>
              </w:rPr>
              <w:t>549</w:t>
            </w:r>
          </w:p>
        </w:tc>
      </w:tr>
      <w:tr w:rsidR="003865AC" w:rsidTr="003865AC">
        <w:tc>
          <w:tcPr>
            <w:tcW w:w="1503" w:type="dxa"/>
            <w:tcBorders>
              <w:top w:val="nil"/>
              <w:bottom w:val="nil"/>
            </w:tcBorders>
          </w:tcPr>
          <w:p w:rsidR="003865AC" w:rsidRDefault="003865AC">
            <w:pPr>
              <w:spacing w:before="0" w:after="0" w:line="380" w:lineRule="exact"/>
              <w:jc w:val="both"/>
              <w:rPr>
                <w:rFonts w:hint="cs"/>
                <w:spacing w:val="-2"/>
                <w:szCs w:val="22"/>
                <w:rtl/>
              </w:rPr>
            </w:pPr>
            <w:r>
              <w:rPr>
                <w:rFonts w:hint="cs"/>
                <w:spacing w:val="-2"/>
                <w:szCs w:val="22"/>
                <w:rtl/>
              </w:rPr>
              <w:t>ألبان ومشتقاتها</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943 1</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15</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906 1</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112 1</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16.7</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556</w:t>
            </w:r>
          </w:p>
        </w:tc>
        <w:tc>
          <w:tcPr>
            <w:tcW w:w="828" w:type="dxa"/>
            <w:tcBorders>
              <w:top w:val="nil"/>
              <w:bottom w:val="nil"/>
            </w:tcBorders>
          </w:tcPr>
          <w:p w:rsidR="003865AC" w:rsidRDefault="003865AC">
            <w:pPr>
              <w:spacing w:before="0" w:after="0" w:line="380" w:lineRule="exact"/>
              <w:jc w:val="both"/>
              <w:rPr>
                <w:rFonts w:hint="cs"/>
                <w:szCs w:val="22"/>
                <w:rtl/>
              </w:rPr>
            </w:pPr>
            <w:r>
              <w:rPr>
                <w:rFonts w:hint="cs"/>
                <w:szCs w:val="22"/>
                <w:rtl/>
              </w:rPr>
              <w:t>36.2</w:t>
            </w:r>
          </w:p>
        </w:tc>
      </w:tr>
      <w:tr w:rsidR="003865AC" w:rsidTr="003865AC">
        <w:tc>
          <w:tcPr>
            <w:tcW w:w="1503" w:type="dxa"/>
            <w:tcBorders>
              <w:top w:val="nil"/>
              <w:bottom w:val="nil"/>
            </w:tcBorders>
          </w:tcPr>
          <w:p w:rsidR="003865AC" w:rsidRDefault="003865AC">
            <w:pPr>
              <w:spacing w:before="0" w:after="0" w:line="380" w:lineRule="exact"/>
              <w:jc w:val="both"/>
              <w:rPr>
                <w:rFonts w:hint="cs"/>
                <w:szCs w:val="22"/>
                <w:rtl/>
              </w:rPr>
            </w:pPr>
            <w:r>
              <w:rPr>
                <w:rFonts w:hint="cs"/>
                <w:szCs w:val="22"/>
                <w:rtl/>
              </w:rPr>
              <w:t>الزبدة</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837 2</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78</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151 4</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262</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900 2</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109</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927 1</w:t>
            </w:r>
          </w:p>
        </w:tc>
        <w:tc>
          <w:tcPr>
            <w:tcW w:w="828" w:type="dxa"/>
            <w:tcBorders>
              <w:top w:val="nil"/>
              <w:bottom w:val="nil"/>
            </w:tcBorders>
          </w:tcPr>
          <w:p w:rsidR="003865AC" w:rsidRDefault="003865AC">
            <w:pPr>
              <w:spacing w:before="0" w:after="0" w:line="380" w:lineRule="exact"/>
              <w:jc w:val="both"/>
              <w:rPr>
                <w:rFonts w:hint="cs"/>
                <w:szCs w:val="22"/>
                <w:rtl/>
              </w:rPr>
            </w:pPr>
            <w:r>
              <w:rPr>
                <w:rFonts w:hint="cs"/>
                <w:szCs w:val="22"/>
                <w:rtl/>
              </w:rPr>
              <w:t>-</w:t>
            </w:r>
          </w:p>
        </w:tc>
      </w:tr>
      <w:tr w:rsidR="003865AC" w:rsidTr="003865AC">
        <w:tc>
          <w:tcPr>
            <w:tcW w:w="1503" w:type="dxa"/>
            <w:tcBorders>
              <w:top w:val="nil"/>
              <w:bottom w:val="nil"/>
            </w:tcBorders>
          </w:tcPr>
          <w:p w:rsidR="003865AC" w:rsidRDefault="003865AC">
            <w:pPr>
              <w:spacing w:before="0" w:after="0" w:line="380" w:lineRule="exact"/>
              <w:jc w:val="both"/>
              <w:rPr>
                <w:rFonts w:hint="cs"/>
                <w:szCs w:val="22"/>
                <w:rtl/>
              </w:rPr>
            </w:pPr>
            <w:r>
              <w:rPr>
                <w:rFonts w:hint="cs"/>
                <w:szCs w:val="22"/>
                <w:rtl/>
              </w:rPr>
              <w:t>الجبن</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70</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50</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68</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2.5</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927</w:t>
            </w:r>
          </w:p>
        </w:tc>
        <w:tc>
          <w:tcPr>
            <w:tcW w:w="828" w:type="dxa"/>
            <w:tcBorders>
              <w:top w:val="nil"/>
              <w:bottom w:val="nil"/>
            </w:tcBorders>
          </w:tcPr>
          <w:p w:rsidR="003865AC" w:rsidRDefault="003865AC">
            <w:pPr>
              <w:spacing w:before="0" w:after="0" w:line="380" w:lineRule="exact"/>
              <w:jc w:val="both"/>
              <w:rPr>
                <w:rFonts w:hint="cs"/>
                <w:szCs w:val="22"/>
                <w:rtl/>
              </w:rPr>
            </w:pPr>
            <w:r>
              <w:rPr>
                <w:rFonts w:hint="cs"/>
                <w:szCs w:val="22"/>
                <w:rtl/>
              </w:rPr>
              <w:t>1</w:t>
            </w:r>
          </w:p>
        </w:tc>
      </w:tr>
      <w:tr w:rsidR="003865AC" w:rsidTr="003865AC">
        <w:tc>
          <w:tcPr>
            <w:tcW w:w="1503" w:type="dxa"/>
            <w:tcBorders>
              <w:top w:val="nil"/>
              <w:bottom w:val="nil"/>
            </w:tcBorders>
          </w:tcPr>
          <w:p w:rsidR="003865AC" w:rsidRDefault="003865AC">
            <w:pPr>
              <w:spacing w:before="0" w:after="0" w:line="380" w:lineRule="exact"/>
              <w:jc w:val="both"/>
              <w:rPr>
                <w:rFonts w:hint="cs"/>
                <w:spacing w:val="-12"/>
                <w:szCs w:val="22"/>
                <w:rtl/>
              </w:rPr>
            </w:pPr>
            <w:r>
              <w:rPr>
                <w:rFonts w:hint="cs"/>
                <w:spacing w:val="-12"/>
                <w:szCs w:val="22"/>
                <w:rtl/>
              </w:rPr>
              <w:t>سمك ومنتجات السمك</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259 4</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409 1</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160 7</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126</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532 4</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638 2</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570 2</w:t>
            </w:r>
          </w:p>
        </w:tc>
        <w:tc>
          <w:tcPr>
            <w:tcW w:w="828" w:type="dxa"/>
            <w:tcBorders>
              <w:top w:val="nil"/>
              <w:bottom w:val="nil"/>
            </w:tcBorders>
          </w:tcPr>
          <w:p w:rsidR="003865AC" w:rsidRDefault="003865AC">
            <w:pPr>
              <w:spacing w:before="0" w:after="0" w:line="380" w:lineRule="exact"/>
              <w:jc w:val="both"/>
              <w:rPr>
                <w:rFonts w:hint="cs"/>
                <w:szCs w:val="22"/>
                <w:rtl/>
              </w:rPr>
            </w:pPr>
            <w:r>
              <w:rPr>
                <w:rFonts w:hint="cs"/>
                <w:szCs w:val="22"/>
                <w:rtl/>
              </w:rPr>
              <w:t>103</w:t>
            </w:r>
          </w:p>
        </w:tc>
      </w:tr>
      <w:tr w:rsidR="003865AC" w:rsidTr="003865AC">
        <w:tc>
          <w:tcPr>
            <w:tcW w:w="1503" w:type="dxa"/>
            <w:tcBorders>
              <w:top w:val="nil"/>
              <w:bottom w:val="nil"/>
            </w:tcBorders>
          </w:tcPr>
          <w:p w:rsidR="003865AC" w:rsidRDefault="003865AC">
            <w:pPr>
              <w:spacing w:before="0" w:after="0" w:line="380" w:lineRule="exact"/>
              <w:jc w:val="both"/>
              <w:rPr>
                <w:rFonts w:hint="cs"/>
                <w:szCs w:val="22"/>
                <w:rtl/>
              </w:rPr>
            </w:pPr>
            <w:r>
              <w:rPr>
                <w:rFonts w:hint="cs"/>
                <w:szCs w:val="22"/>
                <w:rtl/>
              </w:rPr>
              <w:t>زيوت نباتية</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377 3</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74</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244 12</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6</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578 2</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18</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389 5</w:t>
            </w:r>
          </w:p>
        </w:tc>
        <w:tc>
          <w:tcPr>
            <w:tcW w:w="828" w:type="dxa"/>
            <w:tcBorders>
              <w:top w:val="nil"/>
              <w:bottom w:val="nil"/>
            </w:tcBorders>
          </w:tcPr>
          <w:p w:rsidR="003865AC" w:rsidRDefault="003865AC">
            <w:pPr>
              <w:spacing w:before="0" w:after="0" w:line="380" w:lineRule="exact"/>
              <w:jc w:val="both"/>
              <w:rPr>
                <w:rFonts w:hint="cs"/>
                <w:szCs w:val="22"/>
                <w:rtl/>
              </w:rPr>
            </w:pPr>
            <w:r>
              <w:rPr>
                <w:rFonts w:hint="cs"/>
                <w:szCs w:val="22"/>
                <w:rtl/>
              </w:rPr>
              <w:t>6</w:t>
            </w:r>
          </w:p>
        </w:tc>
      </w:tr>
      <w:tr w:rsidR="003865AC" w:rsidTr="003865AC">
        <w:tc>
          <w:tcPr>
            <w:tcW w:w="1503" w:type="dxa"/>
            <w:tcBorders>
              <w:top w:val="nil"/>
              <w:bottom w:val="nil"/>
            </w:tcBorders>
          </w:tcPr>
          <w:p w:rsidR="003865AC" w:rsidRDefault="003865AC">
            <w:pPr>
              <w:spacing w:before="0" w:after="0" w:line="380" w:lineRule="exact"/>
              <w:jc w:val="both"/>
              <w:rPr>
                <w:rFonts w:hint="cs"/>
                <w:szCs w:val="22"/>
                <w:rtl/>
              </w:rPr>
            </w:pPr>
            <w:r>
              <w:rPr>
                <w:rFonts w:hint="cs"/>
                <w:szCs w:val="22"/>
                <w:rtl/>
              </w:rPr>
              <w:t>سمن نباتي</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30</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993 3</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891 3</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37</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090 4</w:t>
            </w:r>
          </w:p>
        </w:tc>
        <w:tc>
          <w:tcPr>
            <w:tcW w:w="828" w:type="dxa"/>
            <w:tcBorders>
              <w:top w:val="nil"/>
              <w:bottom w:val="nil"/>
            </w:tcBorders>
          </w:tcPr>
          <w:p w:rsidR="003865AC" w:rsidRDefault="003865AC">
            <w:pPr>
              <w:spacing w:before="0" w:after="0" w:line="380" w:lineRule="exact"/>
              <w:jc w:val="both"/>
              <w:rPr>
                <w:rFonts w:hint="cs"/>
                <w:szCs w:val="22"/>
                <w:rtl/>
              </w:rPr>
            </w:pPr>
            <w:r>
              <w:rPr>
                <w:rFonts w:hint="cs"/>
                <w:szCs w:val="22"/>
                <w:rtl/>
              </w:rPr>
              <w:t>50</w:t>
            </w:r>
          </w:p>
        </w:tc>
      </w:tr>
      <w:tr w:rsidR="003865AC" w:rsidTr="003865AC">
        <w:tc>
          <w:tcPr>
            <w:tcW w:w="1503" w:type="dxa"/>
            <w:tcBorders>
              <w:top w:val="nil"/>
              <w:bottom w:val="nil"/>
            </w:tcBorders>
          </w:tcPr>
          <w:p w:rsidR="003865AC" w:rsidRDefault="003865AC">
            <w:pPr>
              <w:spacing w:before="0" w:after="0" w:line="380" w:lineRule="exact"/>
              <w:jc w:val="both"/>
              <w:rPr>
                <w:rFonts w:hint="cs"/>
                <w:szCs w:val="22"/>
                <w:rtl/>
              </w:rPr>
            </w:pPr>
            <w:r>
              <w:rPr>
                <w:rFonts w:hint="cs"/>
                <w:szCs w:val="22"/>
                <w:rtl/>
              </w:rPr>
              <w:t>سكر</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635 99</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300</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252 69</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142 6</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370 77</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950 7</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159 74</w:t>
            </w:r>
          </w:p>
        </w:tc>
        <w:tc>
          <w:tcPr>
            <w:tcW w:w="828" w:type="dxa"/>
            <w:tcBorders>
              <w:top w:val="nil"/>
              <w:bottom w:val="nil"/>
            </w:tcBorders>
          </w:tcPr>
          <w:p w:rsidR="003865AC" w:rsidRDefault="003865AC">
            <w:pPr>
              <w:spacing w:before="0" w:after="0" w:line="380" w:lineRule="exact"/>
              <w:jc w:val="both"/>
              <w:rPr>
                <w:rFonts w:hint="cs"/>
                <w:szCs w:val="22"/>
                <w:rtl/>
              </w:rPr>
            </w:pPr>
            <w:r>
              <w:rPr>
                <w:rFonts w:hint="cs"/>
                <w:szCs w:val="22"/>
                <w:rtl/>
              </w:rPr>
              <w:t>471 10</w:t>
            </w:r>
          </w:p>
        </w:tc>
      </w:tr>
      <w:tr w:rsidR="003865AC" w:rsidTr="003865AC">
        <w:tc>
          <w:tcPr>
            <w:tcW w:w="1503" w:type="dxa"/>
            <w:tcBorders>
              <w:top w:val="nil"/>
              <w:bottom w:val="nil"/>
            </w:tcBorders>
          </w:tcPr>
          <w:p w:rsidR="003865AC" w:rsidRDefault="003865AC">
            <w:pPr>
              <w:spacing w:before="0" w:after="0" w:line="380" w:lineRule="exact"/>
              <w:jc w:val="both"/>
              <w:rPr>
                <w:rFonts w:hint="cs"/>
                <w:szCs w:val="22"/>
                <w:rtl/>
              </w:rPr>
            </w:pPr>
            <w:r>
              <w:rPr>
                <w:rFonts w:hint="cs"/>
                <w:szCs w:val="22"/>
                <w:rtl/>
              </w:rPr>
              <w:t>فواكه</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236 1</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000 27</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521 1</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000 32</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232 1</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607 13</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092 7</w:t>
            </w:r>
          </w:p>
        </w:tc>
        <w:tc>
          <w:tcPr>
            <w:tcW w:w="828" w:type="dxa"/>
            <w:tcBorders>
              <w:top w:val="nil"/>
              <w:bottom w:val="nil"/>
            </w:tcBorders>
          </w:tcPr>
          <w:p w:rsidR="003865AC" w:rsidRDefault="003865AC">
            <w:pPr>
              <w:spacing w:before="0" w:after="0" w:line="380" w:lineRule="exact"/>
              <w:jc w:val="both"/>
              <w:rPr>
                <w:rFonts w:hint="cs"/>
                <w:szCs w:val="22"/>
                <w:rtl/>
              </w:rPr>
            </w:pPr>
            <w:r>
              <w:rPr>
                <w:rFonts w:hint="cs"/>
                <w:szCs w:val="22"/>
                <w:rtl/>
              </w:rPr>
              <w:t>001 14</w:t>
            </w:r>
          </w:p>
        </w:tc>
      </w:tr>
      <w:tr w:rsidR="003865AC" w:rsidTr="003865AC">
        <w:tc>
          <w:tcPr>
            <w:tcW w:w="1503" w:type="dxa"/>
            <w:tcBorders>
              <w:top w:val="nil"/>
              <w:bottom w:val="nil"/>
            </w:tcBorders>
          </w:tcPr>
          <w:p w:rsidR="003865AC" w:rsidRDefault="003865AC">
            <w:pPr>
              <w:spacing w:before="0" w:after="0" w:line="380" w:lineRule="exact"/>
              <w:jc w:val="both"/>
              <w:rPr>
                <w:rFonts w:hint="cs"/>
                <w:szCs w:val="22"/>
                <w:rtl/>
              </w:rPr>
            </w:pPr>
            <w:r>
              <w:rPr>
                <w:rFonts w:hint="cs"/>
                <w:szCs w:val="22"/>
                <w:rtl/>
              </w:rPr>
              <w:t>خضار</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036 6</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177</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836 7</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342</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212 2</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624</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374 2</w:t>
            </w:r>
          </w:p>
        </w:tc>
        <w:tc>
          <w:tcPr>
            <w:tcW w:w="828" w:type="dxa"/>
            <w:tcBorders>
              <w:top w:val="nil"/>
              <w:bottom w:val="nil"/>
            </w:tcBorders>
          </w:tcPr>
          <w:p w:rsidR="003865AC" w:rsidRDefault="003865AC">
            <w:pPr>
              <w:spacing w:before="0" w:after="0" w:line="380" w:lineRule="exact"/>
              <w:jc w:val="both"/>
              <w:rPr>
                <w:rFonts w:hint="cs"/>
                <w:szCs w:val="22"/>
                <w:rtl/>
              </w:rPr>
            </w:pPr>
            <w:r>
              <w:rPr>
                <w:rFonts w:hint="cs"/>
                <w:szCs w:val="22"/>
                <w:rtl/>
              </w:rPr>
              <w:t>697</w:t>
            </w:r>
          </w:p>
        </w:tc>
      </w:tr>
      <w:tr w:rsidR="003865AC" w:rsidTr="003865AC">
        <w:tc>
          <w:tcPr>
            <w:tcW w:w="1503" w:type="dxa"/>
            <w:tcBorders>
              <w:top w:val="nil"/>
              <w:bottom w:val="nil"/>
            </w:tcBorders>
          </w:tcPr>
          <w:p w:rsidR="003865AC" w:rsidRDefault="003865AC">
            <w:pPr>
              <w:spacing w:before="0" w:after="0" w:line="380" w:lineRule="exact"/>
              <w:jc w:val="both"/>
              <w:rPr>
                <w:rFonts w:hint="cs"/>
                <w:szCs w:val="22"/>
                <w:rtl/>
              </w:rPr>
            </w:pPr>
            <w:r>
              <w:rPr>
                <w:rFonts w:hint="cs"/>
                <w:szCs w:val="22"/>
                <w:rtl/>
              </w:rPr>
              <w:t>بطاطس</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612 21</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532</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579 12</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141</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065 9</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361.6</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807 4</w:t>
            </w:r>
          </w:p>
        </w:tc>
        <w:tc>
          <w:tcPr>
            <w:tcW w:w="828" w:type="dxa"/>
            <w:tcBorders>
              <w:top w:val="nil"/>
              <w:bottom w:val="nil"/>
            </w:tcBorders>
          </w:tcPr>
          <w:p w:rsidR="003865AC" w:rsidRDefault="003865AC">
            <w:pPr>
              <w:spacing w:before="0" w:after="0" w:line="380" w:lineRule="exact"/>
              <w:jc w:val="both"/>
              <w:rPr>
                <w:rFonts w:hint="cs"/>
                <w:szCs w:val="22"/>
                <w:rtl/>
              </w:rPr>
            </w:pPr>
            <w:r>
              <w:rPr>
                <w:rFonts w:hint="cs"/>
                <w:szCs w:val="22"/>
                <w:rtl/>
              </w:rPr>
              <w:t>99</w:t>
            </w:r>
          </w:p>
        </w:tc>
      </w:tr>
      <w:tr w:rsidR="003865AC" w:rsidTr="003865AC">
        <w:tc>
          <w:tcPr>
            <w:tcW w:w="1503" w:type="dxa"/>
            <w:tcBorders>
              <w:top w:val="nil"/>
              <w:bottom w:val="nil"/>
            </w:tcBorders>
          </w:tcPr>
          <w:p w:rsidR="003865AC" w:rsidRDefault="003865AC">
            <w:pPr>
              <w:spacing w:before="0" w:after="0" w:line="380" w:lineRule="exact"/>
              <w:jc w:val="both"/>
              <w:rPr>
                <w:rFonts w:hint="cs"/>
                <w:spacing w:val="0"/>
                <w:szCs w:val="22"/>
                <w:rtl/>
              </w:rPr>
            </w:pPr>
            <w:r>
              <w:rPr>
                <w:rFonts w:hint="cs"/>
                <w:spacing w:val="0"/>
                <w:szCs w:val="22"/>
                <w:rtl/>
              </w:rPr>
              <w:t>فواكه وخضار محفوظة</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348 5</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030 3</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381 2</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284 4</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038 2</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082 4</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647 2</w:t>
            </w:r>
          </w:p>
        </w:tc>
        <w:tc>
          <w:tcPr>
            <w:tcW w:w="828" w:type="dxa"/>
            <w:tcBorders>
              <w:top w:val="nil"/>
              <w:bottom w:val="nil"/>
            </w:tcBorders>
          </w:tcPr>
          <w:p w:rsidR="003865AC" w:rsidRDefault="003865AC">
            <w:pPr>
              <w:spacing w:before="0" w:after="0" w:line="380" w:lineRule="exact"/>
              <w:jc w:val="both"/>
              <w:rPr>
                <w:rFonts w:hint="cs"/>
                <w:szCs w:val="22"/>
                <w:rtl/>
              </w:rPr>
            </w:pPr>
            <w:r>
              <w:rPr>
                <w:rFonts w:hint="cs"/>
                <w:szCs w:val="22"/>
                <w:rtl/>
              </w:rPr>
              <w:t>653 2</w:t>
            </w:r>
          </w:p>
        </w:tc>
      </w:tr>
      <w:tr w:rsidR="003865AC" w:rsidTr="003865AC">
        <w:tc>
          <w:tcPr>
            <w:tcW w:w="1503" w:type="dxa"/>
            <w:tcBorders>
              <w:top w:val="nil"/>
              <w:bottom w:val="nil"/>
            </w:tcBorders>
          </w:tcPr>
          <w:p w:rsidR="003865AC" w:rsidRDefault="003865AC">
            <w:pPr>
              <w:spacing w:before="0" w:after="0" w:line="380" w:lineRule="exact"/>
              <w:jc w:val="both"/>
              <w:rPr>
                <w:rFonts w:hint="cs"/>
                <w:szCs w:val="22"/>
                <w:rtl/>
              </w:rPr>
            </w:pPr>
            <w:r>
              <w:rPr>
                <w:rFonts w:hint="cs"/>
                <w:szCs w:val="22"/>
                <w:rtl/>
              </w:rPr>
              <w:t>حلويات</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361 9</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129</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549 10</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780 4</w:t>
            </w:r>
          </w:p>
        </w:tc>
        <w:tc>
          <w:tcPr>
            <w:tcW w:w="1080" w:type="dxa"/>
            <w:tcBorders>
              <w:top w:val="nil"/>
              <w:bottom w:val="nil"/>
            </w:tcBorders>
          </w:tcPr>
          <w:p w:rsidR="003865AC" w:rsidRDefault="003865AC">
            <w:pPr>
              <w:spacing w:before="0" w:after="0" w:line="380" w:lineRule="exact"/>
              <w:jc w:val="both"/>
              <w:rPr>
                <w:rFonts w:hint="cs"/>
                <w:szCs w:val="22"/>
                <w:rtl/>
              </w:rPr>
            </w:pPr>
            <w:r>
              <w:rPr>
                <w:rFonts w:hint="cs"/>
                <w:szCs w:val="22"/>
                <w:rtl/>
              </w:rPr>
              <w:t>097 1</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15</w:t>
            </w:r>
          </w:p>
        </w:tc>
        <w:tc>
          <w:tcPr>
            <w:tcW w:w="900" w:type="dxa"/>
            <w:tcBorders>
              <w:top w:val="nil"/>
              <w:bottom w:val="nil"/>
            </w:tcBorders>
          </w:tcPr>
          <w:p w:rsidR="003865AC" w:rsidRDefault="003865AC">
            <w:pPr>
              <w:spacing w:before="0" w:after="0" w:line="380" w:lineRule="exact"/>
              <w:jc w:val="both"/>
              <w:rPr>
                <w:rFonts w:hint="cs"/>
                <w:szCs w:val="22"/>
                <w:rtl/>
              </w:rPr>
            </w:pPr>
            <w:r>
              <w:rPr>
                <w:rFonts w:hint="cs"/>
                <w:szCs w:val="22"/>
                <w:rtl/>
              </w:rPr>
              <w:t>604 2</w:t>
            </w:r>
          </w:p>
        </w:tc>
        <w:tc>
          <w:tcPr>
            <w:tcW w:w="828" w:type="dxa"/>
            <w:tcBorders>
              <w:top w:val="nil"/>
              <w:bottom w:val="nil"/>
            </w:tcBorders>
          </w:tcPr>
          <w:p w:rsidR="003865AC" w:rsidRDefault="003865AC">
            <w:pPr>
              <w:spacing w:before="0" w:after="0" w:line="380" w:lineRule="exact"/>
              <w:jc w:val="both"/>
              <w:rPr>
                <w:rFonts w:hint="cs"/>
                <w:szCs w:val="22"/>
                <w:rtl/>
              </w:rPr>
            </w:pPr>
            <w:r>
              <w:rPr>
                <w:rFonts w:hint="cs"/>
                <w:szCs w:val="22"/>
                <w:rtl/>
              </w:rPr>
              <w:t>28</w:t>
            </w:r>
          </w:p>
        </w:tc>
      </w:tr>
      <w:tr w:rsidR="003865AC" w:rsidTr="003865AC">
        <w:tc>
          <w:tcPr>
            <w:tcW w:w="1503" w:type="dxa"/>
            <w:tcBorders>
              <w:top w:val="nil"/>
            </w:tcBorders>
          </w:tcPr>
          <w:p w:rsidR="003865AC" w:rsidRDefault="003865AC">
            <w:pPr>
              <w:spacing w:before="0" w:after="0" w:line="380" w:lineRule="exact"/>
              <w:jc w:val="both"/>
              <w:rPr>
                <w:rFonts w:hint="cs"/>
                <w:szCs w:val="22"/>
                <w:rtl/>
              </w:rPr>
            </w:pPr>
            <w:r>
              <w:rPr>
                <w:rFonts w:hint="cs"/>
                <w:szCs w:val="22"/>
                <w:rtl/>
              </w:rPr>
              <w:t>شاي</w:t>
            </w:r>
          </w:p>
        </w:tc>
        <w:tc>
          <w:tcPr>
            <w:tcW w:w="1080" w:type="dxa"/>
            <w:tcBorders>
              <w:top w:val="nil"/>
            </w:tcBorders>
          </w:tcPr>
          <w:p w:rsidR="003865AC" w:rsidRDefault="003865AC">
            <w:pPr>
              <w:spacing w:before="0" w:after="0" w:line="380" w:lineRule="exact"/>
              <w:jc w:val="both"/>
              <w:rPr>
                <w:rFonts w:hint="cs"/>
                <w:szCs w:val="22"/>
                <w:rtl/>
              </w:rPr>
            </w:pPr>
            <w:r>
              <w:rPr>
                <w:rFonts w:hint="cs"/>
                <w:szCs w:val="22"/>
                <w:rtl/>
              </w:rPr>
              <w:t>400</w:t>
            </w:r>
          </w:p>
        </w:tc>
        <w:tc>
          <w:tcPr>
            <w:tcW w:w="900" w:type="dxa"/>
            <w:tcBorders>
              <w:top w:val="nil"/>
            </w:tcBorders>
          </w:tcPr>
          <w:p w:rsidR="003865AC" w:rsidRDefault="003865AC">
            <w:pPr>
              <w:spacing w:before="0" w:after="0" w:line="380" w:lineRule="exact"/>
              <w:jc w:val="both"/>
              <w:rPr>
                <w:rFonts w:hint="cs"/>
                <w:szCs w:val="22"/>
                <w:rtl/>
              </w:rPr>
            </w:pPr>
            <w:r>
              <w:rPr>
                <w:rFonts w:hint="cs"/>
                <w:szCs w:val="22"/>
                <w:rtl/>
              </w:rPr>
              <w:t>007 15</w:t>
            </w:r>
          </w:p>
        </w:tc>
        <w:tc>
          <w:tcPr>
            <w:tcW w:w="900" w:type="dxa"/>
            <w:tcBorders>
              <w:top w:val="nil"/>
            </w:tcBorders>
          </w:tcPr>
          <w:p w:rsidR="003865AC" w:rsidRDefault="003865AC">
            <w:pPr>
              <w:spacing w:before="0" w:after="0" w:line="380" w:lineRule="exact"/>
              <w:jc w:val="both"/>
              <w:rPr>
                <w:rFonts w:hint="cs"/>
                <w:szCs w:val="22"/>
                <w:rtl/>
              </w:rPr>
            </w:pPr>
            <w:r>
              <w:rPr>
                <w:rFonts w:hint="cs"/>
                <w:szCs w:val="22"/>
                <w:rtl/>
              </w:rPr>
              <w:t>010 4</w:t>
            </w:r>
          </w:p>
        </w:tc>
        <w:tc>
          <w:tcPr>
            <w:tcW w:w="900" w:type="dxa"/>
            <w:tcBorders>
              <w:top w:val="nil"/>
            </w:tcBorders>
          </w:tcPr>
          <w:p w:rsidR="003865AC" w:rsidRDefault="003865AC">
            <w:pPr>
              <w:spacing w:before="0" w:after="0" w:line="380" w:lineRule="exact"/>
              <w:jc w:val="both"/>
              <w:rPr>
                <w:rFonts w:hint="cs"/>
                <w:szCs w:val="22"/>
                <w:rtl/>
              </w:rPr>
            </w:pPr>
            <w:r>
              <w:rPr>
                <w:rFonts w:hint="cs"/>
                <w:szCs w:val="22"/>
                <w:rtl/>
              </w:rPr>
              <w:t>060 10</w:t>
            </w:r>
          </w:p>
        </w:tc>
        <w:tc>
          <w:tcPr>
            <w:tcW w:w="1080" w:type="dxa"/>
            <w:tcBorders>
              <w:top w:val="nil"/>
            </w:tcBorders>
          </w:tcPr>
          <w:p w:rsidR="003865AC" w:rsidRDefault="003865AC">
            <w:pPr>
              <w:spacing w:before="0" w:after="0" w:line="380" w:lineRule="exact"/>
              <w:jc w:val="both"/>
              <w:rPr>
                <w:rFonts w:hint="cs"/>
                <w:szCs w:val="22"/>
                <w:rtl/>
              </w:rPr>
            </w:pPr>
            <w:r>
              <w:rPr>
                <w:rFonts w:hint="cs"/>
                <w:szCs w:val="22"/>
                <w:rtl/>
              </w:rPr>
              <w:t>917 2</w:t>
            </w:r>
          </w:p>
        </w:tc>
        <w:tc>
          <w:tcPr>
            <w:tcW w:w="900" w:type="dxa"/>
            <w:tcBorders>
              <w:top w:val="nil"/>
            </w:tcBorders>
          </w:tcPr>
          <w:p w:rsidR="003865AC" w:rsidRDefault="003865AC">
            <w:pPr>
              <w:spacing w:before="0" w:after="0" w:line="380" w:lineRule="exact"/>
              <w:jc w:val="both"/>
              <w:rPr>
                <w:rFonts w:hint="cs"/>
                <w:szCs w:val="22"/>
                <w:rtl/>
              </w:rPr>
            </w:pPr>
            <w:r>
              <w:rPr>
                <w:rFonts w:hint="cs"/>
                <w:szCs w:val="22"/>
                <w:rtl/>
              </w:rPr>
              <w:t>322 14</w:t>
            </w:r>
          </w:p>
        </w:tc>
        <w:tc>
          <w:tcPr>
            <w:tcW w:w="900" w:type="dxa"/>
            <w:tcBorders>
              <w:top w:val="nil"/>
            </w:tcBorders>
          </w:tcPr>
          <w:p w:rsidR="003865AC" w:rsidRDefault="003865AC">
            <w:pPr>
              <w:spacing w:before="0" w:after="0" w:line="380" w:lineRule="exact"/>
              <w:jc w:val="both"/>
              <w:rPr>
                <w:rFonts w:hint="cs"/>
                <w:szCs w:val="22"/>
                <w:rtl/>
              </w:rPr>
            </w:pPr>
            <w:r>
              <w:rPr>
                <w:rFonts w:hint="cs"/>
                <w:szCs w:val="22"/>
                <w:rtl/>
              </w:rPr>
              <w:t>661</w:t>
            </w:r>
          </w:p>
        </w:tc>
        <w:tc>
          <w:tcPr>
            <w:tcW w:w="828" w:type="dxa"/>
            <w:tcBorders>
              <w:top w:val="nil"/>
            </w:tcBorders>
          </w:tcPr>
          <w:p w:rsidR="003865AC" w:rsidRDefault="003865AC">
            <w:pPr>
              <w:spacing w:before="0" w:after="0" w:line="380" w:lineRule="exact"/>
              <w:jc w:val="both"/>
              <w:rPr>
                <w:rFonts w:hint="cs"/>
                <w:szCs w:val="22"/>
                <w:rtl/>
              </w:rPr>
            </w:pPr>
            <w:r>
              <w:rPr>
                <w:rFonts w:hint="cs"/>
                <w:szCs w:val="22"/>
                <w:rtl/>
              </w:rPr>
              <w:t>023 9</w:t>
            </w:r>
          </w:p>
        </w:tc>
      </w:tr>
    </w:tbl>
    <w:p w:rsidR="00000000" w:rsidRDefault="003865AC">
      <w:pPr>
        <w:jc w:val="both"/>
        <w:rPr>
          <w:rFonts w:hint="cs"/>
          <w:rtl/>
        </w:rPr>
      </w:pPr>
      <w:r>
        <w:rPr>
          <w:rFonts w:hint="cs"/>
          <w:rtl/>
        </w:rPr>
        <w:t>153-</w:t>
      </w:r>
      <w:r>
        <w:rPr>
          <w:rFonts w:hint="cs"/>
          <w:rtl/>
        </w:rPr>
        <w:tab/>
        <w:t>ويمكن التعبير عن مستويات استيراد وتصدير المنتَجات الغذائية بالمبالغ النقدية على النحو التالي (بملايين الدولارات الأمريكية):</w:t>
      </w:r>
    </w:p>
    <w:tbl>
      <w:tblPr>
        <w:bidiVisual/>
        <w:tblW w:w="0" w:type="auto"/>
        <w:tblInd w:w="842" w:type="dxa"/>
        <w:tblLook w:val="01E0" w:firstRow="1" w:lastRow="1" w:firstColumn="1" w:lastColumn="1" w:noHBand="0" w:noVBand="0"/>
      </w:tblPr>
      <w:tblGrid>
        <w:gridCol w:w="1060"/>
        <w:gridCol w:w="1440"/>
        <w:gridCol w:w="1139"/>
        <w:gridCol w:w="1331"/>
        <w:gridCol w:w="1130"/>
        <w:gridCol w:w="1080"/>
        <w:gridCol w:w="1548"/>
      </w:tblGrid>
      <w:tr w:rsidR="003865AC" w:rsidTr="003865AC">
        <w:tc>
          <w:tcPr>
            <w:tcW w:w="1060" w:type="dxa"/>
          </w:tcPr>
          <w:p w:rsidR="003865AC" w:rsidRDefault="003865AC">
            <w:pPr>
              <w:spacing w:before="120" w:after="120"/>
              <w:jc w:val="both"/>
              <w:rPr>
                <w:rFonts w:hint="cs"/>
                <w:rtl/>
              </w:rPr>
            </w:pPr>
            <w:r>
              <w:rPr>
                <w:rFonts w:hint="cs"/>
                <w:rtl/>
              </w:rPr>
              <w:t>1997:</w:t>
            </w:r>
          </w:p>
        </w:tc>
        <w:tc>
          <w:tcPr>
            <w:tcW w:w="1440" w:type="dxa"/>
          </w:tcPr>
          <w:p w:rsidR="003865AC" w:rsidRDefault="003865AC">
            <w:pPr>
              <w:spacing w:before="120" w:after="120"/>
              <w:jc w:val="both"/>
              <w:rPr>
                <w:rFonts w:hint="cs"/>
                <w:rtl/>
              </w:rPr>
            </w:pPr>
            <w:r>
              <w:rPr>
                <w:rFonts w:hint="cs"/>
                <w:rtl/>
              </w:rPr>
              <w:t>الصادرات -</w:t>
            </w:r>
          </w:p>
        </w:tc>
        <w:tc>
          <w:tcPr>
            <w:tcW w:w="1139" w:type="dxa"/>
          </w:tcPr>
          <w:p w:rsidR="003865AC" w:rsidRDefault="003865AC">
            <w:pPr>
              <w:spacing w:before="120" w:after="120"/>
              <w:jc w:val="both"/>
              <w:rPr>
                <w:rFonts w:hint="cs"/>
                <w:rtl/>
              </w:rPr>
            </w:pPr>
            <w:r>
              <w:rPr>
                <w:rFonts w:hint="cs"/>
                <w:rtl/>
              </w:rPr>
              <w:t>79.4؛</w:t>
            </w:r>
          </w:p>
        </w:tc>
        <w:tc>
          <w:tcPr>
            <w:tcW w:w="1331" w:type="dxa"/>
          </w:tcPr>
          <w:p w:rsidR="003865AC" w:rsidRDefault="003865AC">
            <w:pPr>
              <w:spacing w:before="120" w:after="120"/>
              <w:jc w:val="both"/>
              <w:rPr>
                <w:rFonts w:hint="cs"/>
                <w:rtl/>
              </w:rPr>
            </w:pPr>
            <w:r>
              <w:rPr>
                <w:rFonts w:hint="cs"/>
                <w:rtl/>
              </w:rPr>
              <w:t>الواردات -</w:t>
            </w:r>
          </w:p>
        </w:tc>
        <w:tc>
          <w:tcPr>
            <w:tcW w:w="1130" w:type="dxa"/>
          </w:tcPr>
          <w:p w:rsidR="003865AC" w:rsidRDefault="003865AC">
            <w:pPr>
              <w:spacing w:before="120" w:after="120"/>
              <w:jc w:val="both"/>
              <w:rPr>
                <w:rFonts w:hint="cs"/>
                <w:rtl/>
              </w:rPr>
            </w:pPr>
            <w:r>
              <w:rPr>
                <w:rFonts w:hint="cs"/>
                <w:rtl/>
              </w:rPr>
              <w:t>326.8؛</w:t>
            </w:r>
          </w:p>
        </w:tc>
        <w:tc>
          <w:tcPr>
            <w:tcW w:w="1080" w:type="dxa"/>
          </w:tcPr>
          <w:p w:rsidR="003865AC" w:rsidRDefault="003865AC">
            <w:pPr>
              <w:spacing w:before="120" w:after="120"/>
              <w:jc w:val="both"/>
              <w:rPr>
                <w:rFonts w:hint="cs"/>
                <w:rtl/>
              </w:rPr>
            </w:pPr>
            <w:r>
              <w:rPr>
                <w:rFonts w:hint="cs"/>
                <w:rtl/>
              </w:rPr>
              <w:t>الفارق -</w:t>
            </w:r>
          </w:p>
        </w:tc>
        <w:tc>
          <w:tcPr>
            <w:tcW w:w="1548" w:type="dxa"/>
          </w:tcPr>
          <w:p w:rsidR="003865AC" w:rsidRDefault="003865AC">
            <w:pPr>
              <w:spacing w:before="120" w:after="120"/>
              <w:jc w:val="both"/>
              <w:rPr>
                <w:rFonts w:hint="cs"/>
                <w:rtl/>
              </w:rPr>
            </w:pPr>
            <w:r>
              <w:rPr>
                <w:rFonts w:hint="cs"/>
                <w:rtl/>
              </w:rPr>
              <w:t>ناقص 247.4</w:t>
            </w:r>
          </w:p>
        </w:tc>
      </w:tr>
      <w:tr w:rsidR="003865AC" w:rsidTr="003865AC">
        <w:tc>
          <w:tcPr>
            <w:tcW w:w="1060" w:type="dxa"/>
          </w:tcPr>
          <w:p w:rsidR="003865AC" w:rsidRDefault="003865AC">
            <w:pPr>
              <w:spacing w:before="120" w:after="120"/>
              <w:jc w:val="both"/>
              <w:rPr>
                <w:rFonts w:hint="cs"/>
                <w:rtl/>
              </w:rPr>
            </w:pPr>
            <w:r>
              <w:rPr>
                <w:rFonts w:hint="cs"/>
                <w:rtl/>
              </w:rPr>
              <w:t>1998:</w:t>
            </w:r>
          </w:p>
        </w:tc>
        <w:tc>
          <w:tcPr>
            <w:tcW w:w="1440" w:type="dxa"/>
          </w:tcPr>
          <w:p w:rsidR="003865AC" w:rsidRDefault="003865AC">
            <w:pPr>
              <w:spacing w:before="120" w:after="120"/>
              <w:jc w:val="both"/>
              <w:rPr>
                <w:rFonts w:hint="cs"/>
                <w:rtl/>
              </w:rPr>
            </w:pPr>
            <w:r>
              <w:rPr>
                <w:rFonts w:hint="cs"/>
                <w:rtl/>
              </w:rPr>
              <w:t>الصادرات -</w:t>
            </w:r>
          </w:p>
        </w:tc>
        <w:tc>
          <w:tcPr>
            <w:tcW w:w="1139" w:type="dxa"/>
          </w:tcPr>
          <w:p w:rsidR="003865AC" w:rsidRDefault="003865AC">
            <w:pPr>
              <w:spacing w:before="120" w:after="120"/>
              <w:jc w:val="both"/>
              <w:rPr>
                <w:rFonts w:hint="cs"/>
                <w:rtl/>
              </w:rPr>
            </w:pPr>
            <w:r>
              <w:rPr>
                <w:rFonts w:hint="cs"/>
                <w:rtl/>
              </w:rPr>
              <w:t>69.8؛</w:t>
            </w:r>
          </w:p>
        </w:tc>
        <w:tc>
          <w:tcPr>
            <w:tcW w:w="1331" w:type="dxa"/>
          </w:tcPr>
          <w:p w:rsidR="003865AC" w:rsidRDefault="003865AC">
            <w:pPr>
              <w:spacing w:before="120" w:after="120"/>
              <w:jc w:val="both"/>
              <w:rPr>
                <w:rFonts w:hint="cs"/>
                <w:rtl/>
              </w:rPr>
            </w:pPr>
            <w:r>
              <w:rPr>
                <w:rFonts w:hint="cs"/>
                <w:rtl/>
              </w:rPr>
              <w:t>الواردات -</w:t>
            </w:r>
          </w:p>
        </w:tc>
        <w:tc>
          <w:tcPr>
            <w:tcW w:w="1130" w:type="dxa"/>
          </w:tcPr>
          <w:p w:rsidR="003865AC" w:rsidRDefault="003865AC">
            <w:pPr>
              <w:spacing w:before="120" w:after="120"/>
              <w:jc w:val="both"/>
              <w:rPr>
                <w:rFonts w:hint="cs"/>
                <w:rtl/>
              </w:rPr>
            </w:pPr>
            <w:r>
              <w:rPr>
                <w:rFonts w:hint="cs"/>
                <w:rtl/>
              </w:rPr>
              <w:t>168.5؛</w:t>
            </w:r>
          </w:p>
        </w:tc>
        <w:tc>
          <w:tcPr>
            <w:tcW w:w="1080" w:type="dxa"/>
          </w:tcPr>
          <w:p w:rsidR="003865AC" w:rsidRDefault="003865AC">
            <w:pPr>
              <w:spacing w:before="120" w:after="120"/>
              <w:jc w:val="both"/>
              <w:rPr>
                <w:rFonts w:hint="cs"/>
                <w:rtl/>
              </w:rPr>
            </w:pPr>
            <w:r>
              <w:rPr>
                <w:rFonts w:hint="cs"/>
                <w:rtl/>
              </w:rPr>
              <w:t>الفارق -</w:t>
            </w:r>
          </w:p>
        </w:tc>
        <w:tc>
          <w:tcPr>
            <w:tcW w:w="1548" w:type="dxa"/>
          </w:tcPr>
          <w:p w:rsidR="003865AC" w:rsidRDefault="003865AC">
            <w:pPr>
              <w:spacing w:before="120" w:after="120"/>
              <w:jc w:val="both"/>
              <w:rPr>
                <w:rFonts w:hint="cs"/>
                <w:rtl/>
              </w:rPr>
            </w:pPr>
            <w:r>
              <w:rPr>
                <w:rFonts w:hint="cs"/>
                <w:rtl/>
              </w:rPr>
              <w:t>ناقص 98.7</w:t>
            </w:r>
          </w:p>
        </w:tc>
      </w:tr>
      <w:tr w:rsidR="003865AC" w:rsidTr="003865AC">
        <w:tc>
          <w:tcPr>
            <w:tcW w:w="1060" w:type="dxa"/>
          </w:tcPr>
          <w:p w:rsidR="003865AC" w:rsidRDefault="003865AC">
            <w:pPr>
              <w:spacing w:before="120" w:after="120"/>
              <w:jc w:val="both"/>
              <w:rPr>
                <w:rFonts w:hint="cs"/>
                <w:rtl/>
              </w:rPr>
            </w:pPr>
            <w:r>
              <w:rPr>
                <w:rFonts w:hint="cs"/>
                <w:rtl/>
              </w:rPr>
              <w:t>1999:</w:t>
            </w:r>
          </w:p>
        </w:tc>
        <w:tc>
          <w:tcPr>
            <w:tcW w:w="1440" w:type="dxa"/>
          </w:tcPr>
          <w:p w:rsidR="003865AC" w:rsidRDefault="003865AC">
            <w:pPr>
              <w:spacing w:before="120" w:after="120"/>
              <w:jc w:val="both"/>
              <w:rPr>
                <w:rFonts w:hint="cs"/>
                <w:rtl/>
              </w:rPr>
            </w:pPr>
            <w:r>
              <w:rPr>
                <w:rFonts w:hint="cs"/>
                <w:rtl/>
              </w:rPr>
              <w:t xml:space="preserve">الصادرات - </w:t>
            </w:r>
          </w:p>
        </w:tc>
        <w:tc>
          <w:tcPr>
            <w:tcW w:w="1139" w:type="dxa"/>
          </w:tcPr>
          <w:p w:rsidR="003865AC" w:rsidRDefault="003865AC">
            <w:pPr>
              <w:spacing w:before="120" w:after="120"/>
              <w:jc w:val="both"/>
              <w:rPr>
                <w:rFonts w:hint="cs"/>
                <w:rtl/>
              </w:rPr>
            </w:pPr>
            <w:r>
              <w:rPr>
                <w:rFonts w:hint="cs"/>
                <w:rtl/>
              </w:rPr>
              <w:t>66.2؛</w:t>
            </w:r>
          </w:p>
        </w:tc>
        <w:tc>
          <w:tcPr>
            <w:tcW w:w="1331" w:type="dxa"/>
          </w:tcPr>
          <w:p w:rsidR="003865AC" w:rsidRDefault="003865AC">
            <w:pPr>
              <w:spacing w:before="120" w:after="120"/>
              <w:jc w:val="both"/>
              <w:rPr>
                <w:rFonts w:hint="cs"/>
                <w:rtl/>
              </w:rPr>
            </w:pPr>
            <w:r>
              <w:rPr>
                <w:rFonts w:hint="cs"/>
                <w:rtl/>
              </w:rPr>
              <w:t>الواردات -</w:t>
            </w:r>
          </w:p>
        </w:tc>
        <w:tc>
          <w:tcPr>
            <w:tcW w:w="1130" w:type="dxa"/>
          </w:tcPr>
          <w:p w:rsidR="003865AC" w:rsidRDefault="003865AC">
            <w:pPr>
              <w:spacing w:before="120" w:after="120"/>
              <w:jc w:val="both"/>
              <w:rPr>
                <w:rFonts w:hint="cs"/>
                <w:rtl/>
              </w:rPr>
            </w:pPr>
            <w:r>
              <w:rPr>
                <w:rFonts w:hint="cs"/>
                <w:rtl/>
              </w:rPr>
              <w:t>138؛</w:t>
            </w:r>
          </w:p>
        </w:tc>
        <w:tc>
          <w:tcPr>
            <w:tcW w:w="1080" w:type="dxa"/>
          </w:tcPr>
          <w:p w:rsidR="003865AC" w:rsidRDefault="003865AC">
            <w:pPr>
              <w:spacing w:before="120" w:after="120"/>
              <w:jc w:val="both"/>
              <w:rPr>
                <w:rFonts w:hint="cs"/>
                <w:rtl/>
              </w:rPr>
            </w:pPr>
            <w:r>
              <w:rPr>
                <w:rFonts w:hint="cs"/>
                <w:rtl/>
              </w:rPr>
              <w:t>الفارق -</w:t>
            </w:r>
          </w:p>
        </w:tc>
        <w:tc>
          <w:tcPr>
            <w:tcW w:w="1548" w:type="dxa"/>
          </w:tcPr>
          <w:p w:rsidR="003865AC" w:rsidRDefault="003865AC">
            <w:pPr>
              <w:spacing w:before="120" w:after="120"/>
              <w:jc w:val="both"/>
              <w:rPr>
                <w:rFonts w:hint="cs"/>
                <w:rtl/>
              </w:rPr>
            </w:pPr>
            <w:r>
              <w:rPr>
                <w:rFonts w:hint="cs"/>
                <w:rtl/>
              </w:rPr>
              <w:t>ناقص 71.8</w:t>
            </w:r>
          </w:p>
        </w:tc>
      </w:tr>
      <w:tr w:rsidR="003865AC" w:rsidTr="003865AC">
        <w:tc>
          <w:tcPr>
            <w:tcW w:w="1060" w:type="dxa"/>
          </w:tcPr>
          <w:p w:rsidR="003865AC" w:rsidRDefault="003865AC">
            <w:pPr>
              <w:spacing w:before="120" w:after="120"/>
              <w:jc w:val="both"/>
              <w:rPr>
                <w:rFonts w:hint="cs"/>
                <w:rtl/>
              </w:rPr>
            </w:pPr>
            <w:r>
              <w:rPr>
                <w:rFonts w:hint="cs"/>
                <w:rtl/>
              </w:rPr>
              <w:t>2000:</w:t>
            </w:r>
          </w:p>
        </w:tc>
        <w:tc>
          <w:tcPr>
            <w:tcW w:w="1440" w:type="dxa"/>
          </w:tcPr>
          <w:p w:rsidR="003865AC" w:rsidRDefault="003865AC">
            <w:pPr>
              <w:spacing w:before="120" w:after="120"/>
              <w:jc w:val="both"/>
              <w:rPr>
                <w:rFonts w:hint="cs"/>
                <w:rtl/>
              </w:rPr>
            </w:pPr>
            <w:r>
              <w:rPr>
                <w:rFonts w:hint="cs"/>
                <w:rtl/>
              </w:rPr>
              <w:t>الصادرات -</w:t>
            </w:r>
          </w:p>
        </w:tc>
        <w:tc>
          <w:tcPr>
            <w:tcW w:w="1139" w:type="dxa"/>
          </w:tcPr>
          <w:p w:rsidR="003865AC" w:rsidRDefault="003865AC">
            <w:pPr>
              <w:spacing w:before="120" w:after="120"/>
              <w:jc w:val="both"/>
              <w:rPr>
                <w:rFonts w:hint="cs"/>
                <w:rtl/>
              </w:rPr>
            </w:pPr>
            <w:r>
              <w:rPr>
                <w:rFonts w:hint="cs"/>
                <w:rtl/>
              </w:rPr>
              <w:t>94.8؛</w:t>
            </w:r>
          </w:p>
        </w:tc>
        <w:tc>
          <w:tcPr>
            <w:tcW w:w="1331" w:type="dxa"/>
          </w:tcPr>
          <w:p w:rsidR="003865AC" w:rsidRDefault="003865AC">
            <w:pPr>
              <w:spacing w:before="120" w:after="120"/>
              <w:jc w:val="both"/>
              <w:rPr>
                <w:rFonts w:hint="cs"/>
                <w:rtl/>
              </w:rPr>
            </w:pPr>
            <w:r>
              <w:rPr>
                <w:rFonts w:hint="cs"/>
                <w:rtl/>
              </w:rPr>
              <w:t>الواردات -</w:t>
            </w:r>
          </w:p>
        </w:tc>
        <w:tc>
          <w:tcPr>
            <w:tcW w:w="1130" w:type="dxa"/>
          </w:tcPr>
          <w:p w:rsidR="003865AC" w:rsidRDefault="003865AC">
            <w:pPr>
              <w:spacing w:before="120" w:after="120"/>
              <w:jc w:val="both"/>
              <w:rPr>
                <w:rFonts w:hint="cs"/>
                <w:rtl/>
              </w:rPr>
            </w:pPr>
            <w:r>
              <w:rPr>
                <w:rFonts w:hint="cs"/>
                <w:rtl/>
              </w:rPr>
              <w:t>163.2؛</w:t>
            </w:r>
          </w:p>
        </w:tc>
        <w:tc>
          <w:tcPr>
            <w:tcW w:w="1080" w:type="dxa"/>
          </w:tcPr>
          <w:p w:rsidR="003865AC" w:rsidRDefault="003865AC">
            <w:pPr>
              <w:spacing w:before="120" w:after="120"/>
              <w:jc w:val="both"/>
              <w:rPr>
                <w:rFonts w:hint="cs"/>
                <w:rtl/>
              </w:rPr>
            </w:pPr>
            <w:r>
              <w:rPr>
                <w:rFonts w:hint="cs"/>
                <w:rtl/>
              </w:rPr>
              <w:t>الفارق -</w:t>
            </w:r>
          </w:p>
        </w:tc>
        <w:tc>
          <w:tcPr>
            <w:tcW w:w="1548" w:type="dxa"/>
          </w:tcPr>
          <w:p w:rsidR="003865AC" w:rsidRDefault="003865AC">
            <w:pPr>
              <w:spacing w:before="120" w:after="120"/>
              <w:jc w:val="both"/>
              <w:rPr>
                <w:rFonts w:hint="cs"/>
                <w:rtl/>
              </w:rPr>
            </w:pPr>
            <w:r>
              <w:rPr>
                <w:rFonts w:hint="cs"/>
                <w:rtl/>
              </w:rPr>
              <w:t>ناقص 68.4</w:t>
            </w:r>
          </w:p>
        </w:tc>
      </w:tr>
    </w:tbl>
    <w:p w:rsidR="00000000" w:rsidRDefault="003865AC">
      <w:pPr>
        <w:jc w:val="both"/>
        <w:rPr>
          <w:rFonts w:hint="cs"/>
          <w:rtl/>
        </w:rPr>
      </w:pPr>
      <w:r>
        <w:rPr>
          <w:rFonts w:hint="cs"/>
          <w:rtl/>
        </w:rPr>
        <w:t>154-</w:t>
      </w:r>
      <w:r>
        <w:rPr>
          <w:rFonts w:hint="cs"/>
          <w:rtl/>
        </w:rPr>
        <w:tab/>
        <w:t>ويمكن إرجاع أسباب هذا الوضع إلى الإخفاق في تحسين إمكانيات البلد التصديرية التقليدية وفي الركود المزمن لنشاطه الاقتصادي.</w:t>
      </w:r>
    </w:p>
    <w:p w:rsidR="00000000" w:rsidRDefault="003865AC">
      <w:pPr>
        <w:jc w:val="both"/>
        <w:rPr>
          <w:rFonts w:hint="cs"/>
          <w:i/>
          <w:iCs/>
          <w:rtl/>
        </w:rPr>
      </w:pPr>
      <w:r>
        <w:rPr>
          <w:rFonts w:hint="cs"/>
          <w:i/>
          <w:iCs/>
          <w:rtl/>
        </w:rPr>
        <w:t>الإمداد الغ</w:t>
      </w:r>
      <w:r>
        <w:rPr>
          <w:rFonts w:hint="cs"/>
          <w:i/>
          <w:iCs/>
          <w:rtl/>
        </w:rPr>
        <w:t>ذائي العام</w:t>
      </w:r>
    </w:p>
    <w:p w:rsidR="00000000" w:rsidRDefault="003865AC">
      <w:pPr>
        <w:jc w:val="both"/>
        <w:rPr>
          <w:rFonts w:hint="cs"/>
          <w:rtl/>
        </w:rPr>
      </w:pPr>
      <w:r>
        <w:rPr>
          <w:rFonts w:hint="cs"/>
          <w:rtl/>
        </w:rPr>
        <w:t>155-</w:t>
      </w:r>
      <w:r>
        <w:rPr>
          <w:rFonts w:hint="cs"/>
          <w:rtl/>
        </w:rPr>
        <w:tab/>
        <w:t>وكما تُبين الإحصاءات الواردة أعلاه، فإن إمدادات المنتجين المحلين تلبي أغلب الاحتياجات العامة من الفواكه والخضار والشاي والبطاطس. أما فيما يتعلق بالزبدة والجبن والزيوت النباتية فإن الوضع أقل إرضاء بكثير. وتكاد تستورَد كل المنتجات المحضرة صنا</w:t>
      </w:r>
      <w:r>
        <w:rPr>
          <w:rFonts w:hint="cs"/>
          <w:rtl/>
        </w:rPr>
        <w:t>عيا كاللحوم والألبان ومشتقاتها والحلويات.</w:t>
      </w:r>
    </w:p>
    <w:p w:rsidR="00000000" w:rsidRDefault="003865AC">
      <w:pPr>
        <w:jc w:val="both"/>
        <w:rPr>
          <w:rtl/>
        </w:rPr>
      </w:pPr>
      <w:r>
        <w:rPr>
          <w:rFonts w:hint="cs"/>
          <w:rtl/>
        </w:rPr>
        <w:t>156-</w:t>
      </w:r>
      <w:r>
        <w:rPr>
          <w:rFonts w:hint="cs"/>
          <w:rtl/>
        </w:rPr>
        <w:tab/>
        <w:t>ولدى تقييم هذه المسألة، قد تكون بعض البيانات الإحصائية للفترة 1997 - 1999 بخصوص الاستهلاك الفردي من المواد الغذائية الأساسية مصدر استِنارة. ولأغراض المقارنة، أُدرجت بيانات عام 1985 وتوقعات عام 2005 (بالكيلوغرا</w:t>
      </w:r>
      <w:r>
        <w:rPr>
          <w:rFonts w:hint="cs"/>
          <w:rtl/>
        </w:rPr>
        <w:t>م) في الجدول التالي:</w:t>
      </w:r>
    </w:p>
    <w:tbl>
      <w:tblPr>
        <w:bidiVisual/>
        <w:tblW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2"/>
        <w:gridCol w:w="3780"/>
        <w:gridCol w:w="1080"/>
        <w:gridCol w:w="1080"/>
        <w:gridCol w:w="1080"/>
        <w:gridCol w:w="1080"/>
        <w:gridCol w:w="1105"/>
      </w:tblGrid>
      <w:tr w:rsidR="003865AC" w:rsidTr="003865AC">
        <w:tc>
          <w:tcPr>
            <w:tcW w:w="642" w:type="dxa"/>
            <w:tcBorders>
              <w:bottom w:val="nil"/>
            </w:tcBorders>
          </w:tcPr>
          <w:p w:rsidR="003865AC" w:rsidRDefault="003865AC">
            <w:pPr>
              <w:spacing w:before="0" w:after="0" w:line="380" w:lineRule="exact"/>
              <w:jc w:val="both"/>
              <w:rPr>
                <w:rFonts w:hint="cs"/>
                <w:b/>
                <w:bCs/>
                <w:sz w:val="24"/>
                <w:szCs w:val="24"/>
                <w:rtl/>
              </w:rPr>
            </w:pPr>
          </w:p>
        </w:tc>
        <w:tc>
          <w:tcPr>
            <w:tcW w:w="3780" w:type="dxa"/>
            <w:tcBorders>
              <w:bottom w:val="nil"/>
            </w:tcBorders>
          </w:tcPr>
          <w:p w:rsidR="003865AC" w:rsidRDefault="003865AC">
            <w:pPr>
              <w:spacing w:before="0" w:after="0" w:line="380" w:lineRule="exact"/>
              <w:jc w:val="both"/>
              <w:rPr>
                <w:rFonts w:hint="cs"/>
                <w:b/>
                <w:bCs/>
                <w:sz w:val="24"/>
                <w:szCs w:val="24"/>
                <w:rtl/>
              </w:rPr>
            </w:pPr>
          </w:p>
        </w:tc>
        <w:tc>
          <w:tcPr>
            <w:tcW w:w="1080" w:type="dxa"/>
          </w:tcPr>
          <w:p w:rsidR="003865AC" w:rsidRDefault="003865AC">
            <w:pPr>
              <w:spacing w:before="0" w:after="0" w:line="380" w:lineRule="exact"/>
              <w:jc w:val="center"/>
              <w:rPr>
                <w:rFonts w:hint="cs"/>
                <w:b/>
                <w:bCs/>
                <w:sz w:val="24"/>
                <w:szCs w:val="24"/>
                <w:rtl/>
              </w:rPr>
            </w:pPr>
            <w:r>
              <w:rPr>
                <w:rFonts w:hint="cs"/>
                <w:b/>
                <w:bCs/>
                <w:sz w:val="24"/>
                <w:szCs w:val="24"/>
                <w:rtl/>
              </w:rPr>
              <w:t>1985</w:t>
            </w:r>
          </w:p>
        </w:tc>
        <w:tc>
          <w:tcPr>
            <w:tcW w:w="1080" w:type="dxa"/>
          </w:tcPr>
          <w:p w:rsidR="003865AC" w:rsidRDefault="003865AC">
            <w:pPr>
              <w:spacing w:before="0" w:after="0" w:line="380" w:lineRule="exact"/>
              <w:jc w:val="center"/>
              <w:rPr>
                <w:rFonts w:hint="cs"/>
                <w:b/>
                <w:bCs/>
                <w:sz w:val="24"/>
                <w:szCs w:val="24"/>
                <w:rtl/>
              </w:rPr>
            </w:pPr>
            <w:r>
              <w:rPr>
                <w:rFonts w:hint="cs"/>
                <w:b/>
                <w:bCs/>
                <w:sz w:val="24"/>
                <w:szCs w:val="24"/>
                <w:rtl/>
              </w:rPr>
              <w:t>1997</w:t>
            </w:r>
          </w:p>
        </w:tc>
        <w:tc>
          <w:tcPr>
            <w:tcW w:w="1080" w:type="dxa"/>
          </w:tcPr>
          <w:p w:rsidR="003865AC" w:rsidRDefault="003865AC">
            <w:pPr>
              <w:spacing w:before="0" w:after="0" w:line="380" w:lineRule="exact"/>
              <w:jc w:val="center"/>
              <w:rPr>
                <w:rFonts w:hint="cs"/>
                <w:b/>
                <w:bCs/>
                <w:sz w:val="24"/>
                <w:szCs w:val="24"/>
                <w:rtl/>
              </w:rPr>
            </w:pPr>
            <w:r>
              <w:rPr>
                <w:rFonts w:hint="cs"/>
                <w:b/>
                <w:bCs/>
                <w:sz w:val="24"/>
                <w:szCs w:val="24"/>
                <w:rtl/>
              </w:rPr>
              <w:t>1998</w:t>
            </w:r>
          </w:p>
        </w:tc>
        <w:tc>
          <w:tcPr>
            <w:tcW w:w="1080" w:type="dxa"/>
          </w:tcPr>
          <w:p w:rsidR="003865AC" w:rsidRDefault="003865AC">
            <w:pPr>
              <w:spacing w:before="0" w:after="0" w:line="380" w:lineRule="exact"/>
              <w:jc w:val="center"/>
              <w:rPr>
                <w:rFonts w:hint="cs"/>
                <w:b/>
                <w:bCs/>
                <w:sz w:val="24"/>
                <w:szCs w:val="24"/>
                <w:rtl/>
              </w:rPr>
            </w:pPr>
            <w:r>
              <w:rPr>
                <w:rFonts w:hint="cs"/>
                <w:b/>
                <w:bCs/>
                <w:sz w:val="24"/>
                <w:szCs w:val="24"/>
                <w:rtl/>
              </w:rPr>
              <w:t>1999</w:t>
            </w:r>
          </w:p>
        </w:tc>
        <w:tc>
          <w:tcPr>
            <w:tcW w:w="1105" w:type="dxa"/>
          </w:tcPr>
          <w:p w:rsidR="003865AC" w:rsidRDefault="003865AC">
            <w:pPr>
              <w:spacing w:before="0" w:after="0" w:line="380" w:lineRule="exact"/>
              <w:jc w:val="center"/>
              <w:rPr>
                <w:rFonts w:hint="cs"/>
                <w:b/>
                <w:bCs/>
                <w:sz w:val="24"/>
                <w:szCs w:val="24"/>
                <w:rtl/>
              </w:rPr>
            </w:pPr>
            <w:r>
              <w:rPr>
                <w:rFonts w:hint="cs"/>
                <w:b/>
                <w:bCs/>
                <w:sz w:val="24"/>
                <w:szCs w:val="24"/>
                <w:rtl/>
              </w:rPr>
              <w:t>2005</w:t>
            </w:r>
          </w:p>
        </w:tc>
      </w:tr>
      <w:tr w:rsidR="003865AC" w:rsidTr="003865AC">
        <w:tc>
          <w:tcPr>
            <w:tcW w:w="642" w:type="dxa"/>
            <w:tcBorders>
              <w:top w:val="nil"/>
              <w:bottom w:val="single" w:sz="4" w:space="0" w:color="auto"/>
            </w:tcBorders>
          </w:tcPr>
          <w:p w:rsidR="003865AC" w:rsidRDefault="003865AC">
            <w:pPr>
              <w:spacing w:before="0" w:after="0" w:line="380" w:lineRule="exact"/>
              <w:jc w:val="both"/>
              <w:rPr>
                <w:rFonts w:hint="cs"/>
                <w:sz w:val="24"/>
                <w:szCs w:val="24"/>
                <w:rtl/>
              </w:rPr>
            </w:pPr>
            <w:r>
              <w:rPr>
                <w:rFonts w:hint="cs"/>
                <w:b/>
                <w:bCs/>
                <w:sz w:val="24"/>
                <w:szCs w:val="24"/>
                <w:rtl/>
              </w:rPr>
              <w:t>الرقم</w:t>
            </w:r>
          </w:p>
        </w:tc>
        <w:tc>
          <w:tcPr>
            <w:tcW w:w="3780" w:type="dxa"/>
            <w:tcBorders>
              <w:top w:val="nil"/>
              <w:bottom w:val="single" w:sz="4" w:space="0" w:color="auto"/>
            </w:tcBorders>
          </w:tcPr>
          <w:p w:rsidR="003865AC" w:rsidRDefault="003865AC">
            <w:pPr>
              <w:spacing w:before="0" w:after="0" w:line="380" w:lineRule="exact"/>
              <w:jc w:val="both"/>
              <w:rPr>
                <w:rFonts w:hint="cs"/>
                <w:b/>
                <w:bCs/>
                <w:sz w:val="24"/>
                <w:szCs w:val="24"/>
                <w:rtl/>
              </w:rPr>
            </w:pPr>
            <w:r>
              <w:rPr>
                <w:rFonts w:hint="cs"/>
                <w:b/>
                <w:bCs/>
                <w:sz w:val="24"/>
                <w:szCs w:val="24"/>
                <w:rtl/>
              </w:rPr>
              <w:t>نوع المادة الغذائية</w:t>
            </w:r>
          </w:p>
        </w:tc>
        <w:tc>
          <w:tcPr>
            <w:tcW w:w="1080" w:type="dxa"/>
            <w:tcBorders>
              <w:bottom w:val="single" w:sz="4" w:space="0" w:color="auto"/>
            </w:tcBorders>
          </w:tcPr>
          <w:p w:rsidR="003865AC" w:rsidRDefault="003865AC">
            <w:pPr>
              <w:spacing w:before="0" w:after="120" w:line="380" w:lineRule="exact"/>
              <w:jc w:val="center"/>
              <w:rPr>
                <w:rFonts w:hint="cs"/>
                <w:b/>
                <w:bCs/>
                <w:sz w:val="24"/>
                <w:szCs w:val="24"/>
                <w:rtl/>
              </w:rPr>
            </w:pPr>
            <w:r>
              <w:rPr>
                <w:rFonts w:hint="cs"/>
                <w:b/>
                <w:bCs/>
                <w:sz w:val="24"/>
                <w:szCs w:val="24"/>
                <w:rtl/>
              </w:rPr>
              <w:t>الاستهلاك الفعلي</w:t>
            </w:r>
          </w:p>
        </w:tc>
        <w:tc>
          <w:tcPr>
            <w:tcW w:w="1080" w:type="dxa"/>
            <w:tcBorders>
              <w:bottom w:val="single" w:sz="4" w:space="0" w:color="auto"/>
            </w:tcBorders>
          </w:tcPr>
          <w:p w:rsidR="003865AC" w:rsidRDefault="003865AC">
            <w:pPr>
              <w:spacing w:before="0" w:after="120" w:line="380" w:lineRule="exact"/>
              <w:jc w:val="center"/>
              <w:rPr>
                <w:rFonts w:hint="cs"/>
                <w:b/>
                <w:bCs/>
                <w:sz w:val="24"/>
                <w:szCs w:val="24"/>
                <w:rtl/>
              </w:rPr>
            </w:pPr>
            <w:r>
              <w:rPr>
                <w:rFonts w:hint="cs"/>
                <w:b/>
                <w:bCs/>
                <w:sz w:val="24"/>
                <w:szCs w:val="24"/>
                <w:rtl/>
              </w:rPr>
              <w:t>الاستهلاك الفعلي</w:t>
            </w:r>
          </w:p>
        </w:tc>
        <w:tc>
          <w:tcPr>
            <w:tcW w:w="1080" w:type="dxa"/>
            <w:tcBorders>
              <w:bottom w:val="single" w:sz="4" w:space="0" w:color="auto"/>
            </w:tcBorders>
          </w:tcPr>
          <w:p w:rsidR="003865AC" w:rsidRDefault="003865AC">
            <w:pPr>
              <w:spacing w:before="0" w:after="120" w:line="380" w:lineRule="exact"/>
              <w:jc w:val="center"/>
              <w:rPr>
                <w:rFonts w:hint="cs"/>
                <w:b/>
                <w:bCs/>
                <w:sz w:val="24"/>
                <w:szCs w:val="24"/>
                <w:rtl/>
              </w:rPr>
            </w:pPr>
            <w:r>
              <w:rPr>
                <w:rFonts w:hint="cs"/>
                <w:b/>
                <w:bCs/>
                <w:sz w:val="24"/>
                <w:szCs w:val="24"/>
                <w:rtl/>
              </w:rPr>
              <w:t>الاستهلاك الفعلي</w:t>
            </w:r>
          </w:p>
        </w:tc>
        <w:tc>
          <w:tcPr>
            <w:tcW w:w="1080" w:type="dxa"/>
            <w:tcBorders>
              <w:bottom w:val="single" w:sz="4" w:space="0" w:color="auto"/>
            </w:tcBorders>
          </w:tcPr>
          <w:p w:rsidR="003865AC" w:rsidRDefault="003865AC">
            <w:pPr>
              <w:spacing w:before="0" w:after="120" w:line="380" w:lineRule="exact"/>
              <w:jc w:val="center"/>
              <w:rPr>
                <w:rFonts w:hint="cs"/>
                <w:b/>
                <w:bCs/>
                <w:sz w:val="24"/>
                <w:szCs w:val="24"/>
                <w:rtl/>
              </w:rPr>
            </w:pPr>
            <w:r>
              <w:rPr>
                <w:rFonts w:hint="cs"/>
                <w:b/>
                <w:bCs/>
                <w:sz w:val="24"/>
                <w:szCs w:val="24"/>
                <w:rtl/>
              </w:rPr>
              <w:t>الاستهلاك الفعلي</w:t>
            </w:r>
          </w:p>
        </w:tc>
        <w:tc>
          <w:tcPr>
            <w:tcW w:w="1105" w:type="dxa"/>
            <w:tcBorders>
              <w:bottom w:val="single" w:sz="4" w:space="0" w:color="auto"/>
            </w:tcBorders>
          </w:tcPr>
          <w:p w:rsidR="003865AC" w:rsidRDefault="003865AC">
            <w:pPr>
              <w:spacing w:before="0" w:after="120" w:line="380" w:lineRule="exact"/>
              <w:jc w:val="center"/>
              <w:rPr>
                <w:rFonts w:hint="cs"/>
                <w:b/>
                <w:bCs/>
                <w:sz w:val="24"/>
                <w:szCs w:val="24"/>
                <w:rtl/>
              </w:rPr>
            </w:pPr>
            <w:r>
              <w:rPr>
                <w:rFonts w:hint="cs"/>
                <w:b/>
                <w:bCs/>
                <w:sz w:val="24"/>
                <w:szCs w:val="24"/>
                <w:rtl/>
              </w:rPr>
              <w:t>الاستهلاك المتوقع</w:t>
            </w:r>
          </w:p>
        </w:tc>
      </w:tr>
      <w:tr w:rsidR="003865AC" w:rsidTr="003865AC">
        <w:tc>
          <w:tcPr>
            <w:tcW w:w="642" w:type="dxa"/>
            <w:tcBorders>
              <w:bottom w:val="nil"/>
            </w:tcBorders>
          </w:tcPr>
          <w:p w:rsidR="003865AC" w:rsidRDefault="003865AC">
            <w:pPr>
              <w:spacing w:before="0" w:after="0" w:line="380" w:lineRule="exact"/>
              <w:jc w:val="both"/>
              <w:rPr>
                <w:rFonts w:hint="cs"/>
                <w:sz w:val="24"/>
                <w:szCs w:val="24"/>
                <w:rtl/>
              </w:rPr>
            </w:pPr>
            <w:r>
              <w:rPr>
                <w:rFonts w:hint="cs"/>
                <w:sz w:val="24"/>
                <w:szCs w:val="24"/>
                <w:rtl/>
              </w:rPr>
              <w:t>1</w:t>
            </w:r>
          </w:p>
        </w:tc>
        <w:tc>
          <w:tcPr>
            <w:tcW w:w="3780" w:type="dxa"/>
            <w:tcBorders>
              <w:bottom w:val="nil"/>
            </w:tcBorders>
          </w:tcPr>
          <w:p w:rsidR="003865AC" w:rsidRDefault="003865AC">
            <w:pPr>
              <w:spacing w:before="0" w:after="0" w:line="380" w:lineRule="exact"/>
              <w:jc w:val="both"/>
              <w:rPr>
                <w:rFonts w:hint="cs"/>
                <w:spacing w:val="-8"/>
                <w:sz w:val="24"/>
                <w:szCs w:val="24"/>
                <w:rtl/>
              </w:rPr>
            </w:pPr>
            <w:r>
              <w:rPr>
                <w:rFonts w:hint="cs"/>
                <w:spacing w:val="-8"/>
                <w:sz w:val="24"/>
                <w:szCs w:val="24"/>
                <w:rtl/>
              </w:rPr>
              <w:t>مجموع المنتجات من الحبوب (أعيد حسابها كطحين)</w:t>
            </w:r>
          </w:p>
        </w:tc>
        <w:tc>
          <w:tcPr>
            <w:tcW w:w="1080" w:type="dxa"/>
            <w:tcBorders>
              <w:bottom w:val="nil"/>
            </w:tcBorders>
          </w:tcPr>
          <w:p w:rsidR="003865AC" w:rsidRDefault="003865AC">
            <w:pPr>
              <w:spacing w:before="0" w:after="0" w:line="380" w:lineRule="exact"/>
              <w:jc w:val="center"/>
              <w:rPr>
                <w:rFonts w:hint="cs"/>
                <w:sz w:val="24"/>
                <w:szCs w:val="24"/>
                <w:rtl/>
              </w:rPr>
            </w:pPr>
            <w:r>
              <w:rPr>
                <w:rFonts w:hint="cs"/>
                <w:sz w:val="24"/>
                <w:szCs w:val="24"/>
                <w:rtl/>
              </w:rPr>
              <w:t>190</w:t>
            </w:r>
          </w:p>
        </w:tc>
        <w:tc>
          <w:tcPr>
            <w:tcW w:w="1080" w:type="dxa"/>
            <w:tcBorders>
              <w:bottom w:val="nil"/>
            </w:tcBorders>
          </w:tcPr>
          <w:p w:rsidR="003865AC" w:rsidRDefault="003865AC">
            <w:pPr>
              <w:spacing w:before="0" w:after="0" w:line="380" w:lineRule="exact"/>
              <w:jc w:val="center"/>
              <w:rPr>
                <w:rFonts w:hint="cs"/>
                <w:sz w:val="24"/>
                <w:szCs w:val="24"/>
                <w:rtl/>
              </w:rPr>
            </w:pPr>
            <w:r>
              <w:rPr>
                <w:rFonts w:hint="cs"/>
                <w:sz w:val="24"/>
                <w:szCs w:val="24"/>
                <w:rtl/>
              </w:rPr>
              <w:t>154.2</w:t>
            </w:r>
          </w:p>
        </w:tc>
        <w:tc>
          <w:tcPr>
            <w:tcW w:w="1080" w:type="dxa"/>
            <w:tcBorders>
              <w:bottom w:val="nil"/>
            </w:tcBorders>
          </w:tcPr>
          <w:p w:rsidR="003865AC" w:rsidRDefault="003865AC">
            <w:pPr>
              <w:spacing w:before="0" w:after="0" w:line="380" w:lineRule="exact"/>
              <w:jc w:val="center"/>
              <w:rPr>
                <w:rFonts w:hint="cs"/>
                <w:sz w:val="24"/>
                <w:szCs w:val="24"/>
                <w:rtl/>
              </w:rPr>
            </w:pPr>
            <w:r>
              <w:rPr>
                <w:rFonts w:hint="cs"/>
                <w:sz w:val="24"/>
                <w:szCs w:val="24"/>
                <w:rtl/>
              </w:rPr>
              <w:t>151.4</w:t>
            </w:r>
          </w:p>
        </w:tc>
        <w:tc>
          <w:tcPr>
            <w:tcW w:w="1080" w:type="dxa"/>
            <w:tcBorders>
              <w:bottom w:val="nil"/>
            </w:tcBorders>
          </w:tcPr>
          <w:p w:rsidR="003865AC" w:rsidRDefault="003865AC">
            <w:pPr>
              <w:spacing w:before="0" w:after="0" w:line="380" w:lineRule="exact"/>
              <w:jc w:val="center"/>
              <w:rPr>
                <w:rFonts w:hint="cs"/>
                <w:sz w:val="24"/>
                <w:szCs w:val="24"/>
                <w:rtl/>
              </w:rPr>
            </w:pPr>
            <w:r>
              <w:rPr>
                <w:rFonts w:hint="cs"/>
                <w:sz w:val="24"/>
                <w:szCs w:val="24"/>
                <w:rtl/>
              </w:rPr>
              <w:t>141.1</w:t>
            </w:r>
          </w:p>
        </w:tc>
        <w:tc>
          <w:tcPr>
            <w:tcW w:w="1105" w:type="dxa"/>
            <w:tcBorders>
              <w:bottom w:val="nil"/>
            </w:tcBorders>
          </w:tcPr>
          <w:p w:rsidR="003865AC" w:rsidRDefault="003865AC">
            <w:pPr>
              <w:spacing w:before="0" w:after="0" w:line="380" w:lineRule="exact"/>
              <w:jc w:val="center"/>
              <w:rPr>
                <w:rFonts w:hint="cs"/>
                <w:sz w:val="24"/>
                <w:szCs w:val="24"/>
                <w:rtl/>
              </w:rPr>
            </w:pPr>
            <w:r>
              <w:rPr>
                <w:rFonts w:hint="cs"/>
                <w:sz w:val="24"/>
                <w:szCs w:val="24"/>
                <w:rtl/>
              </w:rPr>
              <w:t>126</w:t>
            </w:r>
          </w:p>
        </w:tc>
      </w:tr>
      <w:tr w:rsidR="003865AC" w:rsidTr="003865AC">
        <w:tc>
          <w:tcPr>
            <w:tcW w:w="642" w:type="dxa"/>
            <w:tcBorders>
              <w:top w:val="nil"/>
              <w:bottom w:val="nil"/>
            </w:tcBorders>
          </w:tcPr>
          <w:p w:rsidR="003865AC" w:rsidRDefault="003865AC">
            <w:pPr>
              <w:spacing w:before="0" w:after="0" w:line="380" w:lineRule="exact"/>
              <w:jc w:val="both"/>
              <w:rPr>
                <w:rFonts w:hint="cs"/>
                <w:sz w:val="24"/>
                <w:szCs w:val="24"/>
                <w:rtl/>
              </w:rPr>
            </w:pPr>
            <w:r>
              <w:rPr>
                <w:rFonts w:hint="cs"/>
                <w:sz w:val="24"/>
                <w:szCs w:val="24"/>
                <w:rtl/>
              </w:rPr>
              <w:t>2</w:t>
            </w:r>
          </w:p>
        </w:tc>
        <w:tc>
          <w:tcPr>
            <w:tcW w:w="3780" w:type="dxa"/>
            <w:tcBorders>
              <w:top w:val="nil"/>
              <w:bottom w:val="nil"/>
            </w:tcBorders>
          </w:tcPr>
          <w:p w:rsidR="003865AC" w:rsidRDefault="003865AC">
            <w:pPr>
              <w:spacing w:before="0" w:after="0" w:line="380" w:lineRule="exact"/>
              <w:jc w:val="both"/>
              <w:rPr>
                <w:rFonts w:hint="cs"/>
                <w:sz w:val="24"/>
                <w:szCs w:val="24"/>
                <w:rtl/>
              </w:rPr>
            </w:pPr>
            <w:r>
              <w:rPr>
                <w:rFonts w:hint="cs"/>
                <w:sz w:val="24"/>
                <w:szCs w:val="24"/>
                <w:rtl/>
              </w:rPr>
              <w:t>الخضار والبطيخ والقرع</w:t>
            </w:r>
          </w:p>
        </w:tc>
        <w:tc>
          <w:tcPr>
            <w:tcW w:w="1080"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87</w:t>
            </w:r>
          </w:p>
        </w:tc>
        <w:tc>
          <w:tcPr>
            <w:tcW w:w="1080"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93.4</w:t>
            </w:r>
          </w:p>
        </w:tc>
        <w:tc>
          <w:tcPr>
            <w:tcW w:w="1080"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58.8</w:t>
            </w:r>
          </w:p>
        </w:tc>
        <w:tc>
          <w:tcPr>
            <w:tcW w:w="1080"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55.2</w:t>
            </w:r>
          </w:p>
        </w:tc>
        <w:tc>
          <w:tcPr>
            <w:tcW w:w="1105"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141</w:t>
            </w:r>
          </w:p>
        </w:tc>
      </w:tr>
      <w:tr w:rsidR="003865AC" w:rsidTr="003865AC">
        <w:tc>
          <w:tcPr>
            <w:tcW w:w="642" w:type="dxa"/>
            <w:tcBorders>
              <w:top w:val="nil"/>
              <w:bottom w:val="nil"/>
            </w:tcBorders>
          </w:tcPr>
          <w:p w:rsidR="003865AC" w:rsidRDefault="003865AC">
            <w:pPr>
              <w:spacing w:before="0" w:after="0" w:line="380" w:lineRule="exact"/>
              <w:jc w:val="both"/>
              <w:rPr>
                <w:rFonts w:hint="cs"/>
                <w:sz w:val="24"/>
                <w:szCs w:val="24"/>
                <w:rtl/>
              </w:rPr>
            </w:pPr>
            <w:r>
              <w:rPr>
                <w:rFonts w:hint="cs"/>
                <w:sz w:val="24"/>
                <w:szCs w:val="24"/>
                <w:rtl/>
              </w:rPr>
              <w:t>3</w:t>
            </w:r>
          </w:p>
        </w:tc>
        <w:tc>
          <w:tcPr>
            <w:tcW w:w="3780" w:type="dxa"/>
            <w:tcBorders>
              <w:top w:val="nil"/>
              <w:bottom w:val="nil"/>
            </w:tcBorders>
          </w:tcPr>
          <w:p w:rsidR="003865AC" w:rsidRDefault="003865AC">
            <w:pPr>
              <w:spacing w:before="0" w:after="0" w:line="380" w:lineRule="exact"/>
              <w:jc w:val="both"/>
              <w:rPr>
                <w:rFonts w:hint="cs"/>
                <w:sz w:val="24"/>
                <w:szCs w:val="24"/>
                <w:rtl/>
              </w:rPr>
            </w:pPr>
            <w:r>
              <w:rPr>
                <w:rFonts w:hint="cs"/>
                <w:sz w:val="24"/>
                <w:szCs w:val="24"/>
                <w:rtl/>
              </w:rPr>
              <w:t>مجموع الفواكه</w:t>
            </w:r>
          </w:p>
        </w:tc>
        <w:tc>
          <w:tcPr>
            <w:tcW w:w="1080"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67</w:t>
            </w:r>
          </w:p>
        </w:tc>
        <w:tc>
          <w:tcPr>
            <w:tcW w:w="1080"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60.2</w:t>
            </w:r>
          </w:p>
        </w:tc>
        <w:tc>
          <w:tcPr>
            <w:tcW w:w="1080"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57.8</w:t>
            </w:r>
          </w:p>
        </w:tc>
        <w:tc>
          <w:tcPr>
            <w:tcW w:w="1080"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43.5</w:t>
            </w:r>
          </w:p>
        </w:tc>
        <w:tc>
          <w:tcPr>
            <w:tcW w:w="1105"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92</w:t>
            </w:r>
          </w:p>
        </w:tc>
      </w:tr>
      <w:tr w:rsidR="003865AC" w:rsidTr="003865AC">
        <w:tc>
          <w:tcPr>
            <w:tcW w:w="642" w:type="dxa"/>
            <w:tcBorders>
              <w:top w:val="nil"/>
              <w:bottom w:val="nil"/>
            </w:tcBorders>
          </w:tcPr>
          <w:p w:rsidR="003865AC" w:rsidRDefault="003865AC">
            <w:pPr>
              <w:spacing w:before="0" w:after="0" w:line="380" w:lineRule="exact"/>
              <w:jc w:val="both"/>
              <w:rPr>
                <w:rFonts w:hint="cs"/>
                <w:sz w:val="24"/>
                <w:szCs w:val="24"/>
                <w:rtl/>
              </w:rPr>
            </w:pPr>
            <w:r>
              <w:rPr>
                <w:rFonts w:hint="cs"/>
                <w:sz w:val="24"/>
                <w:szCs w:val="24"/>
                <w:rtl/>
              </w:rPr>
              <w:t>4</w:t>
            </w:r>
          </w:p>
        </w:tc>
        <w:tc>
          <w:tcPr>
            <w:tcW w:w="3780" w:type="dxa"/>
            <w:tcBorders>
              <w:top w:val="nil"/>
              <w:bottom w:val="nil"/>
            </w:tcBorders>
          </w:tcPr>
          <w:p w:rsidR="003865AC" w:rsidRDefault="003865AC">
            <w:pPr>
              <w:spacing w:before="0" w:after="0" w:line="380" w:lineRule="exact"/>
              <w:jc w:val="both"/>
              <w:rPr>
                <w:rFonts w:hint="cs"/>
                <w:spacing w:val="0"/>
                <w:sz w:val="24"/>
                <w:szCs w:val="24"/>
                <w:rtl/>
              </w:rPr>
            </w:pPr>
            <w:r>
              <w:rPr>
                <w:rFonts w:hint="cs"/>
                <w:spacing w:val="0"/>
                <w:sz w:val="24"/>
                <w:szCs w:val="24"/>
                <w:rtl/>
              </w:rPr>
              <w:t>مجموع السكر (بما في ذلك الحلويات ومربيات الفواكه)</w:t>
            </w:r>
          </w:p>
        </w:tc>
        <w:tc>
          <w:tcPr>
            <w:tcW w:w="1080"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43.5</w:t>
            </w:r>
          </w:p>
        </w:tc>
        <w:tc>
          <w:tcPr>
            <w:tcW w:w="1080"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23.6</w:t>
            </w:r>
          </w:p>
        </w:tc>
        <w:tc>
          <w:tcPr>
            <w:tcW w:w="1080"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25.0</w:t>
            </w:r>
          </w:p>
        </w:tc>
        <w:tc>
          <w:tcPr>
            <w:tcW w:w="1080"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24.8</w:t>
            </w:r>
          </w:p>
        </w:tc>
        <w:tc>
          <w:tcPr>
            <w:tcW w:w="1105"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34.5</w:t>
            </w:r>
          </w:p>
        </w:tc>
      </w:tr>
      <w:tr w:rsidR="003865AC" w:rsidTr="003865AC">
        <w:tc>
          <w:tcPr>
            <w:tcW w:w="642" w:type="dxa"/>
            <w:tcBorders>
              <w:top w:val="nil"/>
              <w:bottom w:val="nil"/>
            </w:tcBorders>
          </w:tcPr>
          <w:p w:rsidR="003865AC" w:rsidRDefault="003865AC">
            <w:pPr>
              <w:spacing w:before="0" w:after="0" w:line="380" w:lineRule="exact"/>
              <w:jc w:val="both"/>
              <w:rPr>
                <w:rFonts w:hint="cs"/>
                <w:sz w:val="24"/>
                <w:szCs w:val="24"/>
                <w:rtl/>
              </w:rPr>
            </w:pPr>
            <w:r>
              <w:rPr>
                <w:rFonts w:hint="cs"/>
                <w:sz w:val="24"/>
                <w:szCs w:val="24"/>
                <w:rtl/>
              </w:rPr>
              <w:t>5</w:t>
            </w:r>
          </w:p>
        </w:tc>
        <w:tc>
          <w:tcPr>
            <w:tcW w:w="3780" w:type="dxa"/>
            <w:tcBorders>
              <w:top w:val="nil"/>
              <w:bottom w:val="nil"/>
            </w:tcBorders>
          </w:tcPr>
          <w:p w:rsidR="003865AC" w:rsidRDefault="003865AC">
            <w:pPr>
              <w:spacing w:before="0" w:after="0" w:line="380" w:lineRule="exact"/>
              <w:jc w:val="both"/>
              <w:rPr>
                <w:rFonts w:hint="cs"/>
                <w:spacing w:val="0"/>
                <w:sz w:val="24"/>
                <w:szCs w:val="24"/>
                <w:rtl/>
              </w:rPr>
            </w:pPr>
            <w:r>
              <w:rPr>
                <w:rFonts w:hint="cs"/>
                <w:spacing w:val="0"/>
                <w:sz w:val="24"/>
                <w:szCs w:val="24"/>
                <w:rtl/>
              </w:rPr>
              <w:t xml:space="preserve">مجموع اللحوم واللحوم المعلبة </w:t>
            </w:r>
          </w:p>
        </w:tc>
        <w:tc>
          <w:tcPr>
            <w:tcW w:w="1080"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47</w:t>
            </w:r>
          </w:p>
        </w:tc>
        <w:tc>
          <w:tcPr>
            <w:tcW w:w="1080"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15.6</w:t>
            </w:r>
          </w:p>
        </w:tc>
        <w:tc>
          <w:tcPr>
            <w:tcW w:w="1080"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20.8</w:t>
            </w:r>
          </w:p>
        </w:tc>
        <w:tc>
          <w:tcPr>
            <w:tcW w:w="1080"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19.8</w:t>
            </w:r>
          </w:p>
        </w:tc>
        <w:tc>
          <w:tcPr>
            <w:tcW w:w="1105"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75</w:t>
            </w:r>
          </w:p>
        </w:tc>
      </w:tr>
      <w:tr w:rsidR="003865AC" w:rsidTr="003865AC">
        <w:tc>
          <w:tcPr>
            <w:tcW w:w="642" w:type="dxa"/>
            <w:tcBorders>
              <w:top w:val="nil"/>
              <w:bottom w:val="nil"/>
            </w:tcBorders>
          </w:tcPr>
          <w:p w:rsidR="003865AC" w:rsidRDefault="003865AC">
            <w:pPr>
              <w:spacing w:before="0" w:after="0" w:line="380" w:lineRule="exact"/>
              <w:jc w:val="both"/>
              <w:rPr>
                <w:rFonts w:hint="cs"/>
                <w:sz w:val="24"/>
                <w:szCs w:val="24"/>
                <w:rtl/>
              </w:rPr>
            </w:pPr>
            <w:r>
              <w:rPr>
                <w:rFonts w:hint="cs"/>
                <w:sz w:val="24"/>
                <w:szCs w:val="24"/>
                <w:rtl/>
              </w:rPr>
              <w:t>6</w:t>
            </w:r>
          </w:p>
        </w:tc>
        <w:tc>
          <w:tcPr>
            <w:tcW w:w="3780" w:type="dxa"/>
            <w:tcBorders>
              <w:top w:val="nil"/>
              <w:bottom w:val="nil"/>
            </w:tcBorders>
          </w:tcPr>
          <w:p w:rsidR="003865AC" w:rsidRDefault="003865AC">
            <w:pPr>
              <w:spacing w:before="0" w:after="0" w:line="380" w:lineRule="exact"/>
              <w:jc w:val="both"/>
              <w:rPr>
                <w:rFonts w:hint="cs"/>
                <w:spacing w:val="-10"/>
                <w:sz w:val="24"/>
                <w:szCs w:val="24"/>
                <w:rtl/>
              </w:rPr>
            </w:pPr>
            <w:r>
              <w:rPr>
                <w:rFonts w:hint="cs"/>
                <w:spacing w:val="-10"/>
                <w:sz w:val="24"/>
                <w:szCs w:val="24"/>
                <w:rtl/>
              </w:rPr>
              <w:t>مجموع السمك والسمك المعلب</w:t>
            </w:r>
          </w:p>
        </w:tc>
        <w:tc>
          <w:tcPr>
            <w:tcW w:w="1080"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9.1</w:t>
            </w:r>
          </w:p>
        </w:tc>
        <w:tc>
          <w:tcPr>
            <w:tcW w:w="1080"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1.4</w:t>
            </w:r>
          </w:p>
        </w:tc>
        <w:tc>
          <w:tcPr>
            <w:tcW w:w="1080"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1.8</w:t>
            </w:r>
          </w:p>
        </w:tc>
        <w:tc>
          <w:tcPr>
            <w:tcW w:w="1080"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w:t>
            </w:r>
          </w:p>
        </w:tc>
        <w:tc>
          <w:tcPr>
            <w:tcW w:w="1105" w:type="dxa"/>
            <w:tcBorders>
              <w:top w:val="nil"/>
              <w:bottom w:val="nil"/>
            </w:tcBorders>
          </w:tcPr>
          <w:p w:rsidR="003865AC" w:rsidRDefault="003865AC">
            <w:pPr>
              <w:spacing w:before="0" w:after="0" w:line="380" w:lineRule="exact"/>
              <w:jc w:val="center"/>
              <w:rPr>
                <w:rFonts w:hint="cs"/>
                <w:sz w:val="24"/>
                <w:szCs w:val="24"/>
                <w:rtl/>
              </w:rPr>
            </w:pPr>
            <w:r>
              <w:rPr>
                <w:rFonts w:hint="cs"/>
                <w:sz w:val="24"/>
                <w:szCs w:val="24"/>
                <w:rtl/>
              </w:rPr>
              <w:t>12.8</w:t>
            </w:r>
          </w:p>
        </w:tc>
      </w:tr>
      <w:tr w:rsidR="003865AC" w:rsidTr="003865AC">
        <w:tc>
          <w:tcPr>
            <w:tcW w:w="642" w:type="dxa"/>
            <w:tcBorders>
              <w:top w:val="nil"/>
            </w:tcBorders>
          </w:tcPr>
          <w:p w:rsidR="003865AC" w:rsidRDefault="003865AC">
            <w:pPr>
              <w:spacing w:before="0" w:after="0" w:line="380" w:lineRule="exact"/>
              <w:jc w:val="both"/>
              <w:rPr>
                <w:rFonts w:hint="cs"/>
                <w:sz w:val="24"/>
                <w:szCs w:val="24"/>
                <w:rtl/>
              </w:rPr>
            </w:pPr>
            <w:r>
              <w:rPr>
                <w:rFonts w:hint="cs"/>
                <w:sz w:val="24"/>
                <w:szCs w:val="24"/>
                <w:rtl/>
              </w:rPr>
              <w:t>7</w:t>
            </w:r>
          </w:p>
        </w:tc>
        <w:tc>
          <w:tcPr>
            <w:tcW w:w="3780" w:type="dxa"/>
            <w:tcBorders>
              <w:top w:val="nil"/>
            </w:tcBorders>
          </w:tcPr>
          <w:p w:rsidR="003865AC" w:rsidRDefault="003865AC">
            <w:pPr>
              <w:spacing w:before="0" w:after="0" w:line="380" w:lineRule="exact"/>
              <w:jc w:val="both"/>
              <w:rPr>
                <w:rFonts w:hint="cs"/>
                <w:spacing w:val="0"/>
                <w:sz w:val="24"/>
                <w:szCs w:val="24"/>
                <w:rtl/>
              </w:rPr>
            </w:pPr>
            <w:r>
              <w:rPr>
                <w:rFonts w:hint="cs"/>
                <w:spacing w:val="0"/>
                <w:sz w:val="24"/>
                <w:szCs w:val="24"/>
                <w:rtl/>
              </w:rPr>
              <w:t>الحليب ومشتقات الألبان (أعيد حسابها كحليب)</w:t>
            </w:r>
          </w:p>
        </w:tc>
        <w:tc>
          <w:tcPr>
            <w:tcW w:w="1080" w:type="dxa"/>
            <w:tcBorders>
              <w:top w:val="nil"/>
            </w:tcBorders>
          </w:tcPr>
          <w:p w:rsidR="003865AC" w:rsidRDefault="003865AC">
            <w:pPr>
              <w:spacing w:before="0" w:after="0" w:line="380" w:lineRule="exact"/>
              <w:jc w:val="center"/>
              <w:rPr>
                <w:rFonts w:hint="cs"/>
                <w:sz w:val="24"/>
                <w:szCs w:val="24"/>
                <w:rtl/>
              </w:rPr>
            </w:pPr>
            <w:r>
              <w:rPr>
                <w:rFonts w:hint="cs"/>
                <w:sz w:val="24"/>
                <w:szCs w:val="24"/>
                <w:rtl/>
              </w:rPr>
              <w:t>3.9</w:t>
            </w:r>
          </w:p>
        </w:tc>
        <w:tc>
          <w:tcPr>
            <w:tcW w:w="1080" w:type="dxa"/>
            <w:tcBorders>
              <w:top w:val="nil"/>
            </w:tcBorders>
          </w:tcPr>
          <w:p w:rsidR="003865AC" w:rsidRDefault="003865AC">
            <w:pPr>
              <w:spacing w:before="0" w:after="0" w:line="380" w:lineRule="exact"/>
              <w:jc w:val="center"/>
              <w:rPr>
                <w:rFonts w:hint="cs"/>
                <w:sz w:val="24"/>
                <w:szCs w:val="24"/>
                <w:rtl/>
              </w:rPr>
            </w:pPr>
            <w:r>
              <w:rPr>
                <w:rFonts w:hint="cs"/>
                <w:sz w:val="24"/>
                <w:szCs w:val="24"/>
                <w:rtl/>
              </w:rPr>
              <w:t>217.8</w:t>
            </w:r>
          </w:p>
        </w:tc>
        <w:tc>
          <w:tcPr>
            <w:tcW w:w="1080" w:type="dxa"/>
            <w:tcBorders>
              <w:top w:val="nil"/>
            </w:tcBorders>
          </w:tcPr>
          <w:p w:rsidR="003865AC" w:rsidRDefault="003865AC">
            <w:pPr>
              <w:spacing w:before="0" w:after="0" w:line="380" w:lineRule="exact"/>
              <w:jc w:val="center"/>
              <w:rPr>
                <w:rFonts w:hint="cs"/>
                <w:sz w:val="24"/>
                <w:szCs w:val="24"/>
                <w:rtl/>
              </w:rPr>
            </w:pPr>
            <w:r>
              <w:rPr>
                <w:rFonts w:hint="cs"/>
                <w:sz w:val="24"/>
                <w:szCs w:val="24"/>
                <w:rtl/>
              </w:rPr>
              <w:t>202.5</w:t>
            </w:r>
          </w:p>
        </w:tc>
        <w:tc>
          <w:tcPr>
            <w:tcW w:w="1080" w:type="dxa"/>
            <w:tcBorders>
              <w:top w:val="nil"/>
            </w:tcBorders>
          </w:tcPr>
          <w:p w:rsidR="003865AC" w:rsidRDefault="003865AC">
            <w:pPr>
              <w:spacing w:before="0" w:after="0" w:line="380" w:lineRule="exact"/>
              <w:jc w:val="center"/>
              <w:rPr>
                <w:rFonts w:hint="cs"/>
                <w:sz w:val="24"/>
                <w:szCs w:val="24"/>
                <w:rtl/>
              </w:rPr>
            </w:pPr>
            <w:r>
              <w:rPr>
                <w:rFonts w:hint="cs"/>
                <w:sz w:val="24"/>
                <w:szCs w:val="24"/>
                <w:rtl/>
              </w:rPr>
              <w:t>209</w:t>
            </w:r>
          </w:p>
        </w:tc>
        <w:tc>
          <w:tcPr>
            <w:tcW w:w="1105" w:type="dxa"/>
            <w:tcBorders>
              <w:top w:val="nil"/>
            </w:tcBorders>
          </w:tcPr>
          <w:p w:rsidR="003865AC" w:rsidRDefault="003865AC">
            <w:pPr>
              <w:spacing w:before="0" w:after="120" w:line="380" w:lineRule="exact"/>
              <w:jc w:val="center"/>
              <w:rPr>
                <w:rFonts w:hint="cs"/>
                <w:sz w:val="24"/>
                <w:szCs w:val="24"/>
                <w:rtl/>
              </w:rPr>
            </w:pPr>
            <w:r>
              <w:rPr>
                <w:rFonts w:hint="cs"/>
                <w:sz w:val="24"/>
                <w:szCs w:val="24"/>
                <w:rtl/>
              </w:rPr>
              <w:t>359</w:t>
            </w:r>
          </w:p>
        </w:tc>
      </w:tr>
    </w:tbl>
    <w:p w:rsidR="00000000" w:rsidRDefault="003865AC">
      <w:pPr>
        <w:jc w:val="both"/>
        <w:rPr>
          <w:rFonts w:hint="cs"/>
          <w:rtl/>
        </w:rPr>
      </w:pPr>
      <w:r>
        <w:rPr>
          <w:rFonts w:hint="cs"/>
          <w:rtl/>
        </w:rPr>
        <w:t>157-</w:t>
      </w:r>
      <w:r>
        <w:rPr>
          <w:rFonts w:hint="cs"/>
          <w:rtl/>
        </w:rPr>
        <w:tab/>
        <w:t>وتبين هذه الإحصاءات أنه في كل الحالات تقريبا انخفض الاستهلاك الغذائي بالأرقام الحقيقية خلال الفترة التي يشملها التقرير.</w:t>
      </w:r>
    </w:p>
    <w:p w:rsidR="00000000" w:rsidRDefault="003865AC">
      <w:pPr>
        <w:jc w:val="both"/>
        <w:rPr>
          <w:rFonts w:hint="cs"/>
          <w:rtl/>
        </w:rPr>
      </w:pPr>
      <w:r>
        <w:rPr>
          <w:rFonts w:hint="cs"/>
          <w:rtl/>
        </w:rPr>
        <w:t>158-</w:t>
      </w:r>
      <w:r>
        <w:rPr>
          <w:rFonts w:hint="cs"/>
          <w:rtl/>
        </w:rPr>
        <w:tab/>
        <w:t>وفي هذا المضمار، ينبغي ملاحظة أن قطاعات واسعة من السكان ليست ملمة ب</w:t>
      </w:r>
      <w:r>
        <w:rPr>
          <w:rFonts w:hint="cs"/>
          <w:rtl/>
        </w:rPr>
        <w:t xml:space="preserve">شكل صحيح بمبادئ التغذية الصحية لأن أقل ما يمكن قوله في الجهود التي بُذلت لنشر الوعي بهذه المسألة أنها جهود خجولة. وهذا هو رأي وزارة العمل والصحة والرعاية الاجتماعية. </w:t>
      </w:r>
    </w:p>
    <w:p w:rsidR="00000000" w:rsidRDefault="003865AC">
      <w:pPr>
        <w:jc w:val="both"/>
        <w:rPr>
          <w:rFonts w:hint="cs"/>
          <w:rtl/>
        </w:rPr>
      </w:pPr>
      <w:r>
        <w:rPr>
          <w:rFonts w:hint="cs"/>
          <w:rtl/>
        </w:rPr>
        <w:t>159-</w:t>
      </w:r>
      <w:r>
        <w:rPr>
          <w:rFonts w:hint="cs"/>
          <w:rtl/>
        </w:rPr>
        <w:tab/>
        <w:t>وبالانتقال إلى مسألة التدابير التي ترى الحكومة أنها ضرورية لتأمين الإمدادات الغذائية</w:t>
      </w:r>
      <w:r>
        <w:rPr>
          <w:rFonts w:hint="cs"/>
          <w:rtl/>
        </w:rPr>
        <w:t xml:space="preserve"> لقطاعات السكان الأشد ضعفاً، ينبغي الإشارة إلى أن قضية الأمن الغذائي ترتبط ارتباطاً وثيقاً بنمو العمالة والدخل والأصول.</w:t>
      </w:r>
    </w:p>
    <w:p w:rsidR="00000000" w:rsidRDefault="003865AC">
      <w:pPr>
        <w:jc w:val="both"/>
        <w:rPr>
          <w:rFonts w:hint="cs"/>
          <w:rtl/>
        </w:rPr>
      </w:pPr>
      <w:r>
        <w:rPr>
          <w:rFonts w:hint="cs"/>
          <w:rtl/>
        </w:rPr>
        <w:t>160-</w:t>
      </w:r>
      <w:r>
        <w:rPr>
          <w:rFonts w:hint="cs"/>
          <w:rtl/>
        </w:rPr>
        <w:tab/>
        <w:t>ولهذا تعتبر وزارة الزراعة والإنتاج الغذائي أنه من الضروري تركيز الاهتمام على المجالات التالية:</w:t>
      </w:r>
    </w:p>
    <w:p w:rsidR="00000000" w:rsidRDefault="003865AC">
      <w:pPr>
        <w:ind w:left="1434" w:hanging="720"/>
        <w:jc w:val="both"/>
        <w:rPr>
          <w:rFonts w:hint="cs"/>
          <w:rtl/>
        </w:rPr>
      </w:pPr>
      <w:r>
        <w:rPr>
          <w:rFonts w:hint="cs"/>
          <w:rtl/>
        </w:rPr>
        <w:t>•</w:t>
      </w:r>
      <w:r>
        <w:rPr>
          <w:rFonts w:hint="cs"/>
          <w:rtl/>
        </w:rPr>
        <w:tab/>
        <w:t>تحديد أولويات سياسة البلد الاقتصاد</w:t>
      </w:r>
      <w:r>
        <w:rPr>
          <w:rFonts w:hint="cs"/>
          <w:rtl/>
        </w:rPr>
        <w:t>ية والتجارية؛</w:t>
      </w:r>
    </w:p>
    <w:p w:rsidR="00000000" w:rsidRDefault="003865AC">
      <w:pPr>
        <w:ind w:left="1434" w:hanging="720"/>
        <w:jc w:val="both"/>
        <w:rPr>
          <w:rFonts w:hint="cs"/>
          <w:rtl/>
        </w:rPr>
      </w:pPr>
      <w:r>
        <w:rPr>
          <w:rFonts w:hint="cs"/>
          <w:rtl/>
        </w:rPr>
        <w:t>•</w:t>
      </w:r>
      <w:r>
        <w:rPr>
          <w:rFonts w:hint="cs"/>
          <w:rtl/>
        </w:rPr>
        <w:tab/>
        <w:t>دعم القطاعات الاقتصادية ذات الصلة بغية تعزيز الإمدادات العامة من المنتجات الغذائية المحلية؛</w:t>
      </w:r>
    </w:p>
    <w:p w:rsidR="00000000" w:rsidRDefault="003865AC">
      <w:pPr>
        <w:ind w:left="1434" w:hanging="720"/>
        <w:jc w:val="both"/>
        <w:rPr>
          <w:rFonts w:hint="cs"/>
          <w:rtl/>
        </w:rPr>
      </w:pPr>
      <w:r>
        <w:rPr>
          <w:rFonts w:hint="cs"/>
          <w:rtl/>
        </w:rPr>
        <w:t>•</w:t>
      </w:r>
      <w:r>
        <w:rPr>
          <w:rFonts w:hint="cs"/>
          <w:rtl/>
        </w:rPr>
        <w:tab/>
        <w:t>التقليل من الفقر من خلال النمو في العمالة الحقيقية؛</w:t>
      </w:r>
    </w:p>
    <w:p w:rsidR="00000000" w:rsidRDefault="003865AC">
      <w:pPr>
        <w:ind w:left="1434" w:hanging="720"/>
        <w:jc w:val="both"/>
        <w:rPr>
          <w:rFonts w:hint="cs"/>
          <w:rtl/>
        </w:rPr>
      </w:pPr>
      <w:r>
        <w:rPr>
          <w:rFonts w:hint="cs"/>
          <w:rtl/>
        </w:rPr>
        <w:t>•</w:t>
      </w:r>
      <w:r>
        <w:rPr>
          <w:rFonts w:hint="cs"/>
          <w:rtl/>
        </w:rPr>
        <w:tab/>
        <w:t>تحجيم الاقتصاد الموازي والتقليل إلى أدنى حد من الإعانات الحكومية؛</w:t>
      </w:r>
    </w:p>
    <w:p w:rsidR="00000000" w:rsidRDefault="003865AC">
      <w:pPr>
        <w:ind w:left="1434" w:hanging="720"/>
        <w:jc w:val="both"/>
        <w:rPr>
          <w:rFonts w:hint="cs"/>
        </w:rPr>
      </w:pPr>
      <w:r>
        <w:rPr>
          <w:rFonts w:hint="cs"/>
          <w:rtl/>
        </w:rPr>
        <w:t>•</w:t>
      </w:r>
      <w:r>
        <w:rPr>
          <w:rFonts w:hint="cs"/>
          <w:rtl/>
        </w:rPr>
        <w:tab/>
        <w:t>الاستفادة المثلى من الضر</w:t>
      </w:r>
      <w:r>
        <w:rPr>
          <w:rFonts w:hint="cs"/>
          <w:rtl/>
        </w:rPr>
        <w:t>ائب والتعريفات الجمركية.</w:t>
      </w:r>
    </w:p>
    <w:p w:rsidR="00000000" w:rsidRDefault="003865AC">
      <w:pPr>
        <w:jc w:val="both"/>
        <w:rPr>
          <w:rFonts w:hint="cs"/>
          <w:rtl/>
        </w:rPr>
      </w:pPr>
      <w:r>
        <w:rPr>
          <w:rFonts w:hint="cs"/>
          <w:rtl/>
        </w:rPr>
        <w:t>161-</w:t>
      </w:r>
      <w:r>
        <w:rPr>
          <w:rFonts w:hint="cs"/>
          <w:rtl/>
        </w:rPr>
        <w:tab/>
        <w:t>ويحدد المرسوم الرئاسي رقم 26 الذي أقرّ أولويات البرنامج الوطني للأمن الغذائي (26 كانون الثاني/يناير 2000) التدابير الرئيسية التي يتعين على الحكومة اتخاذها لتحقيق هذا الهدف.</w:t>
      </w:r>
    </w:p>
    <w:p w:rsidR="00000000" w:rsidRDefault="003865AC">
      <w:pPr>
        <w:jc w:val="both"/>
        <w:rPr>
          <w:rtl/>
        </w:rPr>
      </w:pPr>
      <w:r>
        <w:rPr>
          <w:rFonts w:hint="cs"/>
          <w:rtl/>
        </w:rPr>
        <w:t>162-</w:t>
      </w:r>
      <w:r>
        <w:rPr>
          <w:rFonts w:hint="cs"/>
          <w:rtl/>
        </w:rPr>
        <w:tab/>
        <w:t>وفي هذا المجال، ينبغي عرض الإحصاءات المتعلقة بال</w:t>
      </w:r>
      <w:r>
        <w:rPr>
          <w:rFonts w:hint="cs"/>
          <w:rtl/>
        </w:rPr>
        <w:t>معونات الغذائية الواردة التي  وزعتها وزارة الزراعة والإنتاج الغذائي خلال الفترة 1997 - 2000 (بالأطنان).</w:t>
      </w:r>
    </w:p>
    <w:p w:rsidR="00000000" w:rsidRDefault="003865AC">
      <w:pPr>
        <w:jc w:val="both"/>
        <w:rPr>
          <w:rtl/>
        </w:rPr>
      </w:pPr>
      <w:r>
        <w:rPr>
          <w:rtl/>
        </w:rPr>
        <w:br w:type="page"/>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1260"/>
        <w:gridCol w:w="949"/>
        <w:gridCol w:w="1391"/>
        <w:gridCol w:w="900"/>
        <w:gridCol w:w="720"/>
        <w:gridCol w:w="1080"/>
        <w:gridCol w:w="1440"/>
        <w:gridCol w:w="1188"/>
      </w:tblGrid>
      <w:tr w:rsidR="003865AC" w:rsidTr="003865AC">
        <w:trPr>
          <w:trHeight w:val="886"/>
        </w:trPr>
        <w:tc>
          <w:tcPr>
            <w:tcW w:w="642" w:type="dxa"/>
            <w:tcBorders>
              <w:bottom w:val="single" w:sz="4" w:space="0" w:color="auto"/>
            </w:tcBorders>
          </w:tcPr>
          <w:p w:rsidR="003865AC" w:rsidRDefault="003865AC">
            <w:pPr>
              <w:spacing w:before="0" w:after="0" w:line="280" w:lineRule="exact"/>
              <w:jc w:val="both"/>
              <w:rPr>
                <w:rFonts w:hint="cs"/>
                <w:b/>
                <w:bCs/>
                <w:sz w:val="24"/>
                <w:szCs w:val="24"/>
                <w:rtl/>
              </w:rPr>
            </w:pPr>
          </w:p>
          <w:p w:rsidR="003865AC" w:rsidRDefault="003865AC">
            <w:pPr>
              <w:spacing w:before="0" w:after="0" w:line="280" w:lineRule="exact"/>
              <w:jc w:val="both"/>
              <w:rPr>
                <w:rFonts w:hint="cs"/>
                <w:b/>
                <w:bCs/>
                <w:sz w:val="24"/>
                <w:szCs w:val="24"/>
                <w:rtl/>
              </w:rPr>
            </w:pPr>
          </w:p>
          <w:p w:rsidR="003865AC" w:rsidRDefault="003865AC">
            <w:pPr>
              <w:spacing w:before="0" w:after="0" w:line="280" w:lineRule="exact"/>
              <w:jc w:val="both"/>
              <w:rPr>
                <w:rFonts w:hint="cs"/>
                <w:b/>
                <w:bCs/>
                <w:sz w:val="24"/>
                <w:szCs w:val="24"/>
                <w:rtl/>
              </w:rPr>
            </w:pPr>
            <w:r>
              <w:rPr>
                <w:rFonts w:hint="cs"/>
                <w:b/>
                <w:bCs/>
                <w:sz w:val="24"/>
                <w:szCs w:val="24"/>
                <w:rtl/>
              </w:rPr>
              <w:t>الرقم</w:t>
            </w:r>
          </w:p>
        </w:tc>
        <w:tc>
          <w:tcPr>
            <w:tcW w:w="1260" w:type="dxa"/>
            <w:tcBorders>
              <w:bottom w:val="single" w:sz="4" w:space="0" w:color="auto"/>
            </w:tcBorders>
          </w:tcPr>
          <w:p w:rsidR="003865AC" w:rsidRDefault="003865AC">
            <w:pPr>
              <w:spacing w:before="0" w:after="0" w:line="280" w:lineRule="exact"/>
              <w:jc w:val="center"/>
              <w:rPr>
                <w:rFonts w:hint="cs"/>
                <w:b/>
                <w:bCs/>
                <w:sz w:val="24"/>
                <w:szCs w:val="24"/>
                <w:rtl/>
              </w:rPr>
            </w:pPr>
          </w:p>
          <w:p w:rsidR="003865AC" w:rsidRDefault="003865AC">
            <w:pPr>
              <w:spacing w:before="0" w:after="0" w:line="280" w:lineRule="exact"/>
              <w:jc w:val="center"/>
              <w:rPr>
                <w:rFonts w:hint="cs"/>
                <w:b/>
                <w:bCs/>
                <w:sz w:val="24"/>
                <w:szCs w:val="24"/>
                <w:rtl/>
              </w:rPr>
            </w:pPr>
            <w:r>
              <w:rPr>
                <w:rFonts w:hint="cs"/>
                <w:b/>
                <w:bCs/>
                <w:sz w:val="24"/>
                <w:szCs w:val="24"/>
                <w:rtl/>
              </w:rPr>
              <w:t>المادة الغذائية والسنة</w:t>
            </w:r>
          </w:p>
        </w:tc>
        <w:tc>
          <w:tcPr>
            <w:tcW w:w="949" w:type="dxa"/>
          </w:tcPr>
          <w:p w:rsidR="003865AC" w:rsidRDefault="003865AC">
            <w:pPr>
              <w:spacing w:before="0" w:after="0" w:line="280" w:lineRule="exact"/>
              <w:jc w:val="center"/>
              <w:rPr>
                <w:rFonts w:hint="cs"/>
                <w:b/>
                <w:bCs/>
                <w:sz w:val="24"/>
                <w:szCs w:val="24"/>
                <w:rtl/>
              </w:rPr>
            </w:pPr>
            <w:r>
              <w:rPr>
                <w:rFonts w:hint="cs"/>
                <w:b/>
                <w:bCs/>
                <w:sz w:val="24"/>
                <w:szCs w:val="24"/>
                <w:rtl/>
              </w:rPr>
              <w:t>الكمية المستلمة (بالأطنان)</w:t>
            </w:r>
          </w:p>
        </w:tc>
        <w:tc>
          <w:tcPr>
            <w:tcW w:w="6719" w:type="dxa"/>
            <w:gridSpan w:val="6"/>
          </w:tcPr>
          <w:p w:rsidR="003865AC" w:rsidRDefault="003865AC">
            <w:pPr>
              <w:spacing w:before="0" w:after="0" w:line="280" w:lineRule="exact"/>
              <w:jc w:val="center"/>
              <w:rPr>
                <w:rFonts w:hint="cs"/>
                <w:b/>
                <w:bCs/>
                <w:sz w:val="24"/>
                <w:szCs w:val="24"/>
                <w:rtl/>
              </w:rPr>
            </w:pPr>
          </w:p>
          <w:p w:rsidR="003865AC" w:rsidRDefault="003865AC">
            <w:pPr>
              <w:spacing w:before="0" w:after="0" w:line="280" w:lineRule="exact"/>
              <w:jc w:val="center"/>
              <w:rPr>
                <w:rFonts w:hint="cs"/>
                <w:b/>
                <w:bCs/>
                <w:sz w:val="24"/>
                <w:szCs w:val="24"/>
                <w:rtl/>
              </w:rPr>
            </w:pPr>
            <w:r>
              <w:rPr>
                <w:rFonts w:hint="cs"/>
                <w:b/>
                <w:bCs/>
                <w:sz w:val="24"/>
                <w:szCs w:val="24"/>
                <w:rtl/>
              </w:rPr>
              <w:t>وُزَّع بأمر رئاسي</w:t>
            </w:r>
          </w:p>
        </w:tc>
      </w:tr>
      <w:tr w:rsidR="003865AC" w:rsidTr="003865AC">
        <w:trPr>
          <w:cantSplit/>
          <w:trHeight w:val="1069"/>
        </w:trPr>
        <w:tc>
          <w:tcPr>
            <w:tcW w:w="2851" w:type="dxa"/>
            <w:gridSpan w:val="3"/>
            <w:tcBorders>
              <w:bottom w:val="single" w:sz="4" w:space="0" w:color="auto"/>
            </w:tcBorders>
          </w:tcPr>
          <w:p w:rsidR="003865AC" w:rsidRDefault="003865AC">
            <w:pPr>
              <w:spacing w:before="0" w:after="0"/>
              <w:jc w:val="both"/>
              <w:rPr>
                <w:sz w:val="24"/>
                <w:szCs w:val="24"/>
              </w:rPr>
            </w:pPr>
          </w:p>
        </w:tc>
        <w:tc>
          <w:tcPr>
            <w:tcW w:w="1391" w:type="dxa"/>
            <w:tcBorders>
              <w:bottom w:val="single" w:sz="4" w:space="0" w:color="auto"/>
            </w:tcBorders>
          </w:tcPr>
          <w:p w:rsidR="003865AC" w:rsidRDefault="003865AC">
            <w:pPr>
              <w:spacing w:before="0" w:after="0"/>
              <w:jc w:val="center"/>
              <w:rPr>
                <w:spacing w:val="-20"/>
                <w:sz w:val="24"/>
                <w:szCs w:val="24"/>
              </w:rPr>
            </w:pPr>
            <w:r>
              <w:rPr>
                <w:rFonts w:hint="cs"/>
                <w:spacing w:val="-16"/>
                <w:sz w:val="24"/>
                <w:szCs w:val="24"/>
                <w:rtl/>
              </w:rPr>
              <w:t>لتلبية احتياجات</w:t>
            </w:r>
            <w:r>
              <w:rPr>
                <w:rFonts w:hint="cs"/>
                <w:spacing w:val="-20"/>
                <w:sz w:val="24"/>
                <w:szCs w:val="24"/>
                <w:rtl/>
              </w:rPr>
              <w:t xml:space="preserve"> السكان في "كودور كورج" في فصل الشتاء</w:t>
            </w:r>
          </w:p>
        </w:tc>
        <w:tc>
          <w:tcPr>
            <w:tcW w:w="900" w:type="dxa"/>
            <w:tcBorders>
              <w:bottom w:val="single" w:sz="4" w:space="0" w:color="auto"/>
            </w:tcBorders>
          </w:tcPr>
          <w:p w:rsidR="003865AC" w:rsidRDefault="003865AC">
            <w:pPr>
              <w:spacing w:before="120" w:after="0"/>
              <w:jc w:val="center"/>
              <w:rPr>
                <w:sz w:val="24"/>
                <w:szCs w:val="24"/>
              </w:rPr>
            </w:pPr>
            <w:r>
              <w:rPr>
                <w:sz w:val="24"/>
                <w:szCs w:val="24"/>
                <w:rtl/>
              </w:rPr>
              <w:br/>
            </w:r>
            <w:r>
              <w:rPr>
                <w:rFonts w:hint="cs"/>
                <w:sz w:val="24"/>
                <w:szCs w:val="24"/>
                <w:rtl/>
              </w:rPr>
              <w:br/>
              <w:t>للمشردين</w:t>
            </w:r>
          </w:p>
        </w:tc>
        <w:tc>
          <w:tcPr>
            <w:tcW w:w="720" w:type="dxa"/>
            <w:tcBorders>
              <w:bottom w:val="single" w:sz="4" w:space="0" w:color="auto"/>
            </w:tcBorders>
          </w:tcPr>
          <w:p w:rsidR="003865AC" w:rsidRDefault="003865AC">
            <w:pPr>
              <w:spacing w:before="120" w:after="0"/>
              <w:jc w:val="center"/>
              <w:rPr>
                <w:sz w:val="24"/>
                <w:szCs w:val="24"/>
              </w:rPr>
            </w:pPr>
            <w:r>
              <w:rPr>
                <w:sz w:val="24"/>
                <w:szCs w:val="24"/>
                <w:rtl/>
              </w:rPr>
              <w:br/>
            </w:r>
            <w:r>
              <w:rPr>
                <w:rFonts w:hint="cs"/>
                <w:sz w:val="24"/>
                <w:szCs w:val="24"/>
                <w:rtl/>
              </w:rPr>
              <w:t>لوزارة الدفاع</w:t>
            </w:r>
          </w:p>
        </w:tc>
        <w:tc>
          <w:tcPr>
            <w:tcW w:w="1080" w:type="dxa"/>
            <w:tcBorders>
              <w:bottom w:val="single" w:sz="4" w:space="0" w:color="auto"/>
            </w:tcBorders>
          </w:tcPr>
          <w:p w:rsidR="003865AC" w:rsidRDefault="003865AC">
            <w:pPr>
              <w:spacing w:before="0" w:after="0"/>
              <w:jc w:val="center"/>
              <w:rPr>
                <w:spacing w:val="-20"/>
                <w:sz w:val="24"/>
                <w:szCs w:val="24"/>
              </w:rPr>
            </w:pPr>
            <w:r>
              <w:rPr>
                <w:rFonts w:hint="cs"/>
                <w:spacing w:val="-16"/>
                <w:sz w:val="24"/>
                <w:szCs w:val="24"/>
                <w:rtl/>
              </w:rPr>
              <w:t>للمنظمات التي</w:t>
            </w:r>
            <w:r>
              <w:rPr>
                <w:rFonts w:hint="cs"/>
                <w:spacing w:val="-20"/>
                <w:sz w:val="24"/>
                <w:szCs w:val="24"/>
                <w:rtl/>
              </w:rPr>
              <w:t xml:space="preserve"> تمـولها الدولـة ومنظمات أخرى</w:t>
            </w:r>
          </w:p>
        </w:tc>
        <w:tc>
          <w:tcPr>
            <w:tcW w:w="1440" w:type="dxa"/>
            <w:tcBorders>
              <w:bottom w:val="single" w:sz="4" w:space="0" w:color="auto"/>
            </w:tcBorders>
          </w:tcPr>
          <w:p w:rsidR="003865AC" w:rsidRDefault="003865AC">
            <w:pPr>
              <w:spacing w:before="0" w:after="0"/>
              <w:jc w:val="center"/>
              <w:rPr>
                <w:spacing w:val="-14"/>
                <w:sz w:val="24"/>
                <w:szCs w:val="24"/>
              </w:rPr>
            </w:pPr>
            <w:r>
              <w:rPr>
                <w:rFonts w:hint="cs"/>
                <w:spacing w:val="-14"/>
                <w:sz w:val="24"/>
                <w:szCs w:val="24"/>
                <w:rtl/>
              </w:rPr>
              <w:t>بيعـت في البورصة (لتكون حصيلتها رديفاً للميزانية)</w:t>
            </w:r>
          </w:p>
        </w:tc>
        <w:tc>
          <w:tcPr>
            <w:tcW w:w="1188" w:type="dxa"/>
            <w:tcBorders>
              <w:bottom w:val="single" w:sz="4" w:space="0" w:color="auto"/>
            </w:tcBorders>
          </w:tcPr>
          <w:p w:rsidR="003865AC" w:rsidRDefault="003865AC">
            <w:pPr>
              <w:spacing w:before="0" w:after="0"/>
              <w:jc w:val="center"/>
              <w:rPr>
                <w:spacing w:val="-16"/>
                <w:sz w:val="24"/>
                <w:szCs w:val="24"/>
              </w:rPr>
            </w:pPr>
            <w:r>
              <w:rPr>
                <w:rFonts w:hint="cs"/>
                <w:spacing w:val="-16"/>
                <w:sz w:val="24"/>
                <w:szCs w:val="24"/>
                <w:rtl/>
              </w:rPr>
              <w:t>فاسدة وتم شطبها عملا بقرار من مجلس التفتيش</w:t>
            </w:r>
          </w:p>
        </w:tc>
      </w:tr>
      <w:tr w:rsidR="003865AC" w:rsidTr="003865AC">
        <w:tc>
          <w:tcPr>
            <w:tcW w:w="642" w:type="dxa"/>
            <w:tcBorders>
              <w:bottom w:val="nil"/>
            </w:tcBorders>
          </w:tcPr>
          <w:p w:rsidR="003865AC" w:rsidRDefault="003865AC">
            <w:pPr>
              <w:spacing w:before="120" w:after="0"/>
              <w:jc w:val="both"/>
              <w:rPr>
                <w:rFonts w:hint="cs"/>
                <w:sz w:val="24"/>
                <w:szCs w:val="24"/>
                <w:rtl/>
              </w:rPr>
            </w:pPr>
          </w:p>
          <w:p w:rsidR="003865AC" w:rsidRDefault="003865AC">
            <w:pPr>
              <w:spacing w:before="0" w:after="0"/>
              <w:jc w:val="both"/>
              <w:rPr>
                <w:rFonts w:hint="cs"/>
                <w:sz w:val="24"/>
                <w:szCs w:val="24"/>
                <w:rtl/>
              </w:rPr>
            </w:pPr>
            <w:r>
              <w:rPr>
                <w:rFonts w:hint="cs"/>
                <w:sz w:val="24"/>
                <w:szCs w:val="24"/>
                <w:rtl/>
              </w:rPr>
              <w:t>1</w:t>
            </w:r>
          </w:p>
        </w:tc>
        <w:tc>
          <w:tcPr>
            <w:tcW w:w="1260" w:type="dxa"/>
            <w:tcBorders>
              <w:bottom w:val="nil"/>
            </w:tcBorders>
          </w:tcPr>
          <w:p w:rsidR="003865AC" w:rsidRDefault="003865AC">
            <w:pPr>
              <w:spacing w:before="0" w:after="0"/>
              <w:jc w:val="both"/>
              <w:rPr>
                <w:rFonts w:hint="cs"/>
                <w:b/>
                <w:bCs/>
                <w:sz w:val="24"/>
                <w:szCs w:val="24"/>
                <w:rtl/>
              </w:rPr>
            </w:pPr>
            <w:r>
              <w:rPr>
                <w:rFonts w:hint="cs"/>
                <w:b/>
                <w:bCs/>
                <w:sz w:val="24"/>
                <w:szCs w:val="24"/>
                <w:rtl/>
              </w:rPr>
              <w:t>1997</w:t>
            </w:r>
          </w:p>
          <w:p w:rsidR="003865AC" w:rsidRDefault="003865AC">
            <w:pPr>
              <w:spacing w:before="0" w:after="0"/>
              <w:jc w:val="both"/>
              <w:rPr>
                <w:rFonts w:hint="cs"/>
                <w:sz w:val="24"/>
                <w:szCs w:val="24"/>
                <w:rtl/>
              </w:rPr>
            </w:pPr>
            <w:r>
              <w:rPr>
                <w:rFonts w:hint="cs"/>
                <w:sz w:val="24"/>
                <w:szCs w:val="24"/>
                <w:rtl/>
              </w:rPr>
              <w:t>قمح</w:t>
            </w:r>
          </w:p>
        </w:tc>
        <w:tc>
          <w:tcPr>
            <w:tcW w:w="949" w:type="dxa"/>
            <w:tcBorders>
              <w:bottom w:val="nil"/>
            </w:tcBorders>
          </w:tcPr>
          <w:p w:rsidR="003865AC" w:rsidRDefault="003865AC">
            <w:pPr>
              <w:spacing w:before="0" w:after="0"/>
              <w:jc w:val="center"/>
              <w:rPr>
                <w:rFonts w:hint="cs"/>
                <w:sz w:val="24"/>
                <w:szCs w:val="24"/>
                <w:rtl/>
              </w:rPr>
            </w:pPr>
          </w:p>
          <w:p w:rsidR="003865AC" w:rsidRDefault="003865AC">
            <w:pPr>
              <w:spacing w:before="120" w:after="0"/>
              <w:jc w:val="center"/>
              <w:rPr>
                <w:rFonts w:hint="cs"/>
                <w:sz w:val="24"/>
                <w:szCs w:val="24"/>
                <w:rtl/>
              </w:rPr>
            </w:pPr>
            <w:r>
              <w:rPr>
                <w:rFonts w:hint="cs"/>
                <w:sz w:val="24"/>
                <w:szCs w:val="24"/>
                <w:rtl/>
              </w:rPr>
              <w:t>576 8</w:t>
            </w:r>
          </w:p>
        </w:tc>
        <w:tc>
          <w:tcPr>
            <w:tcW w:w="1391" w:type="dxa"/>
            <w:tcBorders>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w:t>
            </w:r>
          </w:p>
        </w:tc>
        <w:tc>
          <w:tcPr>
            <w:tcW w:w="900" w:type="dxa"/>
            <w:tcBorders>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w:t>
            </w:r>
          </w:p>
        </w:tc>
        <w:tc>
          <w:tcPr>
            <w:tcW w:w="720" w:type="dxa"/>
            <w:tcBorders>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w:t>
            </w:r>
          </w:p>
        </w:tc>
        <w:tc>
          <w:tcPr>
            <w:tcW w:w="1080" w:type="dxa"/>
            <w:tcBorders>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w:t>
            </w:r>
          </w:p>
        </w:tc>
        <w:tc>
          <w:tcPr>
            <w:tcW w:w="1440" w:type="dxa"/>
            <w:tcBorders>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576 8</w:t>
            </w:r>
          </w:p>
        </w:tc>
        <w:tc>
          <w:tcPr>
            <w:tcW w:w="1188" w:type="dxa"/>
            <w:tcBorders>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w:t>
            </w:r>
          </w:p>
        </w:tc>
      </w:tr>
      <w:tr w:rsidR="003865AC" w:rsidTr="003865AC">
        <w:tc>
          <w:tcPr>
            <w:tcW w:w="642" w:type="dxa"/>
            <w:tcBorders>
              <w:top w:val="nil"/>
              <w:bottom w:val="nil"/>
            </w:tcBorders>
          </w:tcPr>
          <w:p w:rsidR="003865AC" w:rsidRDefault="003865AC">
            <w:pPr>
              <w:spacing w:before="0" w:after="0"/>
              <w:jc w:val="both"/>
              <w:rPr>
                <w:rFonts w:hint="cs"/>
                <w:sz w:val="24"/>
                <w:szCs w:val="24"/>
                <w:rtl/>
              </w:rPr>
            </w:pPr>
          </w:p>
          <w:p w:rsidR="003865AC" w:rsidRDefault="003865AC">
            <w:pPr>
              <w:spacing w:before="0" w:after="0"/>
              <w:jc w:val="both"/>
              <w:rPr>
                <w:rFonts w:hint="cs"/>
                <w:sz w:val="24"/>
                <w:szCs w:val="24"/>
                <w:rtl/>
              </w:rPr>
            </w:pPr>
            <w:r>
              <w:rPr>
                <w:rFonts w:hint="cs"/>
                <w:sz w:val="24"/>
                <w:szCs w:val="24"/>
                <w:rtl/>
              </w:rPr>
              <w:t>1</w:t>
            </w:r>
          </w:p>
        </w:tc>
        <w:tc>
          <w:tcPr>
            <w:tcW w:w="1260" w:type="dxa"/>
            <w:tcBorders>
              <w:top w:val="nil"/>
              <w:bottom w:val="nil"/>
            </w:tcBorders>
          </w:tcPr>
          <w:p w:rsidR="003865AC" w:rsidRDefault="003865AC">
            <w:pPr>
              <w:spacing w:before="0" w:after="0"/>
              <w:jc w:val="both"/>
              <w:rPr>
                <w:rFonts w:hint="cs"/>
                <w:b/>
                <w:bCs/>
                <w:sz w:val="24"/>
                <w:szCs w:val="24"/>
                <w:rtl/>
              </w:rPr>
            </w:pPr>
            <w:r>
              <w:rPr>
                <w:rFonts w:hint="cs"/>
                <w:b/>
                <w:bCs/>
                <w:sz w:val="24"/>
                <w:szCs w:val="24"/>
                <w:rtl/>
              </w:rPr>
              <w:t>1998</w:t>
            </w:r>
          </w:p>
          <w:p w:rsidR="003865AC" w:rsidRDefault="003865AC">
            <w:pPr>
              <w:spacing w:before="0" w:after="0"/>
              <w:jc w:val="both"/>
              <w:rPr>
                <w:rFonts w:hint="cs"/>
                <w:sz w:val="24"/>
                <w:szCs w:val="24"/>
                <w:rtl/>
              </w:rPr>
            </w:pPr>
            <w:r>
              <w:rPr>
                <w:rFonts w:hint="cs"/>
                <w:sz w:val="24"/>
                <w:szCs w:val="24"/>
                <w:rtl/>
              </w:rPr>
              <w:t>أرز</w:t>
            </w:r>
          </w:p>
        </w:tc>
        <w:tc>
          <w:tcPr>
            <w:tcW w:w="949" w:type="dxa"/>
            <w:tcBorders>
              <w:top w:val="nil"/>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193.3 1</w:t>
            </w:r>
          </w:p>
        </w:tc>
        <w:tc>
          <w:tcPr>
            <w:tcW w:w="1391" w:type="dxa"/>
            <w:tcBorders>
              <w:top w:val="nil"/>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w:t>
            </w:r>
          </w:p>
        </w:tc>
        <w:tc>
          <w:tcPr>
            <w:tcW w:w="900" w:type="dxa"/>
            <w:tcBorders>
              <w:top w:val="nil"/>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487</w:t>
            </w:r>
          </w:p>
        </w:tc>
        <w:tc>
          <w:tcPr>
            <w:tcW w:w="720" w:type="dxa"/>
            <w:tcBorders>
              <w:top w:val="nil"/>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w:t>
            </w:r>
          </w:p>
        </w:tc>
        <w:tc>
          <w:tcPr>
            <w:tcW w:w="1080" w:type="dxa"/>
            <w:tcBorders>
              <w:top w:val="nil"/>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304.3</w:t>
            </w:r>
          </w:p>
        </w:tc>
        <w:tc>
          <w:tcPr>
            <w:tcW w:w="1440" w:type="dxa"/>
            <w:tcBorders>
              <w:top w:val="nil"/>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401</w:t>
            </w:r>
          </w:p>
        </w:tc>
        <w:tc>
          <w:tcPr>
            <w:tcW w:w="1188" w:type="dxa"/>
            <w:tcBorders>
              <w:top w:val="nil"/>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1.3</w:t>
            </w:r>
          </w:p>
        </w:tc>
      </w:tr>
      <w:tr w:rsidR="003865AC" w:rsidTr="003865AC">
        <w:tc>
          <w:tcPr>
            <w:tcW w:w="642" w:type="dxa"/>
            <w:tcBorders>
              <w:top w:val="nil"/>
              <w:bottom w:val="nil"/>
            </w:tcBorders>
          </w:tcPr>
          <w:p w:rsidR="003865AC" w:rsidRDefault="003865AC">
            <w:pPr>
              <w:spacing w:before="0" w:after="0"/>
              <w:jc w:val="both"/>
              <w:rPr>
                <w:rFonts w:hint="cs"/>
                <w:sz w:val="24"/>
                <w:szCs w:val="24"/>
                <w:rtl/>
              </w:rPr>
            </w:pPr>
            <w:r>
              <w:rPr>
                <w:rFonts w:hint="cs"/>
                <w:sz w:val="24"/>
                <w:szCs w:val="24"/>
                <w:rtl/>
              </w:rPr>
              <w:t>2</w:t>
            </w:r>
          </w:p>
        </w:tc>
        <w:tc>
          <w:tcPr>
            <w:tcW w:w="1260" w:type="dxa"/>
            <w:tcBorders>
              <w:top w:val="nil"/>
              <w:bottom w:val="nil"/>
            </w:tcBorders>
          </w:tcPr>
          <w:p w:rsidR="003865AC" w:rsidRDefault="003865AC">
            <w:pPr>
              <w:spacing w:before="0" w:after="0"/>
              <w:jc w:val="both"/>
              <w:rPr>
                <w:rFonts w:hint="cs"/>
                <w:sz w:val="24"/>
                <w:szCs w:val="24"/>
                <w:rtl/>
              </w:rPr>
            </w:pPr>
            <w:r>
              <w:rPr>
                <w:rFonts w:hint="cs"/>
                <w:sz w:val="24"/>
                <w:szCs w:val="24"/>
                <w:rtl/>
              </w:rPr>
              <w:t>نشا البطاطس</w:t>
            </w:r>
          </w:p>
        </w:tc>
        <w:tc>
          <w:tcPr>
            <w:tcW w:w="949" w:type="dxa"/>
            <w:tcBorders>
              <w:top w:val="nil"/>
              <w:bottom w:val="nil"/>
            </w:tcBorders>
          </w:tcPr>
          <w:p w:rsidR="003865AC" w:rsidRDefault="003865AC">
            <w:pPr>
              <w:spacing w:before="0" w:after="0"/>
              <w:jc w:val="center"/>
              <w:rPr>
                <w:rFonts w:hint="cs"/>
                <w:sz w:val="24"/>
                <w:szCs w:val="24"/>
                <w:rtl/>
              </w:rPr>
            </w:pPr>
            <w:r>
              <w:rPr>
                <w:rFonts w:hint="cs"/>
                <w:sz w:val="24"/>
                <w:szCs w:val="24"/>
                <w:rtl/>
              </w:rPr>
              <w:t>125</w:t>
            </w:r>
          </w:p>
        </w:tc>
        <w:tc>
          <w:tcPr>
            <w:tcW w:w="1391" w:type="dxa"/>
            <w:tcBorders>
              <w:top w:val="nil"/>
              <w:bottom w:val="nil"/>
            </w:tcBorders>
          </w:tcPr>
          <w:p w:rsidR="003865AC" w:rsidRDefault="003865AC">
            <w:pPr>
              <w:spacing w:before="0" w:after="0"/>
              <w:jc w:val="center"/>
              <w:rPr>
                <w:rFonts w:hint="cs"/>
                <w:sz w:val="24"/>
                <w:szCs w:val="24"/>
                <w:rtl/>
              </w:rPr>
            </w:pPr>
            <w:r>
              <w:rPr>
                <w:rFonts w:hint="cs"/>
                <w:sz w:val="24"/>
                <w:szCs w:val="24"/>
                <w:rtl/>
              </w:rPr>
              <w:t>-</w:t>
            </w:r>
          </w:p>
        </w:tc>
        <w:tc>
          <w:tcPr>
            <w:tcW w:w="900" w:type="dxa"/>
            <w:tcBorders>
              <w:top w:val="nil"/>
              <w:bottom w:val="nil"/>
            </w:tcBorders>
          </w:tcPr>
          <w:p w:rsidR="003865AC" w:rsidRDefault="003865AC">
            <w:pPr>
              <w:spacing w:before="0" w:after="0"/>
              <w:jc w:val="center"/>
              <w:rPr>
                <w:rFonts w:hint="cs"/>
                <w:sz w:val="24"/>
                <w:szCs w:val="24"/>
                <w:rtl/>
              </w:rPr>
            </w:pPr>
            <w:r>
              <w:rPr>
                <w:rFonts w:hint="cs"/>
                <w:sz w:val="24"/>
                <w:szCs w:val="24"/>
                <w:rtl/>
              </w:rPr>
              <w:t>60</w:t>
            </w:r>
          </w:p>
        </w:tc>
        <w:tc>
          <w:tcPr>
            <w:tcW w:w="720" w:type="dxa"/>
            <w:tcBorders>
              <w:top w:val="nil"/>
              <w:bottom w:val="nil"/>
            </w:tcBorders>
          </w:tcPr>
          <w:p w:rsidR="003865AC" w:rsidRDefault="003865AC">
            <w:pPr>
              <w:spacing w:before="0" w:after="0"/>
              <w:jc w:val="center"/>
              <w:rPr>
                <w:rFonts w:hint="cs"/>
                <w:sz w:val="24"/>
                <w:szCs w:val="24"/>
                <w:rtl/>
              </w:rPr>
            </w:pPr>
            <w:r>
              <w:rPr>
                <w:rFonts w:hint="cs"/>
                <w:sz w:val="24"/>
                <w:szCs w:val="24"/>
                <w:rtl/>
              </w:rPr>
              <w:t>-</w:t>
            </w:r>
          </w:p>
        </w:tc>
        <w:tc>
          <w:tcPr>
            <w:tcW w:w="1080" w:type="dxa"/>
            <w:tcBorders>
              <w:top w:val="nil"/>
              <w:bottom w:val="nil"/>
            </w:tcBorders>
          </w:tcPr>
          <w:p w:rsidR="003865AC" w:rsidRDefault="003865AC">
            <w:pPr>
              <w:spacing w:before="0" w:after="0"/>
              <w:jc w:val="center"/>
              <w:rPr>
                <w:rFonts w:hint="cs"/>
                <w:sz w:val="24"/>
                <w:szCs w:val="24"/>
                <w:rtl/>
              </w:rPr>
            </w:pPr>
            <w:r>
              <w:rPr>
                <w:rFonts w:hint="cs"/>
                <w:sz w:val="24"/>
                <w:szCs w:val="24"/>
                <w:rtl/>
              </w:rPr>
              <w:t>64.5</w:t>
            </w:r>
          </w:p>
        </w:tc>
        <w:tc>
          <w:tcPr>
            <w:tcW w:w="1440" w:type="dxa"/>
            <w:tcBorders>
              <w:top w:val="nil"/>
              <w:bottom w:val="nil"/>
            </w:tcBorders>
          </w:tcPr>
          <w:p w:rsidR="003865AC" w:rsidRDefault="003865AC">
            <w:pPr>
              <w:spacing w:before="0" w:after="0"/>
              <w:jc w:val="center"/>
              <w:rPr>
                <w:rFonts w:hint="cs"/>
                <w:sz w:val="24"/>
                <w:szCs w:val="24"/>
                <w:rtl/>
              </w:rPr>
            </w:pPr>
            <w:r>
              <w:rPr>
                <w:rFonts w:hint="cs"/>
                <w:sz w:val="24"/>
                <w:szCs w:val="24"/>
                <w:rtl/>
              </w:rPr>
              <w:t>-</w:t>
            </w:r>
          </w:p>
        </w:tc>
        <w:tc>
          <w:tcPr>
            <w:tcW w:w="1188" w:type="dxa"/>
            <w:tcBorders>
              <w:top w:val="nil"/>
              <w:bottom w:val="nil"/>
            </w:tcBorders>
          </w:tcPr>
          <w:p w:rsidR="003865AC" w:rsidRDefault="003865AC">
            <w:pPr>
              <w:spacing w:before="0" w:after="0"/>
              <w:jc w:val="center"/>
              <w:rPr>
                <w:rFonts w:hint="cs"/>
                <w:sz w:val="24"/>
                <w:szCs w:val="24"/>
                <w:rtl/>
              </w:rPr>
            </w:pPr>
            <w:r>
              <w:rPr>
                <w:rFonts w:hint="cs"/>
                <w:sz w:val="24"/>
                <w:szCs w:val="24"/>
                <w:rtl/>
              </w:rPr>
              <w:t>0.5</w:t>
            </w:r>
          </w:p>
        </w:tc>
      </w:tr>
      <w:tr w:rsidR="003865AC" w:rsidTr="003865AC">
        <w:tc>
          <w:tcPr>
            <w:tcW w:w="642" w:type="dxa"/>
            <w:tcBorders>
              <w:top w:val="nil"/>
              <w:bottom w:val="nil"/>
            </w:tcBorders>
          </w:tcPr>
          <w:p w:rsidR="003865AC" w:rsidRDefault="003865AC">
            <w:pPr>
              <w:jc w:val="both"/>
              <w:rPr>
                <w:rFonts w:hint="cs"/>
                <w:sz w:val="24"/>
                <w:szCs w:val="24"/>
                <w:rtl/>
              </w:rPr>
            </w:pPr>
            <w:r>
              <w:rPr>
                <w:rFonts w:hint="cs"/>
                <w:sz w:val="24"/>
                <w:szCs w:val="24"/>
                <w:rtl/>
              </w:rPr>
              <w:t>3</w:t>
            </w:r>
          </w:p>
        </w:tc>
        <w:tc>
          <w:tcPr>
            <w:tcW w:w="1260" w:type="dxa"/>
            <w:tcBorders>
              <w:top w:val="nil"/>
              <w:bottom w:val="nil"/>
            </w:tcBorders>
          </w:tcPr>
          <w:p w:rsidR="003865AC" w:rsidRDefault="003865AC">
            <w:pPr>
              <w:jc w:val="both"/>
              <w:rPr>
                <w:rFonts w:hint="cs"/>
                <w:sz w:val="24"/>
                <w:szCs w:val="24"/>
                <w:rtl/>
              </w:rPr>
            </w:pPr>
            <w:r>
              <w:rPr>
                <w:rFonts w:hint="cs"/>
                <w:sz w:val="24"/>
                <w:szCs w:val="24"/>
                <w:rtl/>
              </w:rPr>
              <w:t>زيوت نباتية</w:t>
            </w:r>
          </w:p>
        </w:tc>
        <w:tc>
          <w:tcPr>
            <w:tcW w:w="949" w:type="dxa"/>
            <w:tcBorders>
              <w:top w:val="nil"/>
              <w:bottom w:val="nil"/>
            </w:tcBorders>
          </w:tcPr>
          <w:p w:rsidR="003865AC" w:rsidRDefault="003865AC">
            <w:pPr>
              <w:jc w:val="center"/>
              <w:rPr>
                <w:rFonts w:hint="cs"/>
                <w:sz w:val="24"/>
                <w:szCs w:val="24"/>
                <w:rtl/>
              </w:rPr>
            </w:pPr>
            <w:r>
              <w:rPr>
                <w:rFonts w:hint="cs"/>
                <w:sz w:val="24"/>
                <w:szCs w:val="24"/>
                <w:rtl/>
              </w:rPr>
              <w:t>978 5</w:t>
            </w:r>
          </w:p>
        </w:tc>
        <w:tc>
          <w:tcPr>
            <w:tcW w:w="1391" w:type="dxa"/>
            <w:tcBorders>
              <w:top w:val="nil"/>
              <w:bottom w:val="nil"/>
            </w:tcBorders>
          </w:tcPr>
          <w:p w:rsidR="003865AC" w:rsidRDefault="003865AC">
            <w:pPr>
              <w:jc w:val="center"/>
              <w:rPr>
                <w:rFonts w:hint="cs"/>
                <w:sz w:val="24"/>
                <w:szCs w:val="24"/>
                <w:rtl/>
              </w:rPr>
            </w:pPr>
            <w:r>
              <w:rPr>
                <w:rFonts w:hint="cs"/>
                <w:sz w:val="24"/>
                <w:szCs w:val="24"/>
                <w:rtl/>
              </w:rPr>
              <w:t>-</w:t>
            </w:r>
          </w:p>
        </w:tc>
        <w:tc>
          <w:tcPr>
            <w:tcW w:w="900" w:type="dxa"/>
            <w:tcBorders>
              <w:top w:val="nil"/>
              <w:bottom w:val="nil"/>
            </w:tcBorders>
          </w:tcPr>
          <w:p w:rsidR="003865AC" w:rsidRDefault="003865AC">
            <w:pPr>
              <w:jc w:val="center"/>
              <w:rPr>
                <w:rFonts w:hint="cs"/>
                <w:sz w:val="24"/>
                <w:szCs w:val="24"/>
                <w:rtl/>
              </w:rPr>
            </w:pPr>
            <w:r>
              <w:rPr>
                <w:rFonts w:hint="cs"/>
                <w:sz w:val="24"/>
                <w:szCs w:val="24"/>
                <w:rtl/>
              </w:rPr>
              <w:t>68.7</w:t>
            </w:r>
          </w:p>
        </w:tc>
        <w:tc>
          <w:tcPr>
            <w:tcW w:w="720" w:type="dxa"/>
            <w:tcBorders>
              <w:top w:val="nil"/>
              <w:bottom w:val="nil"/>
            </w:tcBorders>
          </w:tcPr>
          <w:p w:rsidR="003865AC" w:rsidRDefault="003865AC">
            <w:pPr>
              <w:jc w:val="center"/>
              <w:rPr>
                <w:rFonts w:hint="cs"/>
                <w:sz w:val="24"/>
                <w:szCs w:val="24"/>
                <w:rtl/>
              </w:rPr>
            </w:pPr>
            <w:r>
              <w:rPr>
                <w:rFonts w:hint="cs"/>
                <w:sz w:val="24"/>
                <w:szCs w:val="24"/>
                <w:rtl/>
              </w:rPr>
              <w:t>-</w:t>
            </w:r>
          </w:p>
        </w:tc>
        <w:tc>
          <w:tcPr>
            <w:tcW w:w="1080" w:type="dxa"/>
            <w:tcBorders>
              <w:top w:val="nil"/>
              <w:bottom w:val="nil"/>
            </w:tcBorders>
          </w:tcPr>
          <w:p w:rsidR="003865AC" w:rsidRDefault="003865AC">
            <w:pPr>
              <w:jc w:val="center"/>
              <w:rPr>
                <w:rFonts w:hint="cs"/>
                <w:sz w:val="24"/>
                <w:szCs w:val="24"/>
                <w:rtl/>
              </w:rPr>
            </w:pPr>
            <w:r>
              <w:rPr>
                <w:rFonts w:hint="cs"/>
                <w:sz w:val="24"/>
                <w:szCs w:val="24"/>
                <w:rtl/>
              </w:rPr>
              <w:t>-</w:t>
            </w:r>
          </w:p>
        </w:tc>
        <w:tc>
          <w:tcPr>
            <w:tcW w:w="1440" w:type="dxa"/>
            <w:tcBorders>
              <w:top w:val="nil"/>
              <w:bottom w:val="nil"/>
            </w:tcBorders>
          </w:tcPr>
          <w:p w:rsidR="003865AC" w:rsidRDefault="003865AC">
            <w:pPr>
              <w:jc w:val="center"/>
              <w:rPr>
                <w:rFonts w:hint="cs"/>
                <w:sz w:val="24"/>
                <w:szCs w:val="24"/>
                <w:rtl/>
              </w:rPr>
            </w:pPr>
            <w:r>
              <w:rPr>
                <w:rFonts w:hint="cs"/>
                <w:sz w:val="24"/>
                <w:szCs w:val="24"/>
                <w:rtl/>
              </w:rPr>
              <w:t>074 3</w:t>
            </w:r>
          </w:p>
        </w:tc>
        <w:tc>
          <w:tcPr>
            <w:tcW w:w="1188" w:type="dxa"/>
            <w:tcBorders>
              <w:top w:val="nil"/>
              <w:bottom w:val="nil"/>
            </w:tcBorders>
          </w:tcPr>
          <w:p w:rsidR="003865AC" w:rsidRDefault="003865AC">
            <w:pPr>
              <w:jc w:val="center"/>
              <w:rPr>
                <w:rFonts w:hint="cs"/>
                <w:sz w:val="24"/>
                <w:szCs w:val="24"/>
                <w:rtl/>
              </w:rPr>
            </w:pPr>
            <w:r>
              <w:rPr>
                <w:rFonts w:hint="cs"/>
                <w:sz w:val="24"/>
                <w:szCs w:val="24"/>
                <w:rtl/>
              </w:rPr>
              <w:t>29.5</w:t>
            </w:r>
          </w:p>
        </w:tc>
      </w:tr>
      <w:tr w:rsidR="003865AC" w:rsidTr="003865AC">
        <w:tc>
          <w:tcPr>
            <w:tcW w:w="642" w:type="dxa"/>
            <w:tcBorders>
              <w:top w:val="nil"/>
              <w:bottom w:val="nil"/>
            </w:tcBorders>
          </w:tcPr>
          <w:p w:rsidR="003865AC" w:rsidRDefault="003865AC">
            <w:pPr>
              <w:spacing w:before="120" w:after="0"/>
              <w:jc w:val="both"/>
              <w:rPr>
                <w:rFonts w:hint="cs"/>
                <w:sz w:val="24"/>
                <w:szCs w:val="24"/>
                <w:rtl/>
              </w:rPr>
            </w:pPr>
          </w:p>
          <w:p w:rsidR="003865AC" w:rsidRDefault="003865AC">
            <w:pPr>
              <w:spacing w:before="0" w:after="0"/>
              <w:jc w:val="both"/>
              <w:rPr>
                <w:rFonts w:hint="cs"/>
                <w:sz w:val="24"/>
                <w:szCs w:val="24"/>
                <w:rtl/>
              </w:rPr>
            </w:pPr>
            <w:r>
              <w:rPr>
                <w:rFonts w:hint="cs"/>
                <w:sz w:val="24"/>
                <w:szCs w:val="24"/>
                <w:rtl/>
              </w:rPr>
              <w:t>1</w:t>
            </w:r>
          </w:p>
        </w:tc>
        <w:tc>
          <w:tcPr>
            <w:tcW w:w="1260" w:type="dxa"/>
            <w:tcBorders>
              <w:top w:val="nil"/>
              <w:bottom w:val="nil"/>
            </w:tcBorders>
          </w:tcPr>
          <w:p w:rsidR="003865AC" w:rsidRDefault="003865AC">
            <w:pPr>
              <w:spacing w:before="0" w:after="0"/>
              <w:jc w:val="both"/>
              <w:rPr>
                <w:rFonts w:hint="cs"/>
                <w:b/>
                <w:bCs/>
                <w:sz w:val="24"/>
                <w:szCs w:val="24"/>
                <w:rtl/>
              </w:rPr>
            </w:pPr>
            <w:r>
              <w:rPr>
                <w:rFonts w:hint="cs"/>
                <w:b/>
                <w:bCs/>
                <w:sz w:val="24"/>
                <w:szCs w:val="24"/>
                <w:rtl/>
              </w:rPr>
              <w:t>1999</w:t>
            </w:r>
          </w:p>
          <w:p w:rsidR="003865AC" w:rsidRDefault="003865AC">
            <w:pPr>
              <w:spacing w:before="0" w:after="0"/>
              <w:jc w:val="both"/>
              <w:rPr>
                <w:rFonts w:hint="cs"/>
                <w:sz w:val="24"/>
                <w:szCs w:val="24"/>
                <w:rtl/>
              </w:rPr>
            </w:pPr>
            <w:r>
              <w:rPr>
                <w:rFonts w:hint="cs"/>
                <w:sz w:val="24"/>
                <w:szCs w:val="24"/>
                <w:rtl/>
              </w:rPr>
              <w:t>قمح</w:t>
            </w:r>
          </w:p>
        </w:tc>
        <w:tc>
          <w:tcPr>
            <w:tcW w:w="949" w:type="dxa"/>
            <w:tcBorders>
              <w:top w:val="nil"/>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060 36</w:t>
            </w:r>
          </w:p>
        </w:tc>
        <w:tc>
          <w:tcPr>
            <w:tcW w:w="1391" w:type="dxa"/>
            <w:tcBorders>
              <w:top w:val="nil"/>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w:t>
            </w:r>
          </w:p>
        </w:tc>
        <w:tc>
          <w:tcPr>
            <w:tcW w:w="900" w:type="dxa"/>
            <w:tcBorders>
              <w:top w:val="nil"/>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000 5</w:t>
            </w:r>
          </w:p>
        </w:tc>
        <w:tc>
          <w:tcPr>
            <w:tcW w:w="720" w:type="dxa"/>
            <w:tcBorders>
              <w:top w:val="nil"/>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w:t>
            </w:r>
          </w:p>
        </w:tc>
        <w:tc>
          <w:tcPr>
            <w:tcW w:w="1080" w:type="dxa"/>
            <w:tcBorders>
              <w:top w:val="nil"/>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140</w:t>
            </w:r>
          </w:p>
        </w:tc>
        <w:tc>
          <w:tcPr>
            <w:tcW w:w="1440" w:type="dxa"/>
            <w:tcBorders>
              <w:top w:val="nil"/>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920 30</w:t>
            </w:r>
          </w:p>
        </w:tc>
        <w:tc>
          <w:tcPr>
            <w:tcW w:w="1188" w:type="dxa"/>
            <w:tcBorders>
              <w:top w:val="nil"/>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w:t>
            </w:r>
          </w:p>
        </w:tc>
      </w:tr>
      <w:tr w:rsidR="003865AC" w:rsidTr="003865AC">
        <w:tc>
          <w:tcPr>
            <w:tcW w:w="642" w:type="dxa"/>
            <w:tcBorders>
              <w:top w:val="nil"/>
              <w:bottom w:val="nil"/>
            </w:tcBorders>
          </w:tcPr>
          <w:p w:rsidR="003865AC" w:rsidRDefault="003865AC">
            <w:pPr>
              <w:spacing w:before="120" w:after="0"/>
              <w:jc w:val="both"/>
              <w:rPr>
                <w:rFonts w:hint="cs"/>
                <w:sz w:val="24"/>
                <w:szCs w:val="24"/>
                <w:rtl/>
              </w:rPr>
            </w:pPr>
          </w:p>
          <w:p w:rsidR="003865AC" w:rsidRDefault="003865AC">
            <w:pPr>
              <w:spacing w:before="0" w:after="0"/>
              <w:jc w:val="both"/>
              <w:rPr>
                <w:rFonts w:hint="cs"/>
                <w:sz w:val="24"/>
                <w:szCs w:val="24"/>
                <w:rtl/>
              </w:rPr>
            </w:pPr>
            <w:r>
              <w:rPr>
                <w:rFonts w:hint="cs"/>
                <w:sz w:val="24"/>
                <w:szCs w:val="24"/>
                <w:rtl/>
              </w:rPr>
              <w:t>1</w:t>
            </w:r>
          </w:p>
        </w:tc>
        <w:tc>
          <w:tcPr>
            <w:tcW w:w="1260" w:type="dxa"/>
            <w:tcBorders>
              <w:top w:val="nil"/>
              <w:bottom w:val="nil"/>
            </w:tcBorders>
          </w:tcPr>
          <w:p w:rsidR="003865AC" w:rsidRDefault="003865AC">
            <w:pPr>
              <w:spacing w:before="0" w:after="0"/>
              <w:jc w:val="both"/>
              <w:rPr>
                <w:rFonts w:hint="cs"/>
                <w:b/>
                <w:bCs/>
                <w:sz w:val="24"/>
                <w:szCs w:val="24"/>
                <w:rtl/>
              </w:rPr>
            </w:pPr>
            <w:r>
              <w:rPr>
                <w:rFonts w:hint="cs"/>
                <w:b/>
                <w:bCs/>
                <w:sz w:val="24"/>
                <w:szCs w:val="24"/>
                <w:rtl/>
              </w:rPr>
              <w:t>2000</w:t>
            </w:r>
          </w:p>
          <w:p w:rsidR="003865AC" w:rsidRDefault="003865AC">
            <w:pPr>
              <w:spacing w:before="0" w:after="0"/>
              <w:jc w:val="both"/>
              <w:rPr>
                <w:rFonts w:hint="cs"/>
                <w:sz w:val="24"/>
                <w:szCs w:val="24"/>
                <w:vertAlign w:val="superscript"/>
                <w:rtl/>
              </w:rPr>
            </w:pPr>
            <w:r>
              <w:rPr>
                <w:rFonts w:hint="cs"/>
                <w:sz w:val="24"/>
                <w:szCs w:val="24"/>
                <w:rtl/>
              </w:rPr>
              <w:t>قمح</w:t>
            </w:r>
            <w:r>
              <w:rPr>
                <w:rFonts w:hint="cs"/>
                <w:sz w:val="24"/>
                <w:szCs w:val="24"/>
                <w:vertAlign w:val="superscript"/>
                <w:rtl/>
              </w:rPr>
              <w:t>(1)</w:t>
            </w:r>
          </w:p>
        </w:tc>
        <w:tc>
          <w:tcPr>
            <w:tcW w:w="949" w:type="dxa"/>
            <w:tcBorders>
              <w:top w:val="nil"/>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676 40</w:t>
            </w:r>
          </w:p>
        </w:tc>
        <w:tc>
          <w:tcPr>
            <w:tcW w:w="1391" w:type="dxa"/>
            <w:tcBorders>
              <w:top w:val="nil"/>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w:t>
            </w:r>
          </w:p>
        </w:tc>
        <w:tc>
          <w:tcPr>
            <w:tcW w:w="900" w:type="dxa"/>
            <w:tcBorders>
              <w:top w:val="nil"/>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w:t>
            </w:r>
          </w:p>
        </w:tc>
        <w:tc>
          <w:tcPr>
            <w:tcW w:w="720" w:type="dxa"/>
            <w:tcBorders>
              <w:top w:val="nil"/>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w:t>
            </w:r>
          </w:p>
        </w:tc>
        <w:tc>
          <w:tcPr>
            <w:tcW w:w="1080" w:type="dxa"/>
            <w:tcBorders>
              <w:top w:val="nil"/>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w:t>
            </w:r>
          </w:p>
        </w:tc>
        <w:tc>
          <w:tcPr>
            <w:tcW w:w="1440" w:type="dxa"/>
            <w:tcBorders>
              <w:top w:val="nil"/>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w:t>
            </w:r>
          </w:p>
        </w:tc>
        <w:tc>
          <w:tcPr>
            <w:tcW w:w="1188" w:type="dxa"/>
            <w:tcBorders>
              <w:top w:val="nil"/>
              <w:bottom w:val="nil"/>
            </w:tcBorders>
          </w:tcPr>
          <w:p w:rsidR="003865AC" w:rsidRDefault="003865AC">
            <w:pPr>
              <w:spacing w:before="120" w:after="0"/>
              <w:jc w:val="center"/>
              <w:rPr>
                <w:rFonts w:hint="cs"/>
                <w:sz w:val="24"/>
                <w:szCs w:val="24"/>
                <w:rtl/>
              </w:rPr>
            </w:pPr>
          </w:p>
          <w:p w:rsidR="003865AC" w:rsidRDefault="003865AC">
            <w:pPr>
              <w:spacing w:before="0" w:after="0"/>
              <w:jc w:val="center"/>
              <w:rPr>
                <w:rFonts w:hint="cs"/>
                <w:sz w:val="24"/>
                <w:szCs w:val="24"/>
                <w:rtl/>
              </w:rPr>
            </w:pPr>
            <w:r>
              <w:rPr>
                <w:rFonts w:hint="cs"/>
                <w:sz w:val="24"/>
                <w:szCs w:val="24"/>
                <w:rtl/>
              </w:rPr>
              <w:t>-</w:t>
            </w:r>
          </w:p>
        </w:tc>
      </w:tr>
      <w:tr w:rsidR="003865AC" w:rsidTr="003865AC">
        <w:tc>
          <w:tcPr>
            <w:tcW w:w="642" w:type="dxa"/>
            <w:tcBorders>
              <w:top w:val="nil"/>
              <w:bottom w:val="nil"/>
            </w:tcBorders>
          </w:tcPr>
          <w:p w:rsidR="003865AC" w:rsidRDefault="003865AC">
            <w:pPr>
              <w:spacing w:before="0" w:after="0"/>
              <w:jc w:val="both"/>
              <w:rPr>
                <w:rFonts w:hint="cs"/>
                <w:sz w:val="24"/>
                <w:szCs w:val="24"/>
                <w:rtl/>
              </w:rPr>
            </w:pPr>
            <w:r>
              <w:rPr>
                <w:rFonts w:hint="cs"/>
                <w:sz w:val="24"/>
                <w:szCs w:val="24"/>
                <w:rtl/>
              </w:rPr>
              <w:t>2</w:t>
            </w:r>
          </w:p>
        </w:tc>
        <w:tc>
          <w:tcPr>
            <w:tcW w:w="1260" w:type="dxa"/>
            <w:tcBorders>
              <w:top w:val="nil"/>
              <w:bottom w:val="nil"/>
            </w:tcBorders>
          </w:tcPr>
          <w:p w:rsidR="003865AC" w:rsidRDefault="003865AC">
            <w:pPr>
              <w:spacing w:before="0" w:after="0"/>
              <w:jc w:val="both"/>
              <w:rPr>
                <w:rFonts w:hint="cs"/>
                <w:sz w:val="24"/>
                <w:szCs w:val="24"/>
                <w:vertAlign w:val="superscript"/>
                <w:rtl/>
              </w:rPr>
            </w:pPr>
            <w:r>
              <w:rPr>
                <w:rFonts w:hint="cs"/>
                <w:sz w:val="24"/>
                <w:szCs w:val="24"/>
                <w:rtl/>
              </w:rPr>
              <w:t>لحوم معلبة</w:t>
            </w:r>
            <w:r>
              <w:rPr>
                <w:rFonts w:hint="cs"/>
                <w:sz w:val="24"/>
                <w:szCs w:val="24"/>
                <w:vertAlign w:val="superscript"/>
                <w:rtl/>
              </w:rPr>
              <w:t>(2)</w:t>
            </w:r>
          </w:p>
        </w:tc>
        <w:tc>
          <w:tcPr>
            <w:tcW w:w="949" w:type="dxa"/>
            <w:tcBorders>
              <w:top w:val="nil"/>
              <w:bottom w:val="nil"/>
            </w:tcBorders>
          </w:tcPr>
          <w:p w:rsidR="003865AC" w:rsidRDefault="003865AC">
            <w:pPr>
              <w:spacing w:before="0" w:after="0"/>
              <w:jc w:val="center"/>
              <w:rPr>
                <w:rFonts w:hint="cs"/>
                <w:sz w:val="24"/>
                <w:szCs w:val="24"/>
                <w:rtl/>
              </w:rPr>
            </w:pPr>
            <w:r>
              <w:rPr>
                <w:rFonts w:hint="cs"/>
                <w:sz w:val="24"/>
                <w:szCs w:val="24"/>
                <w:rtl/>
              </w:rPr>
              <w:t>587.6</w:t>
            </w:r>
          </w:p>
        </w:tc>
        <w:tc>
          <w:tcPr>
            <w:tcW w:w="1391" w:type="dxa"/>
            <w:tcBorders>
              <w:top w:val="nil"/>
              <w:bottom w:val="nil"/>
            </w:tcBorders>
          </w:tcPr>
          <w:p w:rsidR="003865AC" w:rsidRDefault="003865AC">
            <w:pPr>
              <w:spacing w:before="0" w:after="0"/>
              <w:jc w:val="center"/>
              <w:rPr>
                <w:rFonts w:hint="cs"/>
                <w:sz w:val="24"/>
                <w:szCs w:val="24"/>
                <w:rtl/>
              </w:rPr>
            </w:pPr>
            <w:r>
              <w:rPr>
                <w:rFonts w:hint="cs"/>
                <w:sz w:val="24"/>
                <w:szCs w:val="24"/>
                <w:rtl/>
              </w:rPr>
              <w:t>-</w:t>
            </w:r>
          </w:p>
        </w:tc>
        <w:tc>
          <w:tcPr>
            <w:tcW w:w="900" w:type="dxa"/>
            <w:tcBorders>
              <w:top w:val="nil"/>
              <w:bottom w:val="nil"/>
            </w:tcBorders>
          </w:tcPr>
          <w:p w:rsidR="003865AC" w:rsidRDefault="003865AC">
            <w:pPr>
              <w:spacing w:before="0" w:after="0"/>
              <w:jc w:val="center"/>
              <w:rPr>
                <w:rFonts w:hint="cs"/>
                <w:sz w:val="24"/>
                <w:szCs w:val="24"/>
                <w:rtl/>
              </w:rPr>
            </w:pPr>
            <w:r>
              <w:rPr>
                <w:rFonts w:hint="cs"/>
                <w:sz w:val="24"/>
                <w:szCs w:val="24"/>
                <w:rtl/>
              </w:rPr>
              <w:t>-</w:t>
            </w:r>
          </w:p>
        </w:tc>
        <w:tc>
          <w:tcPr>
            <w:tcW w:w="720" w:type="dxa"/>
            <w:tcBorders>
              <w:top w:val="nil"/>
              <w:bottom w:val="nil"/>
            </w:tcBorders>
          </w:tcPr>
          <w:p w:rsidR="003865AC" w:rsidRDefault="003865AC">
            <w:pPr>
              <w:spacing w:before="0" w:after="0"/>
              <w:jc w:val="center"/>
              <w:rPr>
                <w:rFonts w:hint="cs"/>
                <w:sz w:val="24"/>
                <w:szCs w:val="24"/>
                <w:rtl/>
              </w:rPr>
            </w:pPr>
            <w:r>
              <w:rPr>
                <w:rFonts w:hint="cs"/>
                <w:sz w:val="24"/>
                <w:szCs w:val="24"/>
                <w:rtl/>
              </w:rPr>
              <w:t>-</w:t>
            </w:r>
          </w:p>
        </w:tc>
        <w:tc>
          <w:tcPr>
            <w:tcW w:w="1080" w:type="dxa"/>
            <w:tcBorders>
              <w:top w:val="nil"/>
              <w:bottom w:val="nil"/>
            </w:tcBorders>
          </w:tcPr>
          <w:p w:rsidR="003865AC" w:rsidRDefault="003865AC">
            <w:pPr>
              <w:spacing w:before="0" w:after="0"/>
              <w:jc w:val="center"/>
              <w:rPr>
                <w:rFonts w:hint="cs"/>
                <w:sz w:val="24"/>
                <w:szCs w:val="24"/>
                <w:rtl/>
              </w:rPr>
            </w:pPr>
            <w:r>
              <w:rPr>
                <w:rFonts w:hint="cs"/>
                <w:sz w:val="24"/>
                <w:szCs w:val="24"/>
                <w:rtl/>
              </w:rPr>
              <w:t>-</w:t>
            </w:r>
          </w:p>
        </w:tc>
        <w:tc>
          <w:tcPr>
            <w:tcW w:w="1440" w:type="dxa"/>
            <w:tcBorders>
              <w:top w:val="nil"/>
              <w:bottom w:val="nil"/>
            </w:tcBorders>
          </w:tcPr>
          <w:p w:rsidR="003865AC" w:rsidRDefault="003865AC">
            <w:pPr>
              <w:spacing w:before="0" w:after="0"/>
              <w:jc w:val="center"/>
              <w:rPr>
                <w:rFonts w:hint="cs"/>
                <w:sz w:val="24"/>
                <w:szCs w:val="24"/>
                <w:rtl/>
              </w:rPr>
            </w:pPr>
            <w:r>
              <w:rPr>
                <w:rFonts w:hint="cs"/>
                <w:sz w:val="24"/>
                <w:szCs w:val="24"/>
                <w:rtl/>
              </w:rPr>
              <w:t>228</w:t>
            </w:r>
          </w:p>
        </w:tc>
        <w:tc>
          <w:tcPr>
            <w:tcW w:w="1188" w:type="dxa"/>
            <w:tcBorders>
              <w:top w:val="nil"/>
              <w:bottom w:val="nil"/>
            </w:tcBorders>
          </w:tcPr>
          <w:p w:rsidR="003865AC" w:rsidRDefault="003865AC">
            <w:pPr>
              <w:spacing w:before="0" w:after="0"/>
              <w:jc w:val="center"/>
              <w:rPr>
                <w:rFonts w:hint="cs"/>
                <w:sz w:val="24"/>
                <w:szCs w:val="24"/>
                <w:rtl/>
              </w:rPr>
            </w:pPr>
            <w:r>
              <w:rPr>
                <w:rFonts w:hint="cs"/>
                <w:sz w:val="24"/>
                <w:szCs w:val="24"/>
                <w:rtl/>
              </w:rPr>
              <w:t>-</w:t>
            </w:r>
          </w:p>
        </w:tc>
      </w:tr>
      <w:tr w:rsidR="003865AC" w:rsidTr="003865AC">
        <w:tc>
          <w:tcPr>
            <w:tcW w:w="642" w:type="dxa"/>
            <w:tcBorders>
              <w:top w:val="nil"/>
              <w:bottom w:val="nil"/>
            </w:tcBorders>
          </w:tcPr>
          <w:p w:rsidR="003865AC" w:rsidRDefault="003865AC">
            <w:pPr>
              <w:spacing w:before="0" w:after="0"/>
              <w:jc w:val="both"/>
              <w:rPr>
                <w:rFonts w:hint="cs"/>
                <w:sz w:val="24"/>
                <w:szCs w:val="24"/>
                <w:rtl/>
              </w:rPr>
            </w:pPr>
            <w:r>
              <w:rPr>
                <w:rFonts w:hint="cs"/>
                <w:sz w:val="24"/>
                <w:szCs w:val="24"/>
                <w:rtl/>
              </w:rPr>
              <w:t>3</w:t>
            </w:r>
          </w:p>
        </w:tc>
        <w:tc>
          <w:tcPr>
            <w:tcW w:w="1260" w:type="dxa"/>
            <w:tcBorders>
              <w:top w:val="nil"/>
              <w:bottom w:val="nil"/>
            </w:tcBorders>
          </w:tcPr>
          <w:p w:rsidR="003865AC" w:rsidRDefault="003865AC">
            <w:pPr>
              <w:spacing w:before="0" w:after="0"/>
              <w:jc w:val="both"/>
              <w:rPr>
                <w:rFonts w:hint="cs"/>
                <w:sz w:val="24"/>
                <w:szCs w:val="24"/>
                <w:vertAlign w:val="superscript"/>
                <w:rtl/>
              </w:rPr>
            </w:pPr>
            <w:r>
              <w:rPr>
                <w:rFonts w:hint="cs"/>
                <w:sz w:val="24"/>
                <w:szCs w:val="24"/>
                <w:rtl/>
              </w:rPr>
              <w:t>دقيق</w:t>
            </w:r>
            <w:r>
              <w:rPr>
                <w:rFonts w:hint="cs"/>
                <w:sz w:val="24"/>
                <w:szCs w:val="24"/>
                <w:vertAlign w:val="superscript"/>
                <w:rtl/>
              </w:rPr>
              <w:t>(3)</w:t>
            </w:r>
          </w:p>
        </w:tc>
        <w:tc>
          <w:tcPr>
            <w:tcW w:w="949" w:type="dxa"/>
            <w:tcBorders>
              <w:top w:val="nil"/>
              <w:bottom w:val="nil"/>
            </w:tcBorders>
          </w:tcPr>
          <w:p w:rsidR="003865AC" w:rsidRDefault="003865AC">
            <w:pPr>
              <w:spacing w:before="0" w:after="0"/>
              <w:jc w:val="center"/>
              <w:rPr>
                <w:rFonts w:hint="cs"/>
                <w:sz w:val="24"/>
                <w:szCs w:val="24"/>
                <w:rtl/>
              </w:rPr>
            </w:pPr>
            <w:r>
              <w:rPr>
                <w:rFonts w:hint="cs"/>
                <w:sz w:val="24"/>
                <w:szCs w:val="24"/>
                <w:rtl/>
              </w:rPr>
              <w:t>20</w:t>
            </w:r>
          </w:p>
        </w:tc>
        <w:tc>
          <w:tcPr>
            <w:tcW w:w="1391" w:type="dxa"/>
            <w:tcBorders>
              <w:top w:val="nil"/>
              <w:bottom w:val="nil"/>
            </w:tcBorders>
          </w:tcPr>
          <w:p w:rsidR="003865AC" w:rsidRDefault="003865AC">
            <w:pPr>
              <w:spacing w:before="0" w:after="0"/>
              <w:jc w:val="center"/>
              <w:rPr>
                <w:rFonts w:hint="cs"/>
                <w:sz w:val="24"/>
                <w:szCs w:val="24"/>
                <w:rtl/>
              </w:rPr>
            </w:pPr>
            <w:r>
              <w:rPr>
                <w:rFonts w:hint="cs"/>
                <w:sz w:val="24"/>
                <w:szCs w:val="24"/>
                <w:rtl/>
              </w:rPr>
              <w:t>-</w:t>
            </w:r>
          </w:p>
        </w:tc>
        <w:tc>
          <w:tcPr>
            <w:tcW w:w="900" w:type="dxa"/>
            <w:tcBorders>
              <w:top w:val="nil"/>
              <w:bottom w:val="nil"/>
            </w:tcBorders>
          </w:tcPr>
          <w:p w:rsidR="003865AC" w:rsidRDefault="003865AC">
            <w:pPr>
              <w:spacing w:before="0" w:after="0"/>
              <w:jc w:val="center"/>
              <w:rPr>
                <w:rFonts w:hint="cs"/>
                <w:sz w:val="24"/>
                <w:szCs w:val="24"/>
                <w:rtl/>
              </w:rPr>
            </w:pPr>
            <w:r>
              <w:rPr>
                <w:rFonts w:hint="cs"/>
                <w:sz w:val="24"/>
                <w:szCs w:val="24"/>
                <w:rtl/>
              </w:rPr>
              <w:t>-</w:t>
            </w:r>
          </w:p>
        </w:tc>
        <w:tc>
          <w:tcPr>
            <w:tcW w:w="720" w:type="dxa"/>
            <w:tcBorders>
              <w:top w:val="nil"/>
              <w:bottom w:val="nil"/>
            </w:tcBorders>
          </w:tcPr>
          <w:p w:rsidR="003865AC" w:rsidRDefault="003865AC">
            <w:pPr>
              <w:spacing w:before="0" w:after="0"/>
              <w:jc w:val="center"/>
              <w:rPr>
                <w:rFonts w:hint="cs"/>
                <w:sz w:val="24"/>
                <w:szCs w:val="24"/>
                <w:rtl/>
              </w:rPr>
            </w:pPr>
            <w:r>
              <w:rPr>
                <w:rFonts w:hint="cs"/>
                <w:sz w:val="24"/>
                <w:szCs w:val="24"/>
                <w:rtl/>
              </w:rPr>
              <w:t>-</w:t>
            </w:r>
          </w:p>
        </w:tc>
        <w:tc>
          <w:tcPr>
            <w:tcW w:w="1080" w:type="dxa"/>
            <w:tcBorders>
              <w:top w:val="nil"/>
              <w:bottom w:val="nil"/>
            </w:tcBorders>
          </w:tcPr>
          <w:p w:rsidR="003865AC" w:rsidRDefault="003865AC">
            <w:pPr>
              <w:spacing w:before="0" w:after="0"/>
              <w:jc w:val="center"/>
              <w:rPr>
                <w:rFonts w:hint="cs"/>
                <w:sz w:val="24"/>
                <w:szCs w:val="24"/>
                <w:rtl/>
              </w:rPr>
            </w:pPr>
            <w:r>
              <w:rPr>
                <w:rFonts w:hint="cs"/>
                <w:sz w:val="24"/>
                <w:szCs w:val="24"/>
                <w:rtl/>
              </w:rPr>
              <w:t>-</w:t>
            </w:r>
          </w:p>
        </w:tc>
        <w:tc>
          <w:tcPr>
            <w:tcW w:w="1440" w:type="dxa"/>
            <w:tcBorders>
              <w:top w:val="nil"/>
              <w:bottom w:val="nil"/>
            </w:tcBorders>
          </w:tcPr>
          <w:p w:rsidR="003865AC" w:rsidRDefault="003865AC">
            <w:pPr>
              <w:spacing w:before="0" w:after="0"/>
              <w:jc w:val="center"/>
              <w:rPr>
                <w:rFonts w:hint="cs"/>
                <w:sz w:val="24"/>
                <w:szCs w:val="24"/>
                <w:rtl/>
              </w:rPr>
            </w:pPr>
            <w:r>
              <w:rPr>
                <w:rFonts w:hint="cs"/>
                <w:sz w:val="24"/>
                <w:szCs w:val="24"/>
                <w:rtl/>
              </w:rPr>
              <w:t>-</w:t>
            </w:r>
          </w:p>
        </w:tc>
        <w:tc>
          <w:tcPr>
            <w:tcW w:w="1188" w:type="dxa"/>
            <w:tcBorders>
              <w:top w:val="nil"/>
              <w:bottom w:val="nil"/>
            </w:tcBorders>
          </w:tcPr>
          <w:p w:rsidR="003865AC" w:rsidRDefault="003865AC">
            <w:pPr>
              <w:spacing w:before="0" w:after="0"/>
              <w:jc w:val="center"/>
              <w:rPr>
                <w:rFonts w:hint="cs"/>
                <w:sz w:val="24"/>
                <w:szCs w:val="24"/>
                <w:rtl/>
              </w:rPr>
            </w:pPr>
            <w:r>
              <w:rPr>
                <w:rFonts w:hint="cs"/>
                <w:sz w:val="24"/>
                <w:szCs w:val="24"/>
                <w:rtl/>
              </w:rPr>
              <w:t>-</w:t>
            </w:r>
          </w:p>
        </w:tc>
      </w:tr>
      <w:tr w:rsidR="003865AC" w:rsidTr="003865AC">
        <w:tc>
          <w:tcPr>
            <w:tcW w:w="642" w:type="dxa"/>
            <w:tcBorders>
              <w:top w:val="nil"/>
              <w:bottom w:val="nil"/>
            </w:tcBorders>
          </w:tcPr>
          <w:p w:rsidR="003865AC" w:rsidRDefault="003865AC">
            <w:pPr>
              <w:spacing w:before="0" w:after="0"/>
              <w:jc w:val="both"/>
              <w:rPr>
                <w:rFonts w:hint="cs"/>
                <w:sz w:val="24"/>
                <w:szCs w:val="24"/>
                <w:rtl/>
              </w:rPr>
            </w:pPr>
            <w:r>
              <w:rPr>
                <w:rFonts w:hint="cs"/>
                <w:sz w:val="24"/>
                <w:szCs w:val="24"/>
                <w:rtl/>
              </w:rPr>
              <w:t>4</w:t>
            </w:r>
          </w:p>
        </w:tc>
        <w:tc>
          <w:tcPr>
            <w:tcW w:w="1260" w:type="dxa"/>
            <w:tcBorders>
              <w:top w:val="nil"/>
              <w:bottom w:val="nil"/>
            </w:tcBorders>
          </w:tcPr>
          <w:p w:rsidR="003865AC" w:rsidRDefault="003865AC">
            <w:pPr>
              <w:spacing w:before="0" w:after="0"/>
              <w:jc w:val="both"/>
              <w:rPr>
                <w:rFonts w:hint="cs"/>
                <w:sz w:val="24"/>
                <w:szCs w:val="24"/>
                <w:vertAlign w:val="superscript"/>
                <w:rtl/>
              </w:rPr>
            </w:pPr>
            <w:r>
              <w:rPr>
                <w:rFonts w:hint="cs"/>
                <w:sz w:val="24"/>
                <w:szCs w:val="24"/>
                <w:rtl/>
              </w:rPr>
              <w:t>زيوت نباتية</w:t>
            </w:r>
            <w:r>
              <w:rPr>
                <w:rFonts w:hint="cs"/>
                <w:sz w:val="24"/>
                <w:szCs w:val="24"/>
                <w:vertAlign w:val="superscript"/>
                <w:rtl/>
              </w:rPr>
              <w:t>(3)</w:t>
            </w:r>
          </w:p>
        </w:tc>
        <w:tc>
          <w:tcPr>
            <w:tcW w:w="949" w:type="dxa"/>
            <w:tcBorders>
              <w:top w:val="nil"/>
              <w:bottom w:val="nil"/>
            </w:tcBorders>
          </w:tcPr>
          <w:p w:rsidR="003865AC" w:rsidRDefault="003865AC">
            <w:pPr>
              <w:spacing w:before="0" w:after="0"/>
              <w:jc w:val="center"/>
              <w:rPr>
                <w:rFonts w:hint="cs"/>
                <w:sz w:val="24"/>
                <w:szCs w:val="24"/>
                <w:rtl/>
              </w:rPr>
            </w:pPr>
            <w:r>
              <w:rPr>
                <w:rFonts w:hint="cs"/>
                <w:sz w:val="24"/>
                <w:szCs w:val="24"/>
                <w:rtl/>
              </w:rPr>
              <w:t>10</w:t>
            </w:r>
          </w:p>
        </w:tc>
        <w:tc>
          <w:tcPr>
            <w:tcW w:w="1391" w:type="dxa"/>
            <w:tcBorders>
              <w:top w:val="nil"/>
              <w:bottom w:val="nil"/>
            </w:tcBorders>
          </w:tcPr>
          <w:p w:rsidR="003865AC" w:rsidRDefault="003865AC">
            <w:pPr>
              <w:spacing w:before="0" w:after="0"/>
              <w:jc w:val="center"/>
              <w:rPr>
                <w:rFonts w:hint="cs"/>
                <w:sz w:val="24"/>
                <w:szCs w:val="24"/>
                <w:rtl/>
              </w:rPr>
            </w:pPr>
            <w:r>
              <w:rPr>
                <w:rFonts w:hint="cs"/>
                <w:sz w:val="24"/>
                <w:szCs w:val="24"/>
                <w:rtl/>
              </w:rPr>
              <w:t>-</w:t>
            </w:r>
          </w:p>
        </w:tc>
        <w:tc>
          <w:tcPr>
            <w:tcW w:w="900" w:type="dxa"/>
            <w:tcBorders>
              <w:top w:val="nil"/>
              <w:bottom w:val="nil"/>
            </w:tcBorders>
          </w:tcPr>
          <w:p w:rsidR="003865AC" w:rsidRDefault="003865AC">
            <w:pPr>
              <w:spacing w:before="0" w:after="0"/>
              <w:jc w:val="center"/>
              <w:rPr>
                <w:rFonts w:hint="cs"/>
                <w:sz w:val="24"/>
                <w:szCs w:val="24"/>
                <w:rtl/>
              </w:rPr>
            </w:pPr>
            <w:r>
              <w:rPr>
                <w:rFonts w:hint="cs"/>
                <w:sz w:val="24"/>
                <w:szCs w:val="24"/>
                <w:rtl/>
              </w:rPr>
              <w:t>-</w:t>
            </w:r>
          </w:p>
        </w:tc>
        <w:tc>
          <w:tcPr>
            <w:tcW w:w="720" w:type="dxa"/>
            <w:tcBorders>
              <w:top w:val="nil"/>
              <w:bottom w:val="nil"/>
            </w:tcBorders>
          </w:tcPr>
          <w:p w:rsidR="003865AC" w:rsidRDefault="003865AC">
            <w:pPr>
              <w:spacing w:before="0" w:after="0"/>
              <w:jc w:val="center"/>
              <w:rPr>
                <w:rFonts w:hint="cs"/>
                <w:sz w:val="24"/>
                <w:szCs w:val="24"/>
                <w:rtl/>
              </w:rPr>
            </w:pPr>
            <w:r>
              <w:rPr>
                <w:rFonts w:hint="cs"/>
                <w:sz w:val="24"/>
                <w:szCs w:val="24"/>
                <w:rtl/>
              </w:rPr>
              <w:t>-</w:t>
            </w:r>
          </w:p>
        </w:tc>
        <w:tc>
          <w:tcPr>
            <w:tcW w:w="1080" w:type="dxa"/>
            <w:tcBorders>
              <w:top w:val="nil"/>
              <w:bottom w:val="nil"/>
            </w:tcBorders>
          </w:tcPr>
          <w:p w:rsidR="003865AC" w:rsidRDefault="003865AC">
            <w:pPr>
              <w:spacing w:before="0" w:after="0"/>
              <w:jc w:val="center"/>
              <w:rPr>
                <w:rFonts w:hint="cs"/>
                <w:sz w:val="24"/>
                <w:szCs w:val="24"/>
                <w:rtl/>
              </w:rPr>
            </w:pPr>
            <w:r>
              <w:rPr>
                <w:rFonts w:hint="cs"/>
                <w:sz w:val="24"/>
                <w:szCs w:val="24"/>
                <w:rtl/>
              </w:rPr>
              <w:t>-</w:t>
            </w:r>
          </w:p>
        </w:tc>
        <w:tc>
          <w:tcPr>
            <w:tcW w:w="1440" w:type="dxa"/>
            <w:tcBorders>
              <w:top w:val="nil"/>
              <w:bottom w:val="nil"/>
            </w:tcBorders>
          </w:tcPr>
          <w:p w:rsidR="003865AC" w:rsidRDefault="003865AC">
            <w:pPr>
              <w:spacing w:before="0" w:after="0"/>
              <w:jc w:val="center"/>
              <w:rPr>
                <w:rFonts w:hint="cs"/>
                <w:sz w:val="24"/>
                <w:szCs w:val="24"/>
                <w:rtl/>
              </w:rPr>
            </w:pPr>
            <w:r>
              <w:rPr>
                <w:rFonts w:hint="cs"/>
                <w:sz w:val="24"/>
                <w:szCs w:val="24"/>
                <w:rtl/>
              </w:rPr>
              <w:t>-</w:t>
            </w:r>
          </w:p>
        </w:tc>
        <w:tc>
          <w:tcPr>
            <w:tcW w:w="1188" w:type="dxa"/>
            <w:tcBorders>
              <w:top w:val="nil"/>
              <w:bottom w:val="nil"/>
            </w:tcBorders>
          </w:tcPr>
          <w:p w:rsidR="003865AC" w:rsidRDefault="003865AC">
            <w:pPr>
              <w:spacing w:before="0" w:after="0"/>
              <w:jc w:val="center"/>
              <w:rPr>
                <w:rFonts w:hint="cs"/>
                <w:sz w:val="24"/>
                <w:szCs w:val="24"/>
                <w:rtl/>
              </w:rPr>
            </w:pPr>
            <w:r>
              <w:rPr>
                <w:rFonts w:hint="cs"/>
                <w:sz w:val="24"/>
                <w:szCs w:val="24"/>
                <w:rtl/>
              </w:rPr>
              <w:t>-</w:t>
            </w:r>
          </w:p>
        </w:tc>
      </w:tr>
      <w:tr w:rsidR="003865AC" w:rsidTr="003865AC">
        <w:tc>
          <w:tcPr>
            <w:tcW w:w="642" w:type="dxa"/>
            <w:tcBorders>
              <w:top w:val="nil"/>
            </w:tcBorders>
          </w:tcPr>
          <w:p w:rsidR="003865AC" w:rsidRDefault="003865AC">
            <w:pPr>
              <w:jc w:val="both"/>
              <w:rPr>
                <w:rFonts w:hint="cs"/>
                <w:sz w:val="24"/>
                <w:szCs w:val="24"/>
                <w:rtl/>
              </w:rPr>
            </w:pPr>
            <w:r>
              <w:rPr>
                <w:rFonts w:hint="cs"/>
                <w:sz w:val="24"/>
                <w:szCs w:val="24"/>
                <w:rtl/>
              </w:rPr>
              <w:t>5</w:t>
            </w:r>
          </w:p>
        </w:tc>
        <w:tc>
          <w:tcPr>
            <w:tcW w:w="1260" w:type="dxa"/>
            <w:tcBorders>
              <w:top w:val="nil"/>
            </w:tcBorders>
          </w:tcPr>
          <w:p w:rsidR="003865AC" w:rsidRDefault="003865AC">
            <w:pPr>
              <w:jc w:val="both"/>
              <w:rPr>
                <w:rFonts w:hint="cs"/>
                <w:sz w:val="24"/>
                <w:szCs w:val="24"/>
                <w:vertAlign w:val="superscript"/>
                <w:rtl/>
              </w:rPr>
            </w:pPr>
            <w:r>
              <w:rPr>
                <w:rFonts w:hint="cs"/>
                <w:sz w:val="24"/>
                <w:szCs w:val="24"/>
                <w:rtl/>
              </w:rPr>
              <w:t>فاصوليا</w:t>
            </w:r>
            <w:r>
              <w:rPr>
                <w:rFonts w:hint="cs"/>
                <w:sz w:val="24"/>
                <w:szCs w:val="24"/>
                <w:vertAlign w:val="superscript"/>
                <w:rtl/>
              </w:rPr>
              <w:t>(3)</w:t>
            </w:r>
          </w:p>
        </w:tc>
        <w:tc>
          <w:tcPr>
            <w:tcW w:w="949" w:type="dxa"/>
            <w:tcBorders>
              <w:top w:val="nil"/>
            </w:tcBorders>
          </w:tcPr>
          <w:p w:rsidR="003865AC" w:rsidRDefault="003865AC">
            <w:pPr>
              <w:jc w:val="center"/>
              <w:rPr>
                <w:rFonts w:hint="cs"/>
                <w:sz w:val="24"/>
                <w:szCs w:val="24"/>
                <w:rtl/>
              </w:rPr>
            </w:pPr>
            <w:r>
              <w:rPr>
                <w:rFonts w:hint="cs"/>
                <w:sz w:val="24"/>
                <w:szCs w:val="24"/>
                <w:rtl/>
              </w:rPr>
              <w:t>10</w:t>
            </w:r>
          </w:p>
        </w:tc>
        <w:tc>
          <w:tcPr>
            <w:tcW w:w="1391" w:type="dxa"/>
            <w:tcBorders>
              <w:top w:val="nil"/>
            </w:tcBorders>
          </w:tcPr>
          <w:p w:rsidR="003865AC" w:rsidRDefault="003865AC">
            <w:pPr>
              <w:jc w:val="center"/>
              <w:rPr>
                <w:rFonts w:hint="cs"/>
                <w:sz w:val="24"/>
                <w:szCs w:val="24"/>
                <w:rtl/>
              </w:rPr>
            </w:pPr>
            <w:r>
              <w:rPr>
                <w:rFonts w:hint="cs"/>
                <w:sz w:val="24"/>
                <w:szCs w:val="24"/>
                <w:rtl/>
              </w:rPr>
              <w:t>-</w:t>
            </w:r>
          </w:p>
        </w:tc>
        <w:tc>
          <w:tcPr>
            <w:tcW w:w="900" w:type="dxa"/>
            <w:tcBorders>
              <w:top w:val="nil"/>
            </w:tcBorders>
          </w:tcPr>
          <w:p w:rsidR="003865AC" w:rsidRDefault="003865AC">
            <w:pPr>
              <w:jc w:val="center"/>
              <w:rPr>
                <w:rFonts w:hint="cs"/>
                <w:sz w:val="24"/>
                <w:szCs w:val="24"/>
                <w:rtl/>
              </w:rPr>
            </w:pPr>
            <w:r>
              <w:rPr>
                <w:rFonts w:hint="cs"/>
                <w:sz w:val="24"/>
                <w:szCs w:val="24"/>
                <w:rtl/>
              </w:rPr>
              <w:t>-</w:t>
            </w:r>
          </w:p>
        </w:tc>
        <w:tc>
          <w:tcPr>
            <w:tcW w:w="720" w:type="dxa"/>
            <w:tcBorders>
              <w:top w:val="nil"/>
            </w:tcBorders>
          </w:tcPr>
          <w:p w:rsidR="003865AC" w:rsidRDefault="003865AC">
            <w:pPr>
              <w:jc w:val="center"/>
              <w:rPr>
                <w:rFonts w:hint="cs"/>
                <w:sz w:val="24"/>
                <w:szCs w:val="24"/>
                <w:rtl/>
              </w:rPr>
            </w:pPr>
            <w:r>
              <w:rPr>
                <w:rFonts w:hint="cs"/>
                <w:sz w:val="24"/>
                <w:szCs w:val="24"/>
                <w:rtl/>
              </w:rPr>
              <w:t>-</w:t>
            </w:r>
          </w:p>
        </w:tc>
        <w:tc>
          <w:tcPr>
            <w:tcW w:w="1080" w:type="dxa"/>
            <w:tcBorders>
              <w:top w:val="nil"/>
            </w:tcBorders>
          </w:tcPr>
          <w:p w:rsidR="003865AC" w:rsidRDefault="003865AC">
            <w:pPr>
              <w:jc w:val="center"/>
              <w:rPr>
                <w:rFonts w:hint="cs"/>
                <w:sz w:val="24"/>
                <w:szCs w:val="24"/>
                <w:rtl/>
              </w:rPr>
            </w:pPr>
            <w:r>
              <w:rPr>
                <w:rFonts w:hint="cs"/>
                <w:sz w:val="24"/>
                <w:szCs w:val="24"/>
                <w:rtl/>
              </w:rPr>
              <w:t>-</w:t>
            </w:r>
          </w:p>
        </w:tc>
        <w:tc>
          <w:tcPr>
            <w:tcW w:w="1440" w:type="dxa"/>
            <w:tcBorders>
              <w:top w:val="nil"/>
            </w:tcBorders>
          </w:tcPr>
          <w:p w:rsidR="003865AC" w:rsidRDefault="003865AC">
            <w:pPr>
              <w:jc w:val="center"/>
              <w:rPr>
                <w:rFonts w:hint="cs"/>
                <w:sz w:val="24"/>
                <w:szCs w:val="24"/>
                <w:rtl/>
              </w:rPr>
            </w:pPr>
            <w:r>
              <w:rPr>
                <w:rFonts w:hint="cs"/>
                <w:sz w:val="24"/>
                <w:szCs w:val="24"/>
                <w:rtl/>
              </w:rPr>
              <w:t>-</w:t>
            </w:r>
          </w:p>
        </w:tc>
        <w:tc>
          <w:tcPr>
            <w:tcW w:w="1188" w:type="dxa"/>
            <w:tcBorders>
              <w:top w:val="nil"/>
            </w:tcBorders>
          </w:tcPr>
          <w:p w:rsidR="003865AC" w:rsidRDefault="003865AC">
            <w:pPr>
              <w:jc w:val="center"/>
              <w:rPr>
                <w:rFonts w:hint="cs"/>
                <w:sz w:val="24"/>
                <w:szCs w:val="24"/>
                <w:rtl/>
              </w:rPr>
            </w:pPr>
            <w:r>
              <w:rPr>
                <w:rFonts w:hint="cs"/>
                <w:sz w:val="24"/>
                <w:szCs w:val="24"/>
                <w:rtl/>
              </w:rPr>
              <w:t>-</w:t>
            </w:r>
          </w:p>
        </w:tc>
      </w:tr>
    </w:tbl>
    <w:p w:rsidR="00000000" w:rsidRDefault="003865AC">
      <w:pPr>
        <w:jc w:val="both"/>
        <w:rPr>
          <w:rFonts w:hint="cs"/>
          <w:sz w:val="30"/>
          <w:rtl/>
        </w:rPr>
      </w:pPr>
      <w:r>
        <w:rPr>
          <w:rFonts w:hint="cs"/>
          <w:sz w:val="30"/>
          <w:rtl/>
        </w:rPr>
        <w:tab/>
        <w:t>(1)</w:t>
      </w:r>
      <w:r>
        <w:rPr>
          <w:rFonts w:hint="cs"/>
          <w:sz w:val="30"/>
          <w:rtl/>
        </w:rPr>
        <w:tab/>
        <w:t>قدمت منظمة الأمم المتحدة للأغذية والزراعة (الفاو) 676 5 طناً من البذور الزراعية إلى السكان المتضررين من الجفاف.</w:t>
      </w:r>
    </w:p>
    <w:p w:rsidR="00000000" w:rsidRDefault="003865AC">
      <w:pPr>
        <w:jc w:val="both"/>
        <w:rPr>
          <w:rFonts w:hint="cs"/>
          <w:rtl/>
        </w:rPr>
      </w:pPr>
      <w:r>
        <w:rPr>
          <w:rFonts w:hint="cs"/>
          <w:rtl/>
        </w:rPr>
        <w:tab/>
        <w:t>(2)</w:t>
      </w:r>
      <w:r>
        <w:rPr>
          <w:rFonts w:hint="cs"/>
          <w:rtl/>
        </w:rPr>
        <w:tab/>
        <w:t>216.8 طناً أمر الرئيس ببيعها لدفع اشتراكات العضوية في منظمة الفاو وتغطية التكاليف العامة لمكتب الوفد الجورجي في</w:t>
      </w:r>
      <w:r>
        <w:rPr>
          <w:rFonts w:hint="cs"/>
          <w:rtl/>
        </w:rPr>
        <w:t xml:space="preserve"> مقر هذه المنظمة، إلخ.</w:t>
      </w:r>
    </w:p>
    <w:p w:rsidR="00000000" w:rsidRDefault="003865AC">
      <w:pPr>
        <w:jc w:val="both"/>
        <w:rPr>
          <w:rFonts w:hint="cs"/>
          <w:rtl/>
        </w:rPr>
      </w:pPr>
      <w:r>
        <w:rPr>
          <w:rFonts w:hint="cs"/>
          <w:rtl/>
        </w:rPr>
        <w:tab/>
        <w:t>(3)</w:t>
      </w:r>
      <w:r>
        <w:rPr>
          <w:rFonts w:hint="cs"/>
          <w:rtl/>
        </w:rPr>
        <w:tab/>
        <w:t>مساعدة إنسانية قدمتها جمعية الهلال الأحمر التركية ووُزِّعت بأمر من الرئيس.</w:t>
      </w:r>
    </w:p>
    <w:p w:rsidR="00000000" w:rsidRDefault="003865AC">
      <w:pPr>
        <w:jc w:val="both"/>
        <w:rPr>
          <w:rFonts w:hint="cs"/>
          <w:i/>
          <w:iCs/>
          <w:rtl/>
        </w:rPr>
      </w:pPr>
      <w:r>
        <w:rPr>
          <w:rtl/>
        </w:rPr>
        <w:br w:type="page"/>
      </w:r>
      <w:r>
        <w:rPr>
          <w:rFonts w:hint="cs"/>
          <w:i/>
          <w:iCs/>
          <w:rtl/>
        </w:rPr>
        <w:t>تدابير تنفيذ الإصلاح الزراعي</w:t>
      </w:r>
    </w:p>
    <w:p w:rsidR="00000000" w:rsidRDefault="003865AC">
      <w:pPr>
        <w:jc w:val="both"/>
        <w:rPr>
          <w:rFonts w:hint="cs"/>
          <w:rtl/>
        </w:rPr>
      </w:pPr>
      <w:r>
        <w:rPr>
          <w:rFonts w:hint="cs"/>
          <w:rtl/>
        </w:rPr>
        <w:t>163-</w:t>
      </w:r>
      <w:r>
        <w:rPr>
          <w:rFonts w:hint="cs"/>
          <w:rtl/>
        </w:rPr>
        <w:tab/>
        <w:t>ترد تفاصيل الإصلاح الزراعي في جورجيا في الردود الخطية على قائمة المسائل التي أعدتها لجنة الحقوق الاقتصادية والاجتماعية</w:t>
      </w:r>
      <w:r>
        <w:rPr>
          <w:rFonts w:hint="cs"/>
          <w:rtl/>
        </w:rPr>
        <w:t xml:space="preserve"> والثقافية فيما يتصل بنظرها في التقرير الأول لجورجيا (</w:t>
      </w:r>
      <w:r>
        <w:t>HR/CESCR/None/1999/15</w:t>
      </w:r>
      <w:r>
        <w:rPr>
          <w:rFonts w:hint="cs"/>
          <w:rtl/>
        </w:rPr>
        <w:t>)، وخاصة الرد على السؤال 15.</w:t>
      </w:r>
    </w:p>
    <w:p w:rsidR="00000000" w:rsidRDefault="003865AC">
      <w:pPr>
        <w:jc w:val="both"/>
        <w:rPr>
          <w:rFonts w:hint="cs"/>
          <w:rtl/>
        </w:rPr>
      </w:pPr>
      <w:r>
        <w:rPr>
          <w:rFonts w:hint="cs"/>
          <w:rtl/>
        </w:rPr>
        <w:t>164-</w:t>
      </w:r>
      <w:r>
        <w:rPr>
          <w:rFonts w:hint="cs"/>
          <w:rtl/>
        </w:rPr>
        <w:tab/>
        <w:t xml:space="preserve">وإضافة إلى هذا، وطبقا لأحدث البيانات المتوفرة، حازت 600 039 1 أسرة على ملكية 000 930 هكتار من الأراضي الزراعية، أي بمتوسط قدره 0.9 هكتار لكل أسرة. </w:t>
      </w:r>
      <w:r>
        <w:rPr>
          <w:rFonts w:hint="cs"/>
          <w:rtl/>
        </w:rPr>
        <w:t xml:space="preserve">وتوضح آخر الإحصاءات أن 500 957 هكتار من الأراضي التي تملكها الدولة قد أصبحت مؤجَّرة. وأن ما مجموعه 000 36 من الأشخاص الطبيعيين </w:t>
      </w:r>
      <w:r>
        <w:rPr>
          <w:rtl/>
        </w:rPr>
        <w:br/>
      </w:r>
      <w:r>
        <w:rPr>
          <w:rFonts w:hint="cs"/>
          <w:rtl/>
        </w:rPr>
        <w:t>و300 6 شخص من الأشخاص الاعتباريين قد أضحوا من المستأجِرين. فكل شخص طبيعي استأجر ما متوسطه 9.3 هكتار من الأراضي بينما استأجر كل ش</w:t>
      </w:r>
      <w:r>
        <w:rPr>
          <w:rFonts w:hint="cs"/>
          <w:rtl/>
        </w:rPr>
        <w:t xml:space="preserve">خص اعتباري 97.8 هكتار. وقد أصبح ما مجموعه 600 719 1 هكتار من الأراضي الزراعية (57 في المائة من المجموع) مسجلاً كملكية خاصة أو كأراضي مؤجَّرة. ويشمل هذا 300 704 هكتار من الأراضي الصالحة للزراعة (89.1 في المائة من مجموع الأراضي من هذه الفئة)، و100 215 هكتار </w:t>
      </w:r>
      <w:r>
        <w:rPr>
          <w:rFonts w:hint="cs"/>
          <w:rtl/>
        </w:rPr>
        <w:t>من المزراع الدائمة (79.6 في المائة)، و600 100 هكتار من المروج (79.6 في المائة)، و200 680 هكتار من المراعي (37.9 في المائة). وترى وزارة الزراعة والإنتاج الغذائي أن الإمدادات الغذائية العامة قد تحسنت بشكل ملحوظ كنتيجة لهذه التدابير.</w:t>
      </w:r>
    </w:p>
    <w:p w:rsidR="00000000" w:rsidRDefault="003865AC">
      <w:pPr>
        <w:jc w:val="left"/>
        <w:rPr>
          <w:rFonts w:hint="cs"/>
          <w:i/>
          <w:iCs/>
          <w:rtl/>
        </w:rPr>
      </w:pPr>
      <w:r>
        <w:rPr>
          <w:rFonts w:hint="cs"/>
          <w:i/>
          <w:iCs/>
          <w:rtl/>
        </w:rPr>
        <w:t>الحق في السكن اللائق</w:t>
      </w:r>
    </w:p>
    <w:p w:rsidR="00000000" w:rsidRDefault="003865AC">
      <w:pPr>
        <w:jc w:val="both"/>
        <w:rPr>
          <w:rFonts w:hint="cs"/>
          <w:rtl/>
        </w:rPr>
      </w:pPr>
      <w:r>
        <w:rPr>
          <w:rFonts w:hint="cs"/>
          <w:rtl/>
        </w:rPr>
        <w:t>165-</w:t>
      </w:r>
      <w:r>
        <w:rPr>
          <w:rFonts w:hint="cs"/>
          <w:rtl/>
        </w:rPr>
        <w:tab/>
        <w:t xml:space="preserve">للاطلاع على تعريف "السكن"، انظر الفقرة 419 من التقرير الدوري الثاني لجورجيا المقدم في إطار العهد الدولي الخاص بالحقوق المدنية والسياسية. </w:t>
      </w:r>
    </w:p>
    <w:p w:rsidR="00000000" w:rsidRDefault="003865AC">
      <w:pPr>
        <w:jc w:val="both"/>
        <w:rPr>
          <w:rFonts w:hint="cs"/>
          <w:rtl/>
        </w:rPr>
      </w:pPr>
      <w:r>
        <w:rPr>
          <w:rFonts w:hint="cs"/>
          <w:rtl/>
        </w:rPr>
        <w:t>166-</w:t>
      </w:r>
      <w:r>
        <w:rPr>
          <w:rFonts w:hint="cs"/>
          <w:rtl/>
        </w:rPr>
        <w:tab/>
        <w:t xml:space="preserve">وللاطلاع على الضمانات التشريعية بشأن الحق في السكن، انظر الفقرات 221-230 من التقرير الأولي المقدم في إطار </w:t>
      </w:r>
      <w:r>
        <w:rPr>
          <w:rtl/>
        </w:rPr>
        <w:t>الاتفا</w:t>
      </w:r>
      <w:r>
        <w:rPr>
          <w:rtl/>
        </w:rPr>
        <w:t>قية الدولية للقضاء على جميع أشكال التمييز العنصري</w:t>
      </w:r>
      <w:r>
        <w:rPr>
          <w:rFonts w:hint="cs"/>
          <w:rtl/>
        </w:rPr>
        <w:t>. ويتضمن التقرير أيضاً بيانات إحصائية (الفقرة 231) وتقييماً موجزاً للوضع الحالي للسكن في جورجيا (الفقرة 232).</w:t>
      </w:r>
    </w:p>
    <w:p w:rsidR="00000000" w:rsidRDefault="003865AC">
      <w:pPr>
        <w:jc w:val="both"/>
        <w:rPr>
          <w:rFonts w:hint="cs"/>
          <w:rtl/>
        </w:rPr>
      </w:pPr>
      <w:r>
        <w:rPr>
          <w:rFonts w:hint="cs"/>
          <w:rtl/>
        </w:rPr>
        <w:t>167-</w:t>
      </w:r>
      <w:r>
        <w:rPr>
          <w:rFonts w:hint="cs"/>
          <w:rtl/>
        </w:rPr>
        <w:tab/>
        <w:t>وقدمت وزارة التخطيط البلدي والبناء ووزارة العدل معلومات ذات الصلة بالحق في السكن اللائق، وهي</w:t>
      </w:r>
      <w:r>
        <w:rPr>
          <w:rFonts w:hint="cs"/>
          <w:rtl/>
        </w:rPr>
        <w:t xml:space="preserve"> معروضة أدناه.</w:t>
      </w:r>
    </w:p>
    <w:p w:rsidR="00000000" w:rsidRDefault="003865AC">
      <w:pPr>
        <w:jc w:val="both"/>
        <w:rPr>
          <w:rFonts w:hint="cs"/>
          <w:rtl/>
        </w:rPr>
      </w:pPr>
      <w:r>
        <w:rPr>
          <w:rFonts w:hint="cs"/>
          <w:rtl/>
        </w:rPr>
        <w:t>168-</w:t>
      </w:r>
      <w:r>
        <w:rPr>
          <w:rFonts w:hint="cs"/>
          <w:rtl/>
        </w:rPr>
        <w:tab/>
        <w:t>وتشير الإحصاءات الحالية إلى أن المساحة الإجمالية للمساكن المتوفرة في جورجيا تبلغ 101.5 مليون م</w:t>
      </w:r>
      <w:r>
        <w:rPr>
          <w:rFonts w:hint="cs"/>
          <w:vertAlign w:val="superscript"/>
          <w:rtl/>
        </w:rPr>
        <w:t>2</w:t>
      </w:r>
      <w:r>
        <w:rPr>
          <w:rFonts w:hint="cs"/>
          <w:rtl/>
        </w:rPr>
        <w:t xml:space="preserve"> منها:</w:t>
      </w:r>
    </w:p>
    <w:p w:rsidR="00000000" w:rsidRDefault="003865AC">
      <w:pPr>
        <w:ind w:left="1434" w:hanging="720"/>
        <w:jc w:val="both"/>
        <w:rPr>
          <w:rFonts w:hint="cs"/>
          <w:rtl/>
        </w:rPr>
      </w:pPr>
      <w:r>
        <w:rPr>
          <w:rFonts w:hint="cs"/>
          <w:rtl/>
        </w:rPr>
        <w:t>•</w:t>
      </w:r>
      <w:r>
        <w:rPr>
          <w:rFonts w:hint="cs"/>
          <w:rtl/>
        </w:rPr>
        <w:tab/>
        <w:t>18.5 مليون م</w:t>
      </w:r>
      <w:r>
        <w:rPr>
          <w:rFonts w:hint="cs"/>
          <w:vertAlign w:val="superscript"/>
          <w:rtl/>
        </w:rPr>
        <w:t xml:space="preserve">2 </w:t>
      </w:r>
      <w:r>
        <w:rPr>
          <w:rFonts w:hint="cs"/>
          <w:rtl/>
        </w:rPr>
        <w:t>تملكها السلطات المحلية (السكن البلدي)، منها 15 مليون م</w:t>
      </w:r>
      <w:r>
        <w:rPr>
          <w:rFonts w:hint="cs"/>
          <w:vertAlign w:val="superscript"/>
          <w:rtl/>
        </w:rPr>
        <w:t xml:space="preserve">2 </w:t>
      </w:r>
      <w:r>
        <w:rPr>
          <w:rFonts w:hint="cs"/>
          <w:rtl/>
        </w:rPr>
        <w:t>أو 000 280 شقة تمت خصخصتها؛</w:t>
      </w:r>
    </w:p>
    <w:p w:rsidR="00000000" w:rsidRDefault="003865AC">
      <w:pPr>
        <w:ind w:left="1434" w:hanging="720"/>
        <w:jc w:val="both"/>
        <w:rPr>
          <w:rFonts w:hint="cs"/>
          <w:rtl/>
        </w:rPr>
      </w:pPr>
      <w:r>
        <w:rPr>
          <w:rFonts w:hint="cs"/>
          <w:rtl/>
        </w:rPr>
        <w:t>•</w:t>
      </w:r>
      <w:r>
        <w:rPr>
          <w:rFonts w:hint="cs"/>
          <w:rtl/>
        </w:rPr>
        <w:tab/>
        <w:t>4.5 مليون م</w:t>
      </w:r>
      <w:r>
        <w:rPr>
          <w:rFonts w:hint="cs"/>
          <w:vertAlign w:val="superscript"/>
          <w:rtl/>
        </w:rPr>
        <w:t>2</w:t>
      </w:r>
      <w:r>
        <w:rPr>
          <w:rFonts w:hint="cs"/>
          <w:rtl/>
        </w:rPr>
        <w:t xml:space="preserve"> تملكها كيانات إداري</w:t>
      </w:r>
      <w:r>
        <w:rPr>
          <w:rFonts w:hint="cs"/>
          <w:rtl/>
        </w:rPr>
        <w:t>ة أو اقتصادية، منها 2 مليون م</w:t>
      </w:r>
      <w:r>
        <w:rPr>
          <w:rFonts w:hint="cs"/>
          <w:vertAlign w:val="superscript"/>
          <w:rtl/>
        </w:rPr>
        <w:t>2</w:t>
      </w:r>
      <w:r>
        <w:rPr>
          <w:rFonts w:hint="cs"/>
          <w:rtl/>
        </w:rPr>
        <w:t xml:space="preserve"> أو 000 34 شقة تمت خصخصتها؛</w:t>
      </w:r>
    </w:p>
    <w:p w:rsidR="00000000" w:rsidRDefault="003865AC">
      <w:pPr>
        <w:ind w:left="1434" w:hanging="720"/>
        <w:jc w:val="both"/>
        <w:rPr>
          <w:rFonts w:hint="cs"/>
          <w:rtl/>
        </w:rPr>
      </w:pPr>
      <w:r>
        <w:rPr>
          <w:rFonts w:hint="cs"/>
          <w:rtl/>
        </w:rPr>
        <w:t>•</w:t>
      </w:r>
      <w:r>
        <w:rPr>
          <w:rFonts w:hint="cs"/>
          <w:rtl/>
        </w:rPr>
        <w:tab/>
        <w:t>4.5 مليون م</w:t>
      </w:r>
      <w:r>
        <w:rPr>
          <w:rFonts w:hint="cs"/>
          <w:vertAlign w:val="superscript"/>
          <w:rtl/>
        </w:rPr>
        <w:t>2</w:t>
      </w:r>
      <w:r>
        <w:rPr>
          <w:rFonts w:hint="cs"/>
          <w:rtl/>
        </w:rPr>
        <w:t xml:space="preserve"> تملكها جمعيات منح القروض والبناء، منها 2.8 مليون م</w:t>
      </w:r>
      <w:r>
        <w:rPr>
          <w:rFonts w:hint="cs"/>
          <w:vertAlign w:val="superscript"/>
          <w:rtl/>
        </w:rPr>
        <w:t>2</w:t>
      </w:r>
      <w:r>
        <w:rPr>
          <w:rFonts w:hint="cs"/>
          <w:rtl/>
        </w:rPr>
        <w:t xml:space="preserve"> أو 000 32 شقة تمت خصخصتها؛</w:t>
      </w:r>
    </w:p>
    <w:p w:rsidR="00000000" w:rsidRDefault="003865AC">
      <w:pPr>
        <w:ind w:left="1434" w:hanging="720"/>
        <w:jc w:val="both"/>
        <w:rPr>
          <w:rFonts w:hint="cs"/>
        </w:rPr>
      </w:pPr>
      <w:r>
        <w:rPr>
          <w:rFonts w:hint="cs"/>
          <w:rtl/>
        </w:rPr>
        <w:t>•</w:t>
      </w:r>
      <w:r>
        <w:rPr>
          <w:rFonts w:hint="cs"/>
          <w:rtl/>
        </w:rPr>
        <w:tab/>
        <w:t>74 مليون م</w:t>
      </w:r>
      <w:r>
        <w:rPr>
          <w:rFonts w:hint="cs"/>
          <w:vertAlign w:val="superscript"/>
          <w:rtl/>
        </w:rPr>
        <w:t xml:space="preserve">2 </w:t>
      </w:r>
      <w:r>
        <w:rPr>
          <w:rFonts w:hint="cs"/>
          <w:rtl/>
        </w:rPr>
        <w:t>من المساكن الخاصة، منها20 مليون م</w:t>
      </w:r>
      <w:r>
        <w:rPr>
          <w:rFonts w:hint="cs"/>
          <w:vertAlign w:val="superscript"/>
          <w:rtl/>
        </w:rPr>
        <w:t xml:space="preserve">2 </w:t>
      </w:r>
      <w:r>
        <w:rPr>
          <w:rFonts w:hint="cs"/>
          <w:rtl/>
        </w:rPr>
        <w:t>في المدن و54 مليون م</w:t>
      </w:r>
      <w:r>
        <w:rPr>
          <w:rFonts w:hint="cs"/>
          <w:vertAlign w:val="superscript"/>
          <w:rtl/>
        </w:rPr>
        <w:t xml:space="preserve">2 </w:t>
      </w:r>
      <w:r>
        <w:rPr>
          <w:rFonts w:hint="cs"/>
          <w:rtl/>
        </w:rPr>
        <w:t>في المناطق الريفية.</w:t>
      </w:r>
    </w:p>
    <w:p w:rsidR="00000000" w:rsidRDefault="003865AC">
      <w:pPr>
        <w:jc w:val="both"/>
        <w:rPr>
          <w:rFonts w:hint="cs"/>
          <w:rtl/>
        </w:rPr>
      </w:pPr>
      <w:r>
        <w:rPr>
          <w:rFonts w:hint="cs"/>
          <w:rtl/>
        </w:rPr>
        <w:t>169-</w:t>
      </w:r>
      <w:r>
        <w:rPr>
          <w:rFonts w:hint="cs"/>
          <w:rtl/>
        </w:rPr>
        <w:tab/>
        <w:t>ومن مجمو</w:t>
      </w:r>
      <w:r>
        <w:rPr>
          <w:rFonts w:hint="cs"/>
          <w:rtl/>
        </w:rPr>
        <w:t>ع مساحة المساكن المتوفرة، هناك 24 مليون م</w:t>
      </w:r>
      <w:r>
        <w:rPr>
          <w:rFonts w:hint="cs"/>
          <w:vertAlign w:val="superscript"/>
          <w:rtl/>
        </w:rPr>
        <w:t>2</w:t>
      </w:r>
      <w:r>
        <w:rPr>
          <w:rFonts w:hint="cs"/>
          <w:rtl/>
        </w:rPr>
        <w:t xml:space="preserve"> أو 000 9 مبنى تعتبر دون المعايير التقنية بينما أُعلِن عن عدم صلاحية 200 1 مبنى. وتقدر تكاليف تحسين المساكن في جورجيا بمبلغ 750 مليون لاري.</w:t>
      </w:r>
    </w:p>
    <w:p w:rsidR="00000000" w:rsidRDefault="003865AC">
      <w:pPr>
        <w:jc w:val="both"/>
        <w:rPr>
          <w:rFonts w:hint="cs"/>
          <w:rtl/>
        </w:rPr>
      </w:pPr>
      <w:r>
        <w:rPr>
          <w:rFonts w:hint="cs"/>
          <w:rtl/>
        </w:rPr>
        <w:t>170-</w:t>
      </w:r>
      <w:r>
        <w:rPr>
          <w:rFonts w:hint="cs"/>
          <w:rtl/>
        </w:rPr>
        <w:tab/>
        <w:t>وتم في الفترة الممتدة 1997-2000 بناء ما مساحته 500 71 م</w:t>
      </w:r>
      <w:r>
        <w:rPr>
          <w:rFonts w:hint="cs"/>
          <w:vertAlign w:val="superscript"/>
          <w:rtl/>
        </w:rPr>
        <w:t xml:space="preserve">2 </w:t>
      </w:r>
      <w:r>
        <w:rPr>
          <w:rFonts w:hint="cs"/>
          <w:rtl/>
        </w:rPr>
        <w:t>من المساكن ا</w:t>
      </w:r>
      <w:r>
        <w:rPr>
          <w:rFonts w:hint="cs"/>
          <w:rtl/>
        </w:rPr>
        <w:t xml:space="preserve">لجديدة بأموال عامة </w:t>
      </w:r>
      <w:r>
        <w:rPr>
          <w:rtl/>
        </w:rPr>
        <w:br/>
      </w:r>
      <w:r>
        <w:rPr>
          <w:rFonts w:hint="cs"/>
          <w:rtl/>
        </w:rPr>
        <w:t>و000 490 م</w:t>
      </w:r>
      <w:r>
        <w:rPr>
          <w:rFonts w:hint="cs"/>
          <w:vertAlign w:val="superscript"/>
          <w:rtl/>
        </w:rPr>
        <w:t>2</w:t>
      </w:r>
      <w:r>
        <w:rPr>
          <w:rFonts w:hint="cs"/>
          <w:rtl/>
        </w:rPr>
        <w:t xml:space="preserve"> بتمويل من مقاولين من القطاع الخاص. </w:t>
      </w:r>
    </w:p>
    <w:p w:rsidR="00000000" w:rsidRDefault="003865AC">
      <w:pPr>
        <w:jc w:val="both"/>
        <w:rPr>
          <w:rFonts w:hint="cs"/>
          <w:rtl/>
        </w:rPr>
      </w:pPr>
      <w:r>
        <w:rPr>
          <w:rFonts w:hint="cs"/>
          <w:rtl/>
        </w:rPr>
        <w:t>171-</w:t>
      </w:r>
      <w:r>
        <w:rPr>
          <w:rFonts w:hint="cs"/>
          <w:rtl/>
        </w:rPr>
        <w:tab/>
        <w:t>وتدل الإحصاءات التالية على المتوفر من وسائل الراحة في مجموع المساكن الحالية:</w:t>
      </w:r>
    </w:p>
    <w:p w:rsidR="00000000" w:rsidRDefault="003865AC">
      <w:pPr>
        <w:ind w:left="1434" w:hanging="720"/>
        <w:jc w:val="both"/>
        <w:rPr>
          <w:rFonts w:hint="cs"/>
          <w:rtl/>
        </w:rPr>
      </w:pPr>
      <w:r>
        <w:rPr>
          <w:rFonts w:hint="cs"/>
          <w:rtl/>
        </w:rPr>
        <w:t>•</w:t>
      </w:r>
      <w:r>
        <w:rPr>
          <w:rFonts w:hint="cs"/>
          <w:rtl/>
        </w:rPr>
        <w:tab/>
        <w:t>تتوفر إمدادات المياه لما نسبته 97.5 في المائة من المساكن؛</w:t>
      </w:r>
    </w:p>
    <w:p w:rsidR="00000000" w:rsidRDefault="003865AC">
      <w:pPr>
        <w:ind w:left="1434" w:hanging="720"/>
        <w:jc w:val="both"/>
        <w:rPr>
          <w:rFonts w:hint="cs"/>
          <w:rtl/>
        </w:rPr>
      </w:pPr>
      <w:r>
        <w:rPr>
          <w:rFonts w:hint="cs"/>
          <w:rtl/>
        </w:rPr>
        <w:t>•</w:t>
      </w:r>
      <w:r>
        <w:rPr>
          <w:rFonts w:hint="cs"/>
          <w:rtl/>
        </w:rPr>
        <w:tab/>
        <w:t>تتوفر شبكة مجارير لما نسبته 94.6 في المائة م</w:t>
      </w:r>
      <w:r>
        <w:rPr>
          <w:rFonts w:hint="cs"/>
          <w:rtl/>
        </w:rPr>
        <w:t>ن المساكن؛</w:t>
      </w:r>
    </w:p>
    <w:p w:rsidR="00000000" w:rsidRDefault="003865AC">
      <w:pPr>
        <w:ind w:left="1434" w:hanging="720"/>
        <w:jc w:val="both"/>
        <w:rPr>
          <w:rFonts w:hint="cs"/>
          <w:rtl/>
        </w:rPr>
      </w:pPr>
      <w:r>
        <w:rPr>
          <w:rFonts w:hint="cs"/>
          <w:rtl/>
        </w:rPr>
        <w:t>•</w:t>
      </w:r>
      <w:r>
        <w:rPr>
          <w:rFonts w:hint="cs"/>
          <w:rtl/>
        </w:rPr>
        <w:tab/>
        <w:t>تتوفر حمامات في 86.2 في المائة من المساكن؛</w:t>
      </w:r>
    </w:p>
    <w:p w:rsidR="00000000" w:rsidRDefault="003865AC">
      <w:pPr>
        <w:ind w:left="1434" w:hanging="720"/>
        <w:jc w:val="both"/>
        <w:rPr>
          <w:rFonts w:hint="cs"/>
          <w:rtl/>
        </w:rPr>
      </w:pPr>
      <w:r>
        <w:rPr>
          <w:rFonts w:hint="cs"/>
          <w:rtl/>
        </w:rPr>
        <w:t>•</w:t>
      </w:r>
      <w:r>
        <w:rPr>
          <w:rFonts w:hint="cs"/>
          <w:rtl/>
        </w:rPr>
        <w:tab/>
        <w:t>تم إمداد 55.5 في المائة من المساكن بالمياه الساخنة؛</w:t>
      </w:r>
    </w:p>
    <w:p w:rsidR="00000000" w:rsidRDefault="003865AC">
      <w:pPr>
        <w:ind w:left="1434" w:hanging="720"/>
        <w:jc w:val="both"/>
        <w:rPr>
          <w:rFonts w:hint="cs"/>
          <w:rtl/>
        </w:rPr>
      </w:pPr>
      <w:r>
        <w:rPr>
          <w:rFonts w:hint="cs"/>
          <w:rtl/>
        </w:rPr>
        <w:t>•</w:t>
      </w:r>
      <w:r>
        <w:rPr>
          <w:rFonts w:hint="cs"/>
          <w:rtl/>
        </w:rPr>
        <w:tab/>
        <w:t>تم إمداد 98 في المائة بالتدفئة المركزية؛</w:t>
      </w:r>
    </w:p>
    <w:p w:rsidR="00000000" w:rsidRDefault="003865AC">
      <w:pPr>
        <w:ind w:left="1434" w:hanging="720"/>
        <w:jc w:val="both"/>
        <w:rPr>
          <w:rFonts w:hint="cs"/>
          <w:rtl/>
        </w:rPr>
      </w:pPr>
      <w:r>
        <w:rPr>
          <w:rFonts w:hint="cs"/>
          <w:rtl/>
        </w:rPr>
        <w:t>•</w:t>
      </w:r>
      <w:r>
        <w:rPr>
          <w:rFonts w:hint="cs"/>
          <w:rtl/>
        </w:rPr>
        <w:tab/>
        <w:t>تم إمداد 76 في المائة بالغاز الطبيعي؛</w:t>
      </w:r>
    </w:p>
    <w:p w:rsidR="00000000" w:rsidRDefault="003865AC">
      <w:pPr>
        <w:ind w:left="1434" w:hanging="720"/>
        <w:jc w:val="both"/>
        <w:rPr>
          <w:rFonts w:hint="cs"/>
        </w:rPr>
      </w:pPr>
      <w:r>
        <w:rPr>
          <w:rFonts w:hint="cs"/>
          <w:rtl/>
        </w:rPr>
        <w:t>•</w:t>
      </w:r>
      <w:r>
        <w:rPr>
          <w:rFonts w:hint="cs"/>
          <w:rtl/>
        </w:rPr>
        <w:tab/>
        <w:t>تتوفر في 12 في المائة من المساكن أجهزة كهربائية للطهي.</w:t>
      </w:r>
    </w:p>
    <w:p w:rsidR="00000000" w:rsidRDefault="003865AC">
      <w:pPr>
        <w:jc w:val="both"/>
        <w:rPr>
          <w:rFonts w:hint="cs"/>
          <w:rtl/>
        </w:rPr>
      </w:pPr>
      <w:r>
        <w:rPr>
          <w:rFonts w:hint="cs"/>
          <w:rtl/>
        </w:rPr>
        <w:t>172-</w:t>
      </w:r>
      <w:r>
        <w:rPr>
          <w:rFonts w:hint="cs"/>
          <w:rtl/>
        </w:rPr>
        <w:tab/>
        <w:t>و</w:t>
      </w:r>
      <w:r>
        <w:rPr>
          <w:rFonts w:hint="cs"/>
          <w:rtl/>
        </w:rPr>
        <w:t>كتعليق على هذه الإحصائيات، يجب ألا يغيب عن الأذهان أن جميع المساكن في جورجيا تنقصها عمليا المياه الساخنة والتدفئة المركزية في الوقت الراهن بسب الوضع الاقتصادي الصعب.</w:t>
      </w:r>
    </w:p>
    <w:p w:rsidR="00000000" w:rsidRDefault="003865AC">
      <w:pPr>
        <w:jc w:val="both"/>
        <w:rPr>
          <w:rFonts w:hint="cs"/>
          <w:rtl/>
        </w:rPr>
      </w:pPr>
      <w:r>
        <w:rPr>
          <w:rFonts w:hint="cs"/>
          <w:rtl/>
        </w:rPr>
        <w:t>173-</w:t>
      </w:r>
      <w:r>
        <w:rPr>
          <w:rFonts w:hint="cs"/>
          <w:rtl/>
        </w:rPr>
        <w:tab/>
        <w:t xml:space="preserve">وترد أدناه في ذلك الفرع من التقرير المخصص لقضايا الرعاية الصحية معلومات إضافية مفصلة </w:t>
      </w:r>
      <w:r>
        <w:rPr>
          <w:rFonts w:hint="cs"/>
          <w:rtl/>
        </w:rPr>
        <w:t>عن إمدادات المياه النقية وشبكة المجارير.</w:t>
      </w:r>
    </w:p>
    <w:p w:rsidR="00000000" w:rsidRDefault="003865AC">
      <w:pPr>
        <w:jc w:val="both"/>
        <w:rPr>
          <w:rFonts w:hint="cs"/>
          <w:rtl/>
        </w:rPr>
      </w:pPr>
      <w:r>
        <w:rPr>
          <w:rFonts w:hint="cs"/>
          <w:rtl/>
        </w:rPr>
        <w:t>174-</w:t>
      </w:r>
      <w:r>
        <w:rPr>
          <w:rFonts w:hint="cs"/>
          <w:rtl/>
        </w:rPr>
        <w:tab/>
        <w:t>وتشير المعلومات المتاحة إلى أن هناك حالياً نحو 500 110 عائلة أو ما يقارب 750 386 شخصاً يعيشون بلا مأوى. ويتألف ما مساحته 20.5 مليون م</w:t>
      </w:r>
      <w:r>
        <w:rPr>
          <w:rFonts w:hint="cs"/>
          <w:vertAlign w:val="superscript"/>
          <w:rtl/>
        </w:rPr>
        <w:t>2</w:t>
      </w:r>
      <w:r>
        <w:rPr>
          <w:rFonts w:hint="cs"/>
          <w:rtl/>
        </w:rPr>
        <w:t xml:space="preserve"> من المساكن أو ما نسبته 20.2 في المائة من المجموع من مساكن متهدمة وغير آمنة </w:t>
      </w:r>
      <w:r>
        <w:rPr>
          <w:rFonts w:hint="cs"/>
          <w:rtl/>
        </w:rPr>
        <w:t xml:space="preserve">أو في حاجة إلى إصلاح أو تنقصها وسائل الراحة، ومع ذلك فهي تؤوي </w:t>
      </w:r>
      <w:r>
        <w:rPr>
          <w:rtl/>
        </w:rPr>
        <w:br/>
      </w:r>
      <w:r>
        <w:rPr>
          <w:rFonts w:hint="cs"/>
          <w:rtl/>
        </w:rPr>
        <w:t>800 138 1 شخص.</w:t>
      </w:r>
    </w:p>
    <w:p w:rsidR="00000000" w:rsidRDefault="003865AC">
      <w:pPr>
        <w:jc w:val="both"/>
        <w:rPr>
          <w:rFonts w:hint="cs"/>
          <w:rtl/>
        </w:rPr>
      </w:pPr>
      <w:r>
        <w:rPr>
          <w:rFonts w:hint="cs"/>
          <w:rtl/>
        </w:rPr>
        <w:t>175-</w:t>
      </w:r>
      <w:r>
        <w:rPr>
          <w:rFonts w:hint="cs"/>
          <w:rtl/>
        </w:rPr>
        <w:tab/>
        <w:t>وصُنِّفت مساكن ما يقرب من 000 26 شخص في عداد المساكن "غير المشروعة". وبموجب قرار من مجلس الوزراء الجورجي اعتُمِد سنة 1983 وعُدِّل سنة 1994 بقرار من رئيس الوزراء الجورجي، يحق</w:t>
      </w:r>
      <w:r>
        <w:rPr>
          <w:rFonts w:hint="cs"/>
          <w:rtl/>
        </w:rPr>
        <w:t xml:space="preserve"> قانونا للسلطات المحلية تسجيل المباني "غير المشروعة" التي شيدها الخواص قبل آذار مارس 1994.</w:t>
      </w:r>
    </w:p>
    <w:p w:rsidR="00000000" w:rsidRDefault="003865AC">
      <w:pPr>
        <w:jc w:val="both"/>
        <w:rPr>
          <w:rFonts w:hint="cs"/>
          <w:rtl/>
        </w:rPr>
      </w:pPr>
      <w:r>
        <w:rPr>
          <w:rFonts w:hint="cs"/>
          <w:rtl/>
        </w:rPr>
        <w:t>176-</w:t>
      </w:r>
      <w:r>
        <w:rPr>
          <w:rFonts w:hint="cs"/>
          <w:rtl/>
        </w:rPr>
        <w:tab/>
        <w:t>ويشرف على مشاريع البناء السكني في الوقت الحالي شركات عامة وخاصة أو مقاولون. ولا توضَع أي عراقيل في طريقهم شرط الحصول على الترخيص الضروري للبناء. وتمول مشاريع ال</w:t>
      </w:r>
      <w:r>
        <w:rPr>
          <w:rFonts w:hint="cs"/>
          <w:rtl/>
        </w:rPr>
        <w:t>بناء من مصادر مختلفة، لكن شركات البناء الخاصة لا تُمَوَّل من الأموال العامة ومن الشائع أنها تحصل على قروض مصرفية (إلا إذا استثمرت من رأسمالها الخاص).</w:t>
      </w:r>
    </w:p>
    <w:p w:rsidR="00000000" w:rsidRDefault="003865AC">
      <w:pPr>
        <w:jc w:val="both"/>
        <w:rPr>
          <w:rFonts w:hint="cs"/>
          <w:rtl/>
        </w:rPr>
      </w:pPr>
      <w:r>
        <w:rPr>
          <w:rFonts w:hint="cs"/>
          <w:rtl/>
        </w:rPr>
        <w:t>177-</w:t>
      </w:r>
      <w:r>
        <w:rPr>
          <w:rFonts w:hint="cs"/>
          <w:rtl/>
        </w:rPr>
        <w:tab/>
        <w:t>وعلى ضوء ما تقدم، يبدو واضحا أن توفير السكن للفئات المحرومة اجتماعياً يمثل مشكلة خطيرة. وعملا بالبرنا</w:t>
      </w:r>
      <w:r>
        <w:rPr>
          <w:rFonts w:hint="cs"/>
          <w:rtl/>
        </w:rPr>
        <w:t>مج الوطني لمكافحة الفقر وتعزير النمو الاقتصادي (الذي سبقت الإشارة إليه أعلاه في الفرع ذي الصلة من التقرير)، وضعت وزارة التخطيط البلدي والبناء مشروع برنامج وطني للسكن. وكجزء من برنامج البنك الدولي للمساعدة التقنية، شارك خبراء من هذه المنظمة في وضع برنامج لإ</w:t>
      </w:r>
      <w:r>
        <w:rPr>
          <w:rFonts w:hint="cs"/>
          <w:rtl/>
        </w:rPr>
        <w:t>صلاح المساكن. غير أن تنفيذ هذا البرنامج توقف بسبب الحاجة إلى التمويل.</w:t>
      </w:r>
    </w:p>
    <w:p w:rsidR="00000000" w:rsidRDefault="003865AC">
      <w:pPr>
        <w:jc w:val="both"/>
        <w:rPr>
          <w:rFonts w:hint="cs"/>
          <w:i/>
          <w:iCs/>
          <w:rtl/>
        </w:rPr>
      </w:pPr>
      <w:r>
        <w:rPr>
          <w:rFonts w:hint="cs"/>
          <w:i/>
          <w:iCs/>
          <w:rtl/>
        </w:rPr>
        <w:t>القوانين واللوائح الخاصة بتأمين تطبيق الحق في السكن اللائق</w:t>
      </w:r>
    </w:p>
    <w:p w:rsidR="00000000" w:rsidRDefault="003865AC">
      <w:pPr>
        <w:jc w:val="both"/>
        <w:rPr>
          <w:rFonts w:hint="cs"/>
          <w:rtl/>
        </w:rPr>
      </w:pPr>
      <w:r>
        <w:rPr>
          <w:rFonts w:hint="cs"/>
          <w:rtl/>
        </w:rPr>
        <w:t>178-</w:t>
      </w:r>
      <w:r>
        <w:rPr>
          <w:rFonts w:hint="cs"/>
          <w:rtl/>
        </w:rPr>
        <w:tab/>
        <w:t xml:space="preserve"> كما لوحظ أعلاه، يمكن الاطلاع على القوانين التي تتناول الحق في السكن من الناحية الموضوعية وذلك في التقرير الأول لجورجيا ال</w:t>
      </w:r>
      <w:r>
        <w:rPr>
          <w:rFonts w:hint="cs"/>
          <w:rtl/>
        </w:rPr>
        <w:t xml:space="preserve">مقدم في إطار </w:t>
      </w:r>
      <w:r>
        <w:rPr>
          <w:rtl/>
        </w:rPr>
        <w:t>الاتفاقية الدولية للقضاء على جميع أشكال التمييز العنصري</w:t>
      </w:r>
      <w:r>
        <w:rPr>
          <w:rFonts w:hint="cs"/>
          <w:rtl/>
        </w:rPr>
        <w:t>. كما ينبغي ملاحظة النقاط الإضافية التالية.</w:t>
      </w:r>
    </w:p>
    <w:p w:rsidR="00000000" w:rsidRDefault="003865AC">
      <w:pPr>
        <w:jc w:val="both"/>
        <w:rPr>
          <w:rFonts w:hint="cs"/>
          <w:rtl/>
        </w:rPr>
      </w:pPr>
      <w:r>
        <w:rPr>
          <w:rFonts w:hint="cs"/>
          <w:rtl/>
        </w:rPr>
        <w:t>179-</w:t>
      </w:r>
      <w:r>
        <w:rPr>
          <w:rFonts w:hint="cs"/>
          <w:rtl/>
        </w:rPr>
        <w:tab/>
        <w:t>تشير وزارة العدل إلى أن القوانين التالية تنظم المسائل المتصلة باستعمال الأراضي وفرزها وتخصيصها وبتقسيمها إلى مناطق، وبتحديد أسعارها القصوى،</w:t>
      </w:r>
      <w:r>
        <w:rPr>
          <w:rFonts w:hint="cs"/>
          <w:rtl/>
        </w:rPr>
        <w:t xml:space="preserve"> والتعويضات عن الأراضي المُصادرة:</w:t>
      </w:r>
    </w:p>
    <w:p w:rsidR="00000000" w:rsidRDefault="003865AC">
      <w:pPr>
        <w:ind w:left="1434" w:hanging="720"/>
        <w:jc w:val="both"/>
        <w:rPr>
          <w:rFonts w:hint="cs"/>
          <w:rtl/>
        </w:rPr>
      </w:pPr>
      <w:r>
        <w:rPr>
          <w:rFonts w:hint="cs"/>
          <w:rtl/>
        </w:rPr>
        <w:t>•</w:t>
      </w:r>
      <w:r>
        <w:rPr>
          <w:rFonts w:hint="cs"/>
          <w:rtl/>
        </w:rPr>
        <w:tab/>
        <w:t>قانون (ملكية) الأراضي الزراعية (22 آذار/مارس 1996)؛</w:t>
      </w:r>
    </w:p>
    <w:p w:rsidR="00000000" w:rsidRDefault="003865AC">
      <w:pPr>
        <w:ind w:left="1434" w:hanging="720"/>
        <w:jc w:val="both"/>
        <w:rPr>
          <w:rFonts w:hint="cs"/>
          <w:rtl/>
        </w:rPr>
      </w:pPr>
      <w:r>
        <w:rPr>
          <w:rFonts w:hint="cs"/>
          <w:rtl/>
        </w:rPr>
        <w:t>•</w:t>
      </w:r>
      <w:r>
        <w:rPr>
          <w:rFonts w:hint="cs"/>
          <w:rtl/>
        </w:rPr>
        <w:tab/>
        <w:t xml:space="preserve">قانون تحويل الأراضي الزراعية إلى استعمالات غير زراعية (التطوير والتعويض عن القيمة والخسائر) (2 تشرين الأول/أكتوبر 1997)؛ </w:t>
      </w:r>
    </w:p>
    <w:p w:rsidR="00000000" w:rsidRDefault="003865AC">
      <w:pPr>
        <w:ind w:left="1434" w:hanging="720"/>
        <w:jc w:val="both"/>
        <w:rPr>
          <w:rFonts w:hint="cs"/>
          <w:rtl/>
        </w:rPr>
      </w:pPr>
      <w:r>
        <w:rPr>
          <w:rFonts w:hint="cs"/>
          <w:rtl/>
        </w:rPr>
        <w:t>•</w:t>
      </w:r>
      <w:r>
        <w:rPr>
          <w:rFonts w:hint="cs"/>
          <w:rtl/>
        </w:rPr>
        <w:tab/>
      </w:r>
      <w:r>
        <w:rPr>
          <w:rFonts w:hint="cs"/>
          <w:spacing w:val="8"/>
          <w:rtl/>
        </w:rPr>
        <w:t>قانون إدارة الأراضي غير الزراعية التي تملك</w:t>
      </w:r>
      <w:r>
        <w:rPr>
          <w:rFonts w:hint="cs"/>
          <w:spacing w:val="8"/>
          <w:rtl/>
        </w:rPr>
        <w:t>ها الدولة والتصرف فيها (28 تشرين الأول/أكتوبر</w:t>
      </w:r>
      <w:r>
        <w:rPr>
          <w:rFonts w:hint="cs"/>
          <w:rtl/>
        </w:rPr>
        <w:t xml:space="preserve"> 1998)؛</w:t>
      </w:r>
    </w:p>
    <w:p w:rsidR="00000000" w:rsidRDefault="003865AC">
      <w:pPr>
        <w:ind w:left="1434" w:hanging="720"/>
        <w:jc w:val="both"/>
        <w:rPr>
          <w:rFonts w:hint="cs"/>
          <w:rtl/>
        </w:rPr>
      </w:pPr>
      <w:r>
        <w:rPr>
          <w:rFonts w:hint="cs"/>
          <w:rtl/>
        </w:rPr>
        <w:t>•</w:t>
      </w:r>
      <w:r>
        <w:rPr>
          <w:rFonts w:hint="cs"/>
          <w:rtl/>
        </w:rPr>
        <w:tab/>
        <w:t>قانون استعمال الأشخاص الطبيعيين والاعتباريين للأراضي غير الزراعية في القانون الخاص (إعلان الملكية الخاصة) (28 تشرين الأول/أكتوبر 1998)؛</w:t>
      </w:r>
    </w:p>
    <w:p w:rsidR="00000000" w:rsidRDefault="003865AC">
      <w:pPr>
        <w:ind w:left="1434" w:hanging="720"/>
        <w:jc w:val="both"/>
        <w:rPr>
          <w:rFonts w:hint="cs"/>
          <w:rtl/>
        </w:rPr>
      </w:pPr>
      <w:r>
        <w:rPr>
          <w:rFonts w:hint="cs"/>
          <w:rtl/>
        </w:rPr>
        <w:t>•</w:t>
      </w:r>
      <w:r>
        <w:rPr>
          <w:rFonts w:hint="cs"/>
          <w:rtl/>
        </w:rPr>
        <w:tab/>
        <w:t>قانون ملكية قطع الأراضي والعقارات المرتبطة بها (رسوم التسجيل ال</w:t>
      </w:r>
      <w:r>
        <w:rPr>
          <w:rFonts w:hint="cs"/>
          <w:rtl/>
        </w:rPr>
        <w:t>حكومية) (30 نيسان/أبريل 1999)؛</w:t>
      </w:r>
    </w:p>
    <w:p w:rsidR="00000000" w:rsidRDefault="003865AC">
      <w:pPr>
        <w:ind w:left="1434" w:hanging="720"/>
        <w:jc w:val="both"/>
        <w:rPr>
          <w:rFonts w:hint="cs"/>
          <w:rtl/>
        </w:rPr>
      </w:pPr>
      <w:r>
        <w:rPr>
          <w:rFonts w:hint="cs"/>
          <w:rtl/>
        </w:rPr>
        <w:t>•</w:t>
      </w:r>
      <w:r>
        <w:rPr>
          <w:rFonts w:hint="cs"/>
          <w:rtl/>
        </w:rPr>
        <w:tab/>
        <w:t>قانون الاحتياجات الأساسية العامة (مصادرة الملكية) (23 تموز/يوليه 1999)؛</w:t>
      </w:r>
    </w:p>
    <w:p w:rsidR="00000000" w:rsidRDefault="003865AC">
      <w:pPr>
        <w:ind w:left="1434" w:hanging="720"/>
        <w:jc w:val="both"/>
        <w:rPr>
          <w:rFonts w:hint="cs"/>
        </w:rPr>
      </w:pPr>
      <w:r>
        <w:rPr>
          <w:rFonts w:hint="cs"/>
          <w:rtl/>
        </w:rPr>
        <w:t>•</w:t>
      </w:r>
      <w:r>
        <w:rPr>
          <w:rFonts w:hint="cs"/>
          <w:rtl/>
        </w:rPr>
        <w:tab/>
        <w:t>قانون تسجيل الأراضي (14 تشرين الثاني/نوفمبر 1996).</w:t>
      </w:r>
    </w:p>
    <w:p w:rsidR="00000000" w:rsidRDefault="003865AC">
      <w:pPr>
        <w:jc w:val="both"/>
        <w:rPr>
          <w:rFonts w:hint="cs"/>
          <w:rtl/>
        </w:rPr>
      </w:pPr>
      <w:r>
        <w:rPr>
          <w:rFonts w:hint="cs"/>
          <w:rtl/>
        </w:rPr>
        <w:t>180-</w:t>
      </w:r>
      <w:r>
        <w:rPr>
          <w:rFonts w:hint="cs"/>
          <w:rtl/>
        </w:rPr>
        <w:tab/>
        <w:t>وبموجب المادة 160 من القانون الجنائي الجورجي، يعد انتهاك حرمات البيوت أو الممتلكات الأخرى عمل</w:t>
      </w:r>
      <w:r>
        <w:rPr>
          <w:rFonts w:hint="cs"/>
          <w:rtl/>
        </w:rPr>
        <w:t>ا إجراميا. وعملا بأمر صادر عن وزير التخطيط البلدي والبناء في شباط/فبراير 2001، يستمر سريان كل معايير ولوائح البناء التي وضعت وتم التصديق عليها قبل 1992 وكل النظم واللوائح الأخـرى ذات الصلـة التي لا تتعارض مع القانون الجورجي أو المعاهدات الدولية التي دخلت ج</w:t>
      </w:r>
      <w:r>
        <w:rPr>
          <w:rFonts w:hint="cs"/>
          <w:rtl/>
        </w:rPr>
        <w:t>ورجيا طرفا فيها. غير أنه تجدر الملاحظة بأن صياغة نظم ولوائح جديدة لهذا القطاع هي عملية معقد للغاية بسبب نقص التمويل من الميزانية. والنظم واللوائح التي ترجع إلى الحقبة السوفياتية لم تعد صالحة لتلبية المتطلبات الحديثة.</w:t>
      </w:r>
    </w:p>
    <w:p w:rsidR="00000000" w:rsidRDefault="003865AC">
      <w:pPr>
        <w:jc w:val="both"/>
        <w:rPr>
          <w:rFonts w:hint="cs"/>
          <w:rtl/>
        </w:rPr>
      </w:pPr>
      <w:r>
        <w:rPr>
          <w:rFonts w:hint="cs"/>
          <w:rtl/>
        </w:rPr>
        <w:t>181-</w:t>
      </w:r>
      <w:r>
        <w:rPr>
          <w:rFonts w:hint="cs"/>
          <w:rtl/>
        </w:rPr>
        <w:tab/>
        <w:t>وتتناول القوانين التالية الجانب ال</w:t>
      </w:r>
      <w:r>
        <w:rPr>
          <w:rFonts w:hint="cs"/>
          <w:rtl/>
        </w:rPr>
        <w:t>تنظيمي للتخطيط الاقتصادي ومتطلبات الصحة العامة في المناطق المأهولة بالسكان:</w:t>
      </w:r>
    </w:p>
    <w:p w:rsidR="00000000" w:rsidRDefault="003865AC">
      <w:pPr>
        <w:ind w:left="1434" w:hanging="720"/>
        <w:jc w:val="both"/>
        <w:rPr>
          <w:rFonts w:hint="cs"/>
          <w:rtl/>
        </w:rPr>
      </w:pPr>
      <w:r>
        <w:rPr>
          <w:rFonts w:hint="cs"/>
          <w:rtl/>
        </w:rPr>
        <w:t>•</w:t>
      </w:r>
      <w:r>
        <w:rPr>
          <w:rFonts w:hint="cs"/>
          <w:rtl/>
        </w:rPr>
        <w:tab/>
        <w:t>قانون مشاريع البناء (الدراسات الحكومية الشاملة واعتمادها) (16 نيسان/أبريل 1996)</w:t>
      </w:r>
    </w:p>
    <w:p w:rsidR="00000000" w:rsidRDefault="003865AC">
      <w:pPr>
        <w:ind w:left="1434" w:hanging="720"/>
        <w:jc w:val="both"/>
        <w:rPr>
          <w:rFonts w:hint="cs"/>
          <w:rtl/>
        </w:rPr>
      </w:pPr>
      <w:r>
        <w:rPr>
          <w:rFonts w:hint="cs"/>
          <w:rtl/>
        </w:rPr>
        <w:t>•</w:t>
      </w:r>
      <w:r>
        <w:rPr>
          <w:rFonts w:hint="cs"/>
          <w:rtl/>
        </w:rPr>
        <w:tab/>
        <w:t>قانون الإذن بالتخطيط (9 أيلول/سبتمبر 1999)؛</w:t>
      </w:r>
    </w:p>
    <w:p w:rsidR="00000000" w:rsidRDefault="003865AC">
      <w:pPr>
        <w:ind w:left="1434" w:hanging="720"/>
        <w:jc w:val="both"/>
        <w:rPr>
          <w:rFonts w:hint="cs"/>
          <w:rtl/>
        </w:rPr>
      </w:pPr>
      <w:r>
        <w:rPr>
          <w:rFonts w:hint="cs"/>
          <w:rtl/>
        </w:rPr>
        <w:t>•</w:t>
      </w:r>
      <w:r>
        <w:rPr>
          <w:rFonts w:hint="cs"/>
          <w:rtl/>
        </w:rPr>
        <w:tab/>
        <w:t>قانون البناء (27 تشرين الأول/أكتوبر 2000)؛</w:t>
      </w:r>
    </w:p>
    <w:p w:rsidR="00000000" w:rsidRDefault="003865AC">
      <w:pPr>
        <w:ind w:left="1434" w:hanging="720"/>
        <w:jc w:val="both"/>
        <w:rPr>
          <w:rFonts w:hint="cs"/>
        </w:rPr>
      </w:pPr>
      <w:r>
        <w:rPr>
          <w:rFonts w:hint="cs"/>
          <w:rtl/>
        </w:rPr>
        <w:t>•</w:t>
      </w:r>
      <w:r>
        <w:rPr>
          <w:rFonts w:hint="cs"/>
          <w:rtl/>
        </w:rPr>
        <w:tab/>
        <w:t>قانون</w:t>
      </w:r>
      <w:r>
        <w:rPr>
          <w:rFonts w:hint="cs"/>
          <w:rtl/>
        </w:rPr>
        <w:t xml:space="preserve"> دراسة التأثير البيئي (15 تشرين الأول/أكتوبر 1996).</w:t>
      </w:r>
    </w:p>
    <w:p w:rsidR="00000000" w:rsidRDefault="003865AC">
      <w:pPr>
        <w:ind w:left="-50"/>
        <w:jc w:val="both"/>
        <w:rPr>
          <w:rFonts w:hint="cs"/>
          <w:i/>
          <w:iCs/>
          <w:rtl/>
        </w:rPr>
      </w:pPr>
      <w:r>
        <w:rPr>
          <w:rFonts w:hint="cs"/>
          <w:i/>
          <w:iCs/>
          <w:rtl/>
        </w:rPr>
        <w:t xml:space="preserve">حالات الإخلاء </w:t>
      </w:r>
    </w:p>
    <w:p w:rsidR="00000000" w:rsidRDefault="003865AC">
      <w:pPr>
        <w:jc w:val="both"/>
        <w:rPr>
          <w:rFonts w:hint="cs"/>
          <w:rtl/>
        </w:rPr>
      </w:pPr>
      <w:r>
        <w:rPr>
          <w:rFonts w:hint="cs"/>
          <w:rtl/>
        </w:rPr>
        <w:t>182-</w:t>
      </w:r>
      <w:r>
        <w:rPr>
          <w:rFonts w:hint="cs"/>
          <w:rtl/>
        </w:rPr>
        <w:tab/>
        <w:t>ينص القانون على أن تصدُرَ الأوامر بالإخلاء عن المحاكم، وبذلك تُستبعَد عمليا أي إمكانية لإصدار أمر تعسفي بالإخلاء. ومن الناحية العملية وبافتراض صدور حكم قضائي ذي صلة، فإن المسائل ذات ال</w:t>
      </w:r>
      <w:r>
        <w:rPr>
          <w:rFonts w:hint="cs"/>
          <w:rtl/>
        </w:rPr>
        <w:t>علاقة بالأمر بالإخلاء مشمولة بالمادة 90 من قانون إجراءات التنفيذ الذي تُمنَح بموجبه للشخص الذي يصدر في حقه الأمر بالإخلاء مهلة (لا تتجاوز شهرا) للامتثال طواعية لحكم المحكمة. وعليه أن يدفع كل تكاليف الإخلاء. وإذا حدث أي خرق للإجراءات خلال عملية الإخلاء، تنص</w:t>
      </w:r>
      <w:r>
        <w:rPr>
          <w:rFonts w:hint="cs"/>
          <w:rtl/>
        </w:rPr>
        <w:t xml:space="preserve"> المادة 18 من القانون على حق كل الأطراف في الاستئناف ضد أعمال مأمور التنفيذ أمام المحاكم في غضون شهر من الشروع في إجراءات التنفيذ.</w:t>
      </w:r>
    </w:p>
    <w:p w:rsidR="00000000" w:rsidRDefault="003865AC">
      <w:pPr>
        <w:jc w:val="both"/>
        <w:rPr>
          <w:rFonts w:hint="cs"/>
          <w:rtl/>
        </w:rPr>
      </w:pPr>
      <w:r>
        <w:rPr>
          <w:rFonts w:hint="cs"/>
          <w:rtl/>
        </w:rPr>
        <w:t>183-</w:t>
      </w:r>
      <w:r>
        <w:rPr>
          <w:rFonts w:hint="cs"/>
          <w:rtl/>
        </w:rPr>
        <w:tab/>
        <w:t>وطبقا لمعلومات قدمتها وزارة العدل، عالجت مكاتب التنفيذ المحلية 333 أمرا بالإخلاء خلال سنة 2000. ونُفِّذ 234 أمراً من الم</w:t>
      </w:r>
      <w:r>
        <w:rPr>
          <w:rFonts w:hint="cs"/>
          <w:rtl/>
        </w:rPr>
        <w:t>جموع وأُعيد 18 أمرا بالإخلاء إلى الجهة التي شرعت أصلا في إجراءات الأمر بالإخلاء (بعد نجاح الوساطة في حل الخلاف) ووُجهت أوامر الإخلاء في 3 حالات إلى الجهة المعنية.</w:t>
      </w:r>
    </w:p>
    <w:p w:rsidR="00000000" w:rsidRDefault="003865AC">
      <w:pPr>
        <w:jc w:val="both"/>
        <w:rPr>
          <w:i/>
          <w:iCs/>
          <w:rtl/>
        </w:rPr>
      </w:pPr>
      <w:r>
        <w:rPr>
          <w:rFonts w:hint="cs"/>
          <w:i/>
          <w:iCs/>
          <w:rtl/>
        </w:rPr>
        <w:t>التدابير الواجب تنفيذها لضمان الحق في السكن اللائق</w:t>
      </w:r>
    </w:p>
    <w:p w:rsidR="00000000" w:rsidRDefault="003865AC">
      <w:pPr>
        <w:jc w:val="both"/>
        <w:rPr>
          <w:rFonts w:hint="cs"/>
          <w:rtl/>
        </w:rPr>
      </w:pPr>
      <w:r>
        <w:rPr>
          <w:rFonts w:hint="cs"/>
          <w:rtl/>
        </w:rPr>
        <w:t>184-</w:t>
      </w:r>
      <w:r>
        <w:rPr>
          <w:rFonts w:hint="cs"/>
          <w:rtl/>
        </w:rPr>
        <w:tab/>
        <w:t>دعت لجنة الحقوق الاقتصادية والاجتماعي</w:t>
      </w:r>
      <w:r>
        <w:rPr>
          <w:rFonts w:hint="cs"/>
          <w:rtl/>
        </w:rPr>
        <w:t xml:space="preserve">ة والثقافية، في ملاحظاتها الختامية، جورجيا إلى اتخاذ التدابير المناسبة </w:t>
      </w:r>
      <w:r>
        <w:rPr>
          <w:rFonts w:hint="cs"/>
          <w:spacing w:val="0"/>
          <w:rtl/>
        </w:rPr>
        <w:t>لتهيئة ظروف مؤاتية تسمح للأشخاص المشردين داخلياً</w:t>
      </w:r>
      <w:r>
        <w:rPr>
          <w:rFonts w:hint="cs"/>
          <w:rtl/>
        </w:rPr>
        <w:t xml:space="preserve"> بالعودة إلى مواطنهم الأصلية (الفقرة 29). إلا أنه لا بد لنا، لسوء الحظ، أن نعلن أنه لم يكن في وسع جورجيا خلال الفترة المشمولة بالتقرير ال</w:t>
      </w:r>
      <w:r>
        <w:rPr>
          <w:rFonts w:hint="cs"/>
          <w:rtl/>
        </w:rPr>
        <w:t>امتثال لهذه التوصية الخاصة للجنة نظرا لعدم التوصل إلى حل سياسي للنزاعات المشار إليها في التقرير الأولي.</w:t>
      </w:r>
    </w:p>
    <w:p w:rsidR="00000000" w:rsidRDefault="003865AC">
      <w:pPr>
        <w:jc w:val="both"/>
        <w:rPr>
          <w:rFonts w:hint="cs"/>
          <w:rtl/>
        </w:rPr>
      </w:pPr>
      <w:r>
        <w:rPr>
          <w:rFonts w:hint="cs"/>
          <w:rtl/>
        </w:rPr>
        <w:t>185-</w:t>
      </w:r>
      <w:r>
        <w:rPr>
          <w:rFonts w:hint="cs"/>
          <w:rtl/>
        </w:rPr>
        <w:tab/>
        <w:t>وتعتبر وزارة التخطيط البلدي والبناء أن تحسن الإطار التشريعي هو خطوة أساسية لمعالجة المشاكل التي تعرقل إعمال الحق في السكن وبناء الأماكن السكنية. ول</w:t>
      </w:r>
      <w:r>
        <w:rPr>
          <w:rFonts w:hint="cs"/>
          <w:rtl/>
        </w:rPr>
        <w:t>تحقيق ذلك، أعدت الوزارة مشروع قانون بشأن تشييد مبان ذات ملكية مشتركة قدمته للحكومة لدراسته. كما أعدت مشاريع قوانين أخرى بشأن التخطيط البلدي وكذلك مشروع قانون بشأن لوائح نظم البناء في تبيليسي. وقد أصبحت هذه المشاريع في مرحلة التشاور.</w:t>
      </w:r>
    </w:p>
    <w:p w:rsidR="00000000" w:rsidRDefault="003865AC">
      <w:pPr>
        <w:jc w:val="both"/>
        <w:rPr>
          <w:rFonts w:hint="cs"/>
          <w:i/>
          <w:iCs/>
          <w:rtl/>
        </w:rPr>
      </w:pPr>
      <w:r>
        <w:rPr>
          <w:rFonts w:hint="cs"/>
          <w:i/>
          <w:iCs/>
          <w:rtl/>
        </w:rPr>
        <w:t>ميزانية وزارة التخطيط ا</w:t>
      </w:r>
      <w:r>
        <w:rPr>
          <w:rFonts w:hint="cs"/>
          <w:i/>
          <w:iCs/>
          <w:rtl/>
        </w:rPr>
        <w:t>لبلدي والبناء</w:t>
      </w:r>
    </w:p>
    <w:p w:rsidR="00000000" w:rsidRDefault="003865AC">
      <w:pPr>
        <w:jc w:val="both"/>
        <w:rPr>
          <w:rFonts w:hint="cs"/>
          <w:rtl/>
        </w:rPr>
      </w:pPr>
      <w:r>
        <w:rPr>
          <w:rFonts w:hint="cs"/>
          <w:rtl/>
        </w:rPr>
        <w:t>186-</w:t>
      </w:r>
      <w:r>
        <w:rPr>
          <w:rFonts w:hint="cs"/>
          <w:rtl/>
        </w:rPr>
        <w:tab/>
        <w:t>مخصص للوزارة أموال من ميزانية الدولة للمحافظة على الإدارة المركزية ولتغطية نفقات التشغيل. وميزانية الوزارة متواضعة حُددت في سنة 2001 بمبلغ 400 235 لاري أو 0.026 في المائة من مجموع النفقات في الميزانية المركزية للدولة.</w:t>
      </w:r>
    </w:p>
    <w:p w:rsidR="00000000" w:rsidRDefault="003865AC">
      <w:pPr>
        <w:jc w:val="both"/>
        <w:rPr>
          <w:rFonts w:hint="cs"/>
          <w:rtl/>
        </w:rPr>
      </w:pPr>
    </w:p>
    <w:p w:rsidR="00000000" w:rsidRDefault="003865AC">
      <w:pPr>
        <w:jc w:val="both"/>
        <w:rPr>
          <w:rFonts w:hint="cs"/>
          <w:b/>
          <w:bCs/>
          <w:rtl/>
        </w:rPr>
      </w:pPr>
      <w:r>
        <w:rPr>
          <w:rFonts w:hint="cs"/>
          <w:b/>
          <w:bCs/>
          <w:rtl/>
        </w:rPr>
        <w:t>المادة 12</w:t>
      </w:r>
    </w:p>
    <w:p w:rsidR="00000000" w:rsidRDefault="003865AC">
      <w:pPr>
        <w:jc w:val="both"/>
        <w:rPr>
          <w:rFonts w:hint="cs"/>
          <w:i/>
          <w:iCs/>
          <w:rtl/>
        </w:rPr>
      </w:pPr>
      <w:r>
        <w:rPr>
          <w:rFonts w:hint="cs"/>
          <w:i/>
          <w:iCs/>
          <w:rtl/>
        </w:rPr>
        <w:t>الصحة ال</w:t>
      </w:r>
      <w:r>
        <w:rPr>
          <w:rFonts w:hint="cs"/>
          <w:i/>
          <w:iCs/>
          <w:rtl/>
        </w:rPr>
        <w:t>بدنية والعقلية للسكان</w:t>
      </w:r>
    </w:p>
    <w:p w:rsidR="00000000" w:rsidRDefault="003865AC">
      <w:pPr>
        <w:jc w:val="both"/>
        <w:rPr>
          <w:rFonts w:hint="cs"/>
          <w:rtl/>
        </w:rPr>
      </w:pPr>
      <w:r>
        <w:rPr>
          <w:rFonts w:hint="cs"/>
          <w:rtl/>
        </w:rPr>
        <w:t>187-</w:t>
      </w:r>
      <w:r>
        <w:rPr>
          <w:rFonts w:hint="cs"/>
          <w:rtl/>
        </w:rPr>
        <w:tab/>
        <w:t xml:space="preserve">إن صحة السكان والحاجة إلى تحسين مستويات الصحة العامة هما من الأولويات العليا لحكومة جورجيا. وقد اتضح ذلك في التقرير الوطني لعام 1999 عن الصحة العامة في جورجيا الذي أعدته وزارة العمل والصحة والرعاية الاجتماعية ونظر فيه مجلس الأمن </w:t>
      </w:r>
      <w:r>
        <w:rPr>
          <w:rFonts w:hint="cs"/>
          <w:rtl/>
        </w:rPr>
        <w:t>القومي الذي ترأسه الرئيس في آذار/مارس 2001.</w:t>
      </w:r>
    </w:p>
    <w:p w:rsidR="00000000" w:rsidRDefault="003865AC">
      <w:pPr>
        <w:jc w:val="both"/>
        <w:rPr>
          <w:rFonts w:hint="cs"/>
          <w:rtl/>
        </w:rPr>
      </w:pPr>
      <w:r>
        <w:rPr>
          <w:rFonts w:hint="cs"/>
          <w:rtl/>
        </w:rPr>
        <w:t>188-</w:t>
      </w:r>
      <w:r>
        <w:rPr>
          <w:rFonts w:hint="cs"/>
          <w:rtl/>
        </w:rPr>
        <w:tab/>
        <w:t>ويبين الجدول الوارد أدناه المؤشرات الرئيسية للصحة العامة في جورجيا.</w:t>
      </w:r>
    </w:p>
    <w:p w:rsidR="00000000" w:rsidRDefault="003865AC">
      <w:pPr>
        <w:jc w:val="center"/>
        <w:rPr>
          <w:rStyle w:val="FootnoteReference"/>
          <w:b/>
          <w:bCs w:val="0"/>
          <w:vertAlign w:val="baseline"/>
          <w:rtl/>
        </w:rPr>
      </w:pPr>
      <w:r>
        <w:rPr>
          <w:rFonts w:hint="cs"/>
          <w:b/>
          <w:bCs/>
          <w:rtl/>
        </w:rPr>
        <w:t>معدلات الوفاة بحسب العمر</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22"/>
        <w:gridCol w:w="1080"/>
        <w:gridCol w:w="1080"/>
        <w:gridCol w:w="1260"/>
        <w:gridCol w:w="1440"/>
        <w:gridCol w:w="1188"/>
      </w:tblGrid>
      <w:tr w:rsidR="003865AC" w:rsidTr="003865AC">
        <w:tblPrEx>
          <w:tblCellMar>
            <w:top w:w="0" w:type="dxa"/>
            <w:bottom w:w="0" w:type="dxa"/>
          </w:tblCellMar>
        </w:tblPrEx>
        <w:trPr>
          <w:cantSplit/>
        </w:trPr>
        <w:tc>
          <w:tcPr>
            <w:tcW w:w="3522" w:type="dxa"/>
            <w:vMerge w:val="restart"/>
          </w:tcPr>
          <w:p w:rsidR="003865AC" w:rsidRDefault="003865AC">
            <w:pPr>
              <w:spacing w:before="0" w:after="0" w:line="300" w:lineRule="exact"/>
              <w:jc w:val="both"/>
            </w:pPr>
          </w:p>
        </w:tc>
        <w:tc>
          <w:tcPr>
            <w:tcW w:w="6048" w:type="dxa"/>
            <w:gridSpan w:val="5"/>
          </w:tcPr>
          <w:p w:rsidR="003865AC" w:rsidRDefault="003865AC">
            <w:pPr>
              <w:spacing w:before="0" w:after="0" w:line="300" w:lineRule="exact"/>
              <w:jc w:val="center"/>
              <w:rPr>
                <w:rFonts w:hint="cs"/>
                <w:b/>
                <w:bCs/>
              </w:rPr>
            </w:pPr>
            <w:r>
              <w:rPr>
                <w:rFonts w:hint="cs"/>
                <w:b/>
                <w:bCs/>
                <w:rtl/>
              </w:rPr>
              <w:t>معدل الوفاة لكل 000 1 بحسب العمر</w:t>
            </w:r>
          </w:p>
        </w:tc>
      </w:tr>
      <w:tr w:rsidR="003865AC" w:rsidTr="003865AC">
        <w:tblPrEx>
          <w:tblCellMar>
            <w:top w:w="0" w:type="dxa"/>
            <w:bottom w:w="0" w:type="dxa"/>
          </w:tblCellMar>
        </w:tblPrEx>
        <w:trPr>
          <w:cantSplit/>
        </w:trPr>
        <w:tc>
          <w:tcPr>
            <w:tcW w:w="3522" w:type="dxa"/>
            <w:vMerge/>
          </w:tcPr>
          <w:p w:rsidR="003865AC" w:rsidRDefault="003865AC">
            <w:pPr>
              <w:spacing w:before="0" w:after="0" w:line="300" w:lineRule="exact"/>
              <w:jc w:val="both"/>
              <w:rPr>
                <w:rFonts w:hint="cs"/>
              </w:rPr>
            </w:pPr>
          </w:p>
        </w:tc>
        <w:tc>
          <w:tcPr>
            <w:tcW w:w="1080" w:type="dxa"/>
          </w:tcPr>
          <w:p w:rsidR="003865AC" w:rsidRDefault="003865AC">
            <w:pPr>
              <w:spacing w:before="0" w:after="0" w:line="300" w:lineRule="exact"/>
              <w:jc w:val="center"/>
              <w:rPr>
                <w:rFonts w:hint="cs"/>
                <w:b/>
                <w:bCs/>
              </w:rPr>
            </w:pPr>
            <w:r>
              <w:rPr>
                <w:rFonts w:hint="cs"/>
                <w:b/>
                <w:bCs/>
                <w:rtl/>
              </w:rPr>
              <w:t>1990</w:t>
            </w:r>
          </w:p>
        </w:tc>
        <w:tc>
          <w:tcPr>
            <w:tcW w:w="1080" w:type="dxa"/>
          </w:tcPr>
          <w:p w:rsidR="003865AC" w:rsidRDefault="003865AC">
            <w:pPr>
              <w:spacing w:before="0" w:after="0" w:line="300" w:lineRule="exact"/>
              <w:jc w:val="center"/>
              <w:rPr>
                <w:rFonts w:hint="cs"/>
                <w:b/>
                <w:bCs/>
              </w:rPr>
            </w:pPr>
            <w:r>
              <w:rPr>
                <w:rFonts w:hint="cs"/>
                <w:b/>
                <w:bCs/>
                <w:rtl/>
              </w:rPr>
              <w:t>1996</w:t>
            </w:r>
          </w:p>
        </w:tc>
        <w:tc>
          <w:tcPr>
            <w:tcW w:w="1260" w:type="dxa"/>
          </w:tcPr>
          <w:p w:rsidR="003865AC" w:rsidRDefault="003865AC">
            <w:pPr>
              <w:spacing w:before="0" w:after="0" w:line="300" w:lineRule="exact"/>
              <w:jc w:val="center"/>
              <w:rPr>
                <w:rFonts w:hint="cs"/>
                <w:b/>
                <w:bCs/>
              </w:rPr>
            </w:pPr>
            <w:r>
              <w:rPr>
                <w:rFonts w:hint="cs"/>
                <w:b/>
                <w:bCs/>
                <w:rtl/>
              </w:rPr>
              <w:t>1997</w:t>
            </w:r>
          </w:p>
        </w:tc>
        <w:tc>
          <w:tcPr>
            <w:tcW w:w="1440" w:type="dxa"/>
          </w:tcPr>
          <w:p w:rsidR="003865AC" w:rsidRDefault="003865AC">
            <w:pPr>
              <w:spacing w:before="0" w:after="0" w:line="300" w:lineRule="exact"/>
              <w:jc w:val="center"/>
              <w:rPr>
                <w:rFonts w:hint="cs"/>
                <w:b/>
                <w:bCs/>
              </w:rPr>
            </w:pPr>
            <w:r>
              <w:rPr>
                <w:rFonts w:hint="cs"/>
                <w:b/>
                <w:bCs/>
                <w:rtl/>
              </w:rPr>
              <w:t>1998</w:t>
            </w:r>
          </w:p>
        </w:tc>
        <w:tc>
          <w:tcPr>
            <w:tcW w:w="1188" w:type="dxa"/>
          </w:tcPr>
          <w:p w:rsidR="003865AC" w:rsidRDefault="003865AC">
            <w:pPr>
              <w:spacing w:before="0" w:after="0" w:line="300" w:lineRule="exact"/>
              <w:jc w:val="center"/>
              <w:rPr>
                <w:rFonts w:hint="cs"/>
                <w:b/>
                <w:bCs/>
              </w:rPr>
            </w:pPr>
            <w:r>
              <w:rPr>
                <w:rFonts w:hint="cs"/>
                <w:b/>
                <w:bCs/>
                <w:rtl/>
              </w:rPr>
              <w:t>1999</w:t>
            </w:r>
          </w:p>
        </w:tc>
      </w:tr>
      <w:tr w:rsidR="003865AC" w:rsidTr="003865AC">
        <w:tblPrEx>
          <w:tblCellMar>
            <w:top w:w="0" w:type="dxa"/>
            <w:bottom w:w="0" w:type="dxa"/>
          </w:tblCellMar>
        </w:tblPrEx>
        <w:tc>
          <w:tcPr>
            <w:tcW w:w="3522" w:type="dxa"/>
            <w:tcBorders>
              <w:bottom w:val="nil"/>
            </w:tcBorders>
          </w:tcPr>
          <w:p w:rsidR="003865AC" w:rsidRDefault="003865AC">
            <w:pPr>
              <w:spacing w:before="0" w:after="0" w:line="300" w:lineRule="exact"/>
              <w:jc w:val="both"/>
              <w:rPr>
                <w:rFonts w:hint="cs"/>
                <w:sz w:val="24"/>
                <w:szCs w:val="24"/>
              </w:rPr>
            </w:pPr>
            <w:r>
              <w:rPr>
                <w:rFonts w:hint="cs"/>
                <w:sz w:val="24"/>
                <w:szCs w:val="24"/>
                <w:rtl/>
              </w:rPr>
              <w:t>مجموع عدد السكان منهم من تبلغ أعمارهم:</w:t>
            </w:r>
          </w:p>
        </w:tc>
        <w:tc>
          <w:tcPr>
            <w:tcW w:w="1080" w:type="dxa"/>
            <w:tcBorders>
              <w:bottom w:val="nil"/>
            </w:tcBorders>
          </w:tcPr>
          <w:p w:rsidR="003865AC" w:rsidRDefault="003865AC">
            <w:pPr>
              <w:spacing w:before="0" w:after="0" w:line="300" w:lineRule="exact"/>
              <w:jc w:val="center"/>
              <w:rPr>
                <w:rFonts w:hint="cs"/>
                <w:sz w:val="24"/>
                <w:szCs w:val="24"/>
              </w:rPr>
            </w:pPr>
            <w:r>
              <w:rPr>
                <w:rFonts w:hint="cs"/>
                <w:sz w:val="24"/>
                <w:szCs w:val="24"/>
                <w:rtl/>
              </w:rPr>
              <w:t>8.5</w:t>
            </w:r>
          </w:p>
        </w:tc>
        <w:tc>
          <w:tcPr>
            <w:tcW w:w="1080" w:type="dxa"/>
            <w:tcBorders>
              <w:bottom w:val="nil"/>
            </w:tcBorders>
          </w:tcPr>
          <w:p w:rsidR="003865AC" w:rsidRDefault="003865AC">
            <w:pPr>
              <w:spacing w:before="0" w:after="0" w:line="300" w:lineRule="exact"/>
              <w:jc w:val="center"/>
              <w:rPr>
                <w:rFonts w:hint="cs"/>
                <w:sz w:val="24"/>
                <w:szCs w:val="24"/>
              </w:rPr>
            </w:pPr>
            <w:r>
              <w:rPr>
                <w:rFonts w:hint="cs"/>
                <w:sz w:val="24"/>
                <w:szCs w:val="24"/>
                <w:rtl/>
              </w:rPr>
              <w:t>6.4</w:t>
            </w:r>
          </w:p>
        </w:tc>
        <w:tc>
          <w:tcPr>
            <w:tcW w:w="1260" w:type="dxa"/>
            <w:tcBorders>
              <w:bottom w:val="nil"/>
            </w:tcBorders>
          </w:tcPr>
          <w:p w:rsidR="003865AC" w:rsidRDefault="003865AC">
            <w:pPr>
              <w:spacing w:before="0" w:after="0" w:line="300" w:lineRule="exact"/>
              <w:jc w:val="center"/>
              <w:rPr>
                <w:rFonts w:hint="cs"/>
                <w:sz w:val="24"/>
                <w:szCs w:val="24"/>
              </w:rPr>
            </w:pPr>
            <w:r>
              <w:rPr>
                <w:rFonts w:hint="cs"/>
                <w:sz w:val="24"/>
                <w:szCs w:val="24"/>
                <w:rtl/>
              </w:rPr>
              <w:t>7.0</w:t>
            </w:r>
          </w:p>
        </w:tc>
        <w:tc>
          <w:tcPr>
            <w:tcW w:w="1440" w:type="dxa"/>
            <w:tcBorders>
              <w:bottom w:val="nil"/>
            </w:tcBorders>
          </w:tcPr>
          <w:p w:rsidR="003865AC" w:rsidRDefault="003865AC">
            <w:pPr>
              <w:spacing w:before="0" w:after="0" w:line="300" w:lineRule="exact"/>
              <w:jc w:val="center"/>
              <w:rPr>
                <w:rFonts w:hint="cs"/>
                <w:sz w:val="24"/>
                <w:szCs w:val="24"/>
              </w:rPr>
            </w:pPr>
            <w:r>
              <w:rPr>
                <w:rFonts w:hint="cs"/>
                <w:sz w:val="24"/>
                <w:szCs w:val="24"/>
                <w:rtl/>
              </w:rPr>
              <w:t>7.3</w:t>
            </w:r>
          </w:p>
        </w:tc>
        <w:tc>
          <w:tcPr>
            <w:tcW w:w="1188" w:type="dxa"/>
            <w:tcBorders>
              <w:bottom w:val="nil"/>
            </w:tcBorders>
          </w:tcPr>
          <w:p w:rsidR="003865AC" w:rsidRDefault="003865AC">
            <w:pPr>
              <w:spacing w:before="0" w:after="0" w:line="300" w:lineRule="exact"/>
              <w:jc w:val="center"/>
              <w:rPr>
                <w:rFonts w:hint="cs"/>
                <w:sz w:val="24"/>
                <w:szCs w:val="24"/>
              </w:rPr>
            </w:pPr>
            <w:r>
              <w:rPr>
                <w:rFonts w:hint="cs"/>
                <w:sz w:val="24"/>
                <w:szCs w:val="24"/>
                <w:rtl/>
              </w:rPr>
              <w:t>7.9</w:t>
            </w:r>
          </w:p>
        </w:tc>
      </w:tr>
      <w:tr w:rsidR="003865AC" w:rsidTr="003865AC">
        <w:tblPrEx>
          <w:tblCellMar>
            <w:top w:w="0" w:type="dxa"/>
            <w:bottom w:w="0" w:type="dxa"/>
          </w:tblCellMar>
        </w:tblPrEx>
        <w:tc>
          <w:tcPr>
            <w:tcW w:w="3522"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صفر-4</w:t>
            </w:r>
          </w:p>
        </w:tc>
        <w:tc>
          <w:tcPr>
            <w:tcW w:w="1080"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4.1</w:t>
            </w:r>
          </w:p>
        </w:tc>
        <w:tc>
          <w:tcPr>
            <w:tcW w:w="1080"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3.5</w:t>
            </w:r>
          </w:p>
        </w:tc>
        <w:tc>
          <w:tcPr>
            <w:tcW w:w="1260"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3.5</w:t>
            </w:r>
          </w:p>
        </w:tc>
        <w:tc>
          <w:tcPr>
            <w:tcW w:w="1440"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3.1</w:t>
            </w:r>
          </w:p>
        </w:tc>
        <w:tc>
          <w:tcPr>
            <w:tcW w:w="1188"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3.2</w:t>
            </w:r>
          </w:p>
        </w:tc>
      </w:tr>
      <w:tr w:rsidR="003865AC" w:rsidTr="003865AC">
        <w:tblPrEx>
          <w:tblCellMar>
            <w:top w:w="0" w:type="dxa"/>
            <w:bottom w:w="0" w:type="dxa"/>
          </w:tblCellMar>
        </w:tblPrEx>
        <w:tc>
          <w:tcPr>
            <w:tcW w:w="3522"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5-9</w:t>
            </w:r>
          </w:p>
        </w:tc>
        <w:tc>
          <w:tcPr>
            <w:tcW w:w="1080"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0.3</w:t>
            </w:r>
          </w:p>
        </w:tc>
        <w:tc>
          <w:tcPr>
            <w:tcW w:w="1080"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0.2</w:t>
            </w:r>
          </w:p>
        </w:tc>
        <w:tc>
          <w:tcPr>
            <w:tcW w:w="1260"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0.2</w:t>
            </w:r>
          </w:p>
        </w:tc>
        <w:tc>
          <w:tcPr>
            <w:tcW w:w="1440"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0.2</w:t>
            </w:r>
          </w:p>
        </w:tc>
        <w:tc>
          <w:tcPr>
            <w:tcW w:w="1188"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0.2</w:t>
            </w:r>
          </w:p>
        </w:tc>
      </w:tr>
      <w:tr w:rsidR="003865AC" w:rsidTr="003865AC">
        <w:tblPrEx>
          <w:tblCellMar>
            <w:top w:w="0" w:type="dxa"/>
            <w:bottom w:w="0" w:type="dxa"/>
          </w:tblCellMar>
        </w:tblPrEx>
        <w:tc>
          <w:tcPr>
            <w:tcW w:w="3522"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10-14</w:t>
            </w:r>
          </w:p>
        </w:tc>
        <w:tc>
          <w:tcPr>
            <w:tcW w:w="1080"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0.3</w:t>
            </w:r>
          </w:p>
        </w:tc>
        <w:tc>
          <w:tcPr>
            <w:tcW w:w="1080"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0.1</w:t>
            </w:r>
          </w:p>
        </w:tc>
        <w:tc>
          <w:tcPr>
            <w:tcW w:w="1260"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0.1</w:t>
            </w:r>
          </w:p>
        </w:tc>
        <w:tc>
          <w:tcPr>
            <w:tcW w:w="1440"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0.2</w:t>
            </w:r>
          </w:p>
        </w:tc>
        <w:tc>
          <w:tcPr>
            <w:tcW w:w="1188"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0.2</w:t>
            </w:r>
          </w:p>
        </w:tc>
      </w:tr>
      <w:tr w:rsidR="003865AC" w:rsidTr="003865AC">
        <w:tblPrEx>
          <w:tblCellMar>
            <w:top w:w="0" w:type="dxa"/>
            <w:bottom w:w="0" w:type="dxa"/>
          </w:tblCellMar>
        </w:tblPrEx>
        <w:tc>
          <w:tcPr>
            <w:tcW w:w="3522"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15-19</w:t>
            </w:r>
          </w:p>
        </w:tc>
        <w:tc>
          <w:tcPr>
            <w:tcW w:w="1080"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0.6</w:t>
            </w:r>
          </w:p>
        </w:tc>
        <w:tc>
          <w:tcPr>
            <w:tcW w:w="1080"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0.3</w:t>
            </w:r>
          </w:p>
        </w:tc>
        <w:tc>
          <w:tcPr>
            <w:tcW w:w="1260"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0.3</w:t>
            </w:r>
          </w:p>
        </w:tc>
        <w:tc>
          <w:tcPr>
            <w:tcW w:w="1440"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0.4</w:t>
            </w:r>
          </w:p>
        </w:tc>
        <w:tc>
          <w:tcPr>
            <w:tcW w:w="1188" w:type="dxa"/>
            <w:tcBorders>
              <w:top w:val="nil"/>
              <w:bottom w:val="nil"/>
            </w:tcBorders>
          </w:tcPr>
          <w:p w:rsidR="003865AC" w:rsidRDefault="003865AC">
            <w:pPr>
              <w:spacing w:before="0" w:after="0" w:line="300" w:lineRule="exact"/>
              <w:jc w:val="center"/>
              <w:rPr>
                <w:rFonts w:hint="cs"/>
                <w:sz w:val="24"/>
                <w:szCs w:val="24"/>
              </w:rPr>
            </w:pPr>
            <w:r>
              <w:rPr>
                <w:rFonts w:hint="cs"/>
                <w:sz w:val="24"/>
                <w:szCs w:val="24"/>
                <w:rtl/>
              </w:rPr>
              <w:t>0.4</w:t>
            </w:r>
          </w:p>
        </w:tc>
      </w:tr>
      <w:tr w:rsidR="003865AC" w:rsidTr="003865AC">
        <w:tblPrEx>
          <w:tblCellMar>
            <w:top w:w="0" w:type="dxa"/>
            <w:bottom w:w="0" w:type="dxa"/>
          </w:tblCellMar>
        </w:tblPrEx>
        <w:tc>
          <w:tcPr>
            <w:tcW w:w="3522"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20-24</w:t>
            </w:r>
          </w:p>
        </w:tc>
        <w:tc>
          <w:tcPr>
            <w:tcW w:w="108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1.0</w:t>
            </w:r>
          </w:p>
        </w:tc>
        <w:tc>
          <w:tcPr>
            <w:tcW w:w="108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0.6</w:t>
            </w:r>
          </w:p>
        </w:tc>
        <w:tc>
          <w:tcPr>
            <w:tcW w:w="126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0.6</w:t>
            </w:r>
          </w:p>
        </w:tc>
        <w:tc>
          <w:tcPr>
            <w:tcW w:w="144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0.7</w:t>
            </w:r>
          </w:p>
        </w:tc>
        <w:tc>
          <w:tcPr>
            <w:tcW w:w="1188"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0.6</w:t>
            </w:r>
          </w:p>
        </w:tc>
      </w:tr>
      <w:tr w:rsidR="003865AC" w:rsidTr="003865AC">
        <w:tblPrEx>
          <w:tblCellMar>
            <w:top w:w="0" w:type="dxa"/>
            <w:bottom w:w="0" w:type="dxa"/>
          </w:tblCellMar>
        </w:tblPrEx>
        <w:tc>
          <w:tcPr>
            <w:tcW w:w="3522"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25-29</w:t>
            </w:r>
          </w:p>
        </w:tc>
        <w:tc>
          <w:tcPr>
            <w:tcW w:w="108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1.3</w:t>
            </w:r>
          </w:p>
        </w:tc>
        <w:tc>
          <w:tcPr>
            <w:tcW w:w="108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0.9</w:t>
            </w:r>
          </w:p>
        </w:tc>
        <w:tc>
          <w:tcPr>
            <w:tcW w:w="126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0.9</w:t>
            </w:r>
          </w:p>
        </w:tc>
        <w:tc>
          <w:tcPr>
            <w:tcW w:w="144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0.9</w:t>
            </w:r>
          </w:p>
        </w:tc>
        <w:tc>
          <w:tcPr>
            <w:tcW w:w="1188"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0.9</w:t>
            </w:r>
          </w:p>
        </w:tc>
      </w:tr>
      <w:tr w:rsidR="003865AC" w:rsidTr="003865AC">
        <w:tblPrEx>
          <w:tblCellMar>
            <w:top w:w="0" w:type="dxa"/>
            <w:bottom w:w="0" w:type="dxa"/>
          </w:tblCellMar>
        </w:tblPrEx>
        <w:tc>
          <w:tcPr>
            <w:tcW w:w="3522"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30-34</w:t>
            </w:r>
          </w:p>
        </w:tc>
        <w:tc>
          <w:tcPr>
            <w:tcW w:w="108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1.6</w:t>
            </w:r>
          </w:p>
        </w:tc>
        <w:tc>
          <w:tcPr>
            <w:tcW w:w="108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1.2</w:t>
            </w:r>
          </w:p>
        </w:tc>
        <w:tc>
          <w:tcPr>
            <w:tcW w:w="126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1.3</w:t>
            </w:r>
          </w:p>
        </w:tc>
        <w:tc>
          <w:tcPr>
            <w:tcW w:w="144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1.2</w:t>
            </w:r>
          </w:p>
        </w:tc>
        <w:tc>
          <w:tcPr>
            <w:tcW w:w="1188"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1.2</w:t>
            </w:r>
          </w:p>
        </w:tc>
      </w:tr>
      <w:tr w:rsidR="003865AC" w:rsidTr="003865AC">
        <w:tblPrEx>
          <w:tblCellMar>
            <w:top w:w="0" w:type="dxa"/>
            <w:bottom w:w="0" w:type="dxa"/>
          </w:tblCellMar>
        </w:tblPrEx>
        <w:tc>
          <w:tcPr>
            <w:tcW w:w="3522"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35-39</w:t>
            </w:r>
          </w:p>
        </w:tc>
        <w:tc>
          <w:tcPr>
            <w:tcW w:w="108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2.2</w:t>
            </w:r>
          </w:p>
        </w:tc>
        <w:tc>
          <w:tcPr>
            <w:tcW w:w="108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1.7</w:t>
            </w:r>
          </w:p>
        </w:tc>
        <w:tc>
          <w:tcPr>
            <w:tcW w:w="126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1.9</w:t>
            </w:r>
          </w:p>
        </w:tc>
        <w:tc>
          <w:tcPr>
            <w:tcW w:w="144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1.8</w:t>
            </w:r>
          </w:p>
        </w:tc>
        <w:tc>
          <w:tcPr>
            <w:tcW w:w="1188"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1.8</w:t>
            </w:r>
          </w:p>
        </w:tc>
      </w:tr>
      <w:tr w:rsidR="003865AC" w:rsidTr="003865AC">
        <w:tblPrEx>
          <w:tblCellMar>
            <w:top w:w="0" w:type="dxa"/>
            <w:bottom w:w="0" w:type="dxa"/>
          </w:tblCellMar>
        </w:tblPrEx>
        <w:tc>
          <w:tcPr>
            <w:tcW w:w="3522"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40-44</w:t>
            </w:r>
          </w:p>
        </w:tc>
        <w:tc>
          <w:tcPr>
            <w:tcW w:w="108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3.2</w:t>
            </w:r>
          </w:p>
        </w:tc>
        <w:tc>
          <w:tcPr>
            <w:tcW w:w="108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2.6</w:t>
            </w:r>
          </w:p>
        </w:tc>
        <w:tc>
          <w:tcPr>
            <w:tcW w:w="126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2.5</w:t>
            </w:r>
          </w:p>
        </w:tc>
        <w:tc>
          <w:tcPr>
            <w:tcW w:w="144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2.6</w:t>
            </w:r>
          </w:p>
        </w:tc>
        <w:tc>
          <w:tcPr>
            <w:tcW w:w="1188"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2.6</w:t>
            </w:r>
          </w:p>
        </w:tc>
      </w:tr>
      <w:tr w:rsidR="003865AC" w:rsidTr="003865AC">
        <w:tblPrEx>
          <w:tblCellMar>
            <w:top w:w="0" w:type="dxa"/>
            <w:bottom w:w="0" w:type="dxa"/>
          </w:tblCellMar>
        </w:tblPrEx>
        <w:tc>
          <w:tcPr>
            <w:tcW w:w="3522"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45-49</w:t>
            </w:r>
          </w:p>
        </w:tc>
        <w:tc>
          <w:tcPr>
            <w:tcW w:w="108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5.0</w:t>
            </w:r>
          </w:p>
        </w:tc>
        <w:tc>
          <w:tcPr>
            <w:tcW w:w="108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3.4</w:t>
            </w:r>
          </w:p>
        </w:tc>
        <w:tc>
          <w:tcPr>
            <w:tcW w:w="126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3.4</w:t>
            </w:r>
          </w:p>
        </w:tc>
        <w:tc>
          <w:tcPr>
            <w:tcW w:w="144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3.5</w:t>
            </w:r>
          </w:p>
        </w:tc>
        <w:tc>
          <w:tcPr>
            <w:tcW w:w="1188"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3.6</w:t>
            </w:r>
          </w:p>
        </w:tc>
      </w:tr>
      <w:tr w:rsidR="003865AC" w:rsidTr="003865AC">
        <w:tblPrEx>
          <w:tblCellMar>
            <w:top w:w="0" w:type="dxa"/>
            <w:bottom w:w="0" w:type="dxa"/>
          </w:tblCellMar>
        </w:tblPrEx>
        <w:tc>
          <w:tcPr>
            <w:tcW w:w="3522"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50-54</w:t>
            </w:r>
          </w:p>
        </w:tc>
        <w:tc>
          <w:tcPr>
            <w:tcW w:w="108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7.4</w:t>
            </w:r>
          </w:p>
        </w:tc>
        <w:tc>
          <w:tcPr>
            <w:tcW w:w="108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5.5</w:t>
            </w:r>
          </w:p>
        </w:tc>
        <w:tc>
          <w:tcPr>
            <w:tcW w:w="126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4.9</w:t>
            </w:r>
          </w:p>
        </w:tc>
        <w:tc>
          <w:tcPr>
            <w:tcW w:w="144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5.2</w:t>
            </w:r>
          </w:p>
        </w:tc>
        <w:tc>
          <w:tcPr>
            <w:tcW w:w="1188"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5.3</w:t>
            </w:r>
          </w:p>
        </w:tc>
      </w:tr>
      <w:tr w:rsidR="003865AC" w:rsidTr="003865AC">
        <w:tblPrEx>
          <w:tblCellMar>
            <w:top w:w="0" w:type="dxa"/>
            <w:bottom w:w="0" w:type="dxa"/>
          </w:tblCellMar>
        </w:tblPrEx>
        <w:tc>
          <w:tcPr>
            <w:tcW w:w="3522"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55-59</w:t>
            </w:r>
          </w:p>
        </w:tc>
        <w:tc>
          <w:tcPr>
            <w:tcW w:w="108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11.0</w:t>
            </w:r>
          </w:p>
        </w:tc>
        <w:tc>
          <w:tcPr>
            <w:tcW w:w="108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7.9</w:t>
            </w:r>
          </w:p>
        </w:tc>
        <w:tc>
          <w:tcPr>
            <w:tcW w:w="126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7.6</w:t>
            </w:r>
          </w:p>
        </w:tc>
        <w:tc>
          <w:tcPr>
            <w:tcW w:w="144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7.3</w:t>
            </w:r>
          </w:p>
        </w:tc>
        <w:tc>
          <w:tcPr>
            <w:tcW w:w="1188"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7.1</w:t>
            </w:r>
          </w:p>
        </w:tc>
      </w:tr>
      <w:tr w:rsidR="003865AC" w:rsidTr="003865AC">
        <w:tblPrEx>
          <w:tblCellMar>
            <w:top w:w="0" w:type="dxa"/>
            <w:bottom w:w="0" w:type="dxa"/>
          </w:tblCellMar>
        </w:tblPrEx>
        <w:tc>
          <w:tcPr>
            <w:tcW w:w="3522"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60-64</w:t>
            </w:r>
          </w:p>
        </w:tc>
        <w:tc>
          <w:tcPr>
            <w:tcW w:w="108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17.1</w:t>
            </w:r>
          </w:p>
        </w:tc>
        <w:tc>
          <w:tcPr>
            <w:tcW w:w="108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11.7</w:t>
            </w:r>
          </w:p>
        </w:tc>
        <w:tc>
          <w:tcPr>
            <w:tcW w:w="126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13.1</w:t>
            </w:r>
          </w:p>
        </w:tc>
        <w:tc>
          <w:tcPr>
            <w:tcW w:w="144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12.8</w:t>
            </w:r>
          </w:p>
        </w:tc>
        <w:tc>
          <w:tcPr>
            <w:tcW w:w="1188"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13.7</w:t>
            </w:r>
          </w:p>
        </w:tc>
      </w:tr>
      <w:tr w:rsidR="003865AC" w:rsidTr="003865AC">
        <w:tblPrEx>
          <w:tblCellMar>
            <w:top w:w="0" w:type="dxa"/>
            <w:bottom w:w="0" w:type="dxa"/>
          </w:tblCellMar>
        </w:tblPrEx>
        <w:tc>
          <w:tcPr>
            <w:tcW w:w="3522"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65-69</w:t>
            </w:r>
          </w:p>
        </w:tc>
        <w:tc>
          <w:tcPr>
            <w:tcW w:w="108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24.6</w:t>
            </w:r>
          </w:p>
        </w:tc>
        <w:tc>
          <w:tcPr>
            <w:tcW w:w="108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17.9</w:t>
            </w:r>
          </w:p>
        </w:tc>
        <w:tc>
          <w:tcPr>
            <w:tcW w:w="126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19.5</w:t>
            </w:r>
          </w:p>
        </w:tc>
        <w:tc>
          <w:tcPr>
            <w:tcW w:w="1440"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20.9</w:t>
            </w:r>
          </w:p>
        </w:tc>
        <w:tc>
          <w:tcPr>
            <w:tcW w:w="1188" w:type="dxa"/>
            <w:tcBorders>
              <w:top w:val="nil"/>
              <w:bottom w:val="nil"/>
            </w:tcBorders>
          </w:tcPr>
          <w:p w:rsidR="003865AC" w:rsidRDefault="003865AC">
            <w:pPr>
              <w:spacing w:before="0" w:after="0" w:line="300" w:lineRule="exact"/>
              <w:jc w:val="center"/>
              <w:rPr>
                <w:rFonts w:hint="cs"/>
                <w:sz w:val="24"/>
                <w:szCs w:val="24"/>
                <w:rtl/>
              </w:rPr>
            </w:pPr>
            <w:r>
              <w:rPr>
                <w:rFonts w:hint="cs"/>
                <w:sz w:val="24"/>
                <w:szCs w:val="24"/>
                <w:rtl/>
              </w:rPr>
              <w:t>22.0</w:t>
            </w:r>
          </w:p>
        </w:tc>
      </w:tr>
      <w:tr w:rsidR="003865AC" w:rsidTr="003865AC">
        <w:tblPrEx>
          <w:tblCellMar>
            <w:top w:w="0" w:type="dxa"/>
            <w:bottom w:w="0" w:type="dxa"/>
          </w:tblCellMar>
        </w:tblPrEx>
        <w:tc>
          <w:tcPr>
            <w:tcW w:w="3522" w:type="dxa"/>
            <w:tcBorders>
              <w:top w:val="nil"/>
            </w:tcBorders>
          </w:tcPr>
          <w:p w:rsidR="003865AC" w:rsidRDefault="003865AC">
            <w:pPr>
              <w:spacing w:before="0" w:after="0" w:line="300" w:lineRule="exact"/>
              <w:jc w:val="center"/>
              <w:rPr>
                <w:rFonts w:hint="cs"/>
                <w:sz w:val="24"/>
                <w:szCs w:val="24"/>
                <w:rtl/>
              </w:rPr>
            </w:pPr>
            <w:r>
              <w:rPr>
                <w:rFonts w:hint="cs"/>
                <w:sz w:val="24"/>
                <w:szCs w:val="24"/>
                <w:rtl/>
              </w:rPr>
              <w:t>70+</w:t>
            </w:r>
          </w:p>
        </w:tc>
        <w:tc>
          <w:tcPr>
            <w:tcW w:w="1080" w:type="dxa"/>
            <w:tcBorders>
              <w:top w:val="nil"/>
            </w:tcBorders>
          </w:tcPr>
          <w:p w:rsidR="003865AC" w:rsidRDefault="003865AC">
            <w:pPr>
              <w:spacing w:before="0" w:after="0" w:line="300" w:lineRule="exact"/>
              <w:jc w:val="center"/>
              <w:rPr>
                <w:rFonts w:hint="cs"/>
                <w:sz w:val="24"/>
                <w:szCs w:val="24"/>
                <w:rtl/>
              </w:rPr>
            </w:pPr>
            <w:r>
              <w:rPr>
                <w:rFonts w:hint="cs"/>
                <w:sz w:val="24"/>
                <w:szCs w:val="24"/>
                <w:rtl/>
              </w:rPr>
              <w:t>72.6</w:t>
            </w:r>
          </w:p>
        </w:tc>
        <w:tc>
          <w:tcPr>
            <w:tcW w:w="1080" w:type="dxa"/>
            <w:tcBorders>
              <w:top w:val="nil"/>
            </w:tcBorders>
          </w:tcPr>
          <w:p w:rsidR="003865AC" w:rsidRDefault="003865AC">
            <w:pPr>
              <w:spacing w:before="0" w:after="0" w:line="300" w:lineRule="exact"/>
              <w:jc w:val="center"/>
              <w:rPr>
                <w:rFonts w:hint="cs"/>
                <w:sz w:val="24"/>
                <w:szCs w:val="24"/>
                <w:rtl/>
              </w:rPr>
            </w:pPr>
            <w:r>
              <w:rPr>
                <w:rFonts w:hint="cs"/>
                <w:sz w:val="24"/>
                <w:szCs w:val="24"/>
                <w:rtl/>
              </w:rPr>
              <w:t>45.0</w:t>
            </w:r>
          </w:p>
        </w:tc>
        <w:tc>
          <w:tcPr>
            <w:tcW w:w="1260" w:type="dxa"/>
            <w:tcBorders>
              <w:top w:val="nil"/>
            </w:tcBorders>
          </w:tcPr>
          <w:p w:rsidR="003865AC" w:rsidRDefault="003865AC">
            <w:pPr>
              <w:spacing w:before="0" w:after="0" w:line="300" w:lineRule="exact"/>
              <w:jc w:val="center"/>
              <w:rPr>
                <w:rFonts w:hint="cs"/>
                <w:sz w:val="24"/>
                <w:szCs w:val="24"/>
                <w:rtl/>
              </w:rPr>
            </w:pPr>
            <w:r>
              <w:rPr>
                <w:rFonts w:hint="cs"/>
                <w:sz w:val="24"/>
                <w:szCs w:val="24"/>
                <w:rtl/>
              </w:rPr>
              <w:t>68.0</w:t>
            </w:r>
          </w:p>
        </w:tc>
        <w:tc>
          <w:tcPr>
            <w:tcW w:w="1440" w:type="dxa"/>
            <w:tcBorders>
              <w:top w:val="nil"/>
            </w:tcBorders>
          </w:tcPr>
          <w:p w:rsidR="003865AC" w:rsidRDefault="003865AC">
            <w:pPr>
              <w:spacing w:before="0" w:after="0" w:line="300" w:lineRule="exact"/>
              <w:jc w:val="center"/>
              <w:rPr>
                <w:rFonts w:hint="cs"/>
                <w:sz w:val="24"/>
                <w:szCs w:val="24"/>
                <w:rtl/>
              </w:rPr>
            </w:pPr>
            <w:r>
              <w:rPr>
                <w:rFonts w:hint="cs"/>
                <w:sz w:val="24"/>
                <w:szCs w:val="24"/>
                <w:rtl/>
              </w:rPr>
              <w:t>48.1</w:t>
            </w:r>
          </w:p>
        </w:tc>
        <w:tc>
          <w:tcPr>
            <w:tcW w:w="1188" w:type="dxa"/>
            <w:tcBorders>
              <w:top w:val="nil"/>
            </w:tcBorders>
          </w:tcPr>
          <w:p w:rsidR="003865AC" w:rsidRDefault="003865AC">
            <w:pPr>
              <w:spacing w:before="0" w:after="0" w:line="300" w:lineRule="exact"/>
              <w:jc w:val="center"/>
              <w:rPr>
                <w:rFonts w:hint="cs"/>
                <w:sz w:val="24"/>
                <w:szCs w:val="24"/>
                <w:rtl/>
              </w:rPr>
            </w:pPr>
            <w:r>
              <w:rPr>
                <w:rFonts w:hint="cs"/>
                <w:sz w:val="24"/>
                <w:szCs w:val="24"/>
                <w:rtl/>
              </w:rPr>
              <w:t>52.4</w:t>
            </w:r>
          </w:p>
        </w:tc>
      </w:tr>
    </w:tbl>
    <w:p w:rsidR="00000000" w:rsidRDefault="003865AC">
      <w:pPr>
        <w:jc w:val="both"/>
        <w:rPr>
          <w:rFonts w:hint="cs"/>
          <w:rtl/>
        </w:rPr>
      </w:pPr>
      <w:r>
        <w:rPr>
          <w:rFonts w:hint="cs"/>
          <w:rtl/>
        </w:rPr>
        <w:tab/>
      </w:r>
      <w:r>
        <w:rPr>
          <w:rFonts w:hint="cs"/>
          <w:u w:val="single"/>
          <w:rtl/>
        </w:rPr>
        <w:t>المصدر</w:t>
      </w:r>
      <w:r>
        <w:rPr>
          <w:rFonts w:hint="cs"/>
          <w:rtl/>
        </w:rPr>
        <w:t>: حولية الإحصاءات الجورجية (2000) الصادرة عن مكتب الإحصاء الوطني.</w:t>
      </w:r>
    </w:p>
    <w:p w:rsidR="00000000" w:rsidRDefault="003865AC">
      <w:pPr>
        <w:jc w:val="center"/>
        <w:rPr>
          <w:rFonts w:hint="cs"/>
          <w:b/>
          <w:bCs/>
          <w:rtl/>
        </w:rPr>
      </w:pPr>
      <w:r>
        <w:rPr>
          <w:b/>
          <w:bCs/>
          <w:rtl/>
        </w:rPr>
        <w:br w:type="page"/>
      </w:r>
      <w:r>
        <w:rPr>
          <w:rFonts w:hint="cs"/>
          <w:b/>
          <w:bCs/>
          <w:rtl/>
        </w:rPr>
        <w:t xml:space="preserve">فئات الأمراض </w:t>
      </w:r>
      <w:r>
        <w:rPr>
          <w:rFonts w:hint="cs"/>
          <w:b/>
          <w:bCs/>
          <w:rtl/>
        </w:rPr>
        <w:t>الرئيسية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2"/>
        <w:gridCol w:w="1080"/>
        <w:gridCol w:w="1080"/>
        <w:gridCol w:w="1080"/>
        <w:gridCol w:w="900"/>
        <w:gridCol w:w="1008"/>
      </w:tblGrid>
      <w:tr w:rsidR="003865AC" w:rsidTr="003865AC">
        <w:tblPrEx>
          <w:tblCellMar>
            <w:top w:w="0" w:type="dxa"/>
            <w:bottom w:w="0" w:type="dxa"/>
          </w:tblCellMar>
        </w:tblPrEx>
        <w:tc>
          <w:tcPr>
            <w:tcW w:w="4422" w:type="dxa"/>
          </w:tcPr>
          <w:p w:rsidR="003865AC" w:rsidRDefault="003865AC">
            <w:pPr>
              <w:spacing w:before="0" w:after="0"/>
              <w:jc w:val="both"/>
            </w:pPr>
          </w:p>
        </w:tc>
        <w:tc>
          <w:tcPr>
            <w:tcW w:w="1080" w:type="dxa"/>
          </w:tcPr>
          <w:p w:rsidR="003865AC" w:rsidRDefault="003865AC">
            <w:pPr>
              <w:spacing w:before="0" w:after="0"/>
              <w:jc w:val="both"/>
              <w:rPr>
                <w:rFonts w:hint="cs"/>
                <w:b/>
                <w:bCs/>
              </w:rPr>
            </w:pPr>
            <w:r>
              <w:rPr>
                <w:rFonts w:hint="cs"/>
                <w:b/>
                <w:bCs/>
                <w:rtl/>
              </w:rPr>
              <w:t>1995</w:t>
            </w:r>
          </w:p>
        </w:tc>
        <w:tc>
          <w:tcPr>
            <w:tcW w:w="1080" w:type="dxa"/>
          </w:tcPr>
          <w:p w:rsidR="003865AC" w:rsidRDefault="003865AC">
            <w:pPr>
              <w:spacing w:before="0" w:after="0"/>
              <w:jc w:val="both"/>
              <w:rPr>
                <w:rFonts w:hint="cs"/>
                <w:b/>
                <w:bCs/>
              </w:rPr>
            </w:pPr>
            <w:r>
              <w:rPr>
                <w:rFonts w:hint="cs"/>
                <w:b/>
                <w:bCs/>
                <w:rtl/>
              </w:rPr>
              <w:t>1996</w:t>
            </w:r>
          </w:p>
        </w:tc>
        <w:tc>
          <w:tcPr>
            <w:tcW w:w="1080" w:type="dxa"/>
          </w:tcPr>
          <w:p w:rsidR="003865AC" w:rsidRDefault="003865AC">
            <w:pPr>
              <w:spacing w:before="0" w:after="0"/>
              <w:jc w:val="both"/>
              <w:rPr>
                <w:rFonts w:hint="cs"/>
                <w:b/>
                <w:bCs/>
              </w:rPr>
            </w:pPr>
            <w:r>
              <w:rPr>
                <w:rFonts w:hint="cs"/>
                <w:b/>
                <w:bCs/>
                <w:rtl/>
              </w:rPr>
              <w:t>1997</w:t>
            </w:r>
          </w:p>
        </w:tc>
        <w:tc>
          <w:tcPr>
            <w:tcW w:w="900" w:type="dxa"/>
          </w:tcPr>
          <w:p w:rsidR="003865AC" w:rsidRDefault="003865AC">
            <w:pPr>
              <w:spacing w:before="0" w:after="0"/>
              <w:jc w:val="both"/>
              <w:rPr>
                <w:rFonts w:hint="cs"/>
                <w:b/>
                <w:bCs/>
              </w:rPr>
            </w:pPr>
            <w:r>
              <w:rPr>
                <w:rFonts w:hint="cs"/>
                <w:b/>
                <w:bCs/>
                <w:rtl/>
              </w:rPr>
              <w:t>1998</w:t>
            </w:r>
          </w:p>
        </w:tc>
        <w:tc>
          <w:tcPr>
            <w:tcW w:w="1008" w:type="dxa"/>
          </w:tcPr>
          <w:p w:rsidR="003865AC" w:rsidRDefault="003865AC">
            <w:pPr>
              <w:spacing w:before="0" w:after="0"/>
              <w:jc w:val="both"/>
              <w:rPr>
                <w:rFonts w:hint="cs"/>
                <w:b/>
                <w:bCs/>
              </w:rPr>
            </w:pPr>
            <w:r>
              <w:rPr>
                <w:rFonts w:hint="cs"/>
                <w:b/>
                <w:bCs/>
                <w:rtl/>
              </w:rPr>
              <w:t>1999</w:t>
            </w:r>
          </w:p>
        </w:tc>
      </w:tr>
      <w:tr w:rsidR="003865AC" w:rsidTr="003865AC">
        <w:tblPrEx>
          <w:tblCellMar>
            <w:top w:w="0" w:type="dxa"/>
            <w:bottom w:w="0" w:type="dxa"/>
          </w:tblCellMar>
        </w:tblPrEx>
        <w:tc>
          <w:tcPr>
            <w:tcW w:w="4422" w:type="dxa"/>
            <w:tcBorders>
              <w:bottom w:val="nil"/>
            </w:tcBorders>
          </w:tcPr>
          <w:p w:rsidR="003865AC" w:rsidRDefault="003865AC">
            <w:pPr>
              <w:spacing w:before="0" w:after="0"/>
              <w:jc w:val="both"/>
              <w:rPr>
                <w:rFonts w:hint="cs"/>
                <w:sz w:val="24"/>
                <w:szCs w:val="24"/>
                <w:rtl/>
              </w:rPr>
            </w:pPr>
            <w:r>
              <w:rPr>
                <w:rFonts w:hint="cs"/>
                <w:sz w:val="24"/>
                <w:szCs w:val="24"/>
                <w:rtl/>
              </w:rPr>
              <w:t>الإصابة بالأمراض (التشخيص للمرة الأولى)</w:t>
            </w:r>
          </w:p>
          <w:p w:rsidR="003865AC" w:rsidRDefault="003865AC">
            <w:pPr>
              <w:spacing w:before="0" w:after="0"/>
              <w:jc w:val="both"/>
              <w:rPr>
                <w:rFonts w:hint="cs"/>
                <w:sz w:val="24"/>
                <w:szCs w:val="24"/>
                <w:rtl/>
              </w:rPr>
            </w:pPr>
            <w:r>
              <w:rPr>
                <w:rFonts w:hint="cs"/>
                <w:sz w:val="24"/>
                <w:szCs w:val="24"/>
                <w:rtl/>
              </w:rPr>
              <w:t>(آلاف الحالات)</w:t>
            </w:r>
          </w:p>
          <w:p w:rsidR="003865AC" w:rsidRDefault="003865AC">
            <w:pPr>
              <w:spacing w:before="0" w:after="0"/>
              <w:jc w:val="both"/>
              <w:rPr>
                <w:rFonts w:hint="cs"/>
                <w:sz w:val="24"/>
                <w:szCs w:val="24"/>
              </w:rPr>
            </w:pPr>
            <w:r>
              <w:rPr>
                <w:rFonts w:hint="cs"/>
                <w:sz w:val="24"/>
                <w:szCs w:val="24"/>
                <w:rtl/>
              </w:rPr>
              <w:t>منها:</w:t>
            </w:r>
          </w:p>
        </w:tc>
        <w:tc>
          <w:tcPr>
            <w:tcW w:w="1080" w:type="dxa"/>
            <w:tcBorders>
              <w:bottom w:val="nil"/>
            </w:tcBorders>
          </w:tcPr>
          <w:p w:rsidR="003865AC" w:rsidRDefault="003865AC">
            <w:pPr>
              <w:spacing w:before="0" w:after="0"/>
              <w:jc w:val="both"/>
              <w:rPr>
                <w:rFonts w:hint="cs"/>
                <w:sz w:val="24"/>
                <w:szCs w:val="24"/>
              </w:rPr>
            </w:pPr>
            <w:r>
              <w:rPr>
                <w:rFonts w:hint="cs"/>
                <w:sz w:val="24"/>
                <w:szCs w:val="24"/>
                <w:rtl/>
              </w:rPr>
              <w:t>778.5</w:t>
            </w:r>
          </w:p>
        </w:tc>
        <w:tc>
          <w:tcPr>
            <w:tcW w:w="1080" w:type="dxa"/>
            <w:tcBorders>
              <w:bottom w:val="nil"/>
            </w:tcBorders>
          </w:tcPr>
          <w:p w:rsidR="003865AC" w:rsidRDefault="003865AC">
            <w:pPr>
              <w:spacing w:before="0" w:after="0"/>
              <w:jc w:val="both"/>
              <w:rPr>
                <w:rFonts w:hint="cs"/>
                <w:sz w:val="24"/>
                <w:szCs w:val="24"/>
              </w:rPr>
            </w:pPr>
            <w:r>
              <w:rPr>
                <w:rFonts w:hint="cs"/>
                <w:sz w:val="24"/>
                <w:szCs w:val="24"/>
                <w:rtl/>
              </w:rPr>
              <w:t>401.5</w:t>
            </w:r>
          </w:p>
        </w:tc>
        <w:tc>
          <w:tcPr>
            <w:tcW w:w="1080" w:type="dxa"/>
            <w:tcBorders>
              <w:bottom w:val="nil"/>
            </w:tcBorders>
          </w:tcPr>
          <w:p w:rsidR="003865AC" w:rsidRDefault="003865AC">
            <w:pPr>
              <w:spacing w:before="0" w:after="0"/>
              <w:jc w:val="both"/>
              <w:rPr>
                <w:rFonts w:hint="cs"/>
                <w:sz w:val="24"/>
                <w:szCs w:val="24"/>
              </w:rPr>
            </w:pPr>
            <w:r>
              <w:rPr>
                <w:rFonts w:hint="cs"/>
                <w:sz w:val="24"/>
                <w:szCs w:val="24"/>
                <w:rtl/>
              </w:rPr>
              <w:t>366.6</w:t>
            </w:r>
          </w:p>
        </w:tc>
        <w:tc>
          <w:tcPr>
            <w:tcW w:w="900" w:type="dxa"/>
            <w:tcBorders>
              <w:bottom w:val="nil"/>
            </w:tcBorders>
          </w:tcPr>
          <w:p w:rsidR="003865AC" w:rsidRDefault="003865AC">
            <w:pPr>
              <w:spacing w:before="0" w:after="0"/>
              <w:jc w:val="both"/>
              <w:rPr>
                <w:rFonts w:hint="cs"/>
                <w:sz w:val="24"/>
                <w:szCs w:val="24"/>
              </w:rPr>
            </w:pPr>
            <w:r>
              <w:rPr>
                <w:rFonts w:hint="cs"/>
                <w:sz w:val="24"/>
                <w:szCs w:val="24"/>
                <w:rtl/>
              </w:rPr>
              <w:t>433.7</w:t>
            </w:r>
          </w:p>
        </w:tc>
        <w:tc>
          <w:tcPr>
            <w:tcW w:w="1008" w:type="dxa"/>
            <w:tcBorders>
              <w:bottom w:val="nil"/>
            </w:tcBorders>
          </w:tcPr>
          <w:p w:rsidR="003865AC" w:rsidRDefault="003865AC">
            <w:pPr>
              <w:spacing w:before="0" w:after="0"/>
              <w:jc w:val="both"/>
              <w:rPr>
                <w:rFonts w:hint="cs"/>
                <w:sz w:val="24"/>
                <w:szCs w:val="24"/>
              </w:rPr>
            </w:pPr>
            <w:r>
              <w:rPr>
                <w:rFonts w:hint="cs"/>
                <w:sz w:val="24"/>
                <w:szCs w:val="24"/>
                <w:rtl/>
              </w:rPr>
              <w:t>440.1</w:t>
            </w:r>
          </w:p>
        </w:tc>
      </w:tr>
      <w:tr w:rsidR="003865AC" w:rsidTr="003865AC">
        <w:tblPrEx>
          <w:tblCellMar>
            <w:top w:w="0" w:type="dxa"/>
            <w:bottom w:w="0" w:type="dxa"/>
          </w:tblCellMar>
        </w:tblPrEx>
        <w:tc>
          <w:tcPr>
            <w:tcW w:w="4422" w:type="dxa"/>
            <w:tcBorders>
              <w:top w:val="nil"/>
              <w:bottom w:val="nil"/>
            </w:tcBorders>
          </w:tcPr>
          <w:p w:rsidR="003865AC" w:rsidRDefault="003865AC">
            <w:pPr>
              <w:spacing w:before="0" w:after="0"/>
              <w:jc w:val="both"/>
              <w:rPr>
                <w:rFonts w:hint="cs"/>
                <w:sz w:val="24"/>
                <w:szCs w:val="24"/>
              </w:rPr>
            </w:pPr>
            <w:r>
              <w:rPr>
                <w:rFonts w:hint="cs"/>
                <w:sz w:val="24"/>
                <w:szCs w:val="24"/>
                <w:rtl/>
              </w:rPr>
              <w:t>الأمراض المعدية والطفيلية</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19.4</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35.5</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38.1</w:t>
            </w:r>
          </w:p>
        </w:tc>
        <w:tc>
          <w:tcPr>
            <w:tcW w:w="900" w:type="dxa"/>
            <w:tcBorders>
              <w:top w:val="nil"/>
              <w:bottom w:val="nil"/>
            </w:tcBorders>
          </w:tcPr>
          <w:p w:rsidR="003865AC" w:rsidRDefault="003865AC">
            <w:pPr>
              <w:spacing w:before="0" w:after="0"/>
              <w:jc w:val="both"/>
              <w:rPr>
                <w:rFonts w:hint="cs"/>
                <w:sz w:val="24"/>
                <w:szCs w:val="24"/>
              </w:rPr>
            </w:pPr>
            <w:r>
              <w:rPr>
                <w:rFonts w:hint="cs"/>
                <w:sz w:val="24"/>
                <w:szCs w:val="24"/>
                <w:rtl/>
              </w:rPr>
              <w:t>37.6</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33.0</w:t>
            </w:r>
          </w:p>
        </w:tc>
      </w:tr>
      <w:tr w:rsidR="003865AC" w:rsidTr="003865AC">
        <w:tblPrEx>
          <w:tblCellMar>
            <w:top w:w="0" w:type="dxa"/>
            <w:bottom w:w="0" w:type="dxa"/>
          </w:tblCellMar>
        </w:tblPrEx>
        <w:tc>
          <w:tcPr>
            <w:tcW w:w="4422" w:type="dxa"/>
            <w:tcBorders>
              <w:top w:val="nil"/>
              <w:bottom w:val="nil"/>
            </w:tcBorders>
          </w:tcPr>
          <w:p w:rsidR="003865AC" w:rsidRDefault="003865AC">
            <w:pPr>
              <w:spacing w:before="0" w:after="0"/>
              <w:jc w:val="both"/>
              <w:rPr>
                <w:rFonts w:hint="cs"/>
                <w:sz w:val="24"/>
                <w:szCs w:val="24"/>
              </w:rPr>
            </w:pPr>
            <w:r>
              <w:rPr>
                <w:rFonts w:hint="cs"/>
                <w:sz w:val="24"/>
                <w:szCs w:val="24"/>
                <w:rtl/>
              </w:rPr>
              <w:t>الأورام</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3.2</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3.8</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4.2</w:t>
            </w:r>
          </w:p>
        </w:tc>
        <w:tc>
          <w:tcPr>
            <w:tcW w:w="900" w:type="dxa"/>
            <w:tcBorders>
              <w:top w:val="nil"/>
              <w:bottom w:val="nil"/>
            </w:tcBorders>
          </w:tcPr>
          <w:p w:rsidR="003865AC" w:rsidRDefault="003865AC">
            <w:pPr>
              <w:spacing w:before="0" w:after="0"/>
              <w:jc w:val="both"/>
              <w:rPr>
                <w:rFonts w:hint="cs"/>
                <w:sz w:val="24"/>
                <w:szCs w:val="24"/>
              </w:rPr>
            </w:pPr>
            <w:r>
              <w:rPr>
                <w:rFonts w:hint="cs"/>
                <w:sz w:val="24"/>
                <w:szCs w:val="24"/>
                <w:rtl/>
              </w:rPr>
              <w:t>5.6</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6.2</w:t>
            </w:r>
          </w:p>
        </w:tc>
      </w:tr>
      <w:tr w:rsidR="003865AC" w:rsidTr="003865AC">
        <w:tblPrEx>
          <w:tblCellMar>
            <w:top w:w="0" w:type="dxa"/>
            <w:bottom w:w="0" w:type="dxa"/>
          </w:tblCellMar>
        </w:tblPrEx>
        <w:tc>
          <w:tcPr>
            <w:tcW w:w="4422" w:type="dxa"/>
            <w:tcBorders>
              <w:top w:val="nil"/>
              <w:bottom w:val="nil"/>
            </w:tcBorders>
          </w:tcPr>
          <w:p w:rsidR="003865AC" w:rsidRDefault="003865AC">
            <w:pPr>
              <w:spacing w:before="0" w:after="0"/>
              <w:jc w:val="both"/>
              <w:rPr>
                <w:rFonts w:hint="cs"/>
                <w:sz w:val="24"/>
                <w:szCs w:val="24"/>
              </w:rPr>
            </w:pPr>
            <w:r>
              <w:rPr>
                <w:rFonts w:hint="cs"/>
                <w:sz w:val="24"/>
                <w:szCs w:val="24"/>
                <w:rtl/>
              </w:rPr>
              <w:t>أمراض الغدة الصماء والاضطرابات الاستقلابية</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9.3</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14.8</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25.4</w:t>
            </w:r>
          </w:p>
        </w:tc>
        <w:tc>
          <w:tcPr>
            <w:tcW w:w="900" w:type="dxa"/>
            <w:tcBorders>
              <w:top w:val="nil"/>
              <w:bottom w:val="nil"/>
            </w:tcBorders>
          </w:tcPr>
          <w:p w:rsidR="003865AC" w:rsidRDefault="003865AC">
            <w:pPr>
              <w:spacing w:before="0" w:after="0"/>
              <w:jc w:val="both"/>
              <w:rPr>
                <w:rFonts w:hint="cs"/>
                <w:sz w:val="24"/>
                <w:szCs w:val="24"/>
              </w:rPr>
            </w:pPr>
            <w:r>
              <w:rPr>
                <w:rFonts w:hint="cs"/>
                <w:sz w:val="24"/>
                <w:szCs w:val="24"/>
                <w:rtl/>
              </w:rPr>
              <w:t>42.6</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33.9</w:t>
            </w:r>
          </w:p>
        </w:tc>
      </w:tr>
      <w:tr w:rsidR="003865AC" w:rsidTr="003865AC">
        <w:tblPrEx>
          <w:tblCellMar>
            <w:top w:w="0" w:type="dxa"/>
            <w:bottom w:w="0" w:type="dxa"/>
          </w:tblCellMar>
        </w:tblPrEx>
        <w:tc>
          <w:tcPr>
            <w:tcW w:w="4422" w:type="dxa"/>
            <w:tcBorders>
              <w:top w:val="nil"/>
              <w:bottom w:val="nil"/>
            </w:tcBorders>
          </w:tcPr>
          <w:p w:rsidR="003865AC" w:rsidRDefault="003865AC">
            <w:pPr>
              <w:spacing w:before="0" w:after="0"/>
              <w:jc w:val="both"/>
              <w:rPr>
                <w:rFonts w:hint="cs"/>
                <w:sz w:val="24"/>
                <w:szCs w:val="24"/>
              </w:rPr>
            </w:pPr>
            <w:r>
              <w:rPr>
                <w:rFonts w:hint="cs"/>
                <w:sz w:val="24"/>
                <w:szCs w:val="24"/>
                <w:rtl/>
              </w:rPr>
              <w:t>أمراض الدم وأجهزة تكوين الدم</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3.5</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5.0</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4.8</w:t>
            </w:r>
          </w:p>
        </w:tc>
        <w:tc>
          <w:tcPr>
            <w:tcW w:w="900" w:type="dxa"/>
            <w:tcBorders>
              <w:top w:val="nil"/>
              <w:bottom w:val="nil"/>
            </w:tcBorders>
          </w:tcPr>
          <w:p w:rsidR="003865AC" w:rsidRDefault="003865AC">
            <w:pPr>
              <w:spacing w:before="0" w:after="0"/>
              <w:jc w:val="both"/>
              <w:rPr>
                <w:rFonts w:hint="cs"/>
                <w:sz w:val="24"/>
                <w:szCs w:val="24"/>
              </w:rPr>
            </w:pPr>
            <w:r>
              <w:rPr>
                <w:rFonts w:hint="cs"/>
                <w:sz w:val="24"/>
                <w:szCs w:val="24"/>
                <w:rtl/>
              </w:rPr>
              <w:t>6.0</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6.7</w:t>
            </w:r>
          </w:p>
        </w:tc>
      </w:tr>
      <w:tr w:rsidR="003865AC" w:rsidTr="003865AC">
        <w:tblPrEx>
          <w:tblCellMar>
            <w:top w:w="0" w:type="dxa"/>
            <w:bottom w:w="0" w:type="dxa"/>
          </w:tblCellMar>
        </w:tblPrEx>
        <w:tc>
          <w:tcPr>
            <w:tcW w:w="4422" w:type="dxa"/>
            <w:tcBorders>
              <w:top w:val="nil"/>
              <w:bottom w:val="nil"/>
            </w:tcBorders>
          </w:tcPr>
          <w:p w:rsidR="003865AC" w:rsidRDefault="003865AC">
            <w:pPr>
              <w:spacing w:before="0" w:after="0"/>
              <w:jc w:val="both"/>
              <w:rPr>
                <w:rFonts w:hint="cs"/>
                <w:sz w:val="24"/>
                <w:szCs w:val="24"/>
              </w:rPr>
            </w:pPr>
            <w:r>
              <w:rPr>
                <w:rFonts w:hint="cs"/>
                <w:sz w:val="24"/>
                <w:szCs w:val="24"/>
                <w:rtl/>
              </w:rPr>
              <w:t>الاضطرابات النفسية</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2.9</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3.1</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4.2</w:t>
            </w:r>
          </w:p>
        </w:tc>
        <w:tc>
          <w:tcPr>
            <w:tcW w:w="900" w:type="dxa"/>
            <w:tcBorders>
              <w:top w:val="nil"/>
              <w:bottom w:val="nil"/>
            </w:tcBorders>
          </w:tcPr>
          <w:p w:rsidR="003865AC" w:rsidRDefault="003865AC">
            <w:pPr>
              <w:spacing w:before="0" w:after="0"/>
              <w:jc w:val="both"/>
              <w:rPr>
                <w:rFonts w:hint="cs"/>
                <w:sz w:val="24"/>
                <w:szCs w:val="24"/>
              </w:rPr>
            </w:pPr>
            <w:r>
              <w:rPr>
                <w:rFonts w:hint="cs"/>
                <w:sz w:val="24"/>
                <w:szCs w:val="24"/>
                <w:rtl/>
              </w:rPr>
              <w:t>6.9</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6.5</w:t>
            </w:r>
          </w:p>
        </w:tc>
      </w:tr>
      <w:tr w:rsidR="003865AC" w:rsidTr="003865AC">
        <w:tblPrEx>
          <w:tblCellMar>
            <w:top w:w="0" w:type="dxa"/>
            <w:bottom w:w="0" w:type="dxa"/>
          </w:tblCellMar>
        </w:tblPrEx>
        <w:tc>
          <w:tcPr>
            <w:tcW w:w="4422" w:type="dxa"/>
            <w:tcBorders>
              <w:top w:val="nil"/>
              <w:bottom w:val="nil"/>
            </w:tcBorders>
          </w:tcPr>
          <w:p w:rsidR="003865AC" w:rsidRDefault="003865AC">
            <w:pPr>
              <w:spacing w:before="0" w:after="0"/>
              <w:jc w:val="both"/>
              <w:rPr>
                <w:rFonts w:hint="cs"/>
                <w:sz w:val="24"/>
                <w:szCs w:val="24"/>
              </w:rPr>
            </w:pPr>
            <w:r>
              <w:rPr>
                <w:rFonts w:hint="cs"/>
                <w:sz w:val="24"/>
                <w:szCs w:val="24"/>
                <w:rtl/>
              </w:rPr>
              <w:t>أمراض الجهاز العصبي والحواس</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19.3</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19.2</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23.7</w:t>
            </w:r>
          </w:p>
        </w:tc>
        <w:tc>
          <w:tcPr>
            <w:tcW w:w="900" w:type="dxa"/>
            <w:tcBorders>
              <w:top w:val="nil"/>
              <w:bottom w:val="nil"/>
            </w:tcBorders>
          </w:tcPr>
          <w:p w:rsidR="003865AC" w:rsidRDefault="003865AC">
            <w:pPr>
              <w:spacing w:before="0" w:after="0"/>
              <w:jc w:val="both"/>
              <w:rPr>
                <w:rFonts w:hint="cs"/>
                <w:sz w:val="24"/>
                <w:szCs w:val="24"/>
              </w:rPr>
            </w:pPr>
            <w:r>
              <w:rPr>
                <w:rFonts w:hint="cs"/>
                <w:sz w:val="24"/>
                <w:szCs w:val="24"/>
                <w:rtl/>
              </w:rPr>
              <w:t>33.3</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36.0</w:t>
            </w:r>
          </w:p>
        </w:tc>
      </w:tr>
      <w:tr w:rsidR="003865AC" w:rsidTr="003865AC">
        <w:tblPrEx>
          <w:tblCellMar>
            <w:top w:w="0" w:type="dxa"/>
            <w:bottom w:w="0" w:type="dxa"/>
          </w:tblCellMar>
        </w:tblPrEx>
        <w:tc>
          <w:tcPr>
            <w:tcW w:w="4422" w:type="dxa"/>
            <w:tcBorders>
              <w:top w:val="nil"/>
              <w:bottom w:val="nil"/>
            </w:tcBorders>
          </w:tcPr>
          <w:p w:rsidR="003865AC" w:rsidRDefault="003865AC">
            <w:pPr>
              <w:spacing w:before="0" w:after="0"/>
              <w:jc w:val="both"/>
              <w:rPr>
                <w:rFonts w:hint="cs"/>
                <w:sz w:val="24"/>
                <w:szCs w:val="24"/>
              </w:rPr>
            </w:pPr>
            <w:r>
              <w:rPr>
                <w:rFonts w:hint="cs"/>
                <w:sz w:val="24"/>
                <w:szCs w:val="24"/>
                <w:rtl/>
              </w:rPr>
              <w:t>أمراض جهاز الدورة الدموية</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23.6</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17.1</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27.0</w:t>
            </w:r>
          </w:p>
        </w:tc>
        <w:tc>
          <w:tcPr>
            <w:tcW w:w="900" w:type="dxa"/>
            <w:tcBorders>
              <w:top w:val="nil"/>
              <w:bottom w:val="nil"/>
            </w:tcBorders>
          </w:tcPr>
          <w:p w:rsidR="003865AC" w:rsidRDefault="003865AC">
            <w:pPr>
              <w:spacing w:before="0" w:after="0"/>
              <w:jc w:val="both"/>
              <w:rPr>
                <w:rFonts w:hint="cs"/>
                <w:sz w:val="24"/>
                <w:szCs w:val="24"/>
              </w:rPr>
            </w:pPr>
            <w:r>
              <w:rPr>
                <w:rFonts w:hint="cs"/>
                <w:sz w:val="24"/>
                <w:szCs w:val="24"/>
                <w:rtl/>
              </w:rPr>
              <w:t>51.6</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47.4</w:t>
            </w:r>
          </w:p>
        </w:tc>
      </w:tr>
      <w:tr w:rsidR="003865AC" w:rsidTr="003865AC">
        <w:tblPrEx>
          <w:tblCellMar>
            <w:top w:w="0" w:type="dxa"/>
            <w:bottom w:w="0" w:type="dxa"/>
          </w:tblCellMar>
        </w:tblPrEx>
        <w:tc>
          <w:tcPr>
            <w:tcW w:w="4422" w:type="dxa"/>
            <w:tcBorders>
              <w:top w:val="nil"/>
              <w:bottom w:val="nil"/>
            </w:tcBorders>
          </w:tcPr>
          <w:p w:rsidR="003865AC" w:rsidRDefault="003865AC">
            <w:pPr>
              <w:spacing w:before="0" w:after="0"/>
              <w:jc w:val="both"/>
              <w:rPr>
                <w:rFonts w:hint="cs"/>
                <w:sz w:val="24"/>
                <w:szCs w:val="24"/>
              </w:rPr>
            </w:pPr>
            <w:r>
              <w:rPr>
                <w:rFonts w:hint="cs"/>
                <w:sz w:val="24"/>
                <w:szCs w:val="24"/>
                <w:rtl/>
              </w:rPr>
              <w:t>أمراض التنفس</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172.5</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160.3</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122.7</w:t>
            </w:r>
          </w:p>
        </w:tc>
        <w:tc>
          <w:tcPr>
            <w:tcW w:w="900" w:type="dxa"/>
            <w:tcBorders>
              <w:top w:val="nil"/>
              <w:bottom w:val="nil"/>
            </w:tcBorders>
          </w:tcPr>
          <w:p w:rsidR="003865AC" w:rsidRDefault="003865AC">
            <w:pPr>
              <w:spacing w:before="0" w:after="0"/>
              <w:jc w:val="both"/>
              <w:rPr>
                <w:rFonts w:hint="cs"/>
                <w:sz w:val="24"/>
                <w:szCs w:val="24"/>
              </w:rPr>
            </w:pPr>
            <w:r>
              <w:rPr>
                <w:rFonts w:hint="cs"/>
                <w:sz w:val="24"/>
                <w:szCs w:val="24"/>
                <w:rtl/>
              </w:rPr>
              <w:t>130.4</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151.8</w:t>
            </w:r>
          </w:p>
        </w:tc>
      </w:tr>
      <w:tr w:rsidR="003865AC" w:rsidTr="003865AC">
        <w:tblPrEx>
          <w:tblCellMar>
            <w:top w:w="0" w:type="dxa"/>
            <w:bottom w:w="0" w:type="dxa"/>
          </w:tblCellMar>
        </w:tblPrEx>
        <w:tc>
          <w:tcPr>
            <w:tcW w:w="4422" w:type="dxa"/>
            <w:tcBorders>
              <w:top w:val="nil"/>
              <w:bottom w:val="nil"/>
            </w:tcBorders>
          </w:tcPr>
          <w:p w:rsidR="003865AC" w:rsidRDefault="003865AC">
            <w:pPr>
              <w:spacing w:before="0" w:after="0"/>
              <w:jc w:val="both"/>
              <w:rPr>
                <w:rFonts w:hint="cs"/>
                <w:sz w:val="24"/>
                <w:szCs w:val="24"/>
              </w:rPr>
            </w:pPr>
            <w:r>
              <w:rPr>
                <w:rFonts w:hint="cs"/>
                <w:sz w:val="24"/>
                <w:szCs w:val="24"/>
                <w:rtl/>
              </w:rPr>
              <w:t>أمراض جهاز الهضم</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128.3</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79.8</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52.6</w:t>
            </w:r>
          </w:p>
        </w:tc>
        <w:tc>
          <w:tcPr>
            <w:tcW w:w="900" w:type="dxa"/>
            <w:tcBorders>
              <w:top w:val="nil"/>
              <w:bottom w:val="nil"/>
            </w:tcBorders>
          </w:tcPr>
          <w:p w:rsidR="003865AC" w:rsidRDefault="003865AC">
            <w:pPr>
              <w:spacing w:before="0" w:after="0"/>
              <w:jc w:val="both"/>
              <w:rPr>
                <w:rFonts w:hint="cs"/>
                <w:sz w:val="24"/>
                <w:szCs w:val="24"/>
              </w:rPr>
            </w:pPr>
            <w:r>
              <w:rPr>
                <w:rFonts w:hint="cs"/>
                <w:sz w:val="24"/>
                <w:szCs w:val="24"/>
                <w:rtl/>
              </w:rPr>
              <w:t>44.5</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41.4</w:t>
            </w:r>
          </w:p>
        </w:tc>
      </w:tr>
      <w:tr w:rsidR="003865AC" w:rsidTr="003865AC">
        <w:tblPrEx>
          <w:tblCellMar>
            <w:top w:w="0" w:type="dxa"/>
            <w:bottom w:w="0" w:type="dxa"/>
          </w:tblCellMar>
        </w:tblPrEx>
        <w:tc>
          <w:tcPr>
            <w:tcW w:w="4422" w:type="dxa"/>
            <w:tcBorders>
              <w:top w:val="nil"/>
              <w:bottom w:val="nil"/>
            </w:tcBorders>
          </w:tcPr>
          <w:p w:rsidR="003865AC" w:rsidRDefault="003865AC">
            <w:pPr>
              <w:spacing w:before="0" w:after="0"/>
              <w:jc w:val="both"/>
              <w:rPr>
                <w:rFonts w:hint="cs"/>
                <w:sz w:val="24"/>
                <w:szCs w:val="24"/>
              </w:rPr>
            </w:pPr>
            <w:r>
              <w:rPr>
                <w:rFonts w:hint="cs"/>
                <w:sz w:val="24"/>
                <w:szCs w:val="24"/>
                <w:rtl/>
              </w:rPr>
              <w:t>أمراض الجهاز البولي - التناسلي</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15.5</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15.6</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15.7</w:t>
            </w:r>
          </w:p>
        </w:tc>
        <w:tc>
          <w:tcPr>
            <w:tcW w:w="900" w:type="dxa"/>
            <w:tcBorders>
              <w:top w:val="nil"/>
              <w:bottom w:val="nil"/>
            </w:tcBorders>
          </w:tcPr>
          <w:p w:rsidR="003865AC" w:rsidRDefault="003865AC">
            <w:pPr>
              <w:spacing w:before="0" w:after="0"/>
              <w:jc w:val="both"/>
              <w:rPr>
                <w:rFonts w:hint="cs"/>
                <w:sz w:val="24"/>
                <w:szCs w:val="24"/>
              </w:rPr>
            </w:pPr>
            <w:r>
              <w:rPr>
                <w:rFonts w:hint="cs"/>
                <w:sz w:val="24"/>
                <w:szCs w:val="24"/>
                <w:rtl/>
              </w:rPr>
              <w:t>18.1</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24.4</w:t>
            </w:r>
          </w:p>
        </w:tc>
      </w:tr>
      <w:tr w:rsidR="003865AC" w:rsidTr="003865AC">
        <w:tblPrEx>
          <w:tblCellMar>
            <w:top w:w="0" w:type="dxa"/>
            <w:bottom w:w="0" w:type="dxa"/>
          </w:tblCellMar>
        </w:tblPrEx>
        <w:tc>
          <w:tcPr>
            <w:tcW w:w="4422" w:type="dxa"/>
            <w:tcBorders>
              <w:top w:val="nil"/>
              <w:bottom w:val="nil"/>
            </w:tcBorders>
          </w:tcPr>
          <w:p w:rsidR="003865AC" w:rsidRDefault="003865AC">
            <w:pPr>
              <w:spacing w:before="0" w:after="0"/>
              <w:jc w:val="both"/>
              <w:rPr>
                <w:rFonts w:hint="cs"/>
                <w:sz w:val="24"/>
                <w:szCs w:val="24"/>
              </w:rPr>
            </w:pPr>
            <w:r>
              <w:rPr>
                <w:rFonts w:hint="cs"/>
                <w:sz w:val="24"/>
                <w:szCs w:val="24"/>
                <w:rtl/>
              </w:rPr>
              <w:t>المضاعفات أثناء الحمل والولادة وما بعد الولادة</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2.2</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2.7</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4.1</w:t>
            </w:r>
          </w:p>
        </w:tc>
        <w:tc>
          <w:tcPr>
            <w:tcW w:w="900" w:type="dxa"/>
            <w:tcBorders>
              <w:top w:val="nil"/>
              <w:bottom w:val="nil"/>
            </w:tcBorders>
          </w:tcPr>
          <w:p w:rsidR="003865AC" w:rsidRDefault="003865AC">
            <w:pPr>
              <w:spacing w:before="0" w:after="0"/>
              <w:jc w:val="both"/>
              <w:rPr>
                <w:rFonts w:hint="cs"/>
                <w:sz w:val="24"/>
                <w:szCs w:val="24"/>
              </w:rPr>
            </w:pPr>
            <w:r>
              <w:rPr>
                <w:rFonts w:hint="cs"/>
                <w:sz w:val="24"/>
                <w:szCs w:val="24"/>
                <w:rtl/>
              </w:rPr>
              <w:t>4.1</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5.2</w:t>
            </w:r>
          </w:p>
        </w:tc>
      </w:tr>
      <w:tr w:rsidR="003865AC" w:rsidTr="003865AC">
        <w:tblPrEx>
          <w:tblCellMar>
            <w:top w:w="0" w:type="dxa"/>
            <w:bottom w:w="0" w:type="dxa"/>
          </w:tblCellMar>
        </w:tblPrEx>
        <w:tc>
          <w:tcPr>
            <w:tcW w:w="4422" w:type="dxa"/>
            <w:tcBorders>
              <w:top w:val="nil"/>
              <w:bottom w:val="nil"/>
            </w:tcBorders>
          </w:tcPr>
          <w:p w:rsidR="003865AC" w:rsidRDefault="003865AC">
            <w:pPr>
              <w:spacing w:before="0" w:after="0"/>
              <w:jc w:val="both"/>
              <w:rPr>
                <w:rFonts w:hint="cs"/>
                <w:sz w:val="24"/>
                <w:szCs w:val="24"/>
              </w:rPr>
            </w:pPr>
            <w:r>
              <w:rPr>
                <w:rFonts w:hint="cs"/>
                <w:sz w:val="24"/>
                <w:szCs w:val="24"/>
                <w:rtl/>
              </w:rPr>
              <w:t>أمراض الجلد والنسيج الخلوي تحت الجلد</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27.5</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15.6</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14.4</w:t>
            </w:r>
          </w:p>
        </w:tc>
        <w:tc>
          <w:tcPr>
            <w:tcW w:w="900" w:type="dxa"/>
            <w:tcBorders>
              <w:top w:val="nil"/>
              <w:bottom w:val="nil"/>
            </w:tcBorders>
          </w:tcPr>
          <w:p w:rsidR="003865AC" w:rsidRDefault="003865AC">
            <w:pPr>
              <w:spacing w:before="0" w:after="0"/>
              <w:jc w:val="both"/>
              <w:rPr>
                <w:rFonts w:hint="cs"/>
                <w:sz w:val="24"/>
                <w:szCs w:val="24"/>
              </w:rPr>
            </w:pPr>
            <w:r>
              <w:rPr>
                <w:rFonts w:hint="cs"/>
                <w:sz w:val="24"/>
                <w:szCs w:val="24"/>
                <w:rtl/>
              </w:rPr>
              <w:t>18.8</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15.1</w:t>
            </w:r>
          </w:p>
        </w:tc>
      </w:tr>
      <w:tr w:rsidR="003865AC" w:rsidTr="003865AC">
        <w:tblPrEx>
          <w:tblCellMar>
            <w:top w:w="0" w:type="dxa"/>
            <w:bottom w:w="0" w:type="dxa"/>
          </w:tblCellMar>
        </w:tblPrEx>
        <w:tc>
          <w:tcPr>
            <w:tcW w:w="4422" w:type="dxa"/>
            <w:tcBorders>
              <w:top w:val="nil"/>
              <w:bottom w:val="nil"/>
            </w:tcBorders>
          </w:tcPr>
          <w:p w:rsidR="003865AC" w:rsidRDefault="003865AC">
            <w:pPr>
              <w:spacing w:before="0" w:after="0"/>
              <w:jc w:val="both"/>
              <w:rPr>
                <w:rFonts w:hint="cs"/>
                <w:sz w:val="24"/>
                <w:szCs w:val="24"/>
              </w:rPr>
            </w:pPr>
            <w:r>
              <w:rPr>
                <w:rFonts w:hint="cs"/>
                <w:sz w:val="24"/>
                <w:szCs w:val="24"/>
                <w:rtl/>
              </w:rPr>
              <w:t>أمراض الهيكل العظمي والنسيج الضام</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4.4</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3.6</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5.0</w:t>
            </w:r>
          </w:p>
        </w:tc>
        <w:tc>
          <w:tcPr>
            <w:tcW w:w="900" w:type="dxa"/>
            <w:tcBorders>
              <w:top w:val="nil"/>
              <w:bottom w:val="nil"/>
            </w:tcBorders>
          </w:tcPr>
          <w:p w:rsidR="003865AC" w:rsidRDefault="003865AC">
            <w:pPr>
              <w:spacing w:before="0" w:after="0"/>
              <w:jc w:val="both"/>
              <w:rPr>
                <w:rFonts w:hint="cs"/>
                <w:sz w:val="24"/>
                <w:szCs w:val="24"/>
              </w:rPr>
            </w:pPr>
            <w:r>
              <w:rPr>
                <w:rFonts w:hint="cs"/>
                <w:sz w:val="24"/>
                <w:szCs w:val="24"/>
                <w:rtl/>
              </w:rPr>
              <w:t>7.4</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7.9</w:t>
            </w:r>
          </w:p>
        </w:tc>
      </w:tr>
      <w:tr w:rsidR="003865AC" w:rsidTr="003865AC">
        <w:tblPrEx>
          <w:tblCellMar>
            <w:top w:w="0" w:type="dxa"/>
            <w:bottom w:w="0" w:type="dxa"/>
          </w:tblCellMar>
        </w:tblPrEx>
        <w:tc>
          <w:tcPr>
            <w:tcW w:w="4422" w:type="dxa"/>
            <w:tcBorders>
              <w:top w:val="nil"/>
              <w:bottom w:val="nil"/>
            </w:tcBorders>
          </w:tcPr>
          <w:p w:rsidR="003865AC" w:rsidRDefault="003865AC">
            <w:pPr>
              <w:spacing w:before="0" w:after="0"/>
              <w:jc w:val="both"/>
              <w:rPr>
                <w:rFonts w:hint="cs"/>
                <w:sz w:val="24"/>
                <w:szCs w:val="24"/>
              </w:rPr>
            </w:pPr>
            <w:r>
              <w:rPr>
                <w:rFonts w:hint="cs"/>
                <w:sz w:val="24"/>
                <w:szCs w:val="24"/>
                <w:rtl/>
              </w:rPr>
              <w:t>التشوهات الخلقية</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0.6</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0.7</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1.1</w:t>
            </w:r>
          </w:p>
        </w:tc>
        <w:tc>
          <w:tcPr>
            <w:tcW w:w="900" w:type="dxa"/>
            <w:tcBorders>
              <w:top w:val="nil"/>
              <w:bottom w:val="nil"/>
            </w:tcBorders>
          </w:tcPr>
          <w:p w:rsidR="003865AC" w:rsidRDefault="003865AC">
            <w:pPr>
              <w:spacing w:before="0" w:after="0"/>
              <w:jc w:val="both"/>
              <w:rPr>
                <w:rFonts w:hint="cs"/>
                <w:sz w:val="24"/>
                <w:szCs w:val="24"/>
              </w:rPr>
            </w:pPr>
            <w:r>
              <w:rPr>
                <w:rFonts w:hint="cs"/>
                <w:sz w:val="24"/>
                <w:szCs w:val="24"/>
                <w:rtl/>
              </w:rPr>
              <w:t>1.7</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1.5</w:t>
            </w:r>
          </w:p>
        </w:tc>
      </w:tr>
      <w:tr w:rsidR="003865AC" w:rsidTr="003865AC">
        <w:tblPrEx>
          <w:tblCellMar>
            <w:top w:w="0" w:type="dxa"/>
            <w:bottom w:w="0" w:type="dxa"/>
          </w:tblCellMar>
        </w:tblPrEx>
        <w:tc>
          <w:tcPr>
            <w:tcW w:w="4422" w:type="dxa"/>
            <w:tcBorders>
              <w:top w:val="nil"/>
              <w:bottom w:val="nil"/>
            </w:tcBorders>
          </w:tcPr>
          <w:p w:rsidR="003865AC" w:rsidRDefault="003865AC">
            <w:pPr>
              <w:spacing w:before="0" w:after="0"/>
              <w:jc w:val="both"/>
              <w:rPr>
                <w:rFonts w:hint="cs"/>
                <w:sz w:val="24"/>
                <w:szCs w:val="24"/>
              </w:rPr>
            </w:pPr>
            <w:r>
              <w:rPr>
                <w:rFonts w:hint="cs"/>
                <w:sz w:val="24"/>
                <w:szCs w:val="24"/>
                <w:rtl/>
              </w:rPr>
              <w:t>ظروف محددة ملازمة لفترة الولادة</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0.2</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0.7</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1.4</w:t>
            </w:r>
          </w:p>
        </w:tc>
        <w:tc>
          <w:tcPr>
            <w:tcW w:w="900" w:type="dxa"/>
            <w:tcBorders>
              <w:top w:val="nil"/>
              <w:bottom w:val="nil"/>
            </w:tcBorders>
          </w:tcPr>
          <w:p w:rsidR="003865AC" w:rsidRDefault="003865AC">
            <w:pPr>
              <w:spacing w:before="0" w:after="0"/>
              <w:jc w:val="both"/>
              <w:rPr>
                <w:rFonts w:hint="cs"/>
                <w:sz w:val="24"/>
                <w:szCs w:val="24"/>
              </w:rPr>
            </w:pPr>
            <w:r>
              <w:rPr>
                <w:rFonts w:hint="cs"/>
                <w:sz w:val="24"/>
                <w:szCs w:val="24"/>
                <w:rtl/>
              </w:rPr>
              <w:t>2.6</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3.1</w:t>
            </w:r>
          </w:p>
        </w:tc>
      </w:tr>
      <w:tr w:rsidR="003865AC" w:rsidTr="003865AC">
        <w:tblPrEx>
          <w:tblCellMar>
            <w:top w:w="0" w:type="dxa"/>
            <w:bottom w:w="0" w:type="dxa"/>
          </w:tblCellMar>
        </w:tblPrEx>
        <w:tc>
          <w:tcPr>
            <w:tcW w:w="4422" w:type="dxa"/>
            <w:tcBorders>
              <w:top w:val="nil"/>
              <w:bottom w:val="nil"/>
            </w:tcBorders>
          </w:tcPr>
          <w:p w:rsidR="003865AC" w:rsidRDefault="003865AC">
            <w:pPr>
              <w:spacing w:before="0" w:after="0"/>
              <w:jc w:val="both"/>
              <w:rPr>
                <w:rFonts w:hint="cs"/>
                <w:sz w:val="24"/>
                <w:szCs w:val="24"/>
              </w:rPr>
            </w:pPr>
            <w:r>
              <w:rPr>
                <w:rFonts w:hint="cs"/>
                <w:sz w:val="24"/>
                <w:szCs w:val="24"/>
                <w:rtl/>
              </w:rPr>
              <w:t>أعراض ودلائل المرض وحالات التشخيص الخاطئ</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0.7</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1.1</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0.4</w:t>
            </w:r>
          </w:p>
        </w:tc>
        <w:tc>
          <w:tcPr>
            <w:tcW w:w="900" w:type="dxa"/>
            <w:tcBorders>
              <w:top w:val="nil"/>
              <w:bottom w:val="nil"/>
            </w:tcBorders>
          </w:tcPr>
          <w:p w:rsidR="003865AC" w:rsidRDefault="003865AC">
            <w:pPr>
              <w:spacing w:before="0" w:after="0"/>
              <w:jc w:val="both"/>
              <w:rPr>
                <w:rFonts w:hint="cs"/>
                <w:sz w:val="24"/>
                <w:szCs w:val="24"/>
              </w:rPr>
            </w:pPr>
            <w:r>
              <w:rPr>
                <w:rFonts w:hint="cs"/>
                <w:sz w:val="24"/>
                <w:szCs w:val="24"/>
                <w:rtl/>
              </w:rPr>
              <w:t>1.7</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1.3</w:t>
            </w:r>
          </w:p>
        </w:tc>
      </w:tr>
      <w:tr w:rsidR="003865AC" w:rsidTr="003865AC">
        <w:tblPrEx>
          <w:tblCellMar>
            <w:top w:w="0" w:type="dxa"/>
            <w:bottom w:w="0" w:type="dxa"/>
          </w:tblCellMar>
        </w:tblPrEx>
        <w:tc>
          <w:tcPr>
            <w:tcW w:w="4422" w:type="dxa"/>
            <w:tcBorders>
              <w:top w:val="nil"/>
            </w:tcBorders>
          </w:tcPr>
          <w:p w:rsidR="003865AC" w:rsidRDefault="003865AC">
            <w:pPr>
              <w:spacing w:before="0" w:after="0"/>
              <w:jc w:val="both"/>
              <w:rPr>
                <w:rFonts w:hint="cs"/>
                <w:sz w:val="24"/>
                <w:szCs w:val="24"/>
              </w:rPr>
            </w:pPr>
            <w:r>
              <w:rPr>
                <w:rFonts w:hint="cs"/>
                <w:sz w:val="24"/>
                <w:szCs w:val="24"/>
                <w:rtl/>
              </w:rPr>
              <w:t>الجروح وحالات التسمم</w:t>
            </w:r>
          </w:p>
        </w:tc>
        <w:tc>
          <w:tcPr>
            <w:tcW w:w="1080" w:type="dxa"/>
            <w:tcBorders>
              <w:top w:val="nil"/>
            </w:tcBorders>
          </w:tcPr>
          <w:p w:rsidR="003865AC" w:rsidRDefault="003865AC">
            <w:pPr>
              <w:spacing w:before="0" w:after="0"/>
              <w:jc w:val="both"/>
              <w:rPr>
                <w:rFonts w:hint="cs"/>
                <w:sz w:val="24"/>
                <w:szCs w:val="24"/>
              </w:rPr>
            </w:pPr>
            <w:r>
              <w:rPr>
                <w:rFonts w:hint="cs"/>
                <w:sz w:val="24"/>
                <w:szCs w:val="24"/>
                <w:rtl/>
              </w:rPr>
              <w:t>45.4</w:t>
            </w:r>
          </w:p>
        </w:tc>
        <w:tc>
          <w:tcPr>
            <w:tcW w:w="1080" w:type="dxa"/>
            <w:tcBorders>
              <w:top w:val="nil"/>
            </w:tcBorders>
          </w:tcPr>
          <w:p w:rsidR="003865AC" w:rsidRDefault="003865AC">
            <w:pPr>
              <w:spacing w:before="0" w:after="0"/>
              <w:jc w:val="both"/>
              <w:rPr>
                <w:rFonts w:hint="cs"/>
                <w:sz w:val="24"/>
                <w:szCs w:val="24"/>
              </w:rPr>
            </w:pPr>
            <w:r>
              <w:rPr>
                <w:rFonts w:hint="cs"/>
                <w:sz w:val="24"/>
                <w:szCs w:val="24"/>
                <w:rtl/>
              </w:rPr>
              <w:t>22.9</w:t>
            </w:r>
          </w:p>
        </w:tc>
        <w:tc>
          <w:tcPr>
            <w:tcW w:w="1080" w:type="dxa"/>
            <w:tcBorders>
              <w:top w:val="nil"/>
            </w:tcBorders>
          </w:tcPr>
          <w:p w:rsidR="003865AC" w:rsidRDefault="003865AC">
            <w:pPr>
              <w:spacing w:before="0" w:after="0"/>
              <w:jc w:val="both"/>
              <w:rPr>
                <w:rFonts w:hint="cs"/>
                <w:sz w:val="24"/>
                <w:szCs w:val="24"/>
              </w:rPr>
            </w:pPr>
            <w:r>
              <w:rPr>
                <w:rFonts w:hint="cs"/>
                <w:sz w:val="24"/>
                <w:szCs w:val="24"/>
                <w:rtl/>
              </w:rPr>
              <w:t>21.8</w:t>
            </w:r>
          </w:p>
        </w:tc>
        <w:tc>
          <w:tcPr>
            <w:tcW w:w="900" w:type="dxa"/>
            <w:tcBorders>
              <w:top w:val="nil"/>
            </w:tcBorders>
          </w:tcPr>
          <w:p w:rsidR="003865AC" w:rsidRDefault="003865AC">
            <w:pPr>
              <w:spacing w:before="0" w:after="0"/>
              <w:jc w:val="both"/>
              <w:rPr>
                <w:rFonts w:hint="cs"/>
                <w:sz w:val="24"/>
                <w:szCs w:val="24"/>
              </w:rPr>
            </w:pPr>
            <w:r>
              <w:rPr>
                <w:rFonts w:hint="cs"/>
                <w:sz w:val="24"/>
                <w:szCs w:val="24"/>
                <w:rtl/>
              </w:rPr>
              <w:t>20.8</w:t>
            </w:r>
          </w:p>
        </w:tc>
        <w:tc>
          <w:tcPr>
            <w:tcW w:w="1008" w:type="dxa"/>
            <w:tcBorders>
              <w:top w:val="nil"/>
            </w:tcBorders>
          </w:tcPr>
          <w:p w:rsidR="003865AC" w:rsidRDefault="003865AC">
            <w:pPr>
              <w:spacing w:before="0" w:after="0"/>
              <w:jc w:val="both"/>
              <w:rPr>
                <w:rFonts w:hint="cs"/>
                <w:sz w:val="24"/>
                <w:szCs w:val="24"/>
              </w:rPr>
            </w:pPr>
            <w:r>
              <w:rPr>
                <w:rFonts w:hint="cs"/>
                <w:sz w:val="24"/>
                <w:szCs w:val="24"/>
                <w:rtl/>
              </w:rPr>
              <w:t>19.1</w:t>
            </w:r>
          </w:p>
        </w:tc>
      </w:tr>
    </w:tbl>
    <w:p w:rsidR="00000000" w:rsidRDefault="003865AC">
      <w:pPr>
        <w:jc w:val="both"/>
        <w:rPr>
          <w:rFonts w:hint="cs"/>
          <w:rtl/>
        </w:rPr>
      </w:pPr>
      <w:r>
        <w:rPr>
          <w:rFonts w:hint="cs"/>
          <w:rtl/>
        </w:rPr>
        <w:tab/>
      </w:r>
      <w:r>
        <w:rPr>
          <w:rFonts w:hint="cs"/>
          <w:u w:val="single"/>
          <w:rtl/>
        </w:rPr>
        <w:t>المصدر</w:t>
      </w:r>
      <w:r>
        <w:rPr>
          <w:rFonts w:hint="cs"/>
          <w:rtl/>
        </w:rPr>
        <w:t>:</w:t>
      </w:r>
      <w:r>
        <w:rPr>
          <w:rFonts w:hint="cs"/>
          <w:rtl/>
        </w:rPr>
        <w:tab/>
        <w:t>حولية الإحص</w:t>
      </w:r>
      <w:r>
        <w:rPr>
          <w:rFonts w:hint="cs"/>
          <w:rtl/>
        </w:rPr>
        <w:t>اءات الجورجية (2000) الصادرة عن مكتب الإحصاء الوطني.</w:t>
      </w:r>
    </w:p>
    <w:p w:rsidR="00000000" w:rsidRDefault="003865AC">
      <w:pPr>
        <w:jc w:val="center"/>
        <w:rPr>
          <w:rFonts w:hint="cs"/>
          <w:b/>
          <w:bCs/>
          <w:rtl/>
        </w:rPr>
      </w:pPr>
      <w:r>
        <w:rPr>
          <w:b/>
          <w:bCs/>
          <w:rtl/>
        </w:rPr>
        <w:br w:type="page"/>
      </w:r>
      <w:r>
        <w:rPr>
          <w:rFonts w:hint="cs"/>
          <w:b/>
          <w:bCs/>
          <w:rtl/>
        </w:rPr>
        <w:t>فئات الأمراض الرئيسية المنتشرة بين الأطفال الذين تتراوح أعمارهم بين صفر و14 سنة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42"/>
        <w:gridCol w:w="1080"/>
        <w:gridCol w:w="1080"/>
        <w:gridCol w:w="1080"/>
        <w:gridCol w:w="1080"/>
        <w:gridCol w:w="1008"/>
      </w:tblGrid>
      <w:tr w:rsidR="003865AC" w:rsidTr="003865AC">
        <w:tblPrEx>
          <w:tblCellMar>
            <w:top w:w="0" w:type="dxa"/>
            <w:bottom w:w="0" w:type="dxa"/>
          </w:tblCellMar>
        </w:tblPrEx>
        <w:tc>
          <w:tcPr>
            <w:tcW w:w="4242" w:type="dxa"/>
          </w:tcPr>
          <w:p w:rsidR="003865AC" w:rsidRDefault="003865AC">
            <w:pPr>
              <w:spacing w:before="0" w:after="0"/>
              <w:jc w:val="both"/>
              <w:rPr>
                <w:rFonts w:hint="cs"/>
              </w:rPr>
            </w:pPr>
          </w:p>
        </w:tc>
        <w:tc>
          <w:tcPr>
            <w:tcW w:w="1080" w:type="dxa"/>
          </w:tcPr>
          <w:p w:rsidR="003865AC" w:rsidRDefault="003865AC">
            <w:pPr>
              <w:spacing w:before="0" w:after="0"/>
              <w:jc w:val="both"/>
              <w:rPr>
                <w:rFonts w:hint="cs"/>
                <w:b/>
                <w:bCs/>
              </w:rPr>
            </w:pPr>
            <w:r>
              <w:rPr>
                <w:rFonts w:hint="cs"/>
                <w:b/>
                <w:bCs/>
                <w:rtl/>
              </w:rPr>
              <w:t>1995</w:t>
            </w:r>
          </w:p>
        </w:tc>
        <w:tc>
          <w:tcPr>
            <w:tcW w:w="1080" w:type="dxa"/>
          </w:tcPr>
          <w:p w:rsidR="003865AC" w:rsidRDefault="003865AC">
            <w:pPr>
              <w:spacing w:before="0" w:after="0"/>
              <w:jc w:val="both"/>
              <w:rPr>
                <w:rFonts w:hint="cs"/>
                <w:b/>
                <w:bCs/>
              </w:rPr>
            </w:pPr>
            <w:r>
              <w:rPr>
                <w:rFonts w:hint="cs"/>
                <w:b/>
                <w:bCs/>
                <w:rtl/>
              </w:rPr>
              <w:t>1996</w:t>
            </w:r>
          </w:p>
        </w:tc>
        <w:tc>
          <w:tcPr>
            <w:tcW w:w="1080" w:type="dxa"/>
          </w:tcPr>
          <w:p w:rsidR="003865AC" w:rsidRDefault="003865AC">
            <w:pPr>
              <w:spacing w:before="0" w:after="0"/>
              <w:jc w:val="both"/>
              <w:rPr>
                <w:rFonts w:hint="cs"/>
                <w:b/>
                <w:bCs/>
              </w:rPr>
            </w:pPr>
            <w:r>
              <w:rPr>
                <w:rFonts w:hint="cs"/>
                <w:b/>
                <w:bCs/>
                <w:rtl/>
              </w:rPr>
              <w:t>1997</w:t>
            </w:r>
          </w:p>
        </w:tc>
        <w:tc>
          <w:tcPr>
            <w:tcW w:w="1080" w:type="dxa"/>
          </w:tcPr>
          <w:p w:rsidR="003865AC" w:rsidRDefault="003865AC">
            <w:pPr>
              <w:spacing w:before="0" w:after="0"/>
              <w:jc w:val="both"/>
              <w:rPr>
                <w:rFonts w:hint="cs"/>
                <w:b/>
                <w:bCs/>
              </w:rPr>
            </w:pPr>
            <w:r>
              <w:rPr>
                <w:rFonts w:hint="cs"/>
                <w:b/>
                <w:bCs/>
                <w:rtl/>
              </w:rPr>
              <w:t>1998</w:t>
            </w:r>
          </w:p>
        </w:tc>
        <w:tc>
          <w:tcPr>
            <w:tcW w:w="1008" w:type="dxa"/>
          </w:tcPr>
          <w:p w:rsidR="003865AC" w:rsidRDefault="003865AC">
            <w:pPr>
              <w:spacing w:before="0" w:after="0"/>
              <w:jc w:val="both"/>
              <w:rPr>
                <w:rFonts w:hint="cs"/>
                <w:b/>
                <w:bCs/>
              </w:rPr>
            </w:pPr>
            <w:r>
              <w:rPr>
                <w:rFonts w:hint="cs"/>
                <w:b/>
                <w:bCs/>
                <w:rtl/>
              </w:rPr>
              <w:t>1999</w:t>
            </w:r>
          </w:p>
        </w:tc>
      </w:tr>
      <w:tr w:rsidR="003865AC" w:rsidTr="003865AC">
        <w:tblPrEx>
          <w:tblCellMar>
            <w:top w:w="0" w:type="dxa"/>
            <w:bottom w:w="0" w:type="dxa"/>
          </w:tblCellMar>
        </w:tblPrEx>
        <w:tc>
          <w:tcPr>
            <w:tcW w:w="4242" w:type="dxa"/>
            <w:tcBorders>
              <w:bottom w:val="nil"/>
            </w:tcBorders>
          </w:tcPr>
          <w:p w:rsidR="003865AC" w:rsidRDefault="003865AC">
            <w:pPr>
              <w:spacing w:before="0" w:after="0"/>
              <w:jc w:val="both"/>
              <w:rPr>
                <w:rFonts w:hint="cs"/>
                <w:sz w:val="24"/>
                <w:szCs w:val="24"/>
                <w:rtl/>
              </w:rPr>
            </w:pPr>
            <w:r>
              <w:rPr>
                <w:rFonts w:hint="cs"/>
                <w:sz w:val="24"/>
                <w:szCs w:val="24"/>
                <w:rtl/>
              </w:rPr>
              <w:t>الإصابة بالمرض (التشخيص للمرة الأولى) (آلاف الحالات)</w:t>
            </w:r>
          </w:p>
          <w:p w:rsidR="003865AC" w:rsidRDefault="003865AC">
            <w:pPr>
              <w:spacing w:before="0" w:after="0"/>
              <w:jc w:val="both"/>
              <w:rPr>
                <w:rFonts w:hint="cs"/>
                <w:sz w:val="24"/>
                <w:szCs w:val="24"/>
              </w:rPr>
            </w:pPr>
            <w:r>
              <w:rPr>
                <w:rFonts w:hint="cs"/>
                <w:sz w:val="24"/>
                <w:szCs w:val="24"/>
                <w:rtl/>
              </w:rPr>
              <w:t>منها:</w:t>
            </w:r>
          </w:p>
        </w:tc>
        <w:tc>
          <w:tcPr>
            <w:tcW w:w="1080" w:type="dxa"/>
            <w:tcBorders>
              <w:bottom w:val="nil"/>
            </w:tcBorders>
          </w:tcPr>
          <w:p w:rsidR="003865AC" w:rsidRDefault="003865AC">
            <w:pPr>
              <w:spacing w:before="0" w:after="0"/>
              <w:jc w:val="both"/>
              <w:rPr>
                <w:rFonts w:hint="cs"/>
                <w:sz w:val="24"/>
                <w:szCs w:val="24"/>
              </w:rPr>
            </w:pPr>
            <w:r>
              <w:rPr>
                <w:rFonts w:hint="cs"/>
                <w:sz w:val="24"/>
                <w:szCs w:val="24"/>
                <w:rtl/>
              </w:rPr>
              <w:t>204.6</w:t>
            </w:r>
          </w:p>
        </w:tc>
        <w:tc>
          <w:tcPr>
            <w:tcW w:w="1080" w:type="dxa"/>
            <w:tcBorders>
              <w:bottom w:val="nil"/>
            </w:tcBorders>
          </w:tcPr>
          <w:p w:rsidR="003865AC" w:rsidRDefault="003865AC">
            <w:pPr>
              <w:spacing w:before="0" w:after="0"/>
              <w:jc w:val="both"/>
              <w:rPr>
                <w:rFonts w:hint="cs"/>
                <w:sz w:val="24"/>
                <w:szCs w:val="24"/>
              </w:rPr>
            </w:pPr>
            <w:r>
              <w:rPr>
                <w:rFonts w:hint="cs"/>
                <w:sz w:val="24"/>
                <w:szCs w:val="24"/>
                <w:rtl/>
              </w:rPr>
              <w:t>196.5</w:t>
            </w:r>
          </w:p>
        </w:tc>
        <w:tc>
          <w:tcPr>
            <w:tcW w:w="1080" w:type="dxa"/>
            <w:tcBorders>
              <w:bottom w:val="nil"/>
            </w:tcBorders>
          </w:tcPr>
          <w:p w:rsidR="003865AC" w:rsidRDefault="003865AC">
            <w:pPr>
              <w:spacing w:before="0" w:after="0"/>
              <w:jc w:val="both"/>
              <w:rPr>
                <w:rFonts w:hint="cs"/>
                <w:sz w:val="24"/>
                <w:szCs w:val="24"/>
              </w:rPr>
            </w:pPr>
            <w:r>
              <w:rPr>
                <w:rFonts w:hint="cs"/>
                <w:sz w:val="24"/>
                <w:szCs w:val="24"/>
                <w:rtl/>
              </w:rPr>
              <w:t>148.7</w:t>
            </w:r>
          </w:p>
        </w:tc>
        <w:tc>
          <w:tcPr>
            <w:tcW w:w="1080" w:type="dxa"/>
            <w:tcBorders>
              <w:bottom w:val="nil"/>
            </w:tcBorders>
          </w:tcPr>
          <w:p w:rsidR="003865AC" w:rsidRDefault="003865AC">
            <w:pPr>
              <w:spacing w:before="0" w:after="0"/>
              <w:jc w:val="both"/>
              <w:rPr>
                <w:rFonts w:hint="cs"/>
                <w:sz w:val="24"/>
                <w:szCs w:val="24"/>
              </w:rPr>
            </w:pPr>
            <w:r>
              <w:rPr>
                <w:rFonts w:hint="cs"/>
                <w:sz w:val="24"/>
                <w:szCs w:val="24"/>
                <w:rtl/>
              </w:rPr>
              <w:t>151.8</w:t>
            </w:r>
          </w:p>
        </w:tc>
        <w:tc>
          <w:tcPr>
            <w:tcW w:w="1008" w:type="dxa"/>
            <w:tcBorders>
              <w:bottom w:val="nil"/>
            </w:tcBorders>
          </w:tcPr>
          <w:p w:rsidR="003865AC" w:rsidRDefault="003865AC">
            <w:pPr>
              <w:spacing w:before="0" w:after="0"/>
              <w:jc w:val="both"/>
              <w:rPr>
                <w:rFonts w:hint="cs"/>
                <w:sz w:val="24"/>
                <w:szCs w:val="24"/>
              </w:rPr>
            </w:pPr>
            <w:r>
              <w:rPr>
                <w:rFonts w:hint="cs"/>
                <w:sz w:val="24"/>
                <w:szCs w:val="24"/>
                <w:rtl/>
              </w:rPr>
              <w:t>139.5</w:t>
            </w:r>
          </w:p>
        </w:tc>
      </w:tr>
      <w:tr w:rsidR="003865AC" w:rsidTr="003865AC">
        <w:tblPrEx>
          <w:tblCellMar>
            <w:top w:w="0" w:type="dxa"/>
            <w:bottom w:w="0" w:type="dxa"/>
          </w:tblCellMar>
        </w:tblPrEx>
        <w:tc>
          <w:tcPr>
            <w:tcW w:w="4242" w:type="dxa"/>
            <w:tcBorders>
              <w:top w:val="nil"/>
              <w:bottom w:val="nil"/>
            </w:tcBorders>
          </w:tcPr>
          <w:p w:rsidR="003865AC" w:rsidRDefault="003865AC">
            <w:pPr>
              <w:spacing w:before="0" w:after="0"/>
              <w:jc w:val="both"/>
              <w:rPr>
                <w:rFonts w:hint="cs"/>
                <w:sz w:val="24"/>
                <w:szCs w:val="24"/>
              </w:rPr>
            </w:pPr>
            <w:r>
              <w:rPr>
                <w:rFonts w:hint="cs"/>
                <w:sz w:val="24"/>
                <w:szCs w:val="24"/>
                <w:rtl/>
              </w:rPr>
              <w:t>الأمراض المعدية والطفيلية</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8.5</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19.5</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19.2</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17.2</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14.4</w:t>
            </w:r>
          </w:p>
        </w:tc>
      </w:tr>
      <w:tr w:rsidR="003865AC" w:rsidTr="003865AC">
        <w:tblPrEx>
          <w:tblCellMar>
            <w:top w:w="0" w:type="dxa"/>
            <w:bottom w:w="0" w:type="dxa"/>
          </w:tblCellMar>
        </w:tblPrEx>
        <w:tc>
          <w:tcPr>
            <w:tcW w:w="4242" w:type="dxa"/>
            <w:tcBorders>
              <w:top w:val="nil"/>
              <w:bottom w:val="nil"/>
            </w:tcBorders>
          </w:tcPr>
          <w:p w:rsidR="003865AC" w:rsidRDefault="003865AC">
            <w:pPr>
              <w:spacing w:before="0" w:after="0"/>
              <w:jc w:val="both"/>
              <w:rPr>
                <w:rFonts w:hint="cs"/>
                <w:sz w:val="24"/>
                <w:szCs w:val="24"/>
              </w:rPr>
            </w:pPr>
            <w:r>
              <w:rPr>
                <w:rFonts w:hint="cs"/>
                <w:sz w:val="24"/>
                <w:szCs w:val="24"/>
                <w:rtl/>
              </w:rPr>
              <w:t>الأورام</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0.1</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0.0</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0.8</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0.2</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0.1</w:t>
            </w:r>
          </w:p>
        </w:tc>
      </w:tr>
      <w:tr w:rsidR="003865AC" w:rsidTr="003865AC">
        <w:tblPrEx>
          <w:tblCellMar>
            <w:top w:w="0" w:type="dxa"/>
            <w:bottom w:w="0" w:type="dxa"/>
          </w:tblCellMar>
        </w:tblPrEx>
        <w:tc>
          <w:tcPr>
            <w:tcW w:w="4242" w:type="dxa"/>
            <w:tcBorders>
              <w:top w:val="nil"/>
              <w:bottom w:val="nil"/>
            </w:tcBorders>
          </w:tcPr>
          <w:p w:rsidR="003865AC" w:rsidRDefault="003865AC">
            <w:pPr>
              <w:spacing w:before="0" w:after="0"/>
              <w:jc w:val="both"/>
              <w:rPr>
                <w:rFonts w:hint="cs"/>
                <w:sz w:val="24"/>
                <w:szCs w:val="24"/>
              </w:rPr>
            </w:pPr>
            <w:r>
              <w:rPr>
                <w:rFonts w:hint="cs"/>
                <w:sz w:val="24"/>
                <w:szCs w:val="24"/>
                <w:rtl/>
              </w:rPr>
              <w:t>أمراض الغدة الصماء والاضطرابات الاستقلابية</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3.0</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6.4</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7.7</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13.6</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9.1</w:t>
            </w:r>
          </w:p>
        </w:tc>
      </w:tr>
      <w:tr w:rsidR="003865AC" w:rsidTr="003865AC">
        <w:tblPrEx>
          <w:tblCellMar>
            <w:top w:w="0" w:type="dxa"/>
            <w:bottom w:w="0" w:type="dxa"/>
          </w:tblCellMar>
        </w:tblPrEx>
        <w:tc>
          <w:tcPr>
            <w:tcW w:w="4242" w:type="dxa"/>
            <w:tcBorders>
              <w:top w:val="nil"/>
              <w:bottom w:val="nil"/>
            </w:tcBorders>
          </w:tcPr>
          <w:p w:rsidR="003865AC" w:rsidRDefault="003865AC">
            <w:pPr>
              <w:spacing w:before="0" w:after="0"/>
              <w:jc w:val="both"/>
              <w:rPr>
                <w:rFonts w:hint="cs"/>
                <w:sz w:val="24"/>
                <w:szCs w:val="24"/>
              </w:rPr>
            </w:pPr>
            <w:r>
              <w:rPr>
                <w:rFonts w:hint="cs"/>
                <w:sz w:val="24"/>
                <w:szCs w:val="24"/>
                <w:rtl/>
              </w:rPr>
              <w:t>أمراض الدم وأجهزة تكوين الدم</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2.6</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3.3</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3.1</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3.1</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2.8</w:t>
            </w:r>
          </w:p>
        </w:tc>
      </w:tr>
      <w:tr w:rsidR="003865AC" w:rsidTr="003865AC">
        <w:tblPrEx>
          <w:tblCellMar>
            <w:top w:w="0" w:type="dxa"/>
            <w:bottom w:w="0" w:type="dxa"/>
          </w:tblCellMar>
        </w:tblPrEx>
        <w:tc>
          <w:tcPr>
            <w:tcW w:w="4242" w:type="dxa"/>
            <w:tcBorders>
              <w:top w:val="nil"/>
              <w:bottom w:val="nil"/>
            </w:tcBorders>
          </w:tcPr>
          <w:p w:rsidR="003865AC" w:rsidRDefault="003865AC">
            <w:pPr>
              <w:spacing w:before="0" w:after="0"/>
              <w:jc w:val="both"/>
              <w:rPr>
                <w:rFonts w:hint="cs"/>
                <w:sz w:val="24"/>
                <w:szCs w:val="24"/>
              </w:rPr>
            </w:pPr>
            <w:r>
              <w:rPr>
                <w:rFonts w:hint="cs"/>
                <w:sz w:val="24"/>
                <w:szCs w:val="24"/>
                <w:rtl/>
              </w:rPr>
              <w:t>الاضطرابات النفسية</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0.2</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0.2</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0.3</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0.6</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0.6</w:t>
            </w:r>
          </w:p>
        </w:tc>
      </w:tr>
      <w:tr w:rsidR="003865AC" w:rsidTr="003865AC">
        <w:tblPrEx>
          <w:tblCellMar>
            <w:top w:w="0" w:type="dxa"/>
            <w:bottom w:w="0" w:type="dxa"/>
          </w:tblCellMar>
        </w:tblPrEx>
        <w:tc>
          <w:tcPr>
            <w:tcW w:w="4242" w:type="dxa"/>
            <w:tcBorders>
              <w:top w:val="nil"/>
              <w:bottom w:val="nil"/>
            </w:tcBorders>
          </w:tcPr>
          <w:p w:rsidR="003865AC" w:rsidRDefault="003865AC">
            <w:pPr>
              <w:spacing w:before="0" w:after="0"/>
              <w:jc w:val="both"/>
              <w:rPr>
                <w:rFonts w:hint="cs"/>
                <w:sz w:val="24"/>
                <w:szCs w:val="24"/>
              </w:rPr>
            </w:pPr>
            <w:r>
              <w:rPr>
                <w:rFonts w:hint="cs"/>
                <w:sz w:val="24"/>
                <w:szCs w:val="24"/>
                <w:rtl/>
              </w:rPr>
              <w:t>أمراض الجهاز العصبي والحواس</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6.5</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9.2</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11.6</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13.9</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12.1</w:t>
            </w:r>
          </w:p>
        </w:tc>
      </w:tr>
      <w:tr w:rsidR="003865AC" w:rsidTr="003865AC">
        <w:tblPrEx>
          <w:tblCellMar>
            <w:top w:w="0" w:type="dxa"/>
            <w:bottom w:w="0" w:type="dxa"/>
          </w:tblCellMar>
        </w:tblPrEx>
        <w:tc>
          <w:tcPr>
            <w:tcW w:w="4242" w:type="dxa"/>
            <w:tcBorders>
              <w:top w:val="nil"/>
              <w:bottom w:val="nil"/>
            </w:tcBorders>
          </w:tcPr>
          <w:p w:rsidR="003865AC" w:rsidRDefault="003865AC">
            <w:pPr>
              <w:spacing w:before="0" w:after="0"/>
              <w:jc w:val="both"/>
              <w:rPr>
                <w:rFonts w:hint="cs"/>
                <w:sz w:val="24"/>
                <w:szCs w:val="24"/>
              </w:rPr>
            </w:pPr>
            <w:r>
              <w:rPr>
                <w:rFonts w:hint="cs"/>
                <w:sz w:val="24"/>
                <w:szCs w:val="24"/>
                <w:rtl/>
              </w:rPr>
              <w:t xml:space="preserve">أمراض جهاز الدورة الدموية </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0.9</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1.2</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1.6</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1.3</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1.5</w:t>
            </w:r>
          </w:p>
        </w:tc>
      </w:tr>
      <w:tr w:rsidR="003865AC" w:rsidTr="003865AC">
        <w:tblPrEx>
          <w:tblCellMar>
            <w:top w:w="0" w:type="dxa"/>
            <w:bottom w:w="0" w:type="dxa"/>
          </w:tblCellMar>
        </w:tblPrEx>
        <w:tc>
          <w:tcPr>
            <w:tcW w:w="4242" w:type="dxa"/>
            <w:tcBorders>
              <w:top w:val="nil"/>
              <w:bottom w:val="nil"/>
            </w:tcBorders>
          </w:tcPr>
          <w:p w:rsidR="003865AC" w:rsidRDefault="003865AC">
            <w:pPr>
              <w:spacing w:before="0" w:after="0"/>
              <w:jc w:val="both"/>
              <w:rPr>
                <w:rFonts w:hint="cs"/>
                <w:sz w:val="24"/>
                <w:szCs w:val="24"/>
              </w:rPr>
            </w:pPr>
            <w:r>
              <w:rPr>
                <w:rFonts w:hint="cs"/>
                <w:sz w:val="24"/>
                <w:szCs w:val="24"/>
                <w:rtl/>
              </w:rPr>
              <w:t>أمراض التنفس</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100.9</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97.4</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79.8</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72.5</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73.9</w:t>
            </w:r>
          </w:p>
        </w:tc>
      </w:tr>
      <w:tr w:rsidR="003865AC" w:rsidTr="003865AC">
        <w:tblPrEx>
          <w:tblCellMar>
            <w:top w:w="0" w:type="dxa"/>
            <w:bottom w:w="0" w:type="dxa"/>
          </w:tblCellMar>
        </w:tblPrEx>
        <w:tc>
          <w:tcPr>
            <w:tcW w:w="4242" w:type="dxa"/>
            <w:tcBorders>
              <w:top w:val="nil"/>
              <w:bottom w:val="nil"/>
            </w:tcBorders>
          </w:tcPr>
          <w:p w:rsidR="003865AC" w:rsidRDefault="003865AC">
            <w:pPr>
              <w:spacing w:before="0" w:after="0"/>
              <w:jc w:val="both"/>
              <w:rPr>
                <w:rFonts w:hint="cs"/>
                <w:sz w:val="24"/>
                <w:szCs w:val="24"/>
              </w:rPr>
            </w:pPr>
            <w:r>
              <w:rPr>
                <w:rFonts w:hint="cs"/>
                <w:sz w:val="24"/>
                <w:szCs w:val="24"/>
                <w:rtl/>
              </w:rPr>
              <w:t>أمراض جهاز الهضم</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55.7</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42.6</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7.3</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10.3</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6.3</w:t>
            </w:r>
          </w:p>
        </w:tc>
      </w:tr>
      <w:tr w:rsidR="003865AC" w:rsidTr="003865AC">
        <w:tblPrEx>
          <w:tblCellMar>
            <w:top w:w="0" w:type="dxa"/>
            <w:bottom w:w="0" w:type="dxa"/>
          </w:tblCellMar>
        </w:tblPrEx>
        <w:tc>
          <w:tcPr>
            <w:tcW w:w="4242" w:type="dxa"/>
            <w:tcBorders>
              <w:top w:val="nil"/>
              <w:bottom w:val="nil"/>
            </w:tcBorders>
          </w:tcPr>
          <w:p w:rsidR="003865AC" w:rsidRDefault="003865AC">
            <w:pPr>
              <w:spacing w:before="0" w:after="0"/>
              <w:jc w:val="both"/>
              <w:rPr>
                <w:rFonts w:hint="cs"/>
                <w:sz w:val="24"/>
                <w:szCs w:val="24"/>
              </w:rPr>
            </w:pPr>
            <w:r>
              <w:rPr>
                <w:rFonts w:hint="cs"/>
                <w:sz w:val="24"/>
                <w:szCs w:val="24"/>
                <w:rtl/>
              </w:rPr>
              <w:t>أمراض الجهاز البولي - التناسلي</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2.0</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2.4</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2.7</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2.8</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3.0</w:t>
            </w:r>
          </w:p>
        </w:tc>
      </w:tr>
      <w:tr w:rsidR="003865AC" w:rsidTr="003865AC">
        <w:tblPrEx>
          <w:tblCellMar>
            <w:top w:w="0" w:type="dxa"/>
            <w:bottom w:w="0" w:type="dxa"/>
          </w:tblCellMar>
        </w:tblPrEx>
        <w:tc>
          <w:tcPr>
            <w:tcW w:w="4242" w:type="dxa"/>
            <w:tcBorders>
              <w:top w:val="nil"/>
              <w:bottom w:val="nil"/>
            </w:tcBorders>
          </w:tcPr>
          <w:p w:rsidR="003865AC" w:rsidRDefault="003865AC">
            <w:pPr>
              <w:spacing w:before="0" w:after="0"/>
              <w:jc w:val="both"/>
              <w:rPr>
                <w:rFonts w:hint="cs"/>
                <w:sz w:val="24"/>
                <w:szCs w:val="24"/>
              </w:rPr>
            </w:pPr>
            <w:r>
              <w:rPr>
                <w:rFonts w:hint="cs"/>
                <w:sz w:val="24"/>
                <w:szCs w:val="24"/>
                <w:rtl/>
              </w:rPr>
              <w:t>أمراض الجلد والنسيج الخلوي تحت الجلد</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7.2</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5.0</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5.2</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5.7</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5.0</w:t>
            </w:r>
          </w:p>
        </w:tc>
      </w:tr>
      <w:tr w:rsidR="003865AC" w:rsidTr="003865AC">
        <w:tblPrEx>
          <w:tblCellMar>
            <w:top w:w="0" w:type="dxa"/>
            <w:bottom w:w="0" w:type="dxa"/>
          </w:tblCellMar>
        </w:tblPrEx>
        <w:tc>
          <w:tcPr>
            <w:tcW w:w="4242" w:type="dxa"/>
            <w:tcBorders>
              <w:top w:val="nil"/>
              <w:bottom w:val="nil"/>
            </w:tcBorders>
          </w:tcPr>
          <w:p w:rsidR="003865AC" w:rsidRDefault="003865AC">
            <w:pPr>
              <w:spacing w:before="0" w:after="0"/>
              <w:jc w:val="both"/>
              <w:rPr>
                <w:rFonts w:hint="cs"/>
                <w:sz w:val="24"/>
                <w:szCs w:val="24"/>
              </w:rPr>
            </w:pPr>
            <w:r>
              <w:rPr>
                <w:rFonts w:hint="cs"/>
                <w:sz w:val="24"/>
                <w:szCs w:val="24"/>
                <w:rtl/>
              </w:rPr>
              <w:t>أمراض الهيكل العظمي والنسيج الضام</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1.2</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1.0</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1.5</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0.8</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0.2</w:t>
            </w:r>
          </w:p>
        </w:tc>
      </w:tr>
      <w:tr w:rsidR="003865AC" w:rsidTr="003865AC">
        <w:tblPrEx>
          <w:tblCellMar>
            <w:top w:w="0" w:type="dxa"/>
            <w:bottom w:w="0" w:type="dxa"/>
          </w:tblCellMar>
        </w:tblPrEx>
        <w:tc>
          <w:tcPr>
            <w:tcW w:w="4242" w:type="dxa"/>
            <w:tcBorders>
              <w:top w:val="nil"/>
              <w:bottom w:val="nil"/>
            </w:tcBorders>
          </w:tcPr>
          <w:p w:rsidR="003865AC" w:rsidRDefault="003865AC">
            <w:pPr>
              <w:spacing w:before="0" w:after="0"/>
              <w:jc w:val="both"/>
              <w:rPr>
                <w:rFonts w:hint="cs"/>
                <w:sz w:val="24"/>
                <w:szCs w:val="24"/>
              </w:rPr>
            </w:pPr>
            <w:r>
              <w:rPr>
                <w:rFonts w:hint="cs"/>
                <w:sz w:val="24"/>
                <w:szCs w:val="24"/>
                <w:rtl/>
              </w:rPr>
              <w:t>التشوهات الخلقية (اضطرابات النمو)</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0.5</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0.5</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0.6</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1.3</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1.2</w:t>
            </w:r>
          </w:p>
        </w:tc>
      </w:tr>
      <w:tr w:rsidR="003865AC" w:rsidTr="003865AC">
        <w:tblPrEx>
          <w:tblCellMar>
            <w:top w:w="0" w:type="dxa"/>
            <w:bottom w:w="0" w:type="dxa"/>
          </w:tblCellMar>
        </w:tblPrEx>
        <w:tc>
          <w:tcPr>
            <w:tcW w:w="4242" w:type="dxa"/>
            <w:tcBorders>
              <w:top w:val="nil"/>
              <w:bottom w:val="nil"/>
            </w:tcBorders>
          </w:tcPr>
          <w:p w:rsidR="003865AC" w:rsidRDefault="003865AC">
            <w:pPr>
              <w:spacing w:before="0" w:after="0"/>
              <w:jc w:val="both"/>
              <w:rPr>
                <w:rFonts w:hint="cs"/>
                <w:sz w:val="24"/>
                <w:szCs w:val="24"/>
              </w:rPr>
            </w:pPr>
            <w:r>
              <w:rPr>
                <w:rFonts w:hint="cs"/>
                <w:sz w:val="24"/>
                <w:szCs w:val="24"/>
                <w:rtl/>
              </w:rPr>
              <w:t>ظروف محددة ملازمة لفترة الولادة</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0.3</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0.2</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0.5</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2.6</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3.0</w:t>
            </w:r>
          </w:p>
        </w:tc>
      </w:tr>
      <w:tr w:rsidR="003865AC" w:rsidTr="003865AC">
        <w:tblPrEx>
          <w:tblCellMar>
            <w:top w:w="0" w:type="dxa"/>
            <w:bottom w:w="0" w:type="dxa"/>
          </w:tblCellMar>
        </w:tblPrEx>
        <w:tc>
          <w:tcPr>
            <w:tcW w:w="4242" w:type="dxa"/>
            <w:tcBorders>
              <w:top w:val="nil"/>
              <w:bottom w:val="nil"/>
            </w:tcBorders>
          </w:tcPr>
          <w:p w:rsidR="003865AC" w:rsidRDefault="003865AC">
            <w:pPr>
              <w:spacing w:before="0" w:after="0"/>
              <w:jc w:val="both"/>
              <w:rPr>
                <w:rFonts w:hint="cs"/>
                <w:sz w:val="24"/>
                <w:szCs w:val="24"/>
              </w:rPr>
            </w:pPr>
            <w:r>
              <w:rPr>
                <w:rFonts w:hint="cs"/>
                <w:sz w:val="24"/>
                <w:szCs w:val="24"/>
                <w:rtl/>
              </w:rPr>
              <w:t>أعــراض ودلائل المرض وحالات التشخيص الخاطئ</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1.1</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0.6</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0.6</w:t>
            </w:r>
          </w:p>
        </w:tc>
        <w:tc>
          <w:tcPr>
            <w:tcW w:w="1080" w:type="dxa"/>
            <w:tcBorders>
              <w:top w:val="nil"/>
              <w:bottom w:val="nil"/>
            </w:tcBorders>
          </w:tcPr>
          <w:p w:rsidR="003865AC" w:rsidRDefault="003865AC">
            <w:pPr>
              <w:spacing w:before="0" w:after="0"/>
              <w:jc w:val="both"/>
              <w:rPr>
                <w:rFonts w:hint="cs"/>
                <w:sz w:val="24"/>
                <w:szCs w:val="24"/>
              </w:rPr>
            </w:pPr>
            <w:r>
              <w:rPr>
                <w:rFonts w:hint="cs"/>
                <w:sz w:val="24"/>
                <w:szCs w:val="24"/>
                <w:rtl/>
              </w:rPr>
              <w:t>1.4</w:t>
            </w:r>
          </w:p>
        </w:tc>
        <w:tc>
          <w:tcPr>
            <w:tcW w:w="1008" w:type="dxa"/>
            <w:tcBorders>
              <w:top w:val="nil"/>
              <w:bottom w:val="nil"/>
            </w:tcBorders>
          </w:tcPr>
          <w:p w:rsidR="003865AC" w:rsidRDefault="003865AC">
            <w:pPr>
              <w:spacing w:before="0" w:after="0"/>
              <w:jc w:val="both"/>
              <w:rPr>
                <w:rFonts w:hint="cs"/>
                <w:sz w:val="24"/>
                <w:szCs w:val="24"/>
              </w:rPr>
            </w:pPr>
            <w:r>
              <w:rPr>
                <w:rFonts w:hint="cs"/>
                <w:sz w:val="24"/>
                <w:szCs w:val="24"/>
                <w:rtl/>
              </w:rPr>
              <w:t>1.1</w:t>
            </w:r>
          </w:p>
        </w:tc>
      </w:tr>
      <w:tr w:rsidR="003865AC" w:rsidTr="003865AC">
        <w:tblPrEx>
          <w:tblCellMar>
            <w:top w:w="0" w:type="dxa"/>
            <w:bottom w:w="0" w:type="dxa"/>
          </w:tblCellMar>
        </w:tblPrEx>
        <w:tc>
          <w:tcPr>
            <w:tcW w:w="4242" w:type="dxa"/>
            <w:tcBorders>
              <w:top w:val="nil"/>
            </w:tcBorders>
          </w:tcPr>
          <w:p w:rsidR="003865AC" w:rsidRDefault="003865AC">
            <w:pPr>
              <w:spacing w:before="0" w:after="0"/>
              <w:jc w:val="both"/>
              <w:rPr>
                <w:rFonts w:hint="cs"/>
                <w:sz w:val="24"/>
                <w:szCs w:val="24"/>
              </w:rPr>
            </w:pPr>
            <w:r>
              <w:rPr>
                <w:rFonts w:hint="cs"/>
                <w:sz w:val="24"/>
                <w:szCs w:val="24"/>
                <w:rtl/>
              </w:rPr>
              <w:t>الجروح وحالات التسمم</w:t>
            </w:r>
          </w:p>
        </w:tc>
        <w:tc>
          <w:tcPr>
            <w:tcW w:w="1080" w:type="dxa"/>
            <w:tcBorders>
              <w:top w:val="nil"/>
            </w:tcBorders>
          </w:tcPr>
          <w:p w:rsidR="003865AC" w:rsidRDefault="003865AC">
            <w:pPr>
              <w:spacing w:before="0" w:after="0"/>
              <w:jc w:val="both"/>
              <w:rPr>
                <w:rFonts w:hint="cs"/>
                <w:sz w:val="24"/>
                <w:szCs w:val="24"/>
              </w:rPr>
            </w:pPr>
            <w:r>
              <w:rPr>
                <w:rFonts w:hint="cs"/>
                <w:sz w:val="24"/>
                <w:szCs w:val="24"/>
                <w:rtl/>
              </w:rPr>
              <w:t>13.9</w:t>
            </w:r>
          </w:p>
        </w:tc>
        <w:tc>
          <w:tcPr>
            <w:tcW w:w="1080" w:type="dxa"/>
            <w:tcBorders>
              <w:top w:val="nil"/>
            </w:tcBorders>
          </w:tcPr>
          <w:p w:rsidR="003865AC" w:rsidRDefault="003865AC">
            <w:pPr>
              <w:spacing w:before="0" w:after="0"/>
              <w:jc w:val="both"/>
              <w:rPr>
                <w:rFonts w:hint="cs"/>
                <w:sz w:val="24"/>
                <w:szCs w:val="24"/>
              </w:rPr>
            </w:pPr>
            <w:r>
              <w:rPr>
                <w:rFonts w:hint="cs"/>
                <w:sz w:val="24"/>
                <w:szCs w:val="24"/>
                <w:rtl/>
              </w:rPr>
              <w:t>7.0</w:t>
            </w:r>
          </w:p>
        </w:tc>
        <w:tc>
          <w:tcPr>
            <w:tcW w:w="1080" w:type="dxa"/>
            <w:tcBorders>
              <w:top w:val="nil"/>
            </w:tcBorders>
          </w:tcPr>
          <w:p w:rsidR="003865AC" w:rsidRDefault="003865AC">
            <w:pPr>
              <w:spacing w:before="0" w:after="0"/>
              <w:jc w:val="both"/>
              <w:rPr>
                <w:rFonts w:hint="cs"/>
                <w:sz w:val="24"/>
                <w:szCs w:val="24"/>
              </w:rPr>
            </w:pPr>
            <w:r>
              <w:rPr>
                <w:rFonts w:hint="cs"/>
                <w:sz w:val="24"/>
                <w:szCs w:val="24"/>
                <w:rtl/>
              </w:rPr>
              <w:t>6.2</w:t>
            </w:r>
          </w:p>
        </w:tc>
        <w:tc>
          <w:tcPr>
            <w:tcW w:w="1080" w:type="dxa"/>
            <w:tcBorders>
              <w:top w:val="nil"/>
            </w:tcBorders>
          </w:tcPr>
          <w:p w:rsidR="003865AC" w:rsidRDefault="003865AC">
            <w:pPr>
              <w:spacing w:before="0" w:after="0"/>
              <w:jc w:val="both"/>
              <w:rPr>
                <w:rFonts w:hint="cs"/>
                <w:sz w:val="24"/>
                <w:szCs w:val="24"/>
              </w:rPr>
            </w:pPr>
            <w:r>
              <w:rPr>
                <w:rFonts w:hint="cs"/>
                <w:sz w:val="24"/>
                <w:szCs w:val="24"/>
                <w:rtl/>
              </w:rPr>
              <w:t>4.5</w:t>
            </w:r>
          </w:p>
        </w:tc>
        <w:tc>
          <w:tcPr>
            <w:tcW w:w="1008" w:type="dxa"/>
            <w:tcBorders>
              <w:top w:val="nil"/>
            </w:tcBorders>
          </w:tcPr>
          <w:p w:rsidR="003865AC" w:rsidRDefault="003865AC">
            <w:pPr>
              <w:spacing w:before="0" w:after="0"/>
              <w:jc w:val="both"/>
              <w:rPr>
                <w:rFonts w:hint="cs"/>
                <w:sz w:val="24"/>
                <w:szCs w:val="24"/>
              </w:rPr>
            </w:pPr>
            <w:r>
              <w:rPr>
                <w:rFonts w:hint="cs"/>
                <w:sz w:val="24"/>
                <w:szCs w:val="24"/>
                <w:rtl/>
              </w:rPr>
              <w:t>4.2</w:t>
            </w:r>
          </w:p>
        </w:tc>
      </w:tr>
    </w:tbl>
    <w:p w:rsidR="00000000" w:rsidRDefault="003865AC">
      <w:pPr>
        <w:jc w:val="both"/>
        <w:rPr>
          <w:rFonts w:hint="cs"/>
          <w:rtl/>
        </w:rPr>
      </w:pPr>
      <w:r>
        <w:rPr>
          <w:rFonts w:hint="cs"/>
          <w:rtl/>
        </w:rPr>
        <w:tab/>
      </w:r>
      <w:r>
        <w:rPr>
          <w:rFonts w:hint="cs"/>
          <w:u w:val="single"/>
          <w:rtl/>
        </w:rPr>
        <w:t>المصدر</w:t>
      </w:r>
      <w:r>
        <w:rPr>
          <w:rFonts w:hint="cs"/>
          <w:rtl/>
        </w:rPr>
        <w:t>: حولية الإحصاءات الجورجية (2000) الصادرة عن مكتب الإحصاء الوطني.</w:t>
      </w:r>
    </w:p>
    <w:p w:rsidR="00000000" w:rsidRDefault="003865AC">
      <w:pPr>
        <w:jc w:val="both"/>
        <w:rPr>
          <w:rFonts w:hint="cs"/>
          <w:i/>
          <w:iCs/>
          <w:rtl/>
        </w:rPr>
      </w:pPr>
      <w:r>
        <w:rPr>
          <w:rFonts w:hint="cs"/>
          <w:i/>
          <w:iCs/>
          <w:rtl/>
        </w:rPr>
        <w:t>السياسة الوطنية للرعاية الصحية</w:t>
      </w:r>
    </w:p>
    <w:p w:rsidR="00000000" w:rsidRDefault="003865AC">
      <w:pPr>
        <w:jc w:val="both"/>
        <w:rPr>
          <w:rFonts w:hint="cs"/>
          <w:rtl/>
        </w:rPr>
      </w:pPr>
      <w:r>
        <w:rPr>
          <w:rFonts w:hint="cs"/>
          <w:rtl/>
        </w:rPr>
        <w:t>189-</w:t>
      </w:r>
      <w:r>
        <w:rPr>
          <w:rFonts w:hint="cs"/>
          <w:rtl/>
        </w:rPr>
        <w:tab/>
        <w:t>أقر المرسوم الرئاسي رقم 179 (7 أيار/مايو 2000) بشأن التدابير الملحة لإرساء الأسس المفاهيمية للتنمية الاجتماعية في جورجيا الم</w:t>
      </w:r>
      <w:r>
        <w:rPr>
          <w:rFonts w:hint="cs"/>
          <w:rtl/>
        </w:rPr>
        <w:t>بادرتين التاليتين: الأولى، اعتماد سياسة وطنية للرعاية الصحية؛ والثانية، وضع خطة استراتيجية لتطوير الرعاية الصحية في جورجيا في الفترة 2000-2009. ويجري حاليا تقييم نتائج السنة الأولى لتنفيذ الخطة الاستراتيجية. وتستند هذه الخطة إلى توقعات بعيدة الأمد على صعيد</w:t>
      </w:r>
      <w:r>
        <w:rPr>
          <w:rFonts w:hint="cs"/>
          <w:rtl/>
        </w:rPr>
        <w:t xml:space="preserve"> الاقتصاد الكلي وضعتها في عام 1999 وزارة الشؤون الاقتصادية، التي خضعت هي نفسها لإصلاحات كبيرة في العام المنصرم. وبناءً على ذلك، تجري في الوقت الراهن عملية تعديل للعنصر المالي في الخطة الاستراتيجية ليتماشى مع مؤشرات الاقتصاد الكلي التي وردت منقحة في هذه الت</w:t>
      </w:r>
      <w:r>
        <w:rPr>
          <w:rFonts w:hint="cs"/>
          <w:rtl/>
        </w:rPr>
        <w:t>وقعات.</w:t>
      </w:r>
    </w:p>
    <w:p w:rsidR="00000000" w:rsidRDefault="003865AC">
      <w:pPr>
        <w:jc w:val="both"/>
        <w:rPr>
          <w:rFonts w:hint="cs"/>
          <w:rtl/>
        </w:rPr>
      </w:pPr>
    </w:p>
    <w:p w:rsidR="00000000" w:rsidRDefault="003865AC">
      <w:pPr>
        <w:jc w:val="both"/>
        <w:rPr>
          <w:rFonts w:hint="cs"/>
          <w:rtl/>
        </w:rPr>
      </w:pPr>
      <w:r>
        <w:rPr>
          <w:rFonts w:hint="cs"/>
          <w:i/>
          <w:iCs/>
          <w:rtl/>
        </w:rPr>
        <w:t>الميزانية المخصصة لبرامج الصحة العامة</w:t>
      </w:r>
    </w:p>
    <w:p w:rsidR="00000000" w:rsidRDefault="003865AC">
      <w:pPr>
        <w:jc w:val="both"/>
        <w:rPr>
          <w:rStyle w:val="FootnoteReference"/>
          <w:vertAlign w:val="baseline"/>
          <w:rtl/>
        </w:rPr>
      </w:pPr>
      <w:r>
        <w:rPr>
          <w:rFonts w:hint="cs"/>
          <w:rtl/>
        </w:rPr>
        <w:t>190-</w:t>
      </w:r>
      <w:r>
        <w:rPr>
          <w:rFonts w:hint="cs"/>
          <w:rtl/>
        </w:rPr>
        <w:tab/>
        <w:t>يبين الجدول التالي حجم التمويل المركزي لبرامج الرعاية الصحية في الفترة 1997-2000.</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2"/>
        <w:gridCol w:w="3758"/>
        <w:gridCol w:w="3190"/>
      </w:tblGrid>
      <w:tr w:rsidR="003865AC" w:rsidTr="003865AC">
        <w:tblPrEx>
          <w:tblCellMar>
            <w:top w:w="0" w:type="dxa"/>
            <w:bottom w:w="0" w:type="dxa"/>
          </w:tblCellMar>
        </w:tblPrEx>
        <w:tc>
          <w:tcPr>
            <w:tcW w:w="2622" w:type="dxa"/>
            <w:tcBorders>
              <w:bottom w:val="single" w:sz="4" w:space="0" w:color="auto"/>
            </w:tcBorders>
          </w:tcPr>
          <w:p w:rsidR="003865AC" w:rsidRDefault="003865AC">
            <w:pPr>
              <w:spacing w:before="0" w:after="0"/>
              <w:jc w:val="center"/>
              <w:rPr>
                <w:rStyle w:val="FootnoteReference"/>
                <w:rFonts w:hint="cs"/>
                <w:b/>
                <w:vertAlign w:val="baseline"/>
              </w:rPr>
            </w:pPr>
            <w:r>
              <w:rPr>
                <w:rFonts w:hint="cs"/>
                <w:b/>
                <w:bCs/>
                <w:rtl/>
              </w:rPr>
              <w:t>العام</w:t>
            </w:r>
          </w:p>
        </w:tc>
        <w:tc>
          <w:tcPr>
            <w:tcW w:w="3758" w:type="dxa"/>
            <w:tcBorders>
              <w:bottom w:val="single" w:sz="4" w:space="0" w:color="auto"/>
            </w:tcBorders>
          </w:tcPr>
          <w:p w:rsidR="003865AC" w:rsidRDefault="003865AC">
            <w:pPr>
              <w:spacing w:before="0" w:after="0"/>
              <w:jc w:val="center"/>
              <w:rPr>
                <w:rStyle w:val="FootnoteReference"/>
                <w:rFonts w:hint="cs"/>
                <w:b/>
                <w:vertAlign w:val="baseline"/>
              </w:rPr>
            </w:pPr>
            <w:r>
              <w:rPr>
                <w:rFonts w:hint="cs"/>
                <w:b/>
                <w:bCs/>
                <w:rtl/>
              </w:rPr>
              <w:t>المبلغ المعتزم تخصيصه (بآلاف اللاريات)</w:t>
            </w:r>
          </w:p>
        </w:tc>
        <w:tc>
          <w:tcPr>
            <w:tcW w:w="3190" w:type="dxa"/>
            <w:tcBorders>
              <w:bottom w:val="single" w:sz="4" w:space="0" w:color="auto"/>
            </w:tcBorders>
          </w:tcPr>
          <w:p w:rsidR="003865AC" w:rsidRDefault="003865AC">
            <w:pPr>
              <w:spacing w:before="0" w:after="0"/>
              <w:jc w:val="center"/>
              <w:rPr>
                <w:rStyle w:val="FootnoteReference"/>
                <w:rFonts w:hint="cs"/>
                <w:b/>
                <w:bCs w:val="0"/>
                <w:vertAlign w:val="baseline"/>
              </w:rPr>
            </w:pPr>
            <w:r>
              <w:rPr>
                <w:rFonts w:hint="cs"/>
                <w:b/>
                <w:bCs/>
                <w:rtl/>
              </w:rPr>
              <w:t>النسبة المئوية لتنفيذ البرامج</w:t>
            </w:r>
          </w:p>
        </w:tc>
      </w:tr>
      <w:tr w:rsidR="003865AC" w:rsidTr="003865AC">
        <w:tblPrEx>
          <w:tblCellMar>
            <w:top w:w="0" w:type="dxa"/>
            <w:bottom w:w="0" w:type="dxa"/>
          </w:tblCellMar>
        </w:tblPrEx>
        <w:tc>
          <w:tcPr>
            <w:tcW w:w="2622" w:type="dxa"/>
            <w:tcBorders>
              <w:bottom w:val="nil"/>
            </w:tcBorders>
          </w:tcPr>
          <w:p w:rsidR="003865AC" w:rsidRDefault="003865AC">
            <w:pPr>
              <w:spacing w:before="0" w:after="0"/>
              <w:jc w:val="center"/>
              <w:rPr>
                <w:rStyle w:val="FootnoteReference"/>
                <w:rFonts w:hint="cs"/>
                <w:vertAlign w:val="baseline"/>
              </w:rPr>
            </w:pPr>
            <w:r>
              <w:rPr>
                <w:rFonts w:hint="cs"/>
                <w:rtl/>
              </w:rPr>
              <w:t>1997</w:t>
            </w:r>
          </w:p>
        </w:tc>
        <w:tc>
          <w:tcPr>
            <w:tcW w:w="3758" w:type="dxa"/>
            <w:tcBorders>
              <w:bottom w:val="nil"/>
            </w:tcBorders>
          </w:tcPr>
          <w:p w:rsidR="003865AC" w:rsidRDefault="003865AC">
            <w:pPr>
              <w:spacing w:before="0" w:after="0"/>
              <w:jc w:val="center"/>
              <w:rPr>
                <w:rStyle w:val="FootnoteReference"/>
                <w:rFonts w:hint="cs"/>
                <w:vertAlign w:val="baseline"/>
              </w:rPr>
            </w:pPr>
            <w:r>
              <w:rPr>
                <w:rFonts w:hint="cs"/>
                <w:rtl/>
              </w:rPr>
              <w:t>313 49</w:t>
            </w:r>
          </w:p>
        </w:tc>
        <w:tc>
          <w:tcPr>
            <w:tcW w:w="3190" w:type="dxa"/>
            <w:tcBorders>
              <w:bottom w:val="nil"/>
            </w:tcBorders>
          </w:tcPr>
          <w:p w:rsidR="003865AC" w:rsidRDefault="003865AC">
            <w:pPr>
              <w:spacing w:before="0" w:after="0"/>
              <w:jc w:val="center"/>
              <w:rPr>
                <w:rStyle w:val="FootnoteReference"/>
                <w:rFonts w:hint="cs"/>
                <w:vertAlign w:val="baseline"/>
              </w:rPr>
            </w:pPr>
            <w:r>
              <w:rPr>
                <w:rFonts w:hint="cs"/>
                <w:rtl/>
              </w:rPr>
              <w:t>56.5</w:t>
            </w:r>
          </w:p>
        </w:tc>
      </w:tr>
      <w:tr w:rsidR="003865AC" w:rsidTr="003865AC">
        <w:tblPrEx>
          <w:tblCellMar>
            <w:top w:w="0" w:type="dxa"/>
            <w:bottom w:w="0" w:type="dxa"/>
          </w:tblCellMar>
        </w:tblPrEx>
        <w:tc>
          <w:tcPr>
            <w:tcW w:w="2622" w:type="dxa"/>
            <w:tcBorders>
              <w:top w:val="nil"/>
              <w:bottom w:val="nil"/>
            </w:tcBorders>
          </w:tcPr>
          <w:p w:rsidR="003865AC" w:rsidRDefault="003865AC">
            <w:pPr>
              <w:spacing w:before="0" w:after="0"/>
              <w:jc w:val="center"/>
              <w:rPr>
                <w:rFonts w:hint="cs"/>
                <w:rtl/>
              </w:rPr>
            </w:pPr>
            <w:r>
              <w:rPr>
                <w:rFonts w:hint="cs"/>
                <w:rtl/>
              </w:rPr>
              <w:t>1998</w:t>
            </w:r>
          </w:p>
        </w:tc>
        <w:tc>
          <w:tcPr>
            <w:tcW w:w="3758" w:type="dxa"/>
            <w:tcBorders>
              <w:top w:val="nil"/>
              <w:bottom w:val="nil"/>
            </w:tcBorders>
          </w:tcPr>
          <w:p w:rsidR="003865AC" w:rsidRDefault="003865AC">
            <w:pPr>
              <w:spacing w:before="0" w:after="0"/>
              <w:jc w:val="center"/>
              <w:rPr>
                <w:rFonts w:hint="cs"/>
                <w:rtl/>
              </w:rPr>
            </w:pPr>
            <w:r>
              <w:rPr>
                <w:rFonts w:hint="cs"/>
                <w:rtl/>
              </w:rPr>
              <w:t>220 54</w:t>
            </w:r>
          </w:p>
        </w:tc>
        <w:tc>
          <w:tcPr>
            <w:tcW w:w="3190" w:type="dxa"/>
            <w:tcBorders>
              <w:top w:val="nil"/>
              <w:bottom w:val="nil"/>
            </w:tcBorders>
          </w:tcPr>
          <w:p w:rsidR="003865AC" w:rsidRDefault="003865AC">
            <w:pPr>
              <w:spacing w:before="0" w:after="0"/>
              <w:jc w:val="center"/>
              <w:rPr>
                <w:rFonts w:hint="cs"/>
                <w:rtl/>
              </w:rPr>
            </w:pPr>
            <w:r>
              <w:rPr>
                <w:rFonts w:hint="cs"/>
                <w:rtl/>
              </w:rPr>
              <w:t>58.0</w:t>
            </w:r>
          </w:p>
        </w:tc>
      </w:tr>
      <w:tr w:rsidR="003865AC" w:rsidTr="003865AC">
        <w:tblPrEx>
          <w:tblCellMar>
            <w:top w:w="0" w:type="dxa"/>
            <w:bottom w:w="0" w:type="dxa"/>
          </w:tblCellMar>
        </w:tblPrEx>
        <w:tc>
          <w:tcPr>
            <w:tcW w:w="2622" w:type="dxa"/>
            <w:tcBorders>
              <w:top w:val="nil"/>
              <w:bottom w:val="nil"/>
            </w:tcBorders>
          </w:tcPr>
          <w:p w:rsidR="003865AC" w:rsidRDefault="003865AC">
            <w:pPr>
              <w:spacing w:before="0" w:after="0"/>
              <w:jc w:val="center"/>
              <w:rPr>
                <w:rFonts w:hint="cs"/>
                <w:rtl/>
              </w:rPr>
            </w:pPr>
            <w:r>
              <w:rPr>
                <w:rFonts w:hint="cs"/>
                <w:rtl/>
              </w:rPr>
              <w:t>1999</w:t>
            </w:r>
          </w:p>
        </w:tc>
        <w:tc>
          <w:tcPr>
            <w:tcW w:w="3758" w:type="dxa"/>
            <w:tcBorders>
              <w:top w:val="nil"/>
              <w:bottom w:val="nil"/>
            </w:tcBorders>
          </w:tcPr>
          <w:p w:rsidR="003865AC" w:rsidRDefault="003865AC">
            <w:pPr>
              <w:spacing w:before="0" w:after="0"/>
              <w:jc w:val="center"/>
              <w:rPr>
                <w:rFonts w:hint="cs"/>
                <w:rtl/>
              </w:rPr>
            </w:pPr>
            <w:r>
              <w:rPr>
                <w:rFonts w:hint="cs"/>
                <w:rtl/>
              </w:rPr>
              <w:t>800 52</w:t>
            </w:r>
          </w:p>
        </w:tc>
        <w:tc>
          <w:tcPr>
            <w:tcW w:w="3190" w:type="dxa"/>
            <w:tcBorders>
              <w:top w:val="nil"/>
              <w:bottom w:val="nil"/>
            </w:tcBorders>
          </w:tcPr>
          <w:p w:rsidR="003865AC" w:rsidRDefault="003865AC">
            <w:pPr>
              <w:spacing w:before="0" w:after="0"/>
              <w:jc w:val="center"/>
              <w:rPr>
                <w:rFonts w:hint="cs"/>
                <w:rtl/>
              </w:rPr>
            </w:pPr>
            <w:r>
              <w:rPr>
                <w:rFonts w:hint="cs"/>
                <w:rtl/>
              </w:rPr>
              <w:t>55.3</w:t>
            </w:r>
          </w:p>
        </w:tc>
      </w:tr>
      <w:tr w:rsidR="003865AC" w:rsidTr="003865AC">
        <w:tblPrEx>
          <w:tblCellMar>
            <w:top w:w="0" w:type="dxa"/>
            <w:bottom w:w="0" w:type="dxa"/>
          </w:tblCellMar>
        </w:tblPrEx>
        <w:tc>
          <w:tcPr>
            <w:tcW w:w="2622" w:type="dxa"/>
            <w:tcBorders>
              <w:top w:val="nil"/>
            </w:tcBorders>
          </w:tcPr>
          <w:p w:rsidR="003865AC" w:rsidRDefault="003865AC">
            <w:pPr>
              <w:spacing w:before="0" w:after="0"/>
              <w:jc w:val="center"/>
              <w:rPr>
                <w:rFonts w:hint="cs"/>
                <w:rtl/>
              </w:rPr>
            </w:pPr>
            <w:r>
              <w:rPr>
                <w:rFonts w:hint="cs"/>
                <w:rtl/>
              </w:rPr>
              <w:t>2000</w:t>
            </w:r>
          </w:p>
        </w:tc>
        <w:tc>
          <w:tcPr>
            <w:tcW w:w="3758" w:type="dxa"/>
            <w:tcBorders>
              <w:top w:val="nil"/>
            </w:tcBorders>
          </w:tcPr>
          <w:p w:rsidR="003865AC" w:rsidRDefault="003865AC">
            <w:pPr>
              <w:spacing w:before="0" w:after="0"/>
              <w:jc w:val="center"/>
              <w:rPr>
                <w:rFonts w:hint="cs"/>
                <w:rtl/>
              </w:rPr>
            </w:pPr>
            <w:r>
              <w:rPr>
                <w:rFonts w:hint="cs"/>
                <w:rtl/>
              </w:rPr>
              <w:t>000 48</w:t>
            </w:r>
          </w:p>
        </w:tc>
        <w:tc>
          <w:tcPr>
            <w:tcW w:w="3190" w:type="dxa"/>
            <w:tcBorders>
              <w:top w:val="nil"/>
            </w:tcBorders>
          </w:tcPr>
          <w:p w:rsidR="003865AC" w:rsidRDefault="003865AC">
            <w:pPr>
              <w:spacing w:before="0" w:after="0"/>
              <w:jc w:val="center"/>
              <w:rPr>
                <w:rFonts w:hint="cs"/>
                <w:rtl/>
              </w:rPr>
            </w:pPr>
            <w:r>
              <w:rPr>
                <w:rFonts w:hint="cs"/>
                <w:rtl/>
              </w:rPr>
              <w:t>80.9</w:t>
            </w:r>
          </w:p>
        </w:tc>
      </w:tr>
    </w:tbl>
    <w:p w:rsidR="00000000" w:rsidRDefault="003865AC">
      <w:pPr>
        <w:jc w:val="both"/>
        <w:rPr>
          <w:rFonts w:hint="cs"/>
          <w:i/>
          <w:iCs/>
          <w:rtl/>
        </w:rPr>
      </w:pPr>
      <w:r>
        <w:rPr>
          <w:rFonts w:hint="cs"/>
          <w:i/>
          <w:iCs/>
          <w:rtl/>
        </w:rPr>
        <w:t>الإحصاءات المتعلقة بمؤشرات منظمة الصحة العالمية</w:t>
      </w:r>
    </w:p>
    <w:p w:rsidR="00000000" w:rsidRDefault="003865AC">
      <w:pPr>
        <w:jc w:val="both"/>
        <w:rPr>
          <w:rFonts w:hint="cs"/>
          <w:i/>
          <w:iCs/>
          <w:rtl/>
        </w:rPr>
      </w:pPr>
      <w:r>
        <w:rPr>
          <w:rFonts w:hint="cs"/>
          <w:i/>
          <w:iCs/>
          <w:rtl/>
        </w:rPr>
        <w:tab/>
        <w:t>(أ)</w:t>
      </w:r>
      <w:r>
        <w:rPr>
          <w:rFonts w:hint="cs"/>
          <w:i/>
          <w:iCs/>
          <w:rtl/>
        </w:rPr>
        <w:tab/>
        <w:t>وفيات الرضع</w:t>
      </w:r>
    </w:p>
    <w:p w:rsidR="00000000" w:rsidRDefault="003865AC">
      <w:pPr>
        <w:jc w:val="both"/>
        <w:rPr>
          <w:rFonts w:hint="cs"/>
          <w:rtl/>
        </w:rPr>
      </w:pPr>
      <w:r>
        <w:rPr>
          <w:rFonts w:hint="cs"/>
          <w:rtl/>
        </w:rPr>
        <w:t>191-</w:t>
      </w:r>
      <w:r>
        <w:rPr>
          <w:rFonts w:hint="cs"/>
          <w:rtl/>
        </w:rPr>
        <w:tab/>
        <w:t>انظر الجداول المبينة أدناه.</w:t>
      </w:r>
    </w:p>
    <w:p w:rsidR="00000000" w:rsidRDefault="003865AC">
      <w:pPr>
        <w:jc w:val="center"/>
        <w:rPr>
          <w:rFonts w:hint="cs"/>
          <w:rtl/>
        </w:rPr>
      </w:pPr>
      <w:r>
        <w:rPr>
          <w:rFonts w:hint="cs"/>
          <w:b/>
          <w:bCs/>
          <w:rtl/>
        </w:rPr>
        <w:t>وفيات الرضع الذين يقل عمرهم عن سنة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5"/>
      </w:tblGrid>
      <w:tr w:rsidR="003865AC" w:rsidTr="003865AC">
        <w:tblPrEx>
          <w:tblCellMar>
            <w:top w:w="0" w:type="dxa"/>
            <w:bottom w:w="0" w:type="dxa"/>
          </w:tblCellMar>
        </w:tblPrEx>
        <w:tc>
          <w:tcPr>
            <w:tcW w:w="1595" w:type="dxa"/>
            <w:tcBorders>
              <w:bottom w:val="single" w:sz="4" w:space="0" w:color="auto"/>
            </w:tcBorders>
          </w:tcPr>
          <w:p w:rsidR="003865AC" w:rsidRDefault="003865AC">
            <w:pPr>
              <w:spacing w:before="0" w:after="0"/>
              <w:jc w:val="center"/>
              <w:rPr>
                <w:rFonts w:hint="cs"/>
                <w:b/>
                <w:bCs/>
              </w:rPr>
            </w:pPr>
            <w:r>
              <w:rPr>
                <w:rFonts w:hint="cs"/>
                <w:b/>
                <w:bCs/>
                <w:rtl/>
              </w:rPr>
              <w:t>الأعوام</w:t>
            </w:r>
          </w:p>
        </w:tc>
        <w:tc>
          <w:tcPr>
            <w:tcW w:w="1595" w:type="dxa"/>
            <w:tcBorders>
              <w:bottom w:val="single" w:sz="4" w:space="0" w:color="auto"/>
            </w:tcBorders>
          </w:tcPr>
          <w:p w:rsidR="003865AC" w:rsidRDefault="003865AC">
            <w:pPr>
              <w:spacing w:before="0" w:after="0"/>
              <w:jc w:val="center"/>
              <w:rPr>
                <w:rFonts w:hint="cs"/>
                <w:b/>
                <w:bCs/>
              </w:rPr>
            </w:pPr>
            <w:r>
              <w:rPr>
                <w:rFonts w:hint="cs"/>
                <w:b/>
                <w:bCs/>
                <w:rtl/>
              </w:rPr>
              <w:t>المجموع</w:t>
            </w:r>
          </w:p>
        </w:tc>
        <w:tc>
          <w:tcPr>
            <w:tcW w:w="1595" w:type="dxa"/>
            <w:tcBorders>
              <w:bottom w:val="single" w:sz="4" w:space="0" w:color="auto"/>
            </w:tcBorders>
          </w:tcPr>
          <w:p w:rsidR="003865AC" w:rsidRDefault="003865AC">
            <w:pPr>
              <w:spacing w:before="0" w:after="0"/>
              <w:jc w:val="center"/>
              <w:rPr>
                <w:rFonts w:hint="cs"/>
                <w:b/>
                <w:bCs/>
              </w:rPr>
            </w:pPr>
            <w:r>
              <w:rPr>
                <w:rFonts w:hint="cs"/>
                <w:b/>
                <w:bCs/>
                <w:rtl/>
              </w:rPr>
              <w:t>الأولاد</w:t>
            </w:r>
          </w:p>
        </w:tc>
        <w:tc>
          <w:tcPr>
            <w:tcW w:w="1595" w:type="dxa"/>
            <w:tcBorders>
              <w:bottom w:val="single" w:sz="4" w:space="0" w:color="auto"/>
            </w:tcBorders>
          </w:tcPr>
          <w:p w:rsidR="003865AC" w:rsidRDefault="003865AC">
            <w:pPr>
              <w:spacing w:before="0" w:after="0"/>
              <w:jc w:val="center"/>
              <w:rPr>
                <w:rFonts w:hint="cs"/>
                <w:b/>
                <w:bCs/>
              </w:rPr>
            </w:pPr>
            <w:r>
              <w:rPr>
                <w:rFonts w:hint="cs"/>
                <w:b/>
                <w:bCs/>
                <w:rtl/>
              </w:rPr>
              <w:t>البنات</w:t>
            </w:r>
          </w:p>
        </w:tc>
        <w:tc>
          <w:tcPr>
            <w:tcW w:w="1595" w:type="dxa"/>
            <w:tcBorders>
              <w:bottom w:val="single" w:sz="4" w:space="0" w:color="auto"/>
            </w:tcBorders>
          </w:tcPr>
          <w:p w:rsidR="003865AC" w:rsidRDefault="003865AC">
            <w:pPr>
              <w:spacing w:before="0" w:after="0"/>
              <w:jc w:val="center"/>
              <w:rPr>
                <w:rFonts w:hint="cs"/>
                <w:b/>
                <w:bCs/>
              </w:rPr>
            </w:pPr>
            <w:r>
              <w:rPr>
                <w:rFonts w:hint="cs"/>
                <w:b/>
                <w:bCs/>
                <w:rtl/>
              </w:rPr>
              <w:t>المدن</w:t>
            </w:r>
          </w:p>
        </w:tc>
        <w:tc>
          <w:tcPr>
            <w:tcW w:w="1595" w:type="dxa"/>
            <w:tcBorders>
              <w:bottom w:val="single" w:sz="4" w:space="0" w:color="auto"/>
            </w:tcBorders>
          </w:tcPr>
          <w:p w:rsidR="003865AC" w:rsidRDefault="003865AC">
            <w:pPr>
              <w:spacing w:before="0" w:after="0"/>
              <w:jc w:val="center"/>
              <w:rPr>
                <w:rFonts w:hint="cs"/>
                <w:b/>
                <w:bCs/>
              </w:rPr>
            </w:pPr>
            <w:r>
              <w:rPr>
                <w:rFonts w:hint="cs"/>
                <w:b/>
                <w:bCs/>
                <w:rtl/>
              </w:rPr>
              <w:t>الريف</w:t>
            </w:r>
          </w:p>
        </w:tc>
      </w:tr>
      <w:tr w:rsidR="003865AC" w:rsidTr="003865AC">
        <w:tblPrEx>
          <w:tblCellMar>
            <w:top w:w="0" w:type="dxa"/>
            <w:bottom w:w="0" w:type="dxa"/>
          </w:tblCellMar>
        </w:tblPrEx>
        <w:tc>
          <w:tcPr>
            <w:tcW w:w="1595" w:type="dxa"/>
            <w:tcBorders>
              <w:top w:val="single" w:sz="4" w:space="0" w:color="auto"/>
              <w:bottom w:val="nil"/>
            </w:tcBorders>
          </w:tcPr>
          <w:p w:rsidR="003865AC" w:rsidRDefault="003865AC">
            <w:pPr>
              <w:spacing w:before="0" w:after="0"/>
              <w:jc w:val="center"/>
              <w:rPr>
                <w:rFonts w:hint="cs"/>
              </w:rPr>
            </w:pPr>
            <w:r>
              <w:rPr>
                <w:rFonts w:hint="cs"/>
                <w:rtl/>
              </w:rPr>
              <w:t>1998</w:t>
            </w:r>
          </w:p>
        </w:tc>
        <w:tc>
          <w:tcPr>
            <w:tcW w:w="1595" w:type="dxa"/>
            <w:tcBorders>
              <w:top w:val="single" w:sz="4" w:space="0" w:color="auto"/>
              <w:bottom w:val="nil"/>
            </w:tcBorders>
          </w:tcPr>
          <w:p w:rsidR="003865AC" w:rsidRDefault="003865AC">
            <w:pPr>
              <w:spacing w:before="0" w:after="0"/>
              <w:jc w:val="center"/>
              <w:rPr>
                <w:rFonts w:hint="cs"/>
              </w:rPr>
            </w:pPr>
            <w:r>
              <w:rPr>
                <w:rFonts w:hint="cs"/>
                <w:rtl/>
              </w:rPr>
              <w:t>710</w:t>
            </w:r>
          </w:p>
        </w:tc>
        <w:tc>
          <w:tcPr>
            <w:tcW w:w="1595" w:type="dxa"/>
            <w:tcBorders>
              <w:top w:val="single" w:sz="4" w:space="0" w:color="auto"/>
              <w:bottom w:val="nil"/>
            </w:tcBorders>
          </w:tcPr>
          <w:p w:rsidR="003865AC" w:rsidRDefault="003865AC">
            <w:pPr>
              <w:spacing w:before="0" w:after="0"/>
              <w:jc w:val="center"/>
              <w:rPr>
                <w:rFonts w:hint="cs"/>
              </w:rPr>
            </w:pPr>
            <w:r>
              <w:rPr>
                <w:rFonts w:hint="cs"/>
                <w:rtl/>
              </w:rPr>
              <w:t>437</w:t>
            </w:r>
          </w:p>
        </w:tc>
        <w:tc>
          <w:tcPr>
            <w:tcW w:w="1595" w:type="dxa"/>
            <w:tcBorders>
              <w:top w:val="single" w:sz="4" w:space="0" w:color="auto"/>
              <w:bottom w:val="nil"/>
            </w:tcBorders>
          </w:tcPr>
          <w:p w:rsidR="003865AC" w:rsidRDefault="003865AC">
            <w:pPr>
              <w:spacing w:before="0" w:after="0"/>
              <w:jc w:val="center"/>
              <w:rPr>
                <w:rFonts w:hint="cs"/>
              </w:rPr>
            </w:pPr>
            <w:r>
              <w:rPr>
                <w:rFonts w:hint="cs"/>
                <w:rtl/>
              </w:rPr>
              <w:t>273</w:t>
            </w:r>
          </w:p>
        </w:tc>
        <w:tc>
          <w:tcPr>
            <w:tcW w:w="1595" w:type="dxa"/>
            <w:tcBorders>
              <w:top w:val="single" w:sz="4" w:space="0" w:color="auto"/>
              <w:bottom w:val="nil"/>
            </w:tcBorders>
          </w:tcPr>
          <w:p w:rsidR="003865AC" w:rsidRDefault="003865AC">
            <w:pPr>
              <w:spacing w:before="0" w:after="0"/>
              <w:jc w:val="center"/>
              <w:rPr>
                <w:rFonts w:hint="cs"/>
              </w:rPr>
            </w:pPr>
            <w:r>
              <w:rPr>
                <w:rFonts w:hint="cs"/>
                <w:rtl/>
              </w:rPr>
              <w:t>629</w:t>
            </w:r>
          </w:p>
        </w:tc>
        <w:tc>
          <w:tcPr>
            <w:tcW w:w="1595" w:type="dxa"/>
            <w:tcBorders>
              <w:top w:val="single" w:sz="4" w:space="0" w:color="auto"/>
              <w:bottom w:val="nil"/>
            </w:tcBorders>
          </w:tcPr>
          <w:p w:rsidR="003865AC" w:rsidRDefault="003865AC">
            <w:pPr>
              <w:spacing w:before="0" w:after="0"/>
              <w:jc w:val="center"/>
              <w:rPr>
                <w:rFonts w:hint="cs"/>
              </w:rPr>
            </w:pPr>
            <w:r>
              <w:rPr>
                <w:rFonts w:hint="cs"/>
                <w:rtl/>
              </w:rPr>
              <w:t>81</w:t>
            </w:r>
          </w:p>
        </w:tc>
      </w:tr>
      <w:tr w:rsidR="003865AC" w:rsidTr="003865AC">
        <w:tblPrEx>
          <w:tblCellMar>
            <w:top w:w="0" w:type="dxa"/>
            <w:bottom w:w="0" w:type="dxa"/>
          </w:tblCellMar>
        </w:tblPrEx>
        <w:tc>
          <w:tcPr>
            <w:tcW w:w="1595" w:type="dxa"/>
            <w:tcBorders>
              <w:top w:val="nil"/>
            </w:tcBorders>
          </w:tcPr>
          <w:p w:rsidR="003865AC" w:rsidRDefault="003865AC">
            <w:pPr>
              <w:spacing w:before="0" w:after="0"/>
              <w:jc w:val="center"/>
              <w:rPr>
                <w:rFonts w:hint="cs"/>
                <w:rtl/>
              </w:rPr>
            </w:pPr>
            <w:r>
              <w:rPr>
                <w:rFonts w:hint="cs"/>
                <w:rtl/>
              </w:rPr>
              <w:t>1999</w:t>
            </w:r>
          </w:p>
        </w:tc>
        <w:tc>
          <w:tcPr>
            <w:tcW w:w="1595" w:type="dxa"/>
            <w:tcBorders>
              <w:top w:val="nil"/>
            </w:tcBorders>
          </w:tcPr>
          <w:p w:rsidR="003865AC" w:rsidRDefault="003865AC">
            <w:pPr>
              <w:spacing w:before="0" w:after="0"/>
              <w:jc w:val="center"/>
              <w:rPr>
                <w:rFonts w:hint="cs"/>
                <w:rtl/>
              </w:rPr>
            </w:pPr>
            <w:r>
              <w:rPr>
                <w:rFonts w:hint="cs"/>
                <w:rtl/>
              </w:rPr>
              <w:t>713</w:t>
            </w:r>
          </w:p>
        </w:tc>
        <w:tc>
          <w:tcPr>
            <w:tcW w:w="1595" w:type="dxa"/>
            <w:tcBorders>
              <w:top w:val="nil"/>
            </w:tcBorders>
          </w:tcPr>
          <w:p w:rsidR="003865AC" w:rsidRDefault="003865AC">
            <w:pPr>
              <w:spacing w:before="0" w:after="0"/>
              <w:jc w:val="center"/>
              <w:rPr>
                <w:rFonts w:hint="cs"/>
                <w:rtl/>
              </w:rPr>
            </w:pPr>
            <w:r>
              <w:rPr>
                <w:rFonts w:hint="cs"/>
                <w:rtl/>
              </w:rPr>
              <w:t>430</w:t>
            </w:r>
          </w:p>
        </w:tc>
        <w:tc>
          <w:tcPr>
            <w:tcW w:w="1595" w:type="dxa"/>
            <w:tcBorders>
              <w:top w:val="nil"/>
            </w:tcBorders>
          </w:tcPr>
          <w:p w:rsidR="003865AC" w:rsidRDefault="003865AC">
            <w:pPr>
              <w:spacing w:before="0" w:after="0"/>
              <w:jc w:val="center"/>
              <w:rPr>
                <w:rFonts w:hint="cs"/>
                <w:rtl/>
              </w:rPr>
            </w:pPr>
            <w:r>
              <w:rPr>
                <w:rFonts w:hint="cs"/>
                <w:rtl/>
              </w:rPr>
              <w:t>283</w:t>
            </w:r>
          </w:p>
        </w:tc>
        <w:tc>
          <w:tcPr>
            <w:tcW w:w="1595" w:type="dxa"/>
            <w:tcBorders>
              <w:top w:val="nil"/>
            </w:tcBorders>
          </w:tcPr>
          <w:p w:rsidR="003865AC" w:rsidRDefault="003865AC">
            <w:pPr>
              <w:spacing w:before="0" w:after="0"/>
              <w:jc w:val="center"/>
              <w:rPr>
                <w:rFonts w:hint="cs"/>
                <w:rtl/>
              </w:rPr>
            </w:pPr>
            <w:r>
              <w:rPr>
                <w:rFonts w:hint="cs"/>
                <w:rtl/>
              </w:rPr>
              <w:t>641</w:t>
            </w:r>
          </w:p>
        </w:tc>
        <w:tc>
          <w:tcPr>
            <w:tcW w:w="1595" w:type="dxa"/>
            <w:tcBorders>
              <w:top w:val="nil"/>
            </w:tcBorders>
          </w:tcPr>
          <w:p w:rsidR="003865AC" w:rsidRDefault="003865AC">
            <w:pPr>
              <w:spacing w:before="0" w:after="0"/>
              <w:jc w:val="center"/>
              <w:rPr>
                <w:rFonts w:hint="cs"/>
                <w:rtl/>
              </w:rPr>
            </w:pPr>
            <w:r>
              <w:rPr>
                <w:rFonts w:hint="cs"/>
                <w:rtl/>
              </w:rPr>
              <w:t>72</w:t>
            </w:r>
          </w:p>
        </w:tc>
      </w:tr>
    </w:tbl>
    <w:p w:rsidR="00000000" w:rsidRDefault="003865AC">
      <w:pPr>
        <w:jc w:val="center"/>
        <w:rPr>
          <w:rFonts w:hint="cs"/>
          <w:rtl/>
        </w:rPr>
      </w:pPr>
      <w:r>
        <w:rPr>
          <w:rFonts w:hint="cs"/>
          <w:b/>
          <w:bCs/>
          <w:rtl/>
        </w:rPr>
        <w:t>وفيا</w:t>
      </w:r>
      <w:r>
        <w:rPr>
          <w:rFonts w:hint="cs"/>
          <w:b/>
          <w:bCs/>
          <w:rtl/>
        </w:rPr>
        <w:t>ت الرضع الذين يقل عمرهم عن 5 سنوات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5"/>
      </w:tblGrid>
      <w:tr w:rsidR="003865AC" w:rsidTr="003865AC">
        <w:tblPrEx>
          <w:tblCellMar>
            <w:top w:w="0" w:type="dxa"/>
            <w:bottom w:w="0" w:type="dxa"/>
          </w:tblCellMar>
        </w:tblPrEx>
        <w:tc>
          <w:tcPr>
            <w:tcW w:w="1595" w:type="dxa"/>
            <w:tcBorders>
              <w:bottom w:val="single" w:sz="4" w:space="0" w:color="auto"/>
            </w:tcBorders>
          </w:tcPr>
          <w:p w:rsidR="003865AC" w:rsidRDefault="003865AC">
            <w:pPr>
              <w:spacing w:before="0" w:after="0"/>
              <w:jc w:val="center"/>
              <w:rPr>
                <w:rFonts w:hint="cs"/>
                <w:b/>
                <w:bCs/>
              </w:rPr>
            </w:pPr>
            <w:r>
              <w:rPr>
                <w:rFonts w:hint="cs"/>
                <w:b/>
                <w:bCs/>
                <w:rtl/>
              </w:rPr>
              <w:t>الأعوام</w:t>
            </w:r>
          </w:p>
        </w:tc>
        <w:tc>
          <w:tcPr>
            <w:tcW w:w="1595" w:type="dxa"/>
            <w:tcBorders>
              <w:bottom w:val="single" w:sz="4" w:space="0" w:color="auto"/>
            </w:tcBorders>
          </w:tcPr>
          <w:p w:rsidR="003865AC" w:rsidRDefault="003865AC">
            <w:pPr>
              <w:spacing w:before="0" w:after="0"/>
              <w:jc w:val="center"/>
              <w:rPr>
                <w:rFonts w:hint="cs"/>
                <w:b/>
                <w:bCs/>
              </w:rPr>
            </w:pPr>
            <w:r>
              <w:rPr>
                <w:rFonts w:hint="cs"/>
                <w:b/>
                <w:bCs/>
                <w:rtl/>
              </w:rPr>
              <w:t>المجموع</w:t>
            </w:r>
          </w:p>
        </w:tc>
        <w:tc>
          <w:tcPr>
            <w:tcW w:w="1595" w:type="dxa"/>
            <w:tcBorders>
              <w:bottom w:val="single" w:sz="4" w:space="0" w:color="auto"/>
            </w:tcBorders>
          </w:tcPr>
          <w:p w:rsidR="003865AC" w:rsidRDefault="003865AC">
            <w:pPr>
              <w:spacing w:before="0" w:after="0"/>
              <w:jc w:val="center"/>
              <w:rPr>
                <w:rFonts w:hint="cs"/>
                <w:b/>
                <w:bCs/>
              </w:rPr>
            </w:pPr>
            <w:r>
              <w:rPr>
                <w:rFonts w:hint="cs"/>
                <w:b/>
                <w:bCs/>
                <w:rtl/>
              </w:rPr>
              <w:t>الأولاد</w:t>
            </w:r>
          </w:p>
        </w:tc>
        <w:tc>
          <w:tcPr>
            <w:tcW w:w="1595" w:type="dxa"/>
            <w:tcBorders>
              <w:bottom w:val="single" w:sz="4" w:space="0" w:color="auto"/>
            </w:tcBorders>
          </w:tcPr>
          <w:p w:rsidR="003865AC" w:rsidRDefault="003865AC">
            <w:pPr>
              <w:spacing w:before="0" w:after="0"/>
              <w:jc w:val="center"/>
              <w:rPr>
                <w:rFonts w:hint="cs"/>
                <w:b/>
                <w:bCs/>
              </w:rPr>
            </w:pPr>
            <w:r>
              <w:rPr>
                <w:rFonts w:hint="cs"/>
                <w:b/>
                <w:bCs/>
                <w:rtl/>
              </w:rPr>
              <w:t>البنات</w:t>
            </w:r>
          </w:p>
        </w:tc>
        <w:tc>
          <w:tcPr>
            <w:tcW w:w="1595" w:type="dxa"/>
            <w:tcBorders>
              <w:bottom w:val="single" w:sz="4" w:space="0" w:color="auto"/>
            </w:tcBorders>
          </w:tcPr>
          <w:p w:rsidR="003865AC" w:rsidRDefault="003865AC">
            <w:pPr>
              <w:spacing w:before="0" w:after="0"/>
              <w:jc w:val="center"/>
              <w:rPr>
                <w:rFonts w:hint="cs"/>
                <w:b/>
                <w:bCs/>
              </w:rPr>
            </w:pPr>
            <w:r>
              <w:rPr>
                <w:rFonts w:hint="cs"/>
                <w:b/>
                <w:bCs/>
                <w:rtl/>
              </w:rPr>
              <w:t>المدن</w:t>
            </w:r>
          </w:p>
        </w:tc>
        <w:tc>
          <w:tcPr>
            <w:tcW w:w="1595" w:type="dxa"/>
            <w:tcBorders>
              <w:bottom w:val="single" w:sz="4" w:space="0" w:color="auto"/>
            </w:tcBorders>
          </w:tcPr>
          <w:p w:rsidR="003865AC" w:rsidRDefault="003865AC">
            <w:pPr>
              <w:spacing w:before="0" w:after="0"/>
              <w:jc w:val="center"/>
              <w:rPr>
                <w:rFonts w:hint="cs"/>
                <w:b/>
                <w:bCs/>
              </w:rPr>
            </w:pPr>
            <w:r>
              <w:rPr>
                <w:rFonts w:hint="cs"/>
                <w:b/>
                <w:bCs/>
                <w:rtl/>
              </w:rPr>
              <w:t>الريف</w:t>
            </w:r>
          </w:p>
        </w:tc>
      </w:tr>
      <w:tr w:rsidR="003865AC" w:rsidTr="003865AC">
        <w:tblPrEx>
          <w:tblCellMar>
            <w:top w:w="0" w:type="dxa"/>
            <w:bottom w:w="0" w:type="dxa"/>
          </w:tblCellMar>
        </w:tblPrEx>
        <w:tc>
          <w:tcPr>
            <w:tcW w:w="1595" w:type="dxa"/>
            <w:tcBorders>
              <w:bottom w:val="nil"/>
            </w:tcBorders>
          </w:tcPr>
          <w:p w:rsidR="003865AC" w:rsidRDefault="003865AC">
            <w:pPr>
              <w:spacing w:before="0" w:after="0"/>
              <w:jc w:val="center"/>
              <w:rPr>
                <w:rFonts w:hint="cs"/>
              </w:rPr>
            </w:pPr>
            <w:r>
              <w:rPr>
                <w:rFonts w:hint="cs"/>
                <w:rtl/>
              </w:rPr>
              <w:t>1998</w:t>
            </w:r>
          </w:p>
        </w:tc>
        <w:tc>
          <w:tcPr>
            <w:tcW w:w="1595" w:type="dxa"/>
            <w:tcBorders>
              <w:bottom w:val="nil"/>
            </w:tcBorders>
          </w:tcPr>
          <w:p w:rsidR="003865AC" w:rsidRDefault="003865AC">
            <w:pPr>
              <w:spacing w:before="0" w:after="0"/>
              <w:jc w:val="center"/>
              <w:rPr>
                <w:rFonts w:hint="cs"/>
              </w:rPr>
            </w:pPr>
            <w:r>
              <w:rPr>
                <w:rFonts w:hint="cs"/>
                <w:rtl/>
              </w:rPr>
              <w:t>820</w:t>
            </w:r>
          </w:p>
        </w:tc>
        <w:tc>
          <w:tcPr>
            <w:tcW w:w="1595" w:type="dxa"/>
            <w:tcBorders>
              <w:bottom w:val="nil"/>
            </w:tcBorders>
          </w:tcPr>
          <w:p w:rsidR="003865AC" w:rsidRDefault="003865AC">
            <w:pPr>
              <w:spacing w:before="0" w:after="0"/>
              <w:jc w:val="center"/>
              <w:rPr>
                <w:rFonts w:hint="cs"/>
              </w:rPr>
            </w:pPr>
            <w:r>
              <w:rPr>
                <w:rFonts w:hint="cs"/>
                <w:rtl/>
              </w:rPr>
              <w:t>503</w:t>
            </w:r>
          </w:p>
        </w:tc>
        <w:tc>
          <w:tcPr>
            <w:tcW w:w="1595" w:type="dxa"/>
            <w:tcBorders>
              <w:bottom w:val="nil"/>
            </w:tcBorders>
          </w:tcPr>
          <w:p w:rsidR="003865AC" w:rsidRDefault="003865AC">
            <w:pPr>
              <w:spacing w:before="0" w:after="0"/>
              <w:jc w:val="center"/>
              <w:rPr>
                <w:rFonts w:hint="cs"/>
              </w:rPr>
            </w:pPr>
            <w:r>
              <w:rPr>
                <w:rFonts w:hint="cs"/>
                <w:rtl/>
              </w:rPr>
              <w:t>317</w:t>
            </w:r>
          </w:p>
        </w:tc>
        <w:tc>
          <w:tcPr>
            <w:tcW w:w="1595" w:type="dxa"/>
            <w:tcBorders>
              <w:bottom w:val="nil"/>
            </w:tcBorders>
          </w:tcPr>
          <w:p w:rsidR="003865AC" w:rsidRDefault="003865AC">
            <w:pPr>
              <w:spacing w:before="0" w:after="0"/>
              <w:jc w:val="center"/>
              <w:rPr>
                <w:rFonts w:hint="cs"/>
              </w:rPr>
            </w:pPr>
            <w:r>
              <w:rPr>
                <w:rFonts w:hint="cs"/>
                <w:rtl/>
              </w:rPr>
              <w:t>684</w:t>
            </w:r>
          </w:p>
        </w:tc>
        <w:tc>
          <w:tcPr>
            <w:tcW w:w="1595" w:type="dxa"/>
            <w:tcBorders>
              <w:bottom w:val="nil"/>
            </w:tcBorders>
          </w:tcPr>
          <w:p w:rsidR="003865AC" w:rsidRDefault="003865AC">
            <w:pPr>
              <w:spacing w:before="0" w:after="0"/>
              <w:jc w:val="center"/>
              <w:rPr>
                <w:rFonts w:hint="cs"/>
              </w:rPr>
            </w:pPr>
            <w:r>
              <w:rPr>
                <w:rFonts w:hint="cs"/>
                <w:rtl/>
              </w:rPr>
              <w:t>136</w:t>
            </w:r>
          </w:p>
        </w:tc>
      </w:tr>
      <w:tr w:rsidR="003865AC" w:rsidTr="003865AC">
        <w:tblPrEx>
          <w:tblCellMar>
            <w:top w:w="0" w:type="dxa"/>
            <w:bottom w:w="0" w:type="dxa"/>
          </w:tblCellMar>
        </w:tblPrEx>
        <w:tc>
          <w:tcPr>
            <w:tcW w:w="1595" w:type="dxa"/>
            <w:tcBorders>
              <w:top w:val="nil"/>
            </w:tcBorders>
          </w:tcPr>
          <w:p w:rsidR="003865AC" w:rsidRDefault="003865AC">
            <w:pPr>
              <w:spacing w:before="0" w:after="0"/>
              <w:jc w:val="center"/>
              <w:rPr>
                <w:rFonts w:hint="cs"/>
                <w:rtl/>
              </w:rPr>
            </w:pPr>
            <w:r>
              <w:rPr>
                <w:rFonts w:hint="cs"/>
                <w:rtl/>
              </w:rPr>
              <w:t>1999</w:t>
            </w:r>
          </w:p>
        </w:tc>
        <w:tc>
          <w:tcPr>
            <w:tcW w:w="1595" w:type="dxa"/>
            <w:tcBorders>
              <w:top w:val="nil"/>
            </w:tcBorders>
          </w:tcPr>
          <w:p w:rsidR="003865AC" w:rsidRDefault="003865AC">
            <w:pPr>
              <w:spacing w:before="0" w:after="0"/>
              <w:jc w:val="center"/>
              <w:rPr>
                <w:rFonts w:hint="cs"/>
                <w:rtl/>
              </w:rPr>
            </w:pPr>
            <w:r>
              <w:rPr>
                <w:rFonts w:hint="cs"/>
                <w:rtl/>
              </w:rPr>
              <w:t>796</w:t>
            </w:r>
          </w:p>
        </w:tc>
        <w:tc>
          <w:tcPr>
            <w:tcW w:w="1595" w:type="dxa"/>
            <w:tcBorders>
              <w:top w:val="nil"/>
            </w:tcBorders>
          </w:tcPr>
          <w:p w:rsidR="003865AC" w:rsidRDefault="003865AC">
            <w:pPr>
              <w:spacing w:before="0" w:after="0"/>
              <w:jc w:val="center"/>
              <w:rPr>
                <w:rFonts w:hint="cs"/>
                <w:rtl/>
              </w:rPr>
            </w:pPr>
            <w:r>
              <w:rPr>
                <w:rFonts w:hint="cs"/>
                <w:rtl/>
              </w:rPr>
              <w:t>481</w:t>
            </w:r>
          </w:p>
        </w:tc>
        <w:tc>
          <w:tcPr>
            <w:tcW w:w="1595" w:type="dxa"/>
            <w:tcBorders>
              <w:top w:val="nil"/>
            </w:tcBorders>
          </w:tcPr>
          <w:p w:rsidR="003865AC" w:rsidRDefault="003865AC">
            <w:pPr>
              <w:spacing w:before="0" w:after="0"/>
              <w:jc w:val="center"/>
              <w:rPr>
                <w:rFonts w:hint="cs"/>
                <w:rtl/>
              </w:rPr>
            </w:pPr>
            <w:r>
              <w:rPr>
                <w:rFonts w:hint="cs"/>
                <w:rtl/>
              </w:rPr>
              <w:t>315</w:t>
            </w:r>
          </w:p>
        </w:tc>
        <w:tc>
          <w:tcPr>
            <w:tcW w:w="1595" w:type="dxa"/>
            <w:tcBorders>
              <w:top w:val="nil"/>
            </w:tcBorders>
          </w:tcPr>
          <w:p w:rsidR="003865AC" w:rsidRDefault="003865AC">
            <w:pPr>
              <w:spacing w:before="0" w:after="0"/>
              <w:jc w:val="center"/>
              <w:rPr>
                <w:rFonts w:hint="cs"/>
                <w:rtl/>
              </w:rPr>
            </w:pPr>
            <w:r>
              <w:rPr>
                <w:rFonts w:hint="cs"/>
                <w:rtl/>
              </w:rPr>
              <w:t>683</w:t>
            </w:r>
          </w:p>
        </w:tc>
        <w:tc>
          <w:tcPr>
            <w:tcW w:w="1595" w:type="dxa"/>
            <w:tcBorders>
              <w:top w:val="nil"/>
            </w:tcBorders>
          </w:tcPr>
          <w:p w:rsidR="003865AC" w:rsidRDefault="003865AC">
            <w:pPr>
              <w:spacing w:before="0" w:after="0"/>
              <w:jc w:val="center"/>
              <w:rPr>
                <w:rFonts w:hint="cs"/>
                <w:rtl/>
              </w:rPr>
            </w:pPr>
            <w:r>
              <w:rPr>
                <w:rFonts w:hint="cs"/>
                <w:rtl/>
              </w:rPr>
              <w:t>113</w:t>
            </w:r>
          </w:p>
        </w:tc>
      </w:tr>
    </w:tbl>
    <w:p w:rsidR="00000000" w:rsidRDefault="003865AC">
      <w:pPr>
        <w:jc w:val="center"/>
        <w:rPr>
          <w:b/>
          <w:bCs/>
          <w:rtl/>
        </w:rPr>
      </w:pPr>
      <w:r>
        <w:rPr>
          <w:rFonts w:hint="cs"/>
          <w:b/>
          <w:bCs/>
          <w:rtl/>
        </w:rPr>
        <w:t>تصنيف وفيات الرضع (الذين يقل عمرهم عن سنة) بحسب المنطقة</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602"/>
        <w:gridCol w:w="1620"/>
        <w:gridCol w:w="1800"/>
        <w:gridCol w:w="1548"/>
      </w:tblGrid>
      <w:tr w:rsidR="003865AC" w:rsidTr="003865AC">
        <w:tblPrEx>
          <w:tblCellMar>
            <w:top w:w="0" w:type="dxa"/>
            <w:bottom w:w="0" w:type="dxa"/>
          </w:tblCellMar>
        </w:tblPrEx>
        <w:trPr>
          <w:tblHeader/>
        </w:trPr>
        <w:tc>
          <w:tcPr>
            <w:tcW w:w="4602" w:type="dxa"/>
            <w:tcBorders>
              <w:bottom w:val="single" w:sz="4" w:space="0" w:color="auto"/>
            </w:tcBorders>
          </w:tcPr>
          <w:p w:rsidR="003865AC" w:rsidRDefault="003865AC">
            <w:pPr>
              <w:spacing w:before="0" w:after="0"/>
              <w:jc w:val="center"/>
              <w:rPr>
                <w:rFonts w:hint="cs"/>
                <w:b/>
                <w:bCs/>
              </w:rPr>
            </w:pPr>
            <w:r>
              <w:rPr>
                <w:rFonts w:hint="cs"/>
                <w:b/>
                <w:bCs/>
                <w:rtl/>
              </w:rPr>
              <w:t>المنطقة</w:t>
            </w:r>
          </w:p>
        </w:tc>
        <w:tc>
          <w:tcPr>
            <w:tcW w:w="1620" w:type="dxa"/>
            <w:tcBorders>
              <w:bottom w:val="single" w:sz="4" w:space="0" w:color="auto"/>
            </w:tcBorders>
          </w:tcPr>
          <w:p w:rsidR="003865AC" w:rsidRDefault="003865AC">
            <w:pPr>
              <w:spacing w:before="0" w:after="0"/>
              <w:jc w:val="center"/>
              <w:rPr>
                <w:rFonts w:hint="cs"/>
                <w:b/>
                <w:bCs/>
              </w:rPr>
            </w:pPr>
            <w:r>
              <w:rPr>
                <w:rFonts w:hint="cs"/>
                <w:b/>
                <w:bCs/>
                <w:rtl/>
              </w:rPr>
              <w:t>1997</w:t>
            </w:r>
          </w:p>
        </w:tc>
        <w:tc>
          <w:tcPr>
            <w:tcW w:w="1800" w:type="dxa"/>
            <w:tcBorders>
              <w:bottom w:val="single" w:sz="4" w:space="0" w:color="auto"/>
            </w:tcBorders>
          </w:tcPr>
          <w:p w:rsidR="003865AC" w:rsidRDefault="003865AC">
            <w:pPr>
              <w:spacing w:before="0" w:after="0"/>
              <w:jc w:val="center"/>
              <w:rPr>
                <w:rFonts w:hint="cs"/>
                <w:b/>
                <w:bCs/>
              </w:rPr>
            </w:pPr>
            <w:r>
              <w:rPr>
                <w:rFonts w:hint="cs"/>
                <w:b/>
                <w:bCs/>
                <w:rtl/>
              </w:rPr>
              <w:t>1998</w:t>
            </w:r>
          </w:p>
        </w:tc>
        <w:tc>
          <w:tcPr>
            <w:tcW w:w="1548" w:type="dxa"/>
            <w:tcBorders>
              <w:bottom w:val="single" w:sz="4" w:space="0" w:color="auto"/>
            </w:tcBorders>
          </w:tcPr>
          <w:p w:rsidR="003865AC" w:rsidRDefault="003865AC">
            <w:pPr>
              <w:spacing w:before="0" w:after="0"/>
              <w:jc w:val="center"/>
              <w:rPr>
                <w:rFonts w:hint="cs"/>
                <w:b/>
                <w:bCs/>
              </w:rPr>
            </w:pPr>
            <w:r>
              <w:rPr>
                <w:rFonts w:hint="cs"/>
                <w:b/>
                <w:bCs/>
                <w:rtl/>
              </w:rPr>
              <w:t>1999</w:t>
            </w:r>
          </w:p>
        </w:tc>
      </w:tr>
      <w:tr w:rsidR="003865AC" w:rsidTr="003865AC">
        <w:tblPrEx>
          <w:tblCellMar>
            <w:top w:w="0" w:type="dxa"/>
            <w:bottom w:w="0" w:type="dxa"/>
          </w:tblCellMar>
        </w:tblPrEx>
        <w:tc>
          <w:tcPr>
            <w:tcW w:w="4602" w:type="dxa"/>
            <w:tcBorders>
              <w:top w:val="single" w:sz="4" w:space="0" w:color="auto"/>
              <w:bottom w:val="nil"/>
            </w:tcBorders>
          </w:tcPr>
          <w:p w:rsidR="003865AC" w:rsidRDefault="003865AC">
            <w:pPr>
              <w:spacing w:before="0" w:after="0"/>
              <w:jc w:val="both"/>
              <w:rPr>
                <w:rFonts w:hint="cs"/>
              </w:rPr>
            </w:pPr>
            <w:r>
              <w:rPr>
                <w:rFonts w:hint="cs"/>
                <w:rtl/>
              </w:rPr>
              <w:t>تبليسي</w:t>
            </w:r>
          </w:p>
        </w:tc>
        <w:tc>
          <w:tcPr>
            <w:tcW w:w="1620" w:type="dxa"/>
            <w:tcBorders>
              <w:top w:val="single" w:sz="4" w:space="0" w:color="auto"/>
              <w:bottom w:val="nil"/>
            </w:tcBorders>
          </w:tcPr>
          <w:p w:rsidR="003865AC" w:rsidRDefault="003865AC">
            <w:pPr>
              <w:spacing w:before="0" w:after="0"/>
              <w:jc w:val="both"/>
              <w:rPr>
                <w:rFonts w:hint="cs"/>
              </w:rPr>
            </w:pPr>
            <w:r>
              <w:rPr>
                <w:rFonts w:hint="cs"/>
                <w:rtl/>
              </w:rPr>
              <w:t>26.0</w:t>
            </w:r>
          </w:p>
        </w:tc>
        <w:tc>
          <w:tcPr>
            <w:tcW w:w="1800" w:type="dxa"/>
            <w:tcBorders>
              <w:top w:val="single" w:sz="4" w:space="0" w:color="auto"/>
              <w:bottom w:val="nil"/>
            </w:tcBorders>
          </w:tcPr>
          <w:p w:rsidR="003865AC" w:rsidRDefault="003865AC">
            <w:pPr>
              <w:spacing w:before="0" w:after="0"/>
              <w:jc w:val="both"/>
              <w:rPr>
                <w:rFonts w:hint="cs"/>
              </w:rPr>
            </w:pPr>
            <w:r>
              <w:rPr>
                <w:rFonts w:hint="cs"/>
                <w:rtl/>
              </w:rPr>
              <w:t>29.4</w:t>
            </w:r>
          </w:p>
        </w:tc>
        <w:tc>
          <w:tcPr>
            <w:tcW w:w="1548" w:type="dxa"/>
            <w:tcBorders>
              <w:top w:val="single" w:sz="4" w:space="0" w:color="auto"/>
              <w:bottom w:val="nil"/>
            </w:tcBorders>
          </w:tcPr>
          <w:p w:rsidR="003865AC" w:rsidRDefault="003865AC">
            <w:pPr>
              <w:spacing w:before="0" w:after="0"/>
              <w:jc w:val="both"/>
            </w:pPr>
            <w:r>
              <w:rPr>
                <w:rFonts w:hint="cs"/>
                <w:rtl/>
              </w:rPr>
              <w:t>42.9</w:t>
            </w:r>
          </w:p>
        </w:tc>
      </w:tr>
      <w:tr w:rsidR="003865AC" w:rsidTr="003865AC">
        <w:tblPrEx>
          <w:tblCellMar>
            <w:top w:w="0" w:type="dxa"/>
            <w:bottom w:w="0" w:type="dxa"/>
          </w:tblCellMar>
        </w:tblPrEx>
        <w:tc>
          <w:tcPr>
            <w:tcW w:w="4602" w:type="dxa"/>
            <w:tcBorders>
              <w:top w:val="nil"/>
            </w:tcBorders>
          </w:tcPr>
          <w:p w:rsidR="003865AC" w:rsidRDefault="003865AC">
            <w:pPr>
              <w:spacing w:before="0" w:after="0"/>
              <w:jc w:val="both"/>
              <w:rPr>
                <w:rFonts w:hint="cs"/>
              </w:rPr>
            </w:pPr>
            <w:r>
              <w:rPr>
                <w:rFonts w:hint="cs"/>
                <w:rtl/>
              </w:rPr>
              <w:t>أجارا</w:t>
            </w:r>
          </w:p>
        </w:tc>
        <w:tc>
          <w:tcPr>
            <w:tcW w:w="1620" w:type="dxa"/>
            <w:tcBorders>
              <w:top w:val="nil"/>
            </w:tcBorders>
          </w:tcPr>
          <w:p w:rsidR="003865AC" w:rsidRDefault="003865AC">
            <w:pPr>
              <w:spacing w:before="0" w:after="0"/>
              <w:jc w:val="both"/>
              <w:rPr>
                <w:rFonts w:hint="cs"/>
              </w:rPr>
            </w:pPr>
            <w:r>
              <w:rPr>
                <w:rFonts w:hint="cs"/>
                <w:rtl/>
              </w:rPr>
              <w:t>23.4</w:t>
            </w:r>
          </w:p>
        </w:tc>
        <w:tc>
          <w:tcPr>
            <w:tcW w:w="1800" w:type="dxa"/>
            <w:tcBorders>
              <w:top w:val="nil"/>
            </w:tcBorders>
          </w:tcPr>
          <w:p w:rsidR="003865AC" w:rsidRDefault="003865AC">
            <w:pPr>
              <w:spacing w:before="0" w:after="0"/>
              <w:jc w:val="both"/>
              <w:rPr>
                <w:rFonts w:hint="cs"/>
              </w:rPr>
            </w:pPr>
            <w:r>
              <w:rPr>
                <w:rFonts w:hint="cs"/>
                <w:rtl/>
              </w:rPr>
              <w:t>24.0</w:t>
            </w:r>
          </w:p>
        </w:tc>
        <w:tc>
          <w:tcPr>
            <w:tcW w:w="1548" w:type="dxa"/>
            <w:tcBorders>
              <w:top w:val="nil"/>
            </w:tcBorders>
          </w:tcPr>
          <w:p w:rsidR="003865AC" w:rsidRDefault="003865AC">
            <w:pPr>
              <w:spacing w:before="0" w:after="0"/>
              <w:jc w:val="both"/>
              <w:rPr>
                <w:rFonts w:hint="cs"/>
              </w:rPr>
            </w:pPr>
            <w:r>
              <w:rPr>
                <w:rFonts w:hint="cs"/>
                <w:rtl/>
              </w:rPr>
              <w:t>23.4</w:t>
            </w:r>
          </w:p>
        </w:tc>
      </w:tr>
      <w:tr w:rsidR="003865AC" w:rsidTr="003865AC">
        <w:tblPrEx>
          <w:tblCellMar>
            <w:top w:w="0" w:type="dxa"/>
            <w:bottom w:w="0" w:type="dxa"/>
          </w:tblCellMar>
        </w:tblPrEx>
        <w:tc>
          <w:tcPr>
            <w:tcW w:w="4602" w:type="dxa"/>
          </w:tcPr>
          <w:p w:rsidR="003865AC" w:rsidRDefault="003865AC">
            <w:pPr>
              <w:spacing w:before="0" w:after="0"/>
              <w:jc w:val="both"/>
              <w:rPr>
                <w:rFonts w:hint="cs"/>
              </w:rPr>
            </w:pPr>
            <w:r>
              <w:rPr>
                <w:rFonts w:hint="cs"/>
                <w:rtl/>
              </w:rPr>
              <w:t>غوريا</w:t>
            </w:r>
          </w:p>
        </w:tc>
        <w:tc>
          <w:tcPr>
            <w:tcW w:w="1620" w:type="dxa"/>
          </w:tcPr>
          <w:p w:rsidR="003865AC" w:rsidRDefault="003865AC">
            <w:pPr>
              <w:spacing w:before="0" w:after="0"/>
              <w:jc w:val="both"/>
              <w:rPr>
                <w:rFonts w:hint="cs"/>
              </w:rPr>
            </w:pPr>
            <w:r>
              <w:rPr>
                <w:rFonts w:hint="cs"/>
                <w:rtl/>
              </w:rPr>
              <w:t>6.6</w:t>
            </w:r>
          </w:p>
        </w:tc>
        <w:tc>
          <w:tcPr>
            <w:tcW w:w="1800" w:type="dxa"/>
          </w:tcPr>
          <w:p w:rsidR="003865AC" w:rsidRDefault="003865AC">
            <w:pPr>
              <w:spacing w:before="0" w:after="0"/>
              <w:jc w:val="both"/>
              <w:rPr>
                <w:rFonts w:hint="cs"/>
              </w:rPr>
            </w:pPr>
            <w:r>
              <w:rPr>
                <w:rFonts w:hint="cs"/>
                <w:rtl/>
              </w:rPr>
              <w:t>8.0</w:t>
            </w:r>
          </w:p>
        </w:tc>
        <w:tc>
          <w:tcPr>
            <w:tcW w:w="1548" w:type="dxa"/>
          </w:tcPr>
          <w:p w:rsidR="003865AC" w:rsidRDefault="003865AC">
            <w:pPr>
              <w:spacing w:before="0" w:after="0"/>
              <w:jc w:val="both"/>
              <w:rPr>
                <w:rFonts w:hint="cs"/>
              </w:rPr>
            </w:pPr>
            <w:r>
              <w:rPr>
                <w:rFonts w:hint="cs"/>
                <w:rtl/>
              </w:rPr>
              <w:t>12.2</w:t>
            </w:r>
          </w:p>
        </w:tc>
      </w:tr>
      <w:tr w:rsidR="003865AC" w:rsidTr="003865AC">
        <w:tblPrEx>
          <w:tblCellMar>
            <w:top w:w="0" w:type="dxa"/>
            <w:bottom w:w="0" w:type="dxa"/>
          </w:tblCellMar>
        </w:tblPrEx>
        <w:tc>
          <w:tcPr>
            <w:tcW w:w="4602" w:type="dxa"/>
          </w:tcPr>
          <w:p w:rsidR="003865AC" w:rsidRDefault="003865AC">
            <w:pPr>
              <w:spacing w:before="0" w:after="0"/>
              <w:jc w:val="both"/>
              <w:rPr>
                <w:rFonts w:hint="cs"/>
              </w:rPr>
            </w:pPr>
            <w:r>
              <w:rPr>
                <w:rFonts w:hint="cs"/>
                <w:rtl/>
              </w:rPr>
              <w:t>راشا - ليكومي وكفيمو سفانيتي</w:t>
            </w:r>
          </w:p>
        </w:tc>
        <w:tc>
          <w:tcPr>
            <w:tcW w:w="1620" w:type="dxa"/>
          </w:tcPr>
          <w:p w:rsidR="003865AC" w:rsidRDefault="003865AC">
            <w:pPr>
              <w:spacing w:before="0" w:after="0"/>
              <w:jc w:val="both"/>
              <w:rPr>
                <w:rFonts w:hint="cs"/>
              </w:rPr>
            </w:pPr>
            <w:r>
              <w:rPr>
                <w:rFonts w:hint="cs"/>
                <w:rtl/>
              </w:rPr>
              <w:t>14.1</w:t>
            </w:r>
          </w:p>
        </w:tc>
        <w:tc>
          <w:tcPr>
            <w:tcW w:w="1800" w:type="dxa"/>
          </w:tcPr>
          <w:p w:rsidR="003865AC" w:rsidRDefault="003865AC">
            <w:pPr>
              <w:spacing w:before="0" w:after="0"/>
              <w:jc w:val="both"/>
              <w:rPr>
                <w:rFonts w:hint="cs"/>
              </w:rPr>
            </w:pPr>
            <w:r>
              <w:rPr>
                <w:rFonts w:hint="cs"/>
                <w:rtl/>
              </w:rPr>
              <w:t>8.2</w:t>
            </w:r>
          </w:p>
        </w:tc>
        <w:tc>
          <w:tcPr>
            <w:tcW w:w="1548" w:type="dxa"/>
          </w:tcPr>
          <w:p w:rsidR="003865AC" w:rsidRDefault="003865AC">
            <w:pPr>
              <w:spacing w:before="0" w:after="0"/>
              <w:jc w:val="both"/>
              <w:rPr>
                <w:rFonts w:hint="cs"/>
              </w:rPr>
            </w:pPr>
            <w:r>
              <w:rPr>
                <w:rFonts w:hint="cs"/>
                <w:rtl/>
              </w:rPr>
              <w:t>7.2</w:t>
            </w:r>
          </w:p>
        </w:tc>
      </w:tr>
      <w:tr w:rsidR="003865AC" w:rsidTr="003865AC">
        <w:tblPrEx>
          <w:tblCellMar>
            <w:top w:w="0" w:type="dxa"/>
            <w:bottom w:w="0" w:type="dxa"/>
          </w:tblCellMar>
        </w:tblPrEx>
        <w:tc>
          <w:tcPr>
            <w:tcW w:w="4602" w:type="dxa"/>
          </w:tcPr>
          <w:p w:rsidR="003865AC" w:rsidRDefault="003865AC">
            <w:pPr>
              <w:spacing w:before="0" w:after="0"/>
              <w:jc w:val="both"/>
              <w:rPr>
                <w:rFonts w:hint="cs"/>
              </w:rPr>
            </w:pPr>
            <w:r>
              <w:rPr>
                <w:rFonts w:hint="cs"/>
                <w:rtl/>
              </w:rPr>
              <w:t>ساميغريلو وزيمو سفانيتي</w:t>
            </w:r>
          </w:p>
        </w:tc>
        <w:tc>
          <w:tcPr>
            <w:tcW w:w="1620" w:type="dxa"/>
          </w:tcPr>
          <w:p w:rsidR="003865AC" w:rsidRDefault="003865AC">
            <w:pPr>
              <w:spacing w:before="0" w:after="0"/>
              <w:jc w:val="both"/>
              <w:rPr>
                <w:rFonts w:hint="cs"/>
              </w:rPr>
            </w:pPr>
            <w:r>
              <w:rPr>
                <w:rFonts w:hint="cs"/>
                <w:rtl/>
              </w:rPr>
              <w:t>10.6</w:t>
            </w:r>
          </w:p>
        </w:tc>
        <w:tc>
          <w:tcPr>
            <w:tcW w:w="1800" w:type="dxa"/>
          </w:tcPr>
          <w:p w:rsidR="003865AC" w:rsidRDefault="003865AC">
            <w:pPr>
              <w:spacing w:before="0" w:after="0"/>
              <w:jc w:val="both"/>
              <w:rPr>
                <w:rFonts w:hint="cs"/>
              </w:rPr>
            </w:pPr>
            <w:r>
              <w:rPr>
                <w:rFonts w:hint="cs"/>
                <w:rtl/>
              </w:rPr>
              <w:t>10.1</w:t>
            </w:r>
          </w:p>
        </w:tc>
        <w:tc>
          <w:tcPr>
            <w:tcW w:w="1548" w:type="dxa"/>
          </w:tcPr>
          <w:p w:rsidR="003865AC" w:rsidRDefault="003865AC">
            <w:pPr>
              <w:spacing w:before="0" w:after="0"/>
              <w:jc w:val="both"/>
              <w:rPr>
                <w:rFonts w:hint="cs"/>
              </w:rPr>
            </w:pPr>
            <w:r>
              <w:rPr>
                <w:rFonts w:hint="cs"/>
                <w:rtl/>
              </w:rPr>
              <w:t>6.1</w:t>
            </w:r>
          </w:p>
        </w:tc>
      </w:tr>
      <w:tr w:rsidR="003865AC" w:rsidTr="003865AC">
        <w:tblPrEx>
          <w:tblCellMar>
            <w:top w:w="0" w:type="dxa"/>
            <w:bottom w:w="0" w:type="dxa"/>
          </w:tblCellMar>
        </w:tblPrEx>
        <w:tc>
          <w:tcPr>
            <w:tcW w:w="4602" w:type="dxa"/>
          </w:tcPr>
          <w:p w:rsidR="003865AC" w:rsidRDefault="003865AC">
            <w:pPr>
              <w:spacing w:before="0" w:after="0"/>
              <w:jc w:val="both"/>
              <w:rPr>
                <w:rFonts w:hint="cs"/>
              </w:rPr>
            </w:pPr>
            <w:r>
              <w:rPr>
                <w:rFonts w:hint="cs"/>
                <w:rtl/>
              </w:rPr>
              <w:t>مسخيتا - تيانيتي</w:t>
            </w:r>
          </w:p>
        </w:tc>
        <w:tc>
          <w:tcPr>
            <w:tcW w:w="1620" w:type="dxa"/>
          </w:tcPr>
          <w:p w:rsidR="003865AC" w:rsidRDefault="003865AC">
            <w:pPr>
              <w:spacing w:before="0" w:after="0"/>
              <w:jc w:val="both"/>
              <w:rPr>
                <w:rFonts w:hint="cs"/>
              </w:rPr>
            </w:pPr>
            <w:r>
              <w:rPr>
                <w:rFonts w:hint="cs"/>
                <w:rtl/>
              </w:rPr>
              <w:t>5.7</w:t>
            </w:r>
          </w:p>
        </w:tc>
        <w:tc>
          <w:tcPr>
            <w:tcW w:w="1800" w:type="dxa"/>
          </w:tcPr>
          <w:p w:rsidR="003865AC" w:rsidRDefault="003865AC">
            <w:pPr>
              <w:spacing w:before="0" w:after="0"/>
              <w:jc w:val="both"/>
              <w:rPr>
                <w:rFonts w:hint="cs"/>
              </w:rPr>
            </w:pPr>
            <w:r>
              <w:rPr>
                <w:rFonts w:hint="cs"/>
                <w:rtl/>
              </w:rPr>
              <w:t>3.7</w:t>
            </w:r>
          </w:p>
        </w:tc>
        <w:tc>
          <w:tcPr>
            <w:tcW w:w="1548" w:type="dxa"/>
          </w:tcPr>
          <w:p w:rsidR="003865AC" w:rsidRDefault="003865AC">
            <w:pPr>
              <w:spacing w:before="0" w:after="0"/>
              <w:jc w:val="both"/>
              <w:rPr>
                <w:rFonts w:hint="cs"/>
              </w:rPr>
            </w:pPr>
            <w:r>
              <w:rPr>
                <w:rFonts w:hint="cs"/>
                <w:rtl/>
              </w:rPr>
              <w:t>17.1</w:t>
            </w:r>
          </w:p>
        </w:tc>
      </w:tr>
      <w:tr w:rsidR="003865AC" w:rsidTr="003865AC">
        <w:tblPrEx>
          <w:tblCellMar>
            <w:top w:w="0" w:type="dxa"/>
            <w:bottom w:w="0" w:type="dxa"/>
          </w:tblCellMar>
        </w:tblPrEx>
        <w:tc>
          <w:tcPr>
            <w:tcW w:w="4602" w:type="dxa"/>
          </w:tcPr>
          <w:p w:rsidR="003865AC" w:rsidRDefault="003865AC">
            <w:pPr>
              <w:spacing w:before="0" w:after="0"/>
              <w:jc w:val="both"/>
              <w:rPr>
                <w:rFonts w:hint="cs"/>
              </w:rPr>
            </w:pPr>
            <w:r>
              <w:rPr>
                <w:rFonts w:hint="cs"/>
                <w:rtl/>
              </w:rPr>
              <w:t>سامسكي - دجافاخيتي</w:t>
            </w:r>
          </w:p>
        </w:tc>
        <w:tc>
          <w:tcPr>
            <w:tcW w:w="1620" w:type="dxa"/>
          </w:tcPr>
          <w:p w:rsidR="003865AC" w:rsidRDefault="003865AC">
            <w:pPr>
              <w:spacing w:before="0" w:after="0"/>
              <w:jc w:val="both"/>
              <w:rPr>
                <w:rFonts w:hint="cs"/>
              </w:rPr>
            </w:pPr>
            <w:r>
              <w:rPr>
                <w:rFonts w:hint="cs"/>
                <w:rtl/>
              </w:rPr>
              <w:t>12.4</w:t>
            </w:r>
          </w:p>
        </w:tc>
        <w:tc>
          <w:tcPr>
            <w:tcW w:w="1800" w:type="dxa"/>
          </w:tcPr>
          <w:p w:rsidR="003865AC" w:rsidRDefault="003865AC">
            <w:pPr>
              <w:spacing w:before="0" w:after="0"/>
              <w:jc w:val="both"/>
              <w:rPr>
                <w:rFonts w:hint="cs"/>
              </w:rPr>
            </w:pPr>
            <w:r>
              <w:rPr>
                <w:rFonts w:hint="cs"/>
                <w:rtl/>
              </w:rPr>
              <w:t>9.2</w:t>
            </w:r>
          </w:p>
        </w:tc>
        <w:tc>
          <w:tcPr>
            <w:tcW w:w="1548" w:type="dxa"/>
          </w:tcPr>
          <w:p w:rsidR="003865AC" w:rsidRDefault="003865AC">
            <w:pPr>
              <w:spacing w:before="0" w:after="0"/>
              <w:jc w:val="both"/>
              <w:rPr>
                <w:rFonts w:hint="cs"/>
              </w:rPr>
            </w:pPr>
            <w:r>
              <w:rPr>
                <w:rFonts w:hint="cs"/>
                <w:rtl/>
              </w:rPr>
              <w:t>12.6</w:t>
            </w:r>
          </w:p>
        </w:tc>
      </w:tr>
      <w:tr w:rsidR="003865AC" w:rsidTr="003865AC">
        <w:tblPrEx>
          <w:tblCellMar>
            <w:top w:w="0" w:type="dxa"/>
            <w:bottom w:w="0" w:type="dxa"/>
          </w:tblCellMar>
        </w:tblPrEx>
        <w:tc>
          <w:tcPr>
            <w:tcW w:w="4602" w:type="dxa"/>
          </w:tcPr>
          <w:p w:rsidR="003865AC" w:rsidRDefault="003865AC">
            <w:pPr>
              <w:spacing w:before="0" w:after="0"/>
              <w:jc w:val="both"/>
              <w:rPr>
                <w:rFonts w:hint="cs"/>
              </w:rPr>
            </w:pPr>
            <w:r>
              <w:rPr>
                <w:rFonts w:hint="cs"/>
                <w:rtl/>
              </w:rPr>
              <w:t>كفيمو كارتلي</w:t>
            </w:r>
          </w:p>
        </w:tc>
        <w:tc>
          <w:tcPr>
            <w:tcW w:w="1620" w:type="dxa"/>
          </w:tcPr>
          <w:p w:rsidR="003865AC" w:rsidRDefault="003865AC">
            <w:pPr>
              <w:spacing w:before="0" w:after="0"/>
              <w:jc w:val="both"/>
              <w:rPr>
                <w:rFonts w:hint="cs"/>
              </w:rPr>
            </w:pPr>
            <w:r>
              <w:rPr>
                <w:rFonts w:hint="cs"/>
                <w:rtl/>
              </w:rPr>
              <w:t>10.0</w:t>
            </w:r>
          </w:p>
        </w:tc>
        <w:tc>
          <w:tcPr>
            <w:tcW w:w="1800" w:type="dxa"/>
          </w:tcPr>
          <w:p w:rsidR="003865AC" w:rsidRDefault="003865AC">
            <w:pPr>
              <w:spacing w:before="0" w:after="0"/>
              <w:jc w:val="both"/>
              <w:rPr>
                <w:rFonts w:hint="cs"/>
              </w:rPr>
            </w:pPr>
            <w:r>
              <w:rPr>
                <w:rFonts w:hint="cs"/>
                <w:rtl/>
              </w:rPr>
              <w:t>6.0</w:t>
            </w:r>
          </w:p>
        </w:tc>
        <w:tc>
          <w:tcPr>
            <w:tcW w:w="1548" w:type="dxa"/>
          </w:tcPr>
          <w:p w:rsidR="003865AC" w:rsidRDefault="003865AC">
            <w:pPr>
              <w:spacing w:before="0" w:after="0"/>
              <w:jc w:val="both"/>
              <w:rPr>
                <w:rFonts w:hint="cs"/>
              </w:rPr>
            </w:pPr>
            <w:r>
              <w:rPr>
                <w:rFonts w:hint="cs"/>
                <w:rtl/>
              </w:rPr>
              <w:t>9.9</w:t>
            </w:r>
          </w:p>
        </w:tc>
      </w:tr>
      <w:tr w:rsidR="003865AC" w:rsidTr="003865AC">
        <w:tblPrEx>
          <w:tblCellMar>
            <w:top w:w="0" w:type="dxa"/>
            <w:bottom w:w="0" w:type="dxa"/>
          </w:tblCellMar>
        </w:tblPrEx>
        <w:tc>
          <w:tcPr>
            <w:tcW w:w="4602" w:type="dxa"/>
          </w:tcPr>
          <w:p w:rsidR="003865AC" w:rsidRDefault="003865AC">
            <w:pPr>
              <w:spacing w:before="0" w:after="0"/>
              <w:jc w:val="both"/>
              <w:rPr>
                <w:rFonts w:hint="cs"/>
              </w:rPr>
            </w:pPr>
            <w:r>
              <w:rPr>
                <w:rFonts w:hint="cs"/>
                <w:rtl/>
              </w:rPr>
              <w:t>إمريتي</w:t>
            </w:r>
          </w:p>
        </w:tc>
        <w:tc>
          <w:tcPr>
            <w:tcW w:w="1620" w:type="dxa"/>
          </w:tcPr>
          <w:p w:rsidR="003865AC" w:rsidRDefault="003865AC">
            <w:pPr>
              <w:spacing w:before="0" w:after="0"/>
              <w:jc w:val="both"/>
              <w:rPr>
                <w:rFonts w:hint="cs"/>
              </w:rPr>
            </w:pPr>
            <w:r>
              <w:rPr>
                <w:rFonts w:hint="cs"/>
                <w:rtl/>
              </w:rPr>
              <w:t>10.7</w:t>
            </w:r>
          </w:p>
        </w:tc>
        <w:tc>
          <w:tcPr>
            <w:tcW w:w="1800" w:type="dxa"/>
          </w:tcPr>
          <w:p w:rsidR="003865AC" w:rsidRDefault="003865AC">
            <w:pPr>
              <w:spacing w:before="0" w:after="0"/>
              <w:jc w:val="both"/>
              <w:rPr>
                <w:rFonts w:hint="cs"/>
              </w:rPr>
            </w:pPr>
            <w:r>
              <w:rPr>
                <w:rFonts w:hint="cs"/>
                <w:rtl/>
              </w:rPr>
              <w:t>9.3</w:t>
            </w:r>
          </w:p>
        </w:tc>
        <w:tc>
          <w:tcPr>
            <w:tcW w:w="1548" w:type="dxa"/>
          </w:tcPr>
          <w:p w:rsidR="003865AC" w:rsidRDefault="003865AC">
            <w:pPr>
              <w:spacing w:before="0" w:after="0"/>
              <w:jc w:val="both"/>
              <w:rPr>
                <w:rFonts w:hint="cs"/>
              </w:rPr>
            </w:pPr>
            <w:r>
              <w:rPr>
                <w:rFonts w:hint="cs"/>
                <w:rtl/>
              </w:rPr>
              <w:t>21.2</w:t>
            </w:r>
          </w:p>
        </w:tc>
      </w:tr>
      <w:tr w:rsidR="003865AC" w:rsidTr="003865AC">
        <w:tblPrEx>
          <w:tblCellMar>
            <w:top w:w="0" w:type="dxa"/>
            <w:bottom w:w="0" w:type="dxa"/>
          </w:tblCellMar>
        </w:tblPrEx>
        <w:tc>
          <w:tcPr>
            <w:tcW w:w="4602" w:type="dxa"/>
          </w:tcPr>
          <w:p w:rsidR="003865AC" w:rsidRDefault="003865AC">
            <w:pPr>
              <w:spacing w:before="0" w:after="0"/>
              <w:jc w:val="both"/>
              <w:rPr>
                <w:rFonts w:hint="cs"/>
              </w:rPr>
            </w:pPr>
            <w:r>
              <w:rPr>
                <w:rFonts w:hint="cs"/>
                <w:rtl/>
              </w:rPr>
              <w:t>كاخيتي</w:t>
            </w:r>
          </w:p>
        </w:tc>
        <w:tc>
          <w:tcPr>
            <w:tcW w:w="1620" w:type="dxa"/>
          </w:tcPr>
          <w:p w:rsidR="003865AC" w:rsidRDefault="003865AC">
            <w:pPr>
              <w:spacing w:before="0" w:after="0"/>
              <w:jc w:val="both"/>
              <w:rPr>
                <w:rFonts w:hint="cs"/>
              </w:rPr>
            </w:pPr>
            <w:r>
              <w:rPr>
                <w:rFonts w:hint="cs"/>
                <w:rtl/>
              </w:rPr>
              <w:t>8.7</w:t>
            </w:r>
          </w:p>
        </w:tc>
        <w:tc>
          <w:tcPr>
            <w:tcW w:w="1800" w:type="dxa"/>
          </w:tcPr>
          <w:p w:rsidR="003865AC" w:rsidRDefault="003865AC">
            <w:pPr>
              <w:spacing w:before="0" w:after="0"/>
              <w:jc w:val="both"/>
              <w:rPr>
                <w:rFonts w:hint="cs"/>
              </w:rPr>
            </w:pPr>
            <w:r>
              <w:rPr>
                <w:rFonts w:hint="cs"/>
                <w:rtl/>
              </w:rPr>
              <w:t>12.7</w:t>
            </w:r>
          </w:p>
        </w:tc>
        <w:tc>
          <w:tcPr>
            <w:tcW w:w="1548" w:type="dxa"/>
          </w:tcPr>
          <w:p w:rsidR="003865AC" w:rsidRDefault="003865AC">
            <w:pPr>
              <w:spacing w:before="0" w:after="0"/>
              <w:jc w:val="both"/>
              <w:rPr>
                <w:rFonts w:hint="cs"/>
              </w:rPr>
            </w:pPr>
            <w:r>
              <w:rPr>
                <w:rFonts w:hint="cs"/>
                <w:rtl/>
              </w:rPr>
              <w:t>17.1</w:t>
            </w:r>
          </w:p>
        </w:tc>
      </w:tr>
      <w:tr w:rsidR="003865AC" w:rsidTr="003865AC">
        <w:tblPrEx>
          <w:tblCellMar>
            <w:top w:w="0" w:type="dxa"/>
            <w:bottom w:w="0" w:type="dxa"/>
          </w:tblCellMar>
        </w:tblPrEx>
        <w:tc>
          <w:tcPr>
            <w:tcW w:w="4602" w:type="dxa"/>
          </w:tcPr>
          <w:p w:rsidR="003865AC" w:rsidRDefault="003865AC">
            <w:pPr>
              <w:spacing w:before="0" w:after="0"/>
              <w:jc w:val="both"/>
              <w:rPr>
                <w:rFonts w:hint="cs"/>
              </w:rPr>
            </w:pPr>
            <w:r>
              <w:rPr>
                <w:rFonts w:hint="cs"/>
                <w:rtl/>
              </w:rPr>
              <w:t>شيدا كارتلي</w:t>
            </w:r>
          </w:p>
        </w:tc>
        <w:tc>
          <w:tcPr>
            <w:tcW w:w="1620" w:type="dxa"/>
          </w:tcPr>
          <w:p w:rsidR="003865AC" w:rsidRDefault="003865AC">
            <w:pPr>
              <w:spacing w:before="0" w:after="0"/>
              <w:jc w:val="both"/>
              <w:rPr>
                <w:rFonts w:hint="cs"/>
              </w:rPr>
            </w:pPr>
            <w:r>
              <w:rPr>
                <w:rFonts w:hint="cs"/>
                <w:rtl/>
              </w:rPr>
              <w:t>14.7</w:t>
            </w:r>
          </w:p>
        </w:tc>
        <w:tc>
          <w:tcPr>
            <w:tcW w:w="1800" w:type="dxa"/>
          </w:tcPr>
          <w:p w:rsidR="003865AC" w:rsidRDefault="003865AC">
            <w:pPr>
              <w:spacing w:before="0" w:after="0"/>
              <w:jc w:val="both"/>
              <w:rPr>
                <w:rFonts w:hint="cs"/>
              </w:rPr>
            </w:pPr>
            <w:r>
              <w:rPr>
                <w:rFonts w:hint="cs"/>
                <w:rtl/>
              </w:rPr>
              <w:t>11.9</w:t>
            </w:r>
          </w:p>
        </w:tc>
        <w:tc>
          <w:tcPr>
            <w:tcW w:w="1548" w:type="dxa"/>
          </w:tcPr>
          <w:p w:rsidR="003865AC" w:rsidRDefault="003865AC">
            <w:pPr>
              <w:spacing w:before="0" w:after="0"/>
              <w:jc w:val="both"/>
              <w:rPr>
                <w:rFonts w:hint="cs"/>
              </w:rPr>
            </w:pPr>
            <w:r>
              <w:rPr>
                <w:rFonts w:hint="cs"/>
                <w:rtl/>
              </w:rPr>
              <w:t>15.4</w:t>
            </w:r>
          </w:p>
        </w:tc>
      </w:tr>
      <w:tr w:rsidR="003865AC" w:rsidTr="003865AC">
        <w:tblPrEx>
          <w:tblCellMar>
            <w:top w:w="0" w:type="dxa"/>
            <w:bottom w:w="0" w:type="dxa"/>
          </w:tblCellMar>
        </w:tblPrEx>
        <w:tc>
          <w:tcPr>
            <w:tcW w:w="4602" w:type="dxa"/>
          </w:tcPr>
          <w:p w:rsidR="003865AC" w:rsidRDefault="003865AC">
            <w:pPr>
              <w:spacing w:before="0" w:after="0"/>
              <w:jc w:val="both"/>
              <w:rPr>
                <w:rFonts w:hint="cs"/>
                <w:rtl/>
              </w:rPr>
            </w:pPr>
            <w:r>
              <w:rPr>
                <w:rFonts w:hint="cs"/>
                <w:rtl/>
              </w:rPr>
              <w:t>جورجيا</w:t>
            </w:r>
          </w:p>
        </w:tc>
        <w:tc>
          <w:tcPr>
            <w:tcW w:w="1620" w:type="dxa"/>
          </w:tcPr>
          <w:p w:rsidR="003865AC" w:rsidRDefault="003865AC">
            <w:pPr>
              <w:spacing w:before="0" w:after="0"/>
              <w:jc w:val="both"/>
              <w:rPr>
                <w:rFonts w:hint="cs"/>
                <w:rtl/>
              </w:rPr>
            </w:pPr>
            <w:r>
              <w:rPr>
                <w:rFonts w:hint="cs"/>
                <w:rtl/>
              </w:rPr>
              <w:t>15.3</w:t>
            </w:r>
          </w:p>
        </w:tc>
        <w:tc>
          <w:tcPr>
            <w:tcW w:w="1800" w:type="dxa"/>
          </w:tcPr>
          <w:p w:rsidR="003865AC" w:rsidRDefault="003865AC">
            <w:pPr>
              <w:spacing w:before="0" w:after="0"/>
              <w:jc w:val="both"/>
              <w:rPr>
                <w:rFonts w:hint="cs"/>
                <w:rtl/>
              </w:rPr>
            </w:pPr>
            <w:r>
              <w:rPr>
                <w:rFonts w:hint="cs"/>
                <w:rtl/>
              </w:rPr>
              <w:t>15.2</w:t>
            </w:r>
          </w:p>
        </w:tc>
        <w:tc>
          <w:tcPr>
            <w:tcW w:w="1548" w:type="dxa"/>
          </w:tcPr>
          <w:p w:rsidR="003865AC" w:rsidRDefault="003865AC">
            <w:pPr>
              <w:spacing w:before="0" w:after="0"/>
              <w:jc w:val="both"/>
              <w:rPr>
                <w:rFonts w:hint="cs"/>
                <w:rtl/>
              </w:rPr>
            </w:pPr>
            <w:r>
              <w:rPr>
                <w:rFonts w:hint="cs"/>
                <w:rtl/>
              </w:rPr>
              <w:t>17.5</w:t>
            </w:r>
          </w:p>
        </w:tc>
      </w:tr>
    </w:tbl>
    <w:p w:rsidR="00000000" w:rsidRDefault="003865AC">
      <w:pPr>
        <w:jc w:val="both"/>
        <w:rPr>
          <w:i/>
          <w:iCs/>
          <w:rtl/>
        </w:rPr>
      </w:pPr>
      <w:r>
        <w:rPr>
          <w:rFonts w:hint="cs"/>
          <w:i/>
          <w:iCs/>
          <w:rtl/>
        </w:rPr>
        <w:tab/>
        <w:t>(ب)</w:t>
      </w:r>
      <w:r>
        <w:rPr>
          <w:rFonts w:hint="cs"/>
          <w:i/>
          <w:iCs/>
          <w:rtl/>
        </w:rPr>
        <w:tab/>
        <w:t>إمكانية الحصول على مياه الشرب</w:t>
      </w:r>
    </w:p>
    <w:p w:rsidR="00000000" w:rsidRDefault="003865AC">
      <w:pPr>
        <w:jc w:val="both"/>
        <w:rPr>
          <w:rFonts w:hint="cs"/>
          <w:rtl/>
        </w:rPr>
      </w:pPr>
      <w:r>
        <w:rPr>
          <w:rFonts w:hint="cs"/>
          <w:rtl/>
        </w:rPr>
        <w:t>192-</w:t>
      </w:r>
      <w:r>
        <w:rPr>
          <w:rFonts w:hint="cs"/>
          <w:rtl/>
        </w:rPr>
        <w:tab/>
        <w:t>لم يكن شعب جورجيا يزود في السنوات الأخيرة بما يكفيه من المياه المأمونة والصالحة للشرب. والمشاكل الرئيسية التي تعوق عملية إمداد الأسر المعيشية بالمياه النظيفة ومياه الشرب تتمثل في التل</w:t>
      </w:r>
      <w:r>
        <w:rPr>
          <w:rFonts w:hint="cs"/>
          <w:rtl/>
        </w:rPr>
        <w:t>وث الذي يسببه البشر، والنقص في مياه الشرب، وسوء صيانة الهياكل الأساسية.</w:t>
      </w:r>
    </w:p>
    <w:p w:rsidR="00000000" w:rsidRDefault="003865AC">
      <w:pPr>
        <w:jc w:val="both"/>
        <w:rPr>
          <w:rFonts w:hint="cs"/>
          <w:rtl/>
        </w:rPr>
      </w:pPr>
      <w:r>
        <w:rPr>
          <w:rFonts w:hint="cs"/>
          <w:rtl/>
        </w:rPr>
        <w:t>193-</w:t>
      </w:r>
      <w:r>
        <w:rPr>
          <w:rFonts w:hint="cs"/>
          <w:rtl/>
        </w:rPr>
        <w:tab/>
        <w:t>ورغم أن ما نسبة 70 في المائة من السكان يحصلون على مياه الشرب عبر الأنابيب (95 في المائة في المدن و35 في المائة في الريف)، فإن إمداد الكثير من السكان بالمياه لا يفي بمعايير الصحة و</w:t>
      </w:r>
      <w:r>
        <w:rPr>
          <w:rFonts w:hint="cs"/>
          <w:rtl/>
        </w:rPr>
        <w:t>النظافة المعتمدة حالياً. وكثيراً ما تكون إمدادات مياه الشرب غير معالجة بالكلور، بسبب عدم توافر هذه المادة المضافة في جورجيا. ولهذا، لم تكن إمدادات المياه لثمانية مناطق في جورجيا معالجة بالكلور في عام 1999.</w:t>
      </w:r>
    </w:p>
    <w:p w:rsidR="00000000" w:rsidRDefault="003865AC">
      <w:pPr>
        <w:jc w:val="both"/>
        <w:rPr>
          <w:rFonts w:hint="cs"/>
          <w:rtl/>
        </w:rPr>
      </w:pPr>
      <w:r>
        <w:rPr>
          <w:rFonts w:hint="cs"/>
          <w:rtl/>
        </w:rPr>
        <w:t>194-</w:t>
      </w:r>
      <w:r>
        <w:rPr>
          <w:rFonts w:hint="cs"/>
          <w:rtl/>
        </w:rPr>
        <w:tab/>
        <w:t>وغالباً ما يؤدي انقطاع التيار الكهربائي إلى ع</w:t>
      </w:r>
      <w:r>
        <w:rPr>
          <w:rFonts w:hint="cs"/>
          <w:rtl/>
        </w:rPr>
        <w:t>دم انتظام إمدادات مياه الشرب إلى حد كبير. ففي عام 1999 مثلا، لم تكن مياه الشرب تتوفر في ست مقاطعات من مقاطعات جورجيا وفي مناطق عديدة من العاصمة إلا لما يتراوح بين ثلاث وخمس ساعات يومياً.</w:t>
      </w:r>
    </w:p>
    <w:p w:rsidR="00000000" w:rsidRDefault="003865AC">
      <w:pPr>
        <w:jc w:val="both"/>
        <w:rPr>
          <w:rFonts w:hint="cs"/>
          <w:rtl/>
        </w:rPr>
      </w:pPr>
      <w:r>
        <w:rPr>
          <w:rFonts w:hint="cs"/>
          <w:rtl/>
        </w:rPr>
        <w:t>195-</w:t>
      </w:r>
      <w:r>
        <w:rPr>
          <w:rFonts w:hint="cs"/>
          <w:rtl/>
        </w:rPr>
        <w:tab/>
        <w:t xml:space="preserve">وفي عام 1999، خضع النظـام المركزي لتوزيع المياه في عدد من المدن </w:t>
      </w:r>
      <w:r>
        <w:rPr>
          <w:rFonts w:hint="cs"/>
          <w:rtl/>
        </w:rPr>
        <w:t>والمناطق في جورجيا لاختبارات كيميائية وبكتريولوجية. كما خضعت المراكز الرئيسية للاختبار. وقد بينت الاختبارات ضرورة اتخاذ تدابير حماية ملائمة، وذلك لأن العينات التي خضعت للاختبار لم تف في حالات كثيرة بالمعايير المعتمدة حالياً.</w:t>
      </w:r>
    </w:p>
    <w:p w:rsidR="00000000" w:rsidRDefault="003865AC">
      <w:pPr>
        <w:jc w:val="both"/>
        <w:rPr>
          <w:rFonts w:hint="cs"/>
          <w:rtl/>
        </w:rPr>
      </w:pPr>
    </w:p>
    <w:p w:rsidR="00000000" w:rsidRDefault="003865AC">
      <w:pPr>
        <w:jc w:val="both"/>
        <w:rPr>
          <w:rFonts w:hint="cs"/>
          <w:i/>
          <w:iCs/>
          <w:rtl/>
        </w:rPr>
      </w:pPr>
      <w:r>
        <w:rPr>
          <w:rFonts w:hint="cs"/>
          <w:i/>
          <w:iCs/>
          <w:rtl/>
        </w:rPr>
        <w:tab/>
        <w:t>(ج)</w:t>
      </w:r>
      <w:r>
        <w:rPr>
          <w:rFonts w:hint="cs"/>
          <w:i/>
          <w:iCs/>
          <w:rtl/>
        </w:rPr>
        <w:tab/>
        <w:t>الاستفادة من المرافق الصح</w:t>
      </w:r>
      <w:r>
        <w:rPr>
          <w:rFonts w:hint="cs"/>
          <w:i/>
          <w:iCs/>
          <w:rtl/>
        </w:rPr>
        <w:t>ية</w:t>
      </w:r>
    </w:p>
    <w:p w:rsidR="00000000" w:rsidRDefault="003865AC">
      <w:pPr>
        <w:jc w:val="both"/>
        <w:rPr>
          <w:rFonts w:hint="cs"/>
          <w:rtl/>
        </w:rPr>
      </w:pPr>
      <w:r>
        <w:rPr>
          <w:rFonts w:hint="cs"/>
          <w:rtl/>
        </w:rPr>
        <w:t>196-</w:t>
      </w:r>
      <w:r>
        <w:rPr>
          <w:rFonts w:hint="cs"/>
          <w:rtl/>
        </w:rPr>
        <w:tab/>
        <w:t xml:space="preserve">تفيد وزارة العمل والصحة والرعاية الاجتماعية بأن نظام الصرف الصحي العام في 45 مدينة من مدن جورجيا هو في حالة يرثى لها. ويحتاج 800 1 كيلومتر من أنابيب الصرف الصحي (من أصل شبكة تمتد على مسافة 100 4 كيلومتر) إلى إصلاحات شاملة وذلك بسبب إهمالها وحالتها </w:t>
      </w:r>
      <w:r>
        <w:rPr>
          <w:rFonts w:hint="cs"/>
          <w:rtl/>
        </w:rPr>
        <w:t>البالية. كما يتعين إصلاح وتطوير مرافق معالجة مياه المجاري والمياه المستعملة. والمياه المستعمل لا تعالج معالجة تفي بالشروط الصحية إلا في تبليسي وفي خمس مدن كبرى.</w:t>
      </w:r>
    </w:p>
    <w:p w:rsidR="00000000" w:rsidRDefault="003865AC">
      <w:pPr>
        <w:jc w:val="both"/>
        <w:rPr>
          <w:rFonts w:hint="cs"/>
          <w:rtl/>
        </w:rPr>
      </w:pPr>
      <w:r>
        <w:rPr>
          <w:rFonts w:hint="cs"/>
          <w:rtl/>
        </w:rPr>
        <w:t>197-</w:t>
      </w:r>
      <w:r>
        <w:rPr>
          <w:rFonts w:hint="cs"/>
          <w:rtl/>
        </w:rPr>
        <w:tab/>
        <w:t>ونظرا للنوعية التي لا تفي بالمعايير القائمة (من وجهة نظر إدارة مياه الصرف الصحي) لمنشآت ال</w:t>
      </w:r>
      <w:r>
        <w:rPr>
          <w:rFonts w:hint="cs"/>
          <w:rtl/>
        </w:rPr>
        <w:t>معالجة وشبكات المجارير الحالية، يعد المستوى الإجمالي للخدمة والمعالجة مستوى متدنيا تماما. وبالتالي فإن هناك خطراً حقيقياً ينذر بانتشار الأمراض.</w:t>
      </w:r>
    </w:p>
    <w:p w:rsidR="00000000" w:rsidRDefault="003865AC">
      <w:pPr>
        <w:jc w:val="both"/>
        <w:rPr>
          <w:rFonts w:hint="cs"/>
          <w:rtl/>
        </w:rPr>
      </w:pPr>
      <w:r>
        <w:rPr>
          <w:rFonts w:hint="cs"/>
          <w:i/>
          <w:iCs/>
          <w:rtl/>
        </w:rPr>
        <w:tab/>
        <w:t>(د)</w:t>
      </w:r>
      <w:r>
        <w:rPr>
          <w:rFonts w:hint="cs"/>
          <w:i/>
          <w:iCs/>
          <w:rtl/>
        </w:rPr>
        <w:tab/>
        <w:t xml:space="preserve">تحصين الأطفال </w:t>
      </w:r>
    </w:p>
    <w:p w:rsidR="00000000" w:rsidRDefault="003865AC">
      <w:pPr>
        <w:jc w:val="both"/>
        <w:rPr>
          <w:rStyle w:val="FootnoteReference"/>
          <w:vertAlign w:val="baseline"/>
          <w:rtl/>
        </w:rPr>
      </w:pPr>
      <w:r>
        <w:rPr>
          <w:rFonts w:hint="cs"/>
          <w:rtl/>
        </w:rPr>
        <w:t>198-</w:t>
      </w:r>
      <w:r>
        <w:rPr>
          <w:rFonts w:hint="cs"/>
          <w:rtl/>
        </w:rPr>
        <w:tab/>
        <w:t>انظر الجدول المبين أدناه.</w:t>
      </w:r>
    </w:p>
    <w:tbl>
      <w:tblPr>
        <w:bidiVisual/>
        <w:tblW w:w="0" w:type="auto"/>
        <w:tblInd w:w="-7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780"/>
        <w:gridCol w:w="1440"/>
        <w:gridCol w:w="1440"/>
        <w:gridCol w:w="1440"/>
        <w:gridCol w:w="1548"/>
      </w:tblGrid>
      <w:tr w:rsidR="003865AC" w:rsidTr="003865AC">
        <w:tblPrEx>
          <w:tblCellMar>
            <w:top w:w="0" w:type="dxa"/>
            <w:bottom w:w="0" w:type="dxa"/>
          </w:tblCellMar>
        </w:tblPrEx>
        <w:trPr>
          <w:cantSplit/>
        </w:trPr>
        <w:tc>
          <w:tcPr>
            <w:tcW w:w="3780" w:type="dxa"/>
            <w:vMerge w:val="restart"/>
          </w:tcPr>
          <w:p w:rsidR="003865AC" w:rsidRDefault="003865AC">
            <w:pPr>
              <w:spacing w:before="0" w:after="0"/>
              <w:jc w:val="center"/>
              <w:rPr>
                <w:rStyle w:val="FootnoteReference"/>
                <w:b/>
                <w:bCs w:val="0"/>
              </w:rPr>
            </w:pPr>
            <w:r>
              <w:rPr>
                <w:rFonts w:hint="cs"/>
                <w:b/>
                <w:bCs/>
                <w:rtl/>
              </w:rPr>
              <w:t>اللقاح</w:t>
            </w:r>
          </w:p>
        </w:tc>
        <w:tc>
          <w:tcPr>
            <w:tcW w:w="2880" w:type="dxa"/>
            <w:gridSpan w:val="2"/>
            <w:tcBorders>
              <w:bottom w:val="single" w:sz="4" w:space="0" w:color="auto"/>
            </w:tcBorders>
          </w:tcPr>
          <w:p w:rsidR="003865AC" w:rsidRDefault="003865AC">
            <w:pPr>
              <w:spacing w:before="0" w:after="0"/>
              <w:jc w:val="center"/>
              <w:rPr>
                <w:rStyle w:val="FootnoteReference"/>
                <w:b/>
                <w:bCs w:val="0"/>
              </w:rPr>
            </w:pPr>
            <w:r>
              <w:rPr>
                <w:rFonts w:hint="cs"/>
                <w:b/>
                <w:bCs/>
                <w:rtl/>
              </w:rPr>
              <w:t>1998</w:t>
            </w:r>
          </w:p>
        </w:tc>
        <w:tc>
          <w:tcPr>
            <w:tcW w:w="2988" w:type="dxa"/>
            <w:gridSpan w:val="2"/>
            <w:tcBorders>
              <w:bottom w:val="single" w:sz="4" w:space="0" w:color="auto"/>
            </w:tcBorders>
          </w:tcPr>
          <w:p w:rsidR="003865AC" w:rsidRDefault="003865AC">
            <w:pPr>
              <w:spacing w:before="0" w:after="0"/>
              <w:jc w:val="center"/>
              <w:rPr>
                <w:rStyle w:val="FootnoteReference"/>
                <w:rFonts w:hint="cs"/>
                <w:b/>
                <w:bCs w:val="0"/>
              </w:rPr>
            </w:pPr>
            <w:r>
              <w:rPr>
                <w:rFonts w:hint="cs"/>
                <w:b/>
                <w:bCs/>
                <w:rtl/>
              </w:rPr>
              <w:t>1999</w:t>
            </w:r>
          </w:p>
        </w:tc>
      </w:tr>
      <w:tr w:rsidR="003865AC" w:rsidTr="003865AC">
        <w:tblPrEx>
          <w:tblCellMar>
            <w:top w:w="0" w:type="dxa"/>
            <w:bottom w:w="0" w:type="dxa"/>
          </w:tblCellMar>
        </w:tblPrEx>
        <w:trPr>
          <w:cantSplit/>
        </w:trPr>
        <w:tc>
          <w:tcPr>
            <w:tcW w:w="3780" w:type="dxa"/>
            <w:vMerge/>
            <w:tcBorders>
              <w:bottom w:val="single" w:sz="4" w:space="0" w:color="auto"/>
            </w:tcBorders>
          </w:tcPr>
          <w:p w:rsidR="003865AC" w:rsidRDefault="003865AC">
            <w:pPr>
              <w:spacing w:before="0" w:after="0"/>
              <w:jc w:val="both"/>
              <w:rPr>
                <w:rStyle w:val="FootnoteReference"/>
                <w:rFonts w:hint="cs"/>
                <w:vertAlign w:val="baseline"/>
                <w:rtl/>
              </w:rPr>
            </w:pPr>
          </w:p>
        </w:tc>
        <w:tc>
          <w:tcPr>
            <w:tcW w:w="1440" w:type="dxa"/>
            <w:tcBorders>
              <w:top w:val="single" w:sz="4" w:space="0" w:color="auto"/>
              <w:bottom w:val="single" w:sz="4" w:space="0" w:color="auto"/>
            </w:tcBorders>
          </w:tcPr>
          <w:p w:rsidR="003865AC" w:rsidRDefault="003865AC">
            <w:pPr>
              <w:spacing w:before="0" w:after="0"/>
              <w:jc w:val="both"/>
              <w:rPr>
                <w:rStyle w:val="FootnoteReference"/>
                <w:rFonts w:hint="cs"/>
                <w:b/>
                <w:bCs w:val="0"/>
                <w:vertAlign w:val="baseline"/>
              </w:rPr>
            </w:pPr>
            <w:r>
              <w:rPr>
                <w:rFonts w:hint="cs"/>
                <w:b/>
                <w:bCs/>
                <w:rtl/>
              </w:rPr>
              <w:t>عدد المحصنين</w:t>
            </w:r>
          </w:p>
        </w:tc>
        <w:tc>
          <w:tcPr>
            <w:tcW w:w="1440" w:type="dxa"/>
            <w:tcBorders>
              <w:top w:val="single" w:sz="4" w:space="0" w:color="auto"/>
              <w:bottom w:val="single" w:sz="4" w:space="0" w:color="auto"/>
            </w:tcBorders>
          </w:tcPr>
          <w:p w:rsidR="003865AC" w:rsidRDefault="003865AC">
            <w:pPr>
              <w:spacing w:before="0" w:after="0"/>
              <w:jc w:val="both"/>
              <w:rPr>
                <w:rStyle w:val="FootnoteReference"/>
                <w:rFonts w:hint="cs"/>
                <w:b/>
                <w:bCs w:val="0"/>
                <w:vertAlign w:val="baseline"/>
              </w:rPr>
            </w:pPr>
            <w:r>
              <w:rPr>
                <w:rFonts w:hint="cs"/>
                <w:b/>
                <w:bCs/>
                <w:rtl/>
              </w:rPr>
              <w:t>الشمولية (</w:t>
            </w:r>
            <w:r>
              <w:rPr>
                <w:rFonts w:cs="Mudir MT" w:hint="cs"/>
                <w:b/>
                <w:bCs/>
                <w:sz w:val="24"/>
                <w:szCs w:val="24"/>
                <w:rtl/>
                <w:lang w:eastAsia="en-US"/>
              </w:rPr>
              <w:t>%</w:t>
            </w:r>
            <w:r>
              <w:rPr>
                <w:rFonts w:hint="cs"/>
                <w:b/>
                <w:bCs/>
                <w:rtl/>
              </w:rPr>
              <w:t>)</w:t>
            </w:r>
          </w:p>
        </w:tc>
        <w:tc>
          <w:tcPr>
            <w:tcW w:w="1440" w:type="dxa"/>
            <w:tcBorders>
              <w:top w:val="single" w:sz="4" w:space="0" w:color="auto"/>
              <w:bottom w:val="single" w:sz="4" w:space="0" w:color="auto"/>
            </w:tcBorders>
          </w:tcPr>
          <w:p w:rsidR="003865AC" w:rsidRDefault="003865AC">
            <w:pPr>
              <w:spacing w:before="0" w:after="0"/>
              <w:jc w:val="both"/>
              <w:rPr>
                <w:rStyle w:val="FootnoteReference"/>
                <w:rFonts w:hint="cs"/>
                <w:b/>
                <w:bCs w:val="0"/>
                <w:vertAlign w:val="baseline"/>
              </w:rPr>
            </w:pPr>
            <w:r>
              <w:rPr>
                <w:rFonts w:hint="cs"/>
                <w:b/>
                <w:bCs/>
                <w:rtl/>
              </w:rPr>
              <w:t xml:space="preserve">عدد المحصنين </w:t>
            </w:r>
          </w:p>
        </w:tc>
        <w:tc>
          <w:tcPr>
            <w:tcW w:w="1548" w:type="dxa"/>
            <w:tcBorders>
              <w:top w:val="single" w:sz="4" w:space="0" w:color="auto"/>
              <w:bottom w:val="single" w:sz="4" w:space="0" w:color="auto"/>
            </w:tcBorders>
          </w:tcPr>
          <w:p w:rsidR="003865AC" w:rsidRDefault="003865AC">
            <w:pPr>
              <w:spacing w:before="0" w:after="0"/>
              <w:jc w:val="both"/>
              <w:rPr>
                <w:rStyle w:val="FootnoteReference"/>
                <w:rFonts w:hint="cs"/>
                <w:vertAlign w:val="baseline"/>
              </w:rPr>
            </w:pPr>
            <w:r>
              <w:rPr>
                <w:rFonts w:hint="cs"/>
                <w:b/>
                <w:bCs/>
                <w:rtl/>
              </w:rPr>
              <w:t>الشمولية (</w:t>
            </w:r>
            <w:r>
              <w:rPr>
                <w:rFonts w:cs="Mudir MT" w:hint="cs"/>
                <w:b/>
                <w:bCs/>
                <w:sz w:val="24"/>
                <w:szCs w:val="24"/>
                <w:rtl/>
                <w:lang w:eastAsia="en-US"/>
              </w:rPr>
              <w:t>%</w:t>
            </w:r>
            <w:r>
              <w:rPr>
                <w:rFonts w:hint="cs"/>
                <w:b/>
                <w:bCs/>
                <w:rtl/>
              </w:rPr>
              <w:t>)</w:t>
            </w:r>
          </w:p>
        </w:tc>
      </w:tr>
      <w:tr w:rsidR="003865AC" w:rsidTr="003865AC">
        <w:tblPrEx>
          <w:tblCellMar>
            <w:top w:w="0" w:type="dxa"/>
            <w:bottom w:w="0" w:type="dxa"/>
          </w:tblCellMar>
        </w:tblPrEx>
        <w:trPr>
          <w:cantSplit/>
        </w:trPr>
        <w:tc>
          <w:tcPr>
            <w:tcW w:w="3780" w:type="dxa"/>
            <w:tcBorders>
              <w:top w:val="single" w:sz="4" w:space="0" w:color="auto"/>
              <w:bottom w:val="nil"/>
            </w:tcBorders>
          </w:tcPr>
          <w:p w:rsidR="003865AC" w:rsidRDefault="003865AC">
            <w:pPr>
              <w:spacing w:before="0" w:after="0"/>
              <w:jc w:val="both"/>
              <w:rPr>
                <w:rStyle w:val="FootnoteReference"/>
                <w:rFonts w:hint="cs"/>
                <w:vertAlign w:val="baseline"/>
                <w:rtl/>
              </w:rPr>
            </w:pPr>
            <w:r>
              <w:rPr>
                <w:rFonts w:hint="cs"/>
                <w:rtl/>
              </w:rPr>
              <w:t>خناق الدفتيريا، والكزاز، والسعال الديكي</w:t>
            </w:r>
          </w:p>
        </w:tc>
        <w:tc>
          <w:tcPr>
            <w:tcW w:w="1440" w:type="dxa"/>
            <w:tcBorders>
              <w:top w:val="single" w:sz="4" w:space="0" w:color="auto"/>
              <w:bottom w:val="nil"/>
            </w:tcBorders>
          </w:tcPr>
          <w:p w:rsidR="003865AC" w:rsidRDefault="003865AC">
            <w:pPr>
              <w:spacing w:before="0" w:after="0"/>
              <w:jc w:val="center"/>
              <w:rPr>
                <w:rFonts w:hint="cs"/>
                <w:rtl/>
              </w:rPr>
            </w:pPr>
            <w:r>
              <w:rPr>
                <w:rFonts w:hint="cs"/>
                <w:rtl/>
              </w:rPr>
              <w:t>629 45</w:t>
            </w:r>
          </w:p>
        </w:tc>
        <w:tc>
          <w:tcPr>
            <w:tcW w:w="1440" w:type="dxa"/>
            <w:tcBorders>
              <w:top w:val="single" w:sz="4" w:space="0" w:color="auto"/>
              <w:bottom w:val="nil"/>
            </w:tcBorders>
          </w:tcPr>
          <w:p w:rsidR="003865AC" w:rsidRDefault="003865AC">
            <w:pPr>
              <w:spacing w:before="0" w:after="0"/>
              <w:jc w:val="center"/>
              <w:rPr>
                <w:rStyle w:val="FootnoteReference"/>
                <w:rFonts w:hint="cs"/>
                <w:vertAlign w:val="baseline"/>
              </w:rPr>
            </w:pPr>
            <w:r>
              <w:rPr>
                <w:rFonts w:hint="cs"/>
                <w:rtl/>
              </w:rPr>
              <w:t>89.2</w:t>
            </w:r>
          </w:p>
        </w:tc>
        <w:tc>
          <w:tcPr>
            <w:tcW w:w="1440" w:type="dxa"/>
            <w:tcBorders>
              <w:top w:val="single" w:sz="4" w:space="0" w:color="auto"/>
              <w:bottom w:val="nil"/>
            </w:tcBorders>
          </w:tcPr>
          <w:p w:rsidR="003865AC" w:rsidRDefault="003865AC">
            <w:pPr>
              <w:spacing w:before="0" w:after="0"/>
              <w:jc w:val="center"/>
              <w:rPr>
                <w:rStyle w:val="FootnoteReference"/>
                <w:rFonts w:hint="cs"/>
                <w:vertAlign w:val="baseline"/>
              </w:rPr>
            </w:pPr>
            <w:r>
              <w:rPr>
                <w:rFonts w:hint="cs"/>
                <w:rtl/>
              </w:rPr>
              <w:t>709 47</w:t>
            </w:r>
          </w:p>
        </w:tc>
        <w:tc>
          <w:tcPr>
            <w:tcW w:w="1548" w:type="dxa"/>
            <w:tcBorders>
              <w:top w:val="single" w:sz="4" w:space="0" w:color="auto"/>
              <w:bottom w:val="nil"/>
            </w:tcBorders>
          </w:tcPr>
          <w:p w:rsidR="003865AC" w:rsidRDefault="003865AC">
            <w:pPr>
              <w:spacing w:before="0" w:after="0"/>
              <w:jc w:val="center"/>
              <w:rPr>
                <w:rStyle w:val="FootnoteReference"/>
                <w:rFonts w:hint="cs"/>
                <w:vertAlign w:val="baseline"/>
              </w:rPr>
            </w:pPr>
            <w:r>
              <w:rPr>
                <w:rFonts w:hint="cs"/>
                <w:rtl/>
              </w:rPr>
              <w:t>97.7</w:t>
            </w:r>
          </w:p>
        </w:tc>
      </w:tr>
      <w:tr w:rsidR="003865AC" w:rsidTr="003865AC">
        <w:tblPrEx>
          <w:tblCellMar>
            <w:top w:w="0" w:type="dxa"/>
            <w:bottom w:w="0" w:type="dxa"/>
          </w:tblCellMar>
        </w:tblPrEx>
        <w:trPr>
          <w:cantSplit/>
        </w:trPr>
        <w:tc>
          <w:tcPr>
            <w:tcW w:w="3780" w:type="dxa"/>
            <w:tcBorders>
              <w:top w:val="nil"/>
            </w:tcBorders>
          </w:tcPr>
          <w:p w:rsidR="003865AC" w:rsidRDefault="003865AC">
            <w:pPr>
              <w:spacing w:before="0" w:after="0"/>
              <w:jc w:val="both"/>
              <w:rPr>
                <w:rStyle w:val="FootnoteReference"/>
                <w:rFonts w:hint="cs"/>
                <w:vertAlign w:val="baseline"/>
                <w:rtl/>
              </w:rPr>
            </w:pPr>
            <w:r>
              <w:rPr>
                <w:rFonts w:hint="cs"/>
                <w:rtl/>
              </w:rPr>
              <w:t xml:space="preserve">الحصبة الألمانية </w:t>
            </w:r>
          </w:p>
        </w:tc>
        <w:tc>
          <w:tcPr>
            <w:tcW w:w="1440" w:type="dxa"/>
            <w:tcBorders>
              <w:top w:val="nil"/>
            </w:tcBorders>
          </w:tcPr>
          <w:p w:rsidR="003865AC" w:rsidRDefault="003865AC">
            <w:pPr>
              <w:spacing w:before="0" w:after="0"/>
              <w:jc w:val="center"/>
              <w:rPr>
                <w:rFonts w:hint="cs"/>
                <w:rtl/>
              </w:rPr>
            </w:pPr>
            <w:r>
              <w:rPr>
                <w:rFonts w:hint="cs"/>
                <w:rtl/>
              </w:rPr>
              <w:t>098 53</w:t>
            </w:r>
          </w:p>
        </w:tc>
        <w:tc>
          <w:tcPr>
            <w:tcW w:w="1440" w:type="dxa"/>
            <w:tcBorders>
              <w:top w:val="nil"/>
            </w:tcBorders>
          </w:tcPr>
          <w:p w:rsidR="003865AC" w:rsidRDefault="003865AC">
            <w:pPr>
              <w:spacing w:before="0" w:after="0"/>
              <w:jc w:val="center"/>
              <w:rPr>
                <w:rStyle w:val="FootnoteReference"/>
                <w:rFonts w:hint="cs"/>
                <w:vertAlign w:val="baseline"/>
              </w:rPr>
            </w:pPr>
            <w:r>
              <w:rPr>
                <w:rFonts w:hint="cs"/>
                <w:rtl/>
              </w:rPr>
              <w:t>95.5</w:t>
            </w:r>
          </w:p>
        </w:tc>
        <w:tc>
          <w:tcPr>
            <w:tcW w:w="1440" w:type="dxa"/>
            <w:tcBorders>
              <w:top w:val="nil"/>
            </w:tcBorders>
          </w:tcPr>
          <w:p w:rsidR="003865AC" w:rsidRDefault="003865AC">
            <w:pPr>
              <w:spacing w:before="0" w:after="0"/>
              <w:jc w:val="center"/>
              <w:rPr>
                <w:rStyle w:val="FootnoteReference"/>
                <w:rFonts w:hint="cs"/>
                <w:vertAlign w:val="baseline"/>
              </w:rPr>
            </w:pPr>
            <w:r>
              <w:rPr>
                <w:rFonts w:hint="cs"/>
                <w:rtl/>
              </w:rPr>
              <w:t>029 54</w:t>
            </w:r>
          </w:p>
        </w:tc>
        <w:tc>
          <w:tcPr>
            <w:tcW w:w="1548" w:type="dxa"/>
            <w:tcBorders>
              <w:top w:val="nil"/>
            </w:tcBorders>
          </w:tcPr>
          <w:p w:rsidR="003865AC" w:rsidRDefault="003865AC">
            <w:pPr>
              <w:spacing w:before="0" w:after="0"/>
              <w:jc w:val="center"/>
              <w:rPr>
                <w:rStyle w:val="FootnoteReference"/>
                <w:rFonts w:hint="cs"/>
                <w:vertAlign w:val="baseline"/>
              </w:rPr>
            </w:pPr>
            <w:r>
              <w:rPr>
                <w:rFonts w:hint="cs"/>
                <w:rtl/>
              </w:rPr>
              <w:t>97.0</w:t>
            </w:r>
          </w:p>
        </w:tc>
      </w:tr>
      <w:tr w:rsidR="003865AC" w:rsidTr="003865AC">
        <w:tblPrEx>
          <w:tblCellMar>
            <w:top w:w="0" w:type="dxa"/>
            <w:bottom w:w="0" w:type="dxa"/>
          </w:tblCellMar>
        </w:tblPrEx>
        <w:trPr>
          <w:cantSplit/>
        </w:trPr>
        <w:tc>
          <w:tcPr>
            <w:tcW w:w="3780" w:type="dxa"/>
          </w:tcPr>
          <w:p w:rsidR="003865AC" w:rsidRDefault="003865AC">
            <w:pPr>
              <w:spacing w:before="0" w:after="0"/>
              <w:jc w:val="both"/>
              <w:rPr>
                <w:rStyle w:val="FootnoteReference"/>
                <w:rFonts w:hint="cs"/>
                <w:vertAlign w:val="baseline"/>
                <w:rtl/>
              </w:rPr>
            </w:pPr>
            <w:r>
              <w:rPr>
                <w:rFonts w:hint="cs"/>
                <w:rtl/>
              </w:rPr>
              <w:t>السل</w:t>
            </w:r>
          </w:p>
        </w:tc>
        <w:tc>
          <w:tcPr>
            <w:tcW w:w="1440" w:type="dxa"/>
          </w:tcPr>
          <w:p w:rsidR="003865AC" w:rsidRDefault="003865AC">
            <w:pPr>
              <w:spacing w:before="0" w:after="0"/>
              <w:jc w:val="center"/>
              <w:rPr>
                <w:rFonts w:hint="cs"/>
                <w:rtl/>
              </w:rPr>
            </w:pPr>
            <w:r>
              <w:rPr>
                <w:rFonts w:hint="cs"/>
                <w:rtl/>
              </w:rPr>
              <w:t>199 48</w:t>
            </w:r>
          </w:p>
        </w:tc>
        <w:tc>
          <w:tcPr>
            <w:tcW w:w="1440" w:type="dxa"/>
          </w:tcPr>
          <w:p w:rsidR="003865AC" w:rsidRDefault="003865AC">
            <w:pPr>
              <w:spacing w:before="0" w:after="0"/>
              <w:jc w:val="center"/>
              <w:rPr>
                <w:rStyle w:val="FootnoteReference"/>
                <w:rFonts w:hint="cs"/>
                <w:vertAlign w:val="baseline"/>
              </w:rPr>
            </w:pPr>
            <w:r>
              <w:rPr>
                <w:rFonts w:hint="cs"/>
                <w:rtl/>
              </w:rPr>
              <w:t>73.9</w:t>
            </w:r>
          </w:p>
        </w:tc>
        <w:tc>
          <w:tcPr>
            <w:tcW w:w="1440" w:type="dxa"/>
          </w:tcPr>
          <w:p w:rsidR="003865AC" w:rsidRDefault="003865AC">
            <w:pPr>
              <w:spacing w:before="0" w:after="0"/>
              <w:jc w:val="center"/>
              <w:rPr>
                <w:rStyle w:val="FootnoteReference"/>
                <w:rFonts w:hint="cs"/>
                <w:vertAlign w:val="baseline"/>
              </w:rPr>
            </w:pPr>
            <w:r>
              <w:rPr>
                <w:rFonts w:hint="cs"/>
                <w:rtl/>
              </w:rPr>
              <w:t>581 44</w:t>
            </w:r>
          </w:p>
        </w:tc>
        <w:tc>
          <w:tcPr>
            <w:tcW w:w="1548" w:type="dxa"/>
          </w:tcPr>
          <w:p w:rsidR="003865AC" w:rsidRDefault="003865AC">
            <w:pPr>
              <w:spacing w:before="0" w:after="0"/>
              <w:jc w:val="center"/>
              <w:rPr>
                <w:rStyle w:val="FootnoteReference"/>
                <w:rFonts w:hint="cs"/>
                <w:vertAlign w:val="baseline"/>
              </w:rPr>
            </w:pPr>
            <w:r>
              <w:rPr>
                <w:rFonts w:hint="cs"/>
                <w:rtl/>
              </w:rPr>
              <w:t>95.2</w:t>
            </w:r>
          </w:p>
        </w:tc>
      </w:tr>
      <w:tr w:rsidR="003865AC" w:rsidTr="003865AC">
        <w:tblPrEx>
          <w:tblCellMar>
            <w:top w:w="0" w:type="dxa"/>
            <w:bottom w:w="0" w:type="dxa"/>
          </w:tblCellMar>
        </w:tblPrEx>
        <w:trPr>
          <w:cantSplit/>
        </w:trPr>
        <w:tc>
          <w:tcPr>
            <w:tcW w:w="3780" w:type="dxa"/>
          </w:tcPr>
          <w:p w:rsidR="003865AC" w:rsidRDefault="003865AC">
            <w:pPr>
              <w:spacing w:before="0" w:after="0"/>
              <w:jc w:val="both"/>
              <w:rPr>
                <w:rFonts w:hint="cs"/>
                <w:rtl/>
              </w:rPr>
            </w:pPr>
            <w:r>
              <w:rPr>
                <w:rFonts w:hint="cs"/>
                <w:rtl/>
              </w:rPr>
              <w:t>التهاب سنجابية النخاع</w:t>
            </w:r>
          </w:p>
        </w:tc>
        <w:tc>
          <w:tcPr>
            <w:tcW w:w="1440" w:type="dxa"/>
          </w:tcPr>
          <w:p w:rsidR="003865AC" w:rsidRDefault="003865AC">
            <w:pPr>
              <w:spacing w:before="0" w:after="0"/>
              <w:jc w:val="center"/>
              <w:rPr>
                <w:rFonts w:hint="cs"/>
                <w:rtl/>
              </w:rPr>
            </w:pPr>
            <w:r>
              <w:rPr>
                <w:rFonts w:hint="cs"/>
                <w:rtl/>
              </w:rPr>
              <w:t>622 48</w:t>
            </w:r>
          </w:p>
        </w:tc>
        <w:tc>
          <w:tcPr>
            <w:tcW w:w="1440" w:type="dxa"/>
          </w:tcPr>
          <w:p w:rsidR="003865AC" w:rsidRDefault="003865AC">
            <w:pPr>
              <w:spacing w:before="0" w:after="0"/>
              <w:jc w:val="center"/>
              <w:rPr>
                <w:rStyle w:val="FootnoteReference"/>
                <w:rFonts w:hint="cs"/>
                <w:vertAlign w:val="baseline"/>
              </w:rPr>
            </w:pPr>
            <w:r>
              <w:rPr>
                <w:rFonts w:hint="cs"/>
                <w:rtl/>
              </w:rPr>
              <w:t>95.0</w:t>
            </w:r>
          </w:p>
        </w:tc>
        <w:tc>
          <w:tcPr>
            <w:tcW w:w="1440" w:type="dxa"/>
          </w:tcPr>
          <w:p w:rsidR="003865AC" w:rsidRDefault="003865AC">
            <w:pPr>
              <w:spacing w:before="0" w:after="0"/>
              <w:jc w:val="center"/>
              <w:rPr>
                <w:rStyle w:val="FootnoteReference"/>
                <w:rFonts w:hint="cs"/>
                <w:vertAlign w:val="baseline"/>
              </w:rPr>
            </w:pPr>
            <w:r>
              <w:rPr>
                <w:rFonts w:hint="cs"/>
                <w:rtl/>
              </w:rPr>
              <w:t>858 49</w:t>
            </w:r>
          </w:p>
        </w:tc>
        <w:tc>
          <w:tcPr>
            <w:tcW w:w="1548" w:type="dxa"/>
          </w:tcPr>
          <w:p w:rsidR="003865AC" w:rsidRDefault="003865AC">
            <w:pPr>
              <w:spacing w:before="0" w:after="0"/>
              <w:jc w:val="center"/>
              <w:rPr>
                <w:rStyle w:val="FootnoteReference"/>
                <w:rFonts w:hint="cs"/>
                <w:vertAlign w:val="baseline"/>
              </w:rPr>
            </w:pPr>
            <w:r>
              <w:rPr>
                <w:rFonts w:hint="cs"/>
                <w:rtl/>
              </w:rPr>
              <w:t>98.0</w:t>
            </w:r>
          </w:p>
        </w:tc>
      </w:tr>
    </w:tbl>
    <w:p w:rsidR="00000000" w:rsidRDefault="003865AC">
      <w:pPr>
        <w:jc w:val="both"/>
        <w:rPr>
          <w:rFonts w:hint="cs"/>
          <w:rtl/>
        </w:rPr>
      </w:pPr>
      <w:r>
        <w:rPr>
          <w:rFonts w:hint="cs"/>
          <w:i/>
          <w:iCs/>
          <w:rtl/>
        </w:rPr>
        <w:tab/>
        <w:t>(ه‍)</w:t>
      </w:r>
      <w:r>
        <w:rPr>
          <w:rFonts w:hint="cs"/>
          <w:i/>
          <w:iCs/>
          <w:rtl/>
        </w:rPr>
        <w:tab/>
        <w:t xml:space="preserve">العمر المتوقع </w:t>
      </w:r>
    </w:p>
    <w:p w:rsidR="00000000" w:rsidRDefault="003865AC">
      <w:pPr>
        <w:jc w:val="both"/>
        <w:rPr>
          <w:rFonts w:hint="cs"/>
          <w:rtl/>
        </w:rPr>
      </w:pPr>
      <w:r>
        <w:rPr>
          <w:rFonts w:hint="cs"/>
          <w:rtl/>
        </w:rPr>
        <w:t>199-</w:t>
      </w:r>
      <w:r>
        <w:rPr>
          <w:rFonts w:hint="cs"/>
          <w:rtl/>
        </w:rPr>
        <w:tab/>
        <w:t>تفيد إحصاءات منظمة الصحة العالمية</w:t>
      </w:r>
      <w:r>
        <w:rPr>
          <w:rFonts w:hint="cs"/>
          <w:rtl/>
        </w:rPr>
        <w:t xml:space="preserve"> لعام 1994 بأن متوسط العمر المتوقع في جورجيا يبلغ 73.5 سنة. وحسـب دراسات أجراها خبراء مستقلون في عام 1997، بلغ متوسط العمر المتوقع في جورجيا 73 سنة للإناث و66 سنة للذكور.</w:t>
      </w:r>
    </w:p>
    <w:p w:rsidR="00000000" w:rsidRDefault="003865AC">
      <w:pPr>
        <w:jc w:val="both"/>
        <w:rPr>
          <w:rFonts w:hint="cs"/>
          <w:rtl/>
        </w:rPr>
      </w:pPr>
      <w:r>
        <w:rPr>
          <w:rFonts w:hint="cs"/>
          <w:rtl/>
        </w:rPr>
        <w:t>200-</w:t>
      </w:r>
      <w:r>
        <w:rPr>
          <w:rFonts w:hint="cs"/>
          <w:rtl/>
        </w:rPr>
        <w:tab/>
        <w:t>ولقد قدمت وزارة العمل والصحة والشؤون الاجتماعية. وكما أشارت النشرة الموجزة بعنوا</w:t>
      </w:r>
      <w:r>
        <w:rPr>
          <w:rFonts w:hint="cs"/>
          <w:rtl/>
        </w:rPr>
        <w:t xml:space="preserve">ن </w:t>
      </w:r>
      <w:r>
        <w:rPr>
          <w:rFonts w:hint="cs"/>
          <w:u w:val="single"/>
          <w:rtl/>
        </w:rPr>
        <w:t>الرجال والنساء في جورجيا، 1999</w:t>
      </w:r>
      <w:r>
        <w:rPr>
          <w:rFonts w:hint="cs"/>
          <w:rtl/>
        </w:rPr>
        <w:t xml:space="preserve"> (من إصدارات المكتب الإحصائي الوطني لعام 2000) إلى أن متوسط العمر المتوقع هو 77 عاما للنساء و69 عاما للرجال. ويبين المصدر ذاته أن متوسط العمر المتوقع لكلا الجنسين في المناطق الحضرية والريفية معاً لم يشهد أي تغيير (استناداً إ</w:t>
      </w:r>
      <w:r>
        <w:rPr>
          <w:rFonts w:hint="cs"/>
          <w:rtl/>
        </w:rPr>
        <w:t>لى دراسة عن الاتجاهات خلال الفترة  1980-1999).</w:t>
      </w:r>
    </w:p>
    <w:p w:rsidR="00000000" w:rsidRDefault="003865AC">
      <w:pPr>
        <w:ind w:left="1440" w:hanging="720"/>
        <w:jc w:val="both"/>
        <w:rPr>
          <w:rFonts w:hint="cs"/>
          <w:i/>
          <w:iCs/>
          <w:rtl/>
        </w:rPr>
      </w:pPr>
      <w:r>
        <w:rPr>
          <w:rFonts w:hint="cs"/>
          <w:i/>
          <w:iCs/>
          <w:rtl/>
        </w:rPr>
        <w:t>(و)</w:t>
      </w:r>
      <w:r>
        <w:rPr>
          <w:rFonts w:hint="cs"/>
          <w:i/>
          <w:iCs/>
          <w:rtl/>
        </w:rPr>
        <w:tab/>
        <w:t>نسبة السكان الذين يمكن لهم الحصول على الرعاية الطبية المهنية اللازمة للعلاج من الأمراض ومن الإصابات الشائعة وعلى 20 دواء أساسيا من مكان يقع على بعد ساعة واحدة إما مشيا على الأقدام أو باستخدام إحدى وسائط ال</w:t>
      </w:r>
      <w:r>
        <w:rPr>
          <w:rFonts w:hint="cs"/>
          <w:i/>
          <w:iCs/>
          <w:rtl/>
        </w:rPr>
        <w:t>نقل</w:t>
      </w:r>
    </w:p>
    <w:p w:rsidR="00000000" w:rsidRDefault="003865AC">
      <w:pPr>
        <w:jc w:val="both"/>
        <w:rPr>
          <w:rFonts w:hint="cs"/>
          <w:rtl/>
        </w:rPr>
      </w:pPr>
      <w:r>
        <w:rPr>
          <w:rFonts w:hint="cs"/>
          <w:rtl/>
        </w:rPr>
        <w:t>201-</w:t>
      </w:r>
      <w:r>
        <w:rPr>
          <w:rFonts w:hint="cs"/>
          <w:rtl/>
        </w:rPr>
        <w:tab/>
        <w:t>نسبة 95 في المائة من السكان.</w:t>
      </w:r>
    </w:p>
    <w:p w:rsidR="00000000" w:rsidRDefault="003865AC">
      <w:pPr>
        <w:jc w:val="both"/>
        <w:rPr>
          <w:rFonts w:hint="cs"/>
          <w:i/>
          <w:iCs/>
          <w:rtl/>
        </w:rPr>
      </w:pPr>
      <w:r>
        <w:rPr>
          <w:rFonts w:hint="cs"/>
          <w:i/>
          <w:iCs/>
          <w:rtl/>
        </w:rPr>
        <w:tab/>
        <w:t>(ز)</w:t>
      </w:r>
      <w:r>
        <w:rPr>
          <w:rFonts w:hint="cs"/>
          <w:i/>
          <w:iCs/>
          <w:rtl/>
        </w:rPr>
        <w:tab/>
        <w:t>نسبة النساء اللاتي يمكنهن الحصول على الرعاية الطبية المهنية عند الولادة. وفيات الأمومة</w:t>
      </w:r>
    </w:p>
    <w:p w:rsidR="00000000" w:rsidRDefault="003865AC">
      <w:pPr>
        <w:jc w:val="both"/>
        <w:rPr>
          <w:rFonts w:hint="cs"/>
          <w:rtl/>
        </w:rPr>
      </w:pPr>
      <w:r>
        <w:rPr>
          <w:rFonts w:hint="cs"/>
          <w:rtl/>
        </w:rPr>
        <w:t>202-</w:t>
      </w:r>
      <w:r>
        <w:rPr>
          <w:rFonts w:hint="cs"/>
          <w:rtl/>
        </w:rPr>
        <w:tab/>
        <w:t>انظر الجدول الوارد أدناه.</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3060"/>
        <w:gridCol w:w="1980"/>
        <w:gridCol w:w="1080"/>
        <w:gridCol w:w="2628"/>
      </w:tblGrid>
      <w:tr w:rsidR="003865AC" w:rsidTr="003865AC">
        <w:tblPrEx>
          <w:tblCellMar>
            <w:top w:w="0" w:type="dxa"/>
            <w:bottom w:w="0" w:type="dxa"/>
          </w:tblCellMar>
        </w:tblPrEx>
        <w:tc>
          <w:tcPr>
            <w:tcW w:w="822" w:type="dxa"/>
          </w:tcPr>
          <w:p w:rsidR="003865AC" w:rsidRDefault="003865AC">
            <w:pPr>
              <w:spacing w:before="0" w:after="0"/>
              <w:jc w:val="center"/>
              <w:rPr>
                <w:rFonts w:hint="cs"/>
                <w:b/>
                <w:bCs/>
                <w:rtl/>
              </w:rPr>
            </w:pPr>
          </w:p>
          <w:p w:rsidR="003865AC" w:rsidRDefault="003865AC">
            <w:pPr>
              <w:spacing w:before="0" w:after="0"/>
              <w:jc w:val="center"/>
              <w:rPr>
                <w:rStyle w:val="FootnoteReference"/>
                <w:rFonts w:hint="cs"/>
                <w:b/>
                <w:bCs w:val="0"/>
                <w:vertAlign w:val="baseline"/>
              </w:rPr>
            </w:pPr>
            <w:r>
              <w:rPr>
                <w:rFonts w:hint="cs"/>
                <w:b/>
                <w:bCs/>
                <w:rtl/>
              </w:rPr>
              <w:t>العام</w:t>
            </w:r>
          </w:p>
        </w:tc>
        <w:tc>
          <w:tcPr>
            <w:tcW w:w="3060" w:type="dxa"/>
          </w:tcPr>
          <w:p w:rsidR="003865AC" w:rsidRDefault="003865AC">
            <w:pPr>
              <w:spacing w:before="0" w:after="0"/>
              <w:jc w:val="center"/>
              <w:rPr>
                <w:rFonts w:hint="cs"/>
                <w:b/>
                <w:bCs/>
                <w:rtl/>
              </w:rPr>
            </w:pPr>
          </w:p>
          <w:p w:rsidR="003865AC" w:rsidRDefault="003865AC">
            <w:pPr>
              <w:spacing w:before="0" w:after="0"/>
              <w:jc w:val="center"/>
              <w:rPr>
                <w:rStyle w:val="FootnoteReference"/>
                <w:rFonts w:hint="cs"/>
                <w:b/>
                <w:bCs w:val="0"/>
                <w:vertAlign w:val="baseline"/>
              </w:rPr>
            </w:pPr>
            <w:r>
              <w:rPr>
                <w:rFonts w:hint="cs"/>
                <w:b/>
                <w:bCs/>
                <w:rtl/>
              </w:rPr>
              <w:t>مجموع عدد النساء اللاتي ولدن</w:t>
            </w:r>
          </w:p>
        </w:tc>
        <w:tc>
          <w:tcPr>
            <w:tcW w:w="1980" w:type="dxa"/>
          </w:tcPr>
          <w:p w:rsidR="003865AC" w:rsidRDefault="003865AC">
            <w:pPr>
              <w:spacing w:before="0" w:after="0"/>
              <w:jc w:val="center"/>
              <w:rPr>
                <w:rFonts w:hint="cs"/>
                <w:b/>
                <w:bCs/>
                <w:rtl/>
              </w:rPr>
            </w:pPr>
          </w:p>
          <w:p w:rsidR="003865AC" w:rsidRDefault="003865AC">
            <w:pPr>
              <w:spacing w:before="0" w:after="0"/>
              <w:jc w:val="center"/>
              <w:rPr>
                <w:rStyle w:val="FootnoteReference"/>
                <w:rFonts w:hint="cs"/>
                <w:b/>
                <w:bCs w:val="0"/>
                <w:vertAlign w:val="baseline"/>
              </w:rPr>
            </w:pPr>
            <w:r>
              <w:rPr>
                <w:rFonts w:hint="cs"/>
                <w:b/>
                <w:bCs/>
                <w:rtl/>
              </w:rPr>
              <w:t>في مستشفى توليد</w:t>
            </w:r>
          </w:p>
        </w:tc>
        <w:tc>
          <w:tcPr>
            <w:tcW w:w="1080" w:type="dxa"/>
          </w:tcPr>
          <w:p w:rsidR="003865AC" w:rsidRDefault="003865AC">
            <w:pPr>
              <w:spacing w:before="0" w:after="0"/>
              <w:jc w:val="center"/>
              <w:rPr>
                <w:rFonts w:hint="cs"/>
                <w:b/>
                <w:bCs/>
                <w:rtl/>
              </w:rPr>
            </w:pPr>
          </w:p>
          <w:p w:rsidR="003865AC" w:rsidRDefault="003865AC">
            <w:pPr>
              <w:spacing w:before="0" w:after="0"/>
              <w:jc w:val="center"/>
              <w:rPr>
                <w:rStyle w:val="FootnoteReference"/>
                <w:rFonts w:hint="cs"/>
                <w:b/>
                <w:bCs w:val="0"/>
                <w:vertAlign w:val="baseline"/>
              </w:rPr>
            </w:pPr>
            <w:r>
              <w:rPr>
                <w:rFonts w:hint="cs"/>
                <w:b/>
                <w:bCs/>
                <w:rtl/>
              </w:rPr>
              <w:t>في المنزل</w:t>
            </w:r>
          </w:p>
        </w:tc>
        <w:tc>
          <w:tcPr>
            <w:tcW w:w="2628" w:type="dxa"/>
          </w:tcPr>
          <w:p w:rsidR="003865AC" w:rsidRDefault="003865AC">
            <w:pPr>
              <w:spacing w:before="0" w:after="0"/>
              <w:jc w:val="center"/>
              <w:rPr>
                <w:rStyle w:val="FootnoteReference"/>
                <w:rFonts w:hint="cs"/>
                <w:b/>
                <w:bCs w:val="0"/>
                <w:vertAlign w:val="baseline"/>
              </w:rPr>
            </w:pPr>
            <w:r>
              <w:rPr>
                <w:rFonts w:hint="cs"/>
                <w:b/>
                <w:bCs/>
                <w:rtl/>
              </w:rPr>
              <w:t>معدل الوفيات (لكــل 000 1 مولود حي)</w:t>
            </w:r>
          </w:p>
        </w:tc>
      </w:tr>
      <w:tr w:rsidR="003865AC" w:rsidTr="003865AC">
        <w:tblPrEx>
          <w:tblCellMar>
            <w:top w:w="0" w:type="dxa"/>
            <w:bottom w:w="0" w:type="dxa"/>
          </w:tblCellMar>
        </w:tblPrEx>
        <w:tc>
          <w:tcPr>
            <w:tcW w:w="822" w:type="dxa"/>
            <w:tcBorders>
              <w:bottom w:val="nil"/>
            </w:tcBorders>
          </w:tcPr>
          <w:p w:rsidR="003865AC" w:rsidRDefault="003865AC">
            <w:pPr>
              <w:spacing w:before="0" w:after="0"/>
              <w:jc w:val="center"/>
              <w:rPr>
                <w:rStyle w:val="FootnoteReference"/>
                <w:rFonts w:hint="cs"/>
                <w:vertAlign w:val="baseline"/>
                <w:rtl/>
              </w:rPr>
            </w:pPr>
            <w:r>
              <w:rPr>
                <w:rFonts w:hint="cs"/>
                <w:rtl/>
              </w:rPr>
              <w:t>1998</w:t>
            </w:r>
          </w:p>
        </w:tc>
        <w:tc>
          <w:tcPr>
            <w:tcW w:w="3060" w:type="dxa"/>
            <w:tcBorders>
              <w:bottom w:val="nil"/>
            </w:tcBorders>
          </w:tcPr>
          <w:p w:rsidR="003865AC" w:rsidRDefault="003865AC">
            <w:pPr>
              <w:spacing w:before="0" w:after="0"/>
              <w:jc w:val="center"/>
              <w:rPr>
                <w:rStyle w:val="FootnoteReference"/>
                <w:rFonts w:hint="cs"/>
                <w:vertAlign w:val="baseline"/>
              </w:rPr>
            </w:pPr>
            <w:r>
              <w:rPr>
                <w:rFonts w:hint="cs"/>
                <w:rtl/>
              </w:rPr>
              <w:t>177 50</w:t>
            </w:r>
          </w:p>
        </w:tc>
        <w:tc>
          <w:tcPr>
            <w:tcW w:w="1980" w:type="dxa"/>
            <w:tcBorders>
              <w:bottom w:val="nil"/>
            </w:tcBorders>
          </w:tcPr>
          <w:p w:rsidR="003865AC" w:rsidRDefault="003865AC">
            <w:pPr>
              <w:spacing w:before="0" w:after="0"/>
              <w:jc w:val="center"/>
              <w:rPr>
                <w:rStyle w:val="FootnoteReference"/>
                <w:rFonts w:hint="cs"/>
                <w:vertAlign w:val="baseline"/>
              </w:rPr>
            </w:pPr>
            <w:r>
              <w:rPr>
                <w:rFonts w:hint="cs"/>
                <w:rtl/>
              </w:rPr>
              <w:t>532 48</w:t>
            </w:r>
          </w:p>
        </w:tc>
        <w:tc>
          <w:tcPr>
            <w:tcW w:w="1080" w:type="dxa"/>
            <w:tcBorders>
              <w:bottom w:val="nil"/>
            </w:tcBorders>
          </w:tcPr>
          <w:p w:rsidR="003865AC" w:rsidRDefault="003865AC">
            <w:pPr>
              <w:spacing w:before="0" w:after="0"/>
              <w:jc w:val="center"/>
              <w:rPr>
                <w:rStyle w:val="FootnoteReference"/>
                <w:rFonts w:hint="cs"/>
                <w:vertAlign w:val="baseline"/>
              </w:rPr>
            </w:pPr>
            <w:r>
              <w:rPr>
                <w:rFonts w:hint="cs"/>
                <w:rtl/>
              </w:rPr>
              <w:t>646 1</w:t>
            </w:r>
          </w:p>
        </w:tc>
        <w:tc>
          <w:tcPr>
            <w:tcW w:w="2628" w:type="dxa"/>
            <w:tcBorders>
              <w:bottom w:val="nil"/>
            </w:tcBorders>
          </w:tcPr>
          <w:p w:rsidR="003865AC" w:rsidRDefault="003865AC">
            <w:pPr>
              <w:spacing w:before="0" w:after="0"/>
              <w:jc w:val="center"/>
              <w:rPr>
                <w:rStyle w:val="FootnoteReference"/>
                <w:rFonts w:hint="cs"/>
                <w:vertAlign w:val="baseline"/>
              </w:rPr>
            </w:pPr>
            <w:r>
              <w:rPr>
                <w:rFonts w:hint="cs"/>
                <w:rtl/>
              </w:rPr>
              <w:t>68.56</w:t>
            </w:r>
          </w:p>
        </w:tc>
      </w:tr>
      <w:tr w:rsidR="003865AC" w:rsidTr="003865AC">
        <w:tblPrEx>
          <w:tblCellMar>
            <w:top w:w="0" w:type="dxa"/>
            <w:bottom w:w="0" w:type="dxa"/>
          </w:tblCellMar>
        </w:tblPrEx>
        <w:tc>
          <w:tcPr>
            <w:tcW w:w="822" w:type="dxa"/>
            <w:tcBorders>
              <w:top w:val="nil"/>
            </w:tcBorders>
          </w:tcPr>
          <w:p w:rsidR="003865AC" w:rsidRDefault="003865AC">
            <w:pPr>
              <w:spacing w:before="0" w:after="0"/>
              <w:jc w:val="center"/>
              <w:rPr>
                <w:rFonts w:hint="cs"/>
                <w:rtl/>
              </w:rPr>
            </w:pPr>
            <w:r>
              <w:rPr>
                <w:rFonts w:hint="cs"/>
                <w:rtl/>
              </w:rPr>
              <w:t>1999</w:t>
            </w:r>
          </w:p>
        </w:tc>
        <w:tc>
          <w:tcPr>
            <w:tcW w:w="3060" w:type="dxa"/>
            <w:tcBorders>
              <w:top w:val="nil"/>
            </w:tcBorders>
          </w:tcPr>
          <w:p w:rsidR="003865AC" w:rsidRDefault="003865AC">
            <w:pPr>
              <w:spacing w:before="0" w:after="0"/>
              <w:jc w:val="center"/>
              <w:rPr>
                <w:rFonts w:hint="cs"/>
                <w:rtl/>
              </w:rPr>
            </w:pPr>
            <w:r>
              <w:rPr>
                <w:rFonts w:hint="cs"/>
                <w:rtl/>
              </w:rPr>
              <w:t>669 47</w:t>
            </w:r>
          </w:p>
        </w:tc>
        <w:tc>
          <w:tcPr>
            <w:tcW w:w="1980" w:type="dxa"/>
            <w:tcBorders>
              <w:top w:val="nil"/>
            </w:tcBorders>
          </w:tcPr>
          <w:p w:rsidR="003865AC" w:rsidRDefault="003865AC">
            <w:pPr>
              <w:spacing w:before="0" w:after="0"/>
              <w:jc w:val="center"/>
              <w:rPr>
                <w:rFonts w:hint="cs"/>
                <w:rtl/>
              </w:rPr>
            </w:pPr>
            <w:r>
              <w:rPr>
                <w:rFonts w:hint="cs"/>
                <w:rtl/>
              </w:rPr>
              <w:t>801 45</w:t>
            </w:r>
          </w:p>
        </w:tc>
        <w:tc>
          <w:tcPr>
            <w:tcW w:w="1080" w:type="dxa"/>
            <w:tcBorders>
              <w:top w:val="nil"/>
            </w:tcBorders>
          </w:tcPr>
          <w:p w:rsidR="003865AC" w:rsidRDefault="003865AC">
            <w:pPr>
              <w:spacing w:before="0" w:after="0"/>
              <w:jc w:val="center"/>
              <w:rPr>
                <w:rFonts w:hint="cs"/>
                <w:rtl/>
              </w:rPr>
            </w:pPr>
            <w:r>
              <w:rPr>
                <w:rFonts w:hint="cs"/>
                <w:rtl/>
              </w:rPr>
              <w:t>868 1</w:t>
            </w:r>
          </w:p>
        </w:tc>
        <w:tc>
          <w:tcPr>
            <w:tcW w:w="2628" w:type="dxa"/>
            <w:tcBorders>
              <w:top w:val="nil"/>
            </w:tcBorders>
          </w:tcPr>
          <w:p w:rsidR="003865AC" w:rsidRDefault="003865AC">
            <w:pPr>
              <w:spacing w:before="0" w:after="0"/>
              <w:jc w:val="center"/>
              <w:rPr>
                <w:rFonts w:hint="cs"/>
                <w:rtl/>
              </w:rPr>
            </w:pPr>
            <w:r>
              <w:rPr>
                <w:rFonts w:hint="cs"/>
                <w:rtl/>
              </w:rPr>
              <w:t>51.25</w:t>
            </w:r>
          </w:p>
        </w:tc>
      </w:tr>
    </w:tbl>
    <w:p w:rsidR="00000000" w:rsidRDefault="003865AC">
      <w:pPr>
        <w:jc w:val="both"/>
        <w:rPr>
          <w:rFonts w:hint="cs"/>
          <w:i/>
          <w:iCs/>
          <w:rtl/>
        </w:rPr>
      </w:pPr>
      <w:r>
        <w:rPr>
          <w:rFonts w:hint="cs"/>
          <w:i/>
          <w:iCs/>
          <w:rtl/>
        </w:rPr>
        <w:tab/>
        <w:t>(ح‍)</w:t>
      </w:r>
      <w:r>
        <w:rPr>
          <w:rFonts w:hint="cs"/>
          <w:i/>
          <w:iCs/>
          <w:rtl/>
        </w:rPr>
        <w:tab/>
        <w:t>نسبة الأطفال الذين يمكنهم الحصول على الرعاية الطبية المهنية</w:t>
      </w:r>
    </w:p>
    <w:p w:rsidR="00000000" w:rsidRDefault="003865AC">
      <w:pPr>
        <w:jc w:val="both"/>
        <w:rPr>
          <w:rFonts w:hint="cs"/>
          <w:rtl/>
          <w:lang w:eastAsia="en-US"/>
        </w:rPr>
      </w:pPr>
      <w:r>
        <w:rPr>
          <w:rFonts w:hint="cs"/>
          <w:rtl/>
        </w:rPr>
        <w:t>203-</w:t>
      </w:r>
      <w:r>
        <w:rPr>
          <w:rFonts w:hint="cs"/>
          <w:rtl/>
        </w:rPr>
        <w:tab/>
        <w:t xml:space="preserve">تفيد الإحصاءات التي قدمتها وزارة العمل والصحة والرعاية الاجتماعية بأن 275 247 1 طفلا ومراهقا تصل أعمارهم </w:t>
      </w:r>
      <w:r>
        <w:rPr>
          <w:rFonts w:hint="cs"/>
          <w:rtl/>
          <w:lang w:eastAsia="en-US"/>
        </w:rPr>
        <w:t>إلى 18 سن</w:t>
      </w:r>
      <w:r>
        <w:rPr>
          <w:rFonts w:hint="cs"/>
          <w:rtl/>
          <w:lang w:eastAsia="en-US"/>
        </w:rPr>
        <w:t>ة قاموا في عام 1998 بزيارة عيادات المرضى الخارجيين والمراكز الصحية في جورجيا. وكان من ضمن هذا العدد الكلي 678 017 1 طفلا دون سن الرابعة عشرة و891 49 رضيعا دون السنة من العمــر. أما في عام 1999، فقد بلغ العـدد بالنسبــة للمؤشــرات ذاتها 346 123 1 طفلا ومراه</w:t>
      </w:r>
      <w:r>
        <w:rPr>
          <w:rFonts w:hint="cs"/>
          <w:rtl/>
          <w:lang w:eastAsia="en-US"/>
        </w:rPr>
        <w:t>قا، و859 990 طفلا، و537 47 رضيعا.</w:t>
      </w:r>
    </w:p>
    <w:p w:rsidR="00000000" w:rsidRDefault="003865AC">
      <w:pPr>
        <w:jc w:val="both"/>
        <w:rPr>
          <w:rFonts w:hint="cs"/>
          <w:i/>
          <w:iCs/>
          <w:rtl/>
          <w:lang w:eastAsia="en-US"/>
        </w:rPr>
      </w:pPr>
      <w:r>
        <w:rPr>
          <w:rFonts w:hint="cs"/>
          <w:i/>
          <w:iCs/>
          <w:rtl/>
          <w:lang w:eastAsia="en-US"/>
        </w:rPr>
        <w:t>توفير الرعاية الصحية لأضعف الفئات السكانية</w:t>
      </w:r>
    </w:p>
    <w:p w:rsidR="00000000" w:rsidRDefault="003865AC">
      <w:pPr>
        <w:jc w:val="both"/>
        <w:rPr>
          <w:rFonts w:hint="cs"/>
          <w:rtl/>
          <w:lang w:eastAsia="en-US"/>
        </w:rPr>
      </w:pPr>
      <w:r>
        <w:rPr>
          <w:rFonts w:hint="cs"/>
          <w:rtl/>
          <w:lang w:eastAsia="en-US"/>
        </w:rPr>
        <w:t>204-</w:t>
      </w:r>
      <w:r>
        <w:rPr>
          <w:rFonts w:hint="cs"/>
          <w:rtl/>
          <w:lang w:eastAsia="en-US"/>
        </w:rPr>
        <w:tab/>
        <w:t>تشتمل هذه الفئة على المجموعات السكانية الأفقر التي لا تتمكن في كثير من الأحيان من الحصول حتى على الرعاية الطبية الأساسية. ويصف التقرير الأولي لجورجيا المقدم بموجب العهد (الفق</w:t>
      </w:r>
      <w:r>
        <w:rPr>
          <w:rFonts w:hint="cs"/>
          <w:rtl/>
          <w:lang w:eastAsia="en-US"/>
        </w:rPr>
        <w:t xml:space="preserve">رات 242-247) الوضع الذي تعاني منه هذه المجموعات. وقد تعهدت الدولة بتنفيذ برامج شاملة للرعاية الصحية العامة كجزء من المرحلة الأولية لإعادة تنظيم الرعاية الصحية في جورجيا. وكان من أهم هذه البرامج البرنامج الوطني لتوفير الرعاية الطبية الإضافية إلى المحتاجين، </w:t>
      </w:r>
      <w:r>
        <w:rPr>
          <w:rFonts w:hint="cs"/>
          <w:rtl/>
          <w:lang w:eastAsia="en-US"/>
        </w:rPr>
        <w:t>وهو يرمي إلى ضمان تقديم المساعدة الطبية للفئات المحرومة اجتماعيا.</w:t>
      </w:r>
    </w:p>
    <w:p w:rsidR="00000000" w:rsidRDefault="003865AC">
      <w:pPr>
        <w:jc w:val="both"/>
        <w:rPr>
          <w:rStyle w:val="FootnoteReference"/>
          <w:rFonts w:hint="cs"/>
          <w:vertAlign w:val="baseline"/>
          <w:rtl/>
        </w:rPr>
      </w:pPr>
      <w:r>
        <w:rPr>
          <w:rFonts w:hint="cs"/>
          <w:rtl/>
          <w:lang w:eastAsia="en-US"/>
        </w:rPr>
        <w:t>205-</w:t>
      </w:r>
      <w:r>
        <w:rPr>
          <w:rFonts w:hint="cs"/>
          <w:rtl/>
          <w:lang w:eastAsia="en-US"/>
        </w:rPr>
        <w:tab/>
        <w:t>وتعتبر حالة الصحة العامة في مناطق راشا - الحكومي (كفيمو سفانيتي) وزيمو سفانيتي ومدينة بوتي متردية جداً حيث تبلغ المعدلات المحلية للإصابة بالأمراض مستويات أعلى من متوسطها الوطني.</w:t>
      </w:r>
    </w:p>
    <w:p w:rsidR="00000000" w:rsidRDefault="003865AC">
      <w:pPr>
        <w:jc w:val="both"/>
        <w:rPr>
          <w:rFonts w:hint="cs"/>
          <w:rtl/>
        </w:rPr>
      </w:pPr>
      <w:r>
        <w:rPr>
          <w:rFonts w:hint="cs"/>
          <w:rtl/>
        </w:rPr>
        <w:t>206-</w:t>
      </w:r>
      <w:r>
        <w:rPr>
          <w:rFonts w:hint="cs"/>
          <w:rtl/>
        </w:rPr>
        <w:tab/>
        <w:t>وي</w:t>
      </w:r>
      <w:r>
        <w:rPr>
          <w:rFonts w:hint="cs"/>
          <w:rtl/>
        </w:rPr>
        <w:t>رتبط تحسين مستوى الصحة العامة ارتباطاً مباشراً بتوفر الظروف الملائمة للعمل والراحة. فإذا ما توفرت هذه الظروف، تؤدي التدابير التالية دوراً هاماً: أولاً، توفر الغذاء الصحي ومياه الشرب؛ ثانياً، اعتماد نمط حياة صحي؛ ثالثاً، تعزيز المعرفة والدراية الطبية الأساس</w:t>
      </w:r>
      <w:r>
        <w:rPr>
          <w:rFonts w:hint="cs"/>
          <w:rtl/>
        </w:rPr>
        <w:t>ية لدى الجمهور؛ ورابعاً، الحد من التوترات الاجتماعية. وتفيد وزارة العمل والصحة والرعاية الاجتماعية بأن البرامج الحكومية ذات الصلة تنص على تنفيذ هذه التدابير. وتُقيّم النتائج في كل حالة على أساس مؤشرات توضع بطريقة ملائمة. إلا أنه في ضوء الوضع الراهن في جورج</w:t>
      </w:r>
      <w:r>
        <w:rPr>
          <w:rFonts w:hint="cs"/>
          <w:rtl/>
        </w:rPr>
        <w:t>يا (الذي يعكسه هذا التقرير إلى حد ما)، ينبغي الإشارة إلى أنه من الصعب توقع حدوث تحسينات هامة في هذا المجال.</w:t>
      </w:r>
    </w:p>
    <w:p w:rsidR="00000000" w:rsidRDefault="003865AC">
      <w:pPr>
        <w:jc w:val="both"/>
        <w:rPr>
          <w:rFonts w:hint="cs"/>
          <w:i/>
          <w:iCs/>
          <w:rtl/>
        </w:rPr>
      </w:pPr>
      <w:r>
        <w:rPr>
          <w:rFonts w:hint="cs"/>
          <w:i/>
          <w:iCs/>
          <w:rtl/>
        </w:rPr>
        <w:t>تخفيض عدد ولادات الأجنة الميتة ومعدل وفيات الرضع</w:t>
      </w:r>
    </w:p>
    <w:p w:rsidR="00000000" w:rsidRDefault="003865AC">
      <w:pPr>
        <w:jc w:val="both"/>
        <w:rPr>
          <w:rFonts w:hint="cs"/>
          <w:rtl/>
        </w:rPr>
      </w:pPr>
      <w:r>
        <w:rPr>
          <w:rFonts w:hint="cs"/>
          <w:rtl/>
        </w:rPr>
        <w:t>207-</w:t>
      </w:r>
      <w:r>
        <w:rPr>
          <w:rFonts w:hint="cs"/>
          <w:rtl/>
        </w:rPr>
        <w:tab/>
        <w:t>للاطلاع على معلومات عن هذه المسألة، انظر التقرير الدوري الثاني لجورجيا المقدم بموجب العهد الدو</w:t>
      </w:r>
      <w:r>
        <w:rPr>
          <w:rFonts w:hint="cs"/>
          <w:rtl/>
        </w:rPr>
        <w:t>لي الخاص بالحقوق المدنية والسياسية (الفقرات 90 و91 و94 - 96).</w:t>
      </w:r>
    </w:p>
    <w:p w:rsidR="00000000" w:rsidRDefault="003865AC">
      <w:pPr>
        <w:jc w:val="both"/>
        <w:rPr>
          <w:rFonts w:hint="cs"/>
          <w:rtl/>
        </w:rPr>
      </w:pPr>
      <w:r>
        <w:rPr>
          <w:rFonts w:hint="cs"/>
          <w:rtl/>
        </w:rPr>
        <w:t>208-</w:t>
      </w:r>
      <w:r>
        <w:rPr>
          <w:rFonts w:hint="cs"/>
          <w:rtl/>
        </w:rPr>
        <w:tab/>
        <w:t>واتخذ في عام 1999 عدد من التدابير الرامية إلى تخفيض معدل الوفيات بين الرضع الذين يقل عمرهم عن سنة. وشملت هذه التدابير بصورة رئيسية إنشاء نظام لإحالة النساء في فترة الحمل والولادة والنفاس، و</w:t>
      </w:r>
      <w:r>
        <w:rPr>
          <w:rFonts w:hint="cs"/>
          <w:rtl/>
        </w:rPr>
        <w:t>الرضع المولودين حديثاً، إلى الأطباء وإجراء تحقيق في كل حالة وفاة. وتعتقد وزارة العمل والصحة والرعاية الاجتماعية بأن تحسناً قد طرأ على نوعية الرعاية الطبية المقدمة إلى المولودين حديثاً، وبأن الإجراءات المتخذة لعلاج المولودين حديثاً في المشافي قد نظمت تنظيما</w:t>
      </w:r>
      <w:r>
        <w:rPr>
          <w:rFonts w:hint="cs"/>
          <w:rtl/>
        </w:rPr>
        <w:t>ً ملائماً كما أعيد تشكيل نظام تسجيل الوفيات من الرضع. وينبغي الرجوع إلى الجزء ذي الصلة من هذا التقرير للاطلاع على الإحصاءات المتعلقة بعدد الرضع المتوفين في السنة الأولى من العمر (انظر ما ورد أعلاه).</w:t>
      </w:r>
    </w:p>
    <w:p w:rsidR="00000000" w:rsidRDefault="003865AC">
      <w:pPr>
        <w:jc w:val="both"/>
        <w:rPr>
          <w:rFonts w:hint="cs"/>
          <w:i/>
          <w:iCs/>
          <w:rtl/>
        </w:rPr>
      </w:pPr>
      <w:r>
        <w:rPr>
          <w:rFonts w:hint="cs"/>
          <w:i/>
          <w:iCs/>
          <w:rtl/>
        </w:rPr>
        <w:t>التدابير المتخذة لتحسين الصحة والسلامة في العمل</w:t>
      </w:r>
    </w:p>
    <w:p w:rsidR="00000000" w:rsidRDefault="003865AC">
      <w:pPr>
        <w:jc w:val="both"/>
        <w:rPr>
          <w:rFonts w:hint="cs"/>
          <w:rtl/>
        </w:rPr>
      </w:pPr>
      <w:r>
        <w:rPr>
          <w:rFonts w:hint="cs"/>
          <w:rtl/>
        </w:rPr>
        <w:t>209-</w:t>
      </w:r>
      <w:r>
        <w:rPr>
          <w:rFonts w:hint="cs"/>
          <w:rtl/>
        </w:rPr>
        <w:tab/>
        <w:t>تُتخ</w:t>
      </w:r>
      <w:r>
        <w:rPr>
          <w:rFonts w:hint="cs"/>
          <w:rtl/>
        </w:rPr>
        <w:t>ذ الخطوات التالية لتحسين ظروف العمل في الميدان الصناعي:</w:t>
      </w:r>
    </w:p>
    <w:p w:rsidR="00000000" w:rsidRDefault="003865AC">
      <w:pPr>
        <w:ind w:left="1440" w:hanging="720"/>
        <w:jc w:val="both"/>
        <w:rPr>
          <w:rFonts w:hint="cs"/>
          <w:rtl/>
        </w:rPr>
      </w:pPr>
      <w:r>
        <w:rPr>
          <w:rFonts w:hint="cs"/>
          <w:rtl/>
        </w:rPr>
        <w:t>•</w:t>
      </w:r>
      <w:r>
        <w:rPr>
          <w:rFonts w:hint="cs"/>
          <w:rtl/>
        </w:rPr>
        <w:tab/>
        <w:t>التحقق بصورة منتظمة من سلامة ظروف العمل وصحة العاملين بهدف تحديد أماكن العمل الأقل "ملاءمة"؛</w:t>
      </w:r>
    </w:p>
    <w:p w:rsidR="00000000" w:rsidRDefault="003865AC">
      <w:pPr>
        <w:ind w:left="1440" w:hanging="720"/>
        <w:jc w:val="both"/>
        <w:rPr>
          <w:rFonts w:hint="cs"/>
          <w:rtl/>
        </w:rPr>
      </w:pPr>
      <w:r>
        <w:rPr>
          <w:rFonts w:hint="cs"/>
          <w:rtl/>
        </w:rPr>
        <w:t>•</w:t>
      </w:r>
      <w:r>
        <w:rPr>
          <w:rFonts w:hint="cs"/>
          <w:rtl/>
        </w:rPr>
        <w:tab/>
        <w:t>إجراء المزيد من التحليل لظروف العمل في أماكن العمل الأقل "ملاءمة"؛</w:t>
      </w:r>
    </w:p>
    <w:p w:rsidR="00000000" w:rsidRDefault="003865AC">
      <w:pPr>
        <w:ind w:left="1440" w:hanging="720"/>
        <w:jc w:val="both"/>
        <w:rPr>
          <w:rFonts w:hint="cs"/>
          <w:rtl/>
        </w:rPr>
      </w:pPr>
      <w:r>
        <w:rPr>
          <w:rFonts w:hint="cs"/>
          <w:rtl/>
        </w:rPr>
        <w:t>•</w:t>
      </w:r>
      <w:r>
        <w:rPr>
          <w:rFonts w:hint="cs"/>
          <w:rtl/>
        </w:rPr>
        <w:tab/>
        <w:t>وإجـراء دراسـة عـن صحـة القـوة الع</w:t>
      </w:r>
      <w:r>
        <w:rPr>
          <w:rFonts w:hint="cs"/>
          <w:rtl/>
        </w:rPr>
        <w:t>املـة وعـن إصابـة العاملين بالأمـراض التي تؤدي إلى العجز المؤقت؛ وبذلك تحدد العلاقـة السـببية بين ظروف العمل والحالة الصحية للعاملين؛</w:t>
      </w:r>
    </w:p>
    <w:p w:rsidR="00000000" w:rsidRDefault="003865AC">
      <w:pPr>
        <w:ind w:left="1440" w:hanging="720"/>
        <w:jc w:val="both"/>
        <w:rPr>
          <w:rFonts w:hint="cs"/>
          <w:rtl/>
        </w:rPr>
      </w:pPr>
      <w:r>
        <w:rPr>
          <w:rFonts w:hint="cs"/>
          <w:rtl/>
        </w:rPr>
        <w:t>•</w:t>
      </w:r>
      <w:r>
        <w:rPr>
          <w:rFonts w:hint="cs"/>
          <w:rtl/>
        </w:rPr>
        <w:tab/>
        <w:t>تُتخذ على ضوء هذه الدراسة تدابير محددة لتحسين ظروف الصحة والسلامة في العمل ونظام الخدمات الطبية ونوعية هذه الخدمات؛</w:t>
      </w:r>
    </w:p>
    <w:p w:rsidR="00000000" w:rsidRDefault="003865AC">
      <w:pPr>
        <w:ind w:left="1440" w:hanging="720"/>
        <w:jc w:val="both"/>
        <w:rPr>
          <w:rFonts w:hint="cs"/>
          <w:rtl/>
        </w:rPr>
      </w:pPr>
      <w:r>
        <w:rPr>
          <w:rFonts w:hint="cs"/>
          <w:rtl/>
        </w:rPr>
        <w:t>•</w:t>
      </w:r>
      <w:r>
        <w:rPr>
          <w:rFonts w:hint="cs"/>
          <w:rtl/>
        </w:rPr>
        <w:tab/>
        <w:t>وت</w:t>
      </w:r>
      <w:r>
        <w:rPr>
          <w:rFonts w:hint="cs"/>
          <w:rtl/>
        </w:rPr>
        <w:t>حال نتائج هذه الدراسة إلى إدارات المؤسسات المعنية والهيئات المسؤولة عنها فضلاً عن المؤسسات الطبية التي تقدم الرعاية الطبية الوقائية لهذه المؤسسات، كما تحال إلى الوحدات ذات الصلة في وزارة العمل والصحة والرعاية الاجتماعية.</w:t>
      </w:r>
    </w:p>
    <w:p w:rsidR="00000000" w:rsidRDefault="003865AC">
      <w:pPr>
        <w:jc w:val="both"/>
        <w:rPr>
          <w:rFonts w:hint="cs"/>
          <w:rtl/>
        </w:rPr>
      </w:pPr>
      <w:r>
        <w:rPr>
          <w:rFonts w:hint="cs"/>
          <w:rtl/>
        </w:rPr>
        <w:t>210-</w:t>
      </w:r>
      <w:r>
        <w:rPr>
          <w:rFonts w:hint="cs"/>
          <w:rtl/>
        </w:rPr>
        <w:tab/>
        <w:t>وإضافة إلى ذلك، يجري وضع مبادئ</w:t>
      </w:r>
      <w:r>
        <w:rPr>
          <w:rFonts w:hint="cs"/>
          <w:rtl/>
        </w:rPr>
        <w:t xml:space="preserve"> توجيهية ومواد للتدريب بهدف تحسين الأوضاع الصحية وظروف السلامة المهنية في الميدان الصناعي ككل وفي كل قطاع من قطاعاته وذلك لتمهيد السبيل لوضع نظام رصد سليم للأوضاع الصحية وللنظافة في العمل. وسوف تقدم هذه المواد فيما بعد إلى وزارة العمل والصحة والرعاية الاجت</w:t>
      </w:r>
      <w:r>
        <w:rPr>
          <w:rFonts w:hint="cs"/>
          <w:rtl/>
        </w:rPr>
        <w:t xml:space="preserve">ماعية للحصول على الموافقة النهائية. </w:t>
      </w:r>
    </w:p>
    <w:p w:rsidR="00000000" w:rsidRDefault="003865AC">
      <w:pPr>
        <w:jc w:val="both"/>
        <w:rPr>
          <w:rFonts w:hint="cs"/>
          <w:rtl/>
        </w:rPr>
      </w:pPr>
      <w:r>
        <w:rPr>
          <w:rFonts w:hint="cs"/>
          <w:rtl/>
        </w:rPr>
        <w:t>211-</w:t>
      </w:r>
      <w:r>
        <w:rPr>
          <w:rFonts w:hint="cs"/>
          <w:rtl/>
        </w:rPr>
        <w:tab/>
        <w:t>ونظراً للظروف الاجتماعية والاقتصادية الصعبة في جورجيا، فقد تعطلت في السنوات الأخيرة آلية تسجيل المعلومات المتعلقة بالعجز المؤقت الناجم عن المرض، وأصبح بالتالي من الصعب تحديد العلاقة السببية اللازمة بين ظروف العمل و</w:t>
      </w:r>
      <w:r>
        <w:rPr>
          <w:rFonts w:hint="cs"/>
          <w:rtl/>
        </w:rPr>
        <w:t>الحالة الصحية لقوة العمل. وهذا بدوره يؤدي إلى إعاقة التنظيم السليم ووضع التدابير الوقائية المكيفة خصيصاً مع ظروف العمل.</w:t>
      </w:r>
    </w:p>
    <w:p w:rsidR="00000000" w:rsidRDefault="003865AC">
      <w:pPr>
        <w:jc w:val="both"/>
        <w:rPr>
          <w:rFonts w:hint="cs"/>
          <w:i/>
          <w:iCs/>
          <w:rtl/>
        </w:rPr>
      </w:pPr>
      <w:r>
        <w:rPr>
          <w:rFonts w:hint="cs"/>
          <w:i/>
          <w:iCs/>
          <w:rtl/>
        </w:rPr>
        <w:t>الجهود الرامية إلى مكافحة الأمراض المزمنة والوبائية والأمراض الأخرى</w:t>
      </w:r>
    </w:p>
    <w:p w:rsidR="00000000" w:rsidRDefault="003865AC">
      <w:pPr>
        <w:jc w:val="both"/>
        <w:rPr>
          <w:rFonts w:hint="cs"/>
          <w:rtl/>
        </w:rPr>
      </w:pPr>
      <w:r>
        <w:rPr>
          <w:rFonts w:hint="cs"/>
          <w:rtl/>
        </w:rPr>
        <w:t>212-</w:t>
      </w:r>
      <w:r>
        <w:rPr>
          <w:rFonts w:hint="cs"/>
          <w:rtl/>
        </w:rPr>
        <w:tab/>
        <w:t xml:space="preserve">وضع موضع التنفيذ منذ عام 1995 برنامج لرصد الأمراض المعدية التي </w:t>
      </w:r>
      <w:r>
        <w:rPr>
          <w:rFonts w:hint="cs"/>
          <w:rtl/>
        </w:rPr>
        <w:t>تستوجب الحظر الصحي والتي تتسم بنوع خاص من الخطورة وغيرها من الأمراض المعدية، فضلاً عن مراقبة الأوبئة.</w:t>
      </w:r>
    </w:p>
    <w:p w:rsidR="00000000" w:rsidRDefault="003865AC">
      <w:pPr>
        <w:jc w:val="both"/>
        <w:rPr>
          <w:rFonts w:hint="cs"/>
          <w:i/>
          <w:iCs/>
          <w:rtl/>
        </w:rPr>
      </w:pPr>
      <w:r>
        <w:rPr>
          <w:rFonts w:hint="cs"/>
          <w:i/>
          <w:iCs/>
          <w:rtl/>
        </w:rPr>
        <w:t>إمكانية الاستفادة الشاملة من الرعاية الصحية</w:t>
      </w:r>
    </w:p>
    <w:p w:rsidR="00000000" w:rsidRDefault="003865AC">
      <w:pPr>
        <w:jc w:val="both"/>
        <w:rPr>
          <w:rFonts w:hint="cs"/>
          <w:rtl/>
        </w:rPr>
      </w:pPr>
      <w:r>
        <w:rPr>
          <w:rFonts w:hint="cs"/>
          <w:rtl/>
        </w:rPr>
        <w:t>213-</w:t>
      </w:r>
      <w:r>
        <w:rPr>
          <w:rFonts w:hint="cs"/>
          <w:rtl/>
        </w:rPr>
        <w:tab/>
        <w:t>وفقاً لما ورد في التقرير الأولي وما يعاد ذكره هنا، تتوفر الرعاية الطبية الشاملة لجميع المواطنين في جورجيا</w:t>
      </w:r>
      <w:r>
        <w:rPr>
          <w:rFonts w:hint="cs"/>
          <w:rtl/>
        </w:rPr>
        <w:t xml:space="preserve"> ضمن إطار برامج شاملة لجميع أنحاء الوطن وأخرى محلية تستند إلى المعايير الخاصة بمعالجة المرضى الخارجيين والداخليين التي وافقت عليها الحكومة. وينبغي في الوقت ذاته الإشارة إلى أن الرعاية الطبية التي تتجاوز المستوى المحدد وكذلك ثمن العقاقير لا يزالان خارج نطاق</w:t>
      </w:r>
      <w:r>
        <w:rPr>
          <w:rFonts w:hint="cs"/>
          <w:rtl/>
        </w:rPr>
        <w:t xml:space="preserve"> اللوائح الحكومية النافذة.</w:t>
      </w:r>
    </w:p>
    <w:p w:rsidR="00000000" w:rsidRDefault="003865AC">
      <w:pPr>
        <w:jc w:val="both"/>
        <w:rPr>
          <w:rFonts w:hint="cs"/>
          <w:i/>
          <w:iCs/>
          <w:rtl/>
        </w:rPr>
      </w:pPr>
      <w:r>
        <w:rPr>
          <w:rFonts w:hint="cs"/>
          <w:i/>
          <w:iCs/>
          <w:rtl/>
        </w:rPr>
        <w:t>تنظيم الرعاية الطبية الأولية</w:t>
      </w:r>
    </w:p>
    <w:p w:rsidR="00000000" w:rsidRDefault="003865AC">
      <w:pPr>
        <w:jc w:val="both"/>
        <w:rPr>
          <w:rFonts w:hint="cs"/>
          <w:rtl/>
        </w:rPr>
      </w:pPr>
      <w:r>
        <w:rPr>
          <w:rFonts w:hint="cs"/>
          <w:rtl/>
        </w:rPr>
        <w:t>214-</w:t>
      </w:r>
      <w:r>
        <w:rPr>
          <w:rFonts w:hint="cs"/>
          <w:rtl/>
        </w:rPr>
        <w:tab/>
        <w:t>إن الهدف من الرعاية الطبية الأولية التي تقدم ضمن إطار الخدمات الصحية العامة هو، أولاً وقبل كل شيء، أن تكون بمثابة نقطة اتصال أولى بين السكان ودوائر الخدمات الطبية والاجتماعية التي ينبغي تأمين الو</w:t>
      </w:r>
      <w:r>
        <w:rPr>
          <w:rFonts w:hint="cs"/>
          <w:rtl/>
        </w:rPr>
        <w:t>صول إليها قدر الإمكان. وكذلك وضع الأسس اللازمة لتنفيذ عملية رصد مستمر ودؤوب للحالة الصحية.</w:t>
      </w:r>
    </w:p>
    <w:p w:rsidR="00000000" w:rsidRDefault="003865AC">
      <w:pPr>
        <w:jc w:val="both"/>
        <w:rPr>
          <w:rFonts w:hint="cs"/>
          <w:rtl/>
        </w:rPr>
      </w:pPr>
      <w:r>
        <w:rPr>
          <w:rFonts w:hint="cs"/>
          <w:rtl/>
        </w:rPr>
        <w:t>215-</w:t>
      </w:r>
      <w:r>
        <w:rPr>
          <w:rFonts w:hint="cs"/>
          <w:rtl/>
        </w:rPr>
        <w:tab/>
        <w:t>ويشمل الأساس الاستراتيجي للرعاية الصحية الأولية توجيه اهتمام الجمهور نحو طب الأسرة واستحداث ممارسة "طبيب الأسرة".</w:t>
      </w:r>
    </w:p>
    <w:p w:rsidR="00000000" w:rsidRDefault="003865AC">
      <w:pPr>
        <w:jc w:val="both"/>
        <w:rPr>
          <w:rFonts w:hint="cs"/>
          <w:rtl/>
        </w:rPr>
      </w:pPr>
      <w:r>
        <w:rPr>
          <w:rFonts w:hint="cs"/>
          <w:rtl/>
        </w:rPr>
        <w:t>216-</w:t>
      </w:r>
      <w:r>
        <w:rPr>
          <w:rFonts w:hint="cs"/>
          <w:rtl/>
        </w:rPr>
        <w:tab/>
        <w:t>وتنفذ التدابير الطبية الوقائية في مجال ال</w:t>
      </w:r>
      <w:r>
        <w:rPr>
          <w:rFonts w:hint="cs"/>
          <w:rtl/>
        </w:rPr>
        <w:t xml:space="preserve">رعاية الصحية الأولية عبر مؤسسات ملائمة مثل العيادات الحكومية والخاصة للمرضى الخارجيين من القرى، والعيادات والمستوصفات الصحية. وتتولى إدارة الرعاية الصحية العامة في وزارة العمل والصحة والرعاية الاجتماعية مهمة وضع السياسات والاستراتيجيات في هذا الميدان. كما </w:t>
      </w:r>
      <w:r>
        <w:rPr>
          <w:rFonts w:hint="cs"/>
          <w:rtl/>
        </w:rPr>
        <w:t>تتولى الوزارة، ضمن أمور أخرى، ضبط المعايير الوطنية المتعلقة بالخدمة الطبية والرخص اللازمة للعلاج الطبي وبمرافق الوقاية، وتقوم برصد نوعية الرعاية الطبية والتدريب الطبي. وعلى الصعيد المحلي، تشرف السلطات المحلية على عمل نظام الرعاية الصحية الأولية (في مختلف و</w:t>
      </w:r>
      <w:r>
        <w:rPr>
          <w:rFonts w:hint="cs"/>
          <w:rtl/>
        </w:rPr>
        <w:t xml:space="preserve">حدات البلد الإقليمية). </w:t>
      </w:r>
    </w:p>
    <w:p w:rsidR="00000000" w:rsidRDefault="003865AC">
      <w:pPr>
        <w:jc w:val="both"/>
        <w:rPr>
          <w:rFonts w:hint="cs"/>
          <w:rtl/>
        </w:rPr>
      </w:pPr>
      <w:r>
        <w:rPr>
          <w:rFonts w:hint="cs"/>
          <w:rtl/>
        </w:rPr>
        <w:t>217-</w:t>
      </w:r>
      <w:r>
        <w:rPr>
          <w:rFonts w:hint="cs"/>
          <w:rtl/>
        </w:rPr>
        <w:tab/>
        <w:t xml:space="preserve">وتمول الرعاية الصحية الأولية بصورة رئيسية من المصادر التالية: </w:t>
      </w:r>
    </w:p>
    <w:p w:rsidR="00000000" w:rsidRDefault="003865AC">
      <w:pPr>
        <w:jc w:val="both"/>
        <w:rPr>
          <w:rFonts w:hint="cs"/>
          <w:rtl/>
        </w:rPr>
      </w:pPr>
      <w:r>
        <w:rPr>
          <w:rFonts w:hint="cs"/>
          <w:rtl/>
        </w:rPr>
        <w:tab/>
        <w:t>•</w:t>
      </w:r>
      <w:r>
        <w:rPr>
          <w:rFonts w:hint="cs"/>
          <w:rtl/>
        </w:rPr>
        <w:tab/>
        <w:t>البرامج الوطنية للعلاج الطبي والوقاية؛</w:t>
      </w:r>
    </w:p>
    <w:p w:rsidR="00000000" w:rsidRDefault="003865AC">
      <w:pPr>
        <w:jc w:val="both"/>
        <w:rPr>
          <w:rFonts w:hint="cs"/>
          <w:rtl/>
        </w:rPr>
      </w:pPr>
      <w:r>
        <w:rPr>
          <w:rFonts w:hint="cs"/>
          <w:rtl/>
        </w:rPr>
        <w:tab/>
        <w:t>•</w:t>
      </w:r>
      <w:r>
        <w:rPr>
          <w:rFonts w:hint="cs"/>
          <w:rtl/>
        </w:rPr>
        <w:tab/>
        <w:t>البرامج المحلية للعلاج الطبي والوقاية؛</w:t>
      </w:r>
    </w:p>
    <w:p w:rsidR="00000000" w:rsidRDefault="003865AC">
      <w:pPr>
        <w:jc w:val="both"/>
        <w:rPr>
          <w:rFonts w:hint="cs"/>
          <w:rtl/>
        </w:rPr>
      </w:pPr>
      <w:r>
        <w:rPr>
          <w:rFonts w:hint="cs"/>
          <w:rtl/>
        </w:rPr>
        <w:tab/>
        <w:t>•</w:t>
      </w:r>
      <w:r>
        <w:rPr>
          <w:rFonts w:hint="cs"/>
          <w:rtl/>
        </w:rPr>
        <w:tab/>
        <w:t>إيرادات الخدمات المقدمة للسكان خارج نطاق البرامج المذكورة آنفاً، وفقاً للمعاي</w:t>
      </w:r>
      <w:r>
        <w:rPr>
          <w:rFonts w:hint="cs"/>
          <w:rtl/>
        </w:rPr>
        <w:t>ير المحلية؛</w:t>
      </w:r>
    </w:p>
    <w:p w:rsidR="00000000" w:rsidRDefault="003865AC">
      <w:pPr>
        <w:jc w:val="both"/>
        <w:rPr>
          <w:rFonts w:hint="cs"/>
          <w:rtl/>
        </w:rPr>
      </w:pPr>
      <w:r>
        <w:rPr>
          <w:rFonts w:hint="cs"/>
          <w:rtl/>
        </w:rPr>
        <w:tab/>
        <w:t>•</w:t>
      </w:r>
      <w:r>
        <w:rPr>
          <w:rFonts w:hint="cs"/>
          <w:rtl/>
        </w:rPr>
        <w:tab/>
        <w:t>إيرادات أية أنشطة أخرى يؤذن بتنفيذها.</w:t>
      </w:r>
    </w:p>
    <w:p w:rsidR="00000000" w:rsidRDefault="003865AC">
      <w:pPr>
        <w:jc w:val="both"/>
        <w:rPr>
          <w:rFonts w:hint="cs"/>
          <w:i/>
          <w:iCs/>
          <w:rtl/>
        </w:rPr>
      </w:pPr>
      <w:r>
        <w:rPr>
          <w:rFonts w:hint="cs"/>
          <w:i/>
          <w:iCs/>
          <w:rtl/>
        </w:rPr>
        <w:t>الاتصالات وعلاقات التعاون الدولية التي تقيمها جورجيا في مجال الرعاية الصحية</w:t>
      </w:r>
    </w:p>
    <w:p w:rsidR="00000000" w:rsidRDefault="003865AC">
      <w:pPr>
        <w:jc w:val="both"/>
        <w:rPr>
          <w:rFonts w:hint="cs"/>
          <w:rtl/>
        </w:rPr>
      </w:pPr>
      <w:r>
        <w:rPr>
          <w:rFonts w:hint="cs"/>
          <w:rtl/>
        </w:rPr>
        <w:t>218-</w:t>
      </w:r>
      <w:r>
        <w:rPr>
          <w:rFonts w:hint="cs"/>
          <w:rtl/>
        </w:rPr>
        <w:tab/>
        <w:t>أقامت وزارة العمل والصحة والرعاية الاجتماعيـة خـلال السـنوات الخمـس الماضية علاقة تعاون وثيق إلى حد ما مع المنظمات الدولية</w:t>
      </w:r>
      <w:r>
        <w:rPr>
          <w:rFonts w:hint="cs"/>
          <w:rtl/>
        </w:rPr>
        <w:t xml:space="preserve"> التي تعنى بطريقة أو بأخرى بمسألة حقوق الإنسـان فـي مجال الرعاية الصحية.</w:t>
      </w:r>
    </w:p>
    <w:p w:rsidR="00000000" w:rsidRDefault="003865AC">
      <w:pPr>
        <w:jc w:val="both"/>
        <w:rPr>
          <w:rFonts w:hint="cs"/>
          <w:rtl/>
        </w:rPr>
      </w:pPr>
      <w:r>
        <w:rPr>
          <w:rFonts w:hint="cs"/>
          <w:rtl/>
        </w:rPr>
        <w:t>219-</w:t>
      </w:r>
      <w:r>
        <w:rPr>
          <w:rFonts w:hint="cs"/>
          <w:rtl/>
        </w:rPr>
        <w:tab/>
        <w:t>وتعد وحدة الشؤون القانونية وأخلاقيات علم الأحياء التابعة للمركز الوطني للرعاية الصحية إدارة أخرى من إدارات الوزارة التي تعالج هذه المسائل ويتمثل أحد أهدافها الرئيسية في مواءمة تش</w:t>
      </w:r>
      <w:r>
        <w:rPr>
          <w:rFonts w:hint="cs"/>
          <w:rtl/>
        </w:rPr>
        <w:t xml:space="preserve">ريعات الرعاية الصحية في جورجيا مع المعايير الدولية لحقوق الإنسان. ولهذا الغرض، تبحث الوحدة عن الصكوك الدولية ذات الصلة وتصنفها للاستفادة منها في عملية وضع القوانين، وتضع الترتيبات اللازمة لاستعراض اللوائح ومشاريع القوانين من قبل خبراء أجانب، وتقدم بانتظام </w:t>
      </w:r>
      <w:r>
        <w:rPr>
          <w:rFonts w:hint="cs"/>
          <w:rtl/>
        </w:rPr>
        <w:t>المعلومات إلى المنظمات الدولية ذات الصلة عن آخر التطورات المتعلقة بحالة حقوق الإنسان في مجال الرعاية الصحية.</w:t>
      </w:r>
    </w:p>
    <w:p w:rsidR="00000000" w:rsidRDefault="003865AC">
      <w:pPr>
        <w:jc w:val="both"/>
        <w:rPr>
          <w:rFonts w:hint="cs"/>
          <w:rtl/>
        </w:rPr>
      </w:pPr>
      <w:r>
        <w:rPr>
          <w:rFonts w:hint="cs"/>
          <w:rtl/>
        </w:rPr>
        <w:t>220-</w:t>
      </w:r>
      <w:r>
        <w:rPr>
          <w:rFonts w:hint="cs"/>
          <w:rtl/>
        </w:rPr>
        <w:tab/>
        <w:t>وتتعاون وحدة الشؤون القانونية وأخلاقيات علم الأحياء مع منظمات دولية مثل المكتب الإقليمي لأوروبا التابع لمنظمة الصحة العالمية (وحدة تنظيم وإدار</w:t>
      </w:r>
      <w:r>
        <w:rPr>
          <w:rFonts w:hint="cs"/>
          <w:rtl/>
        </w:rPr>
        <w:t>ة النظم الصحية والشراكة الأوروبية مع منظمة الصحة العالمية بشأن حقوق المرضى وتمكين المواطنين)، ومجلس المنظمات الدولية المعنية بالعلوم الطبية، ولجنة مجلس أوروبا التوجيهية المعنية بأخلاقيات علم الأحياء، والجمعية الطبية العالمية.</w:t>
      </w:r>
    </w:p>
    <w:p w:rsidR="00000000" w:rsidRDefault="003865AC">
      <w:pPr>
        <w:jc w:val="both"/>
        <w:rPr>
          <w:rFonts w:hint="cs"/>
          <w:rtl/>
        </w:rPr>
      </w:pPr>
      <w:r>
        <w:rPr>
          <w:rFonts w:hint="cs"/>
          <w:rtl/>
        </w:rPr>
        <w:t>221-</w:t>
      </w:r>
      <w:r>
        <w:rPr>
          <w:rFonts w:hint="cs"/>
          <w:rtl/>
        </w:rPr>
        <w:tab/>
        <w:t>ونتيجة لهذه الجهود، تتوفر</w:t>
      </w:r>
      <w:r>
        <w:rPr>
          <w:rFonts w:hint="cs"/>
          <w:rtl/>
        </w:rPr>
        <w:t xml:space="preserve"> الآن لدى وزارة العمل والصحة والرعاية الاجتماعية المجموعة الكاملة من الصكوك الدولية المتعلقة بحقوق الإنسان في مجال الرعاية الصحية. ولقد ترجمت معظم هذه الصكوك ونشرت ووزعت على المهنيين العاملين في ميدان الرعاية الصحية في جورجيا، وهي تشمل الاتفاقية الأوروبية </w:t>
      </w:r>
      <w:r>
        <w:rPr>
          <w:rFonts w:hint="cs"/>
          <w:rtl/>
        </w:rPr>
        <w:t xml:space="preserve">لحقوق الإنسان والطب البيولوجي وصكوك الأمم المتحدة، وتوصيات وإعلانات الجمعية الطبية العالمية المتعلقة بحقوق الإنسان والرعاية الصحية. </w:t>
      </w:r>
    </w:p>
    <w:p w:rsidR="00000000" w:rsidRDefault="003865AC">
      <w:pPr>
        <w:jc w:val="both"/>
        <w:rPr>
          <w:rFonts w:hint="cs"/>
          <w:rtl/>
        </w:rPr>
      </w:pPr>
      <w:r>
        <w:rPr>
          <w:rFonts w:hint="cs"/>
          <w:rtl/>
        </w:rPr>
        <w:t>222-</w:t>
      </w:r>
      <w:r>
        <w:rPr>
          <w:rFonts w:hint="cs"/>
          <w:rtl/>
        </w:rPr>
        <w:tab/>
        <w:t>وقد شرعت وزارة العمل والصحة والرعاية الاجتماعية في عملية التوقيع والتصديق على اتفاقية حقوق الإنسان والطب الأحيائي وعلى</w:t>
      </w:r>
      <w:r>
        <w:rPr>
          <w:rFonts w:hint="cs"/>
          <w:rtl/>
        </w:rPr>
        <w:t xml:space="preserve"> البروتوكول الإضافي الملحق بها والمتعلق بحظر استنساخ البشر. وأصبح هذان الصكان نافذين في جورجيا اعتباراً من 1 آذار/مارس 2001. وتجدر الإشارة إلى أن جورجيا قد أصبحت، بتوقيعها على البروتوكول بشأن حظر الاستنساخ، واحدة من بين الدول الأوروبية الخمس التي بدأ فيها </w:t>
      </w:r>
      <w:r>
        <w:rPr>
          <w:rFonts w:hint="cs"/>
          <w:rtl/>
        </w:rPr>
        <w:t>نفاذ هذا الصك.</w:t>
      </w:r>
    </w:p>
    <w:p w:rsidR="00000000" w:rsidRDefault="003865AC">
      <w:pPr>
        <w:jc w:val="both"/>
        <w:rPr>
          <w:rFonts w:hint="cs"/>
          <w:rtl/>
        </w:rPr>
      </w:pPr>
      <w:r>
        <w:rPr>
          <w:rFonts w:hint="cs"/>
          <w:rtl/>
        </w:rPr>
        <w:t>223-</w:t>
      </w:r>
      <w:r>
        <w:rPr>
          <w:rFonts w:hint="cs"/>
          <w:rtl/>
        </w:rPr>
        <w:tab/>
        <w:t>وما برحت جورجيا تحصل على مساعدة دولية بالغة الأهمية لتطوير تشريعاتها. فقد كان مشروع قانون حقوق المرضى موضع فحص دقيق من قبل خبراء من المكتب الإقليمي لأوروبا التابع لمنظمة الصحة العالمية، وخبراء يعملون في مكتب وسط وشرق أوروبا للمبادرات ال</w:t>
      </w:r>
      <w:r>
        <w:rPr>
          <w:rFonts w:hint="cs"/>
          <w:rtl/>
        </w:rPr>
        <w:t>قانونية التابع لرابطة المحامين الأمريكيين، وخبير من جامعة تورنتو في كندا. كما استعرض الخبراء البارزون الذين وضعوا اتفاقية حقوق الإنسان والطب البيولوجي مشروع القانون المتعلق بالأبحاث الطبية والبيولوجية وبحقوق الإنسان وذلك كجزء من الدعم المقدم من الإدارة الع</w:t>
      </w:r>
      <w:r>
        <w:rPr>
          <w:rFonts w:hint="cs"/>
          <w:rtl/>
        </w:rPr>
        <w:t>امة للشؤون القانونية في مجلس أوروبا. وقد استنتجوا أن تشريعات جورجيا في هذا المجال متوافقة مع أحكام الصكوك الدولية المتعلقة بحقوق الإنسان في القطاع الصحي.</w:t>
      </w:r>
    </w:p>
    <w:p w:rsidR="00000000" w:rsidRDefault="003865AC">
      <w:pPr>
        <w:jc w:val="both"/>
        <w:rPr>
          <w:rFonts w:hint="cs"/>
          <w:rtl/>
        </w:rPr>
      </w:pPr>
      <w:r>
        <w:rPr>
          <w:rFonts w:hint="cs"/>
          <w:rtl/>
        </w:rPr>
        <w:t>224-</w:t>
      </w:r>
      <w:r>
        <w:rPr>
          <w:rFonts w:hint="cs"/>
          <w:rtl/>
        </w:rPr>
        <w:tab/>
        <w:t>ويجري بانتظام إطلاع المنظمات الدولية ذات الصلة على آخر التطورات فيما يتصل بحالة حقوق الإنسان في ا</w:t>
      </w:r>
      <w:r>
        <w:rPr>
          <w:rFonts w:hint="cs"/>
          <w:rtl/>
        </w:rPr>
        <w:t>لقطاع الصحي في جورجيا. ولذلك تضمنت وثيقة منظمة الصحة العالمية المعنونة "تعزيز حقوق المرضى في أوروبا" التي صدرت في كانون الأول/ديسمبر 1998 عن المكتب الإقليمي لأوروبا التابع لمنظمة الصحة العالمية معلومات مسهبة عن قوانين جورجيا الناظمة لحقوق المرضى. كمـا أن ا</w:t>
      </w:r>
      <w:r>
        <w:rPr>
          <w:rFonts w:hint="cs"/>
          <w:rtl/>
        </w:rPr>
        <w:t>لمواد التي صدرت فـي عامـي 1999 و2000 عن لجنة مجلس أوروبا التوجيهية المعنية بأخلاقيات علم الأحياء قد أشارت بانتظام إلى معلومات عن إنجازات جورجيا في ميدان حقوق الإنسان والطب البيولوجي.</w:t>
      </w:r>
    </w:p>
    <w:p w:rsidR="00000000" w:rsidRDefault="003865AC">
      <w:pPr>
        <w:jc w:val="both"/>
        <w:rPr>
          <w:rFonts w:hint="cs"/>
          <w:i/>
          <w:iCs/>
          <w:rtl/>
        </w:rPr>
      </w:pPr>
      <w:r>
        <w:rPr>
          <w:rFonts w:hint="cs"/>
          <w:i/>
          <w:iCs/>
          <w:rtl/>
        </w:rPr>
        <w:t xml:space="preserve">إحصاءات إضافية عن إعمال الحق في التمتع بأفضل مستوى ممكن من الصحة البدنية </w:t>
      </w:r>
      <w:r>
        <w:rPr>
          <w:rFonts w:hint="cs"/>
          <w:i/>
          <w:iCs/>
          <w:rtl/>
        </w:rPr>
        <w:t>والعقلية</w:t>
      </w:r>
    </w:p>
    <w:p w:rsidR="00000000" w:rsidRDefault="003865AC">
      <w:pPr>
        <w:jc w:val="center"/>
        <w:rPr>
          <w:rFonts w:hint="cs"/>
          <w:b/>
          <w:bCs/>
          <w:rtl/>
        </w:rPr>
      </w:pPr>
      <w:r>
        <w:rPr>
          <w:rFonts w:hint="cs"/>
          <w:b/>
          <w:bCs/>
          <w:rtl/>
        </w:rPr>
        <w:t>المؤشرات الرئيسية لخدمات الصحة العامة في جورجيا، 1997-1999</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02"/>
        <w:gridCol w:w="1260"/>
        <w:gridCol w:w="1440"/>
        <w:gridCol w:w="1368"/>
      </w:tblGrid>
      <w:tr w:rsidR="003865AC" w:rsidTr="003865AC">
        <w:tblPrEx>
          <w:tblCellMar>
            <w:top w:w="0" w:type="dxa"/>
            <w:bottom w:w="0" w:type="dxa"/>
          </w:tblCellMar>
        </w:tblPrEx>
        <w:tc>
          <w:tcPr>
            <w:tcW w:w="5502" w:type="dxa"/>
          </w:tcPr>
          <w:p w:rsidR="003865AC" w:rsidRDefault="003865AC">
            <w:pPr>
              <w:spacing w:before="120" w:after="120"/>
              <w:jc w:val="center"/>
              <w:rPr>
                <w:rFonts w:hint="cs"/>
                <w:b/>
                <w:bCs/>
              </w:rPr>
            </w:pPr>
          </w:p>
        </w:tc>
        <w:tc>
          <w:tcPr>
            <w:tcW w:w="1260" w:type="dxa"/>
          </w:tcPr>
          <w:p w:rsidR="003865AC" w:rsidRDefault="003865AC">
            <w:pPr>
              <w:spacing w:before="120" w:after="120"/>
              <w:jc w:val="center"/>
              <w:rPr>
                <w:rFonts w:hint="cs"/>
                <w:b/>
                <w:bCs/>
              </w:rPr>
            </w:pPr>
            <w:r>
              <w:rPr>
                <w:rFonts w:hint="cs"/>
                <w:b/>
                <w:bCs/>
                <w:rtl/>
              </w:rPr>
              <w:t>1997</w:t>
            </w:r>
          </w:p>
        </w:tc>
        <w:tc>
          <w:tcPr>
            <w:tcW w:w="1440" w:type="dxa"/>
          </w:tcPr>
          <w:p w:rsidR="003865AC" w:rsidRDefault="003865AC">
            <w:pPr>
              <w:spacing w:before="120" w:after="120"/>
              <w:jc w:val="center"/>
              <w:rPr>
                <w:rFonts w:hint="cs"/>
                <w:b/>
                <w:bCs/>
              </w:rPr>
            </w:pPr>
            <w:r>
              <w:rPr>
                <w:rFonts w:hint="cs"/>
                <w:b/>
                <w:bCs/>
                <w:rtl/>
              </w:rPr>
              <w:t>1998</w:t>
            </w:r>
          </w:p>
        </w:tc>
        <w:tc>
          <w:tcPr>
            <w:tcW w:w="1368" w:type="dxa"/>
          </w:tcPr>
          <w:p w:rsidR="003865AC" w:rsidRDefault="003865AC">
            <w:pPr>
              <w:spacing w:before="120" w:after="120"/>
              <w:jc w:val="center"/>
              <w:rPr>
                <w:rFonts w:hint="cs"/>
                <w:b/>
                <w:bCs/>
              </w:rPr>
            </w:pPr>
            <w:r>
              <w:rPr>
                <w:rFonts w:hint="cs"/>
                <w:b/>
                <w:bCs/>
                <w:rtl/>
              </w:rPr>
              <w:t>1999</w:t>
            </w:r>
          </w:p>
        </w:tc>
      </w:tr>
      <w:tr w:rsidR="003865AC" w:rsidTr="003865AC">
        <w:tblPrEx>
          <w:tblCellMar>
            <w:top w:w="0" w:type="dxa"/>
            <w:bottom w:w="0" w:type="dxa"/>
          </w:tblCellMar>
        </w:tblPrEx>
        <w:tc>
          <w:tcPr>
            <w:tcW w:w="5502" w:type="dxa"/>
          </w:tcPr>
          <w:p w:rsidR="003865AC" w:rsidRDefault="003865AC">
            <w:pPr>
              <w:spacing w:before="120" w:after="120"/>
              <w:jc w:val="both"/>
              <w:rPr>
                <w:rFonts w:hint="cs"/>
              </w:rPr>
            </w:pPr>
            <w:r>
              <w:rPr>
                <w:rFonts w:hint="cs"/>
                <w:rtl/>
              </w:rPr>
              <w:t>عدد الأطباء، جميع الاختصاصات (بالآلاف)</w:t>
            </w:r>
          </w:p>
        </w:tc>
        <w:tc>
          <w:tcPr>
            <w:tcW w:w="1260" w:type="dxa"/>
          </w:tcPr>
          <w:p w:rsidR="003865AC" w:rsidRDefault="003865AC">
            <w:pPr>
              <w:spacing w:before="120" w:after="120"/>
              <w:jc w:val="both"/>
              <w:rPr>
                <w:rFonts w:hint="cs"/>
              </w:rPr>
            </w:pPr>
            <w:r>
              <w:rPr>
                <w:rFonts w:hint="cs"/>
                <w:rtl/>
              </w:rPr>
              <w:t>21.8</w:t>
            </w:r>
          </w:p>
        </w:tc>
        <w:tc>
          <w:tcPr>
            <w:tcW w:w="1440" w:type="dxa"/>
          </w:tcPr>
          <w:p w:rsidR="003865AC" w:rsidRDefault="003865AC">
            <w:pPr>
              <w:spacing w:before="120" w:after="120"/>
              <w:jc w:val="both"/>
              <w:rPr>
                <w:rFonts w:hint="cs"/>
              </w:rPr>
            </w:pPr>
            <w:r>
              <w:rPr>
                <w:rFonts w:hint="cs"/>
                <w:rtl/>
              </w:rPr>
              <w:t>20.8</w:t>
            </w:r>
          </w:p>
        </w:tc>
        <w:tc>
          <w:tcPr>
            <w:tcW w:w="1368" w:type="dxa"/>
          </w:tcPr>
          <w:p w:rsidR="003865AC" w:rsidRDefault="003865AC">
            <w:pPr>
              <w:spacing w:before="120" w:after="120"/>
              <w:jc w:val="both"/>
              <w:rPr>
                <w:rFonts w:hint="cs"/>
              </w:rPr>
            </w:pPr>
            <w:r>
              <w:rPr>
                <w:rFonts w:hint="cs"/>
                <w:rtl/>
              </w:rPr>
              <w:t>21.5</w:t>
            </w:r>
          </w:p>
        </w:tc>
      </w:tr>
      <w:tr w:rsidR="003865AC" w:rsidTr="003865AC">
        <w:tblPrEx>
          <w:tblCellMar>
            <w:top w:w="0" w:type="dxa"/>
            <w:bottom w:w="0" w:type="dxa"/>
          </w:tblCellMar>
        </w:tblPrEx>
        <w:tc>
          <w:tcPr>
            <w:tcW w:w="5502" w:type="dxa"/>
          </w:tcPr>
          <w:p w:rsidR="003865AC" w:rsidRDefault="003865AC">
            <w:pPr>
              <w:spacing w:before="120" w:after="120"/>
              <w:jc w:val="both"/>
              <w:rPr>
                <w:rFonts w:hint="cs"/>
              </w:rPr>
            </w:pPr>
            <w:r>
              <w:rPr>
                <w:rFonts w:hint="cs"/>
                <w:rtl/>
              </w:rPr>
              <w:t xml:space="preserve">عدد الأطباء لكل 000 10 فرد من السكان </w:t>
            </w:r>
          </w:p>
        </w:tc>
        <w:tc>
          <w:tcPr>
            <w:tcW w:w="1260" w:type="dxa"/>
          </w:tcPr>
          <w:p w:rsidR="003865AC" w:rsidRDefault="003865AC">
            <w:pPr>
              <w:spacing w:before="120" w:after="120"/>
              <w:jc w:val="both"/>
              <w:rPr>
                <w:rFonts w:hint="cs"/>
              </w:rPr>
            </w:pPr>
            <w:r>
              <w:rPr>
                <w:rFonts w:hint="cs"/>
                <w:rtl/>
              </w:rPr>
              <w:t>40.0</w:t>
            </w:r>
          </w:p>
        </w:tc>
        <w:tc>
          <w:tcPr>
            <w:tcW w:w="1440" w:type="dxa"/>
          </w:tcPr>
          <w:p w:rsidR="003865AC" w:rsidRDefault="003865AC">
            <w:pPr>
              <w:spacing w:before="120" w:after="120"/>
              <w:jc w:val="both"/>
              <w:rPr>
                <w:rFonts w:hint="cs"/>
              </w:rPr>
            </w:pPr>
            <w:r>
              <w:rPr>
                <w:rFonts w:hint="cs"/>
                <w:rtl/>
              </w:rPr>
              <w:t>38.0</w:t>
            </w:r>
          </w:p>
        </w:tc>
        <w:tc>
          <w:tcPr>
            <w:tcW w:w="1368" w:type="dxa"/>
          </w:tcPr>
          <w:p w:rsidR="003865AC" w:rsidRDefault="003865AC">
            <w:pPr>
              <w:spacing w:before="120" w:after="120"/>
              <w:jc w:val="both"/>
              <w:rPr>
                <w:rFonts w:hint="cs"/>
              </w:rPr>
            </w:pPr>
            <w:r>
              <w:rPr>
                <w:rFonts w:hint="cs"/>
                <w:rtl/>
              </w:rPr>
              <w:t>45.0</w:t>
            </w:r>
          </w:p>
        </w:tc>
      </w:tr>
      <w:tr w:rsidR="003865AC" w:rsidTr="003865AC">
        <w:tblPrEx>
          <w:tblCellMar>
            <w:top w:w="0" w:type="dxa"/>
            <w:bottom w:w="0" w:type="dxa"/>
          </w:tblCellMar>
        </w:tblPrEx>
        <w:tc>
          <w:tcPr>
            <w:tcW w:w="5502" w:type="dxa"/>
          </w:tcPr>
          <w:p w:rsidR="003865AC" w:rsidRDefault="003865AC">
            <w:pPr>
              <w:spacing w:before="120" w:after="120"/>
              <w:jc w:val="both"/>
              <w:rPr>
                <w:rFonts w:hint="cs"/>
                <w:rtl/>
              </w:rPr>
            </w:pPr>
            <w:r>
              <w:rPr>
                <w:rFonts w:hint="cs"/>
                <w:rtl/>
              </w:rPr>
              <w:t>عدد موظفي المهن الطبية المتوسطة المستوى (بالآلاف)</w:t>
            </w:r>
          </w:p>
        </w:tc>
        <w:tc>
          <w:tcPr>
            <w:tcW w:w="1260" w:type="dxa"/>
          </w:tcPr>
          <w:p w:rsidR="003865AC" w:rsidRDefault="003865AC">
            <w:pPr>
              <w:spacing w:before="120" w:after="120"/>
              <w:jc w:val="both"/>
              <w:rPr>
                <w:rFonts w:hint="cs"/>
                <w:rtl/>
              </w:rPr>
            </w:pPr>
            <w:r>
              <w:rPr>
                <w:rFonts w:hint="cs"/>
                <w:rtl/>
              </w:rPr>
              <w:t>29.8</w:t>
            </w:r>
          </w:p>
        </w:tc>
        <w:tc>
          <w:tcPr>
            <w:tcW w:w="1440" w:type="dxa"/>
          </w:tcPr>
          <w:p w:rsidR="003865AC" w:rsidRDefault="003865AC">
            <w:pPr>
              <w:spacing w:before="120" w:after="120"/>
              <w:jc w:val="both"/>
              <w:rPr>
                <w:rFonts w:hint="cs"/>
                <w:rtl/>
              </w:rPr>
            </w:pPr>
            <w:r>
              <w:rPr>
                <w:rFonts w:hint="cs"/>
                <w:rtl/>
              </w:rPr>
              <w:t>28.6</w:t>
            </w:r>
          </w:p>
        </w:tc>
        <w:tc>
          <w:tcPr>
            <w:tcW w:w="1368" w:type="dxa"/>
          </w:tcPr>
          <w:p w:rsidR="003865AC" w:rsidRDefault="003865AC">
            <w:pPr>
              <w:spacing w:before="120" w:after="120"/>
              <w:jc w:val="both"/>
              <w:rPr>
                <w:rFonts w:hint="cs"/>
                <w:rtl/>
              </w:rPr>
            </w:pPr>
            <w:r>
              <w:rPr>
                <w:rFonts w:hint="cs"/>
                <w:rtl/>
              </w:rPr>
              <w:t>28.6</w:t>
            </w:r>
          </w:p>
        </w:tc>
      </w:tr>
      <w:tr w:rsidR="003865AC" w:rsidTr="003865AC">
        <w:tblPrEx>
          <w:tblCellMar>
            <w:top w:w="0" w:type="dxa"/>
            <w:bottom w:w="0" w:type="dxa"/>
          </w:tblCellMar>
        </w:tblPrEx>
        <w:tc>
          <w:tcPr>
            <w:tcW w:w="5502" w:type="dxa"/>
          </w:tcPr>
          <w:p w:rsidR="003865AC" w:rsidRDefault="003865AC">
            <w:pPr>
              <w:spacing w:before="120" w:after="120"/>
              <w:jc w:val="both"/>
              <w:rPr>
                <w:rFonts w:hint="cs"/>
                <w:rtl/>
              </w:rPr>
            </w:pPr>
            <w:r>
              <w:rPr>
                <w:rFonts w:hint="cs"/>
                <w:rtl/>
              </w:rPr>
              <w:t>عدد موظفي المهن الطبية المتوسطة المستوى لكل 000 10 فرد من السكان</w:t>
            </w:r>
          </w:p>
        </w:tc>
        <w:tc>
          <w:tcPr>
            <w:tcW w:w="1260" w:type="dxa"/>
          </w:tcPr>
          <w:p w:rsidR="003865AC" w:rsidRDefault="003865AC">
            <w:pPr>
              <w:spacing w:before="120" w:after="120"/>
              <w:jc w:val="both"/>
              <w:rPr>
                <w:rFonts w:hint="cs"/>
              </w:rPr>
            </w:pPr>
            <w:r>
              <w:rPr>
                <w:rFonts w:hint="cs"/>
                <w:rtl/>
              </w:rPr>
              <w:t>54.9</w:t>
            </w:r>
          </w:p>
        </w:tc>
        <w:tc>
          <w:tcPr>
            <w:tcW w:w="1440" w:type="dxa"/>
          </w:tcPr>
          <w:p w:rsidR="003865AC" w:rsidRDefault="003865AC">
            <w:pPr>
              <w:spacing w:before="120" w:after="120"/>
              <w:jc w:val="both"/>
              <w:rPr>
                <w:rFonts w:hint="cs"/>
              </w:rPr>
            </w:pPr>
            <w:r>
              <w:rPr>
                <w:rFonts w:hint="cs"/>
                <w:rtl/>
              </w:rPr>
              <w:t>52.0</w:t>
            </w:r>
          </w:p>
        </w:tc>
        <w:tc>
          <w:tcPr>
            <w:tcW w:w="1368" w:type="dxa"/>
          </w:tcPr>
          <w:p w:rsidR="003865AC" w:rsidRDefault="003865AC">
            <w:pPr>
              <w:spacing w:before="120" w:after="120"/>
              <w:jc w:val="both"/>
              <w:rPr>
                <w:rFonts w:hint="cs"/>
              </w:rPr>
            </w:pPr>
            <w:r>
              <w:rPr>
                <w:rFonts w:hint="cs"/>
                <w:rtl/>
              </w:rPr>
              <w:t>62.0</w:t>
            </w:r>
          </w:p>
        </w:tc>
      </w:tr>
      <w:tr w:rsidR="003865AC" w:rsidTr="003865AC">
        <w:tblPrEx>
          <w:tblCellMar>
            <w:top w:w="0" w:type="dxa"/>
            <w:bottom w:w="0" w:type="dxa"/>
          </w:tblCellMar>
        </w:tblPrEx>
        <w:tc>
          <w:tcPr>
            <w:tcW w:w="5502" w:type="dxa"/>
          </w:tcPr>
          <w:p w:rsidR="003865AC" w:rsidRDefault="003865AC">
            <w:pPr>
              <w:spacing w:before="120" w:after="120"/>
              <w:jc w:val="both"/>
              <w:rPr>
                <w:rFonts w:hint="cs"/>
                <w:rtl/>
              </w:rPr>
            </w:pPr>
            <w:r>
              <w:rPr>
                <w:rFonts w:hint="cs"/>
                <w:rtl/>
              </w:rPr>
              <w:t>عدد المشافي</w:t>
            </w:r>
          </w:p>
        </w:tc>
        <w:tc>
          <w:tcPr>
            <w:tcW w:w="1260" w:type="dxa"/>
          </w:tcPr>
          <w:p w:rsidR="003865AC" w:rsidRDefault="003865AC">
            <w:pPr>
              <w:spacing w:before="120" w:after="120"/>
              <w:jc w:val="both"/>
              <w:rPr>
                <w:rFonts w:hint="cs"/>
              </w:rPr>
            </w:pPr>
            <w:r>
              <w:rPr>
                <w:rFonts w:hint="cs"/>
                <w:rtl/>
              </w:rPr>
              <w:t xml:space="preserve">   298</w:t>
            </w:r>
          </w:p>
        </w:tc>
        <w:tc>
          <w:tcPr>
            <w:tcW w:w="1440" w:type="dxa"/>
          </w:tcPr>
          <w:p w:rsidR="003865AC" w:rsidRDefault="003865AC">
            <w:pPr>
              <w:spacing w:before="120" w:after="120"/>
              <w:jc w:val="both"/>
              <w:rPr>
                <w:rFonts w:hint="cs"/>
              </w:rPr>
            </w:pPr>
            <w:r>
              <w:rPr>
                <w:rFonts w:hint="cs"/>
                <w:rtl/>
              </w:rPr>
              <w:t xml:space="preserve">   288</w:t>
            </w:r>
          </w:p>
        </w:tc>
        <w:tc>
          <w:tcPr>
            <w:tcW w:w="1368" w:type="dxa"/>
          </w:tcPr>
          <w:p w:rsidR="003865AC" w:rsidRDefault="003865AC">
            <w:pPr>
              <w:spacing w:before="120" w:after="120"/>
              <w:jc w:val="both"/>
              <w:rPr>
                <w:rFonts w:hint="cs"/>
              </w:rPr>
            </w:pPr>
            <w:r>
              <w:rPr>
                <w:rFonts w:hint="cs"/>
                <w:rtl/>
              </w:rPr>
              <w:t xml:space="preserve">   246</w:t>
            </w:r>
          </w:p>
        </w:tc>
      </w:tr>
      <w:tr w:rsidR="003865AC" w:rsidTr="003865AC">
        <w:tblPrEx>
          <w:tblCellMar>
            <w:top w:w="0" w:type="dxa"/>
            <w:bottom w:w="0" w:type="dxa"/>
          </w:tblCellMar>
        </w:tblPrEx>
        <w:tc>
          <w:tcPr>
            <w:tcW w:w="5502" w:type="dxa"/>
          </w:tcPr>
          <w:p w:rsidR="003865AC" w:rsidRDefault="003865AC">
            <w:pPr>
              <w:spacing w:before="120" w:after="120"/>
              <w:jc w:val="both"/>
              <w:rPr>
                <w:rFonts w:hint="cs"/>
                <w:rtl/>
              </w:rPr>
            </w:pPr>
            <w:r>
              <w:rPr>
                <w:rFonts w:hint="cs"/>
                <w:rtl/>
              </w:rPr>
              <w:t>عدد الأسرة في المشافي (بالآلاف)</w:t>
            </w:r>
          </w:p>
        </w:tc>
        <w:tc>
          <w:tcPr>
            <w:tcW w:w="1260" w:type="dxa"/>
          </w:tcPr>
          <w:p w:rsidR="003865AC" w:rsidRDefault="003865AC">
            <w:pPr>
              <w:spacing w:before="120" w:after="120"/>
              <w:jc w:val="both"/>
              <w:rPr>
                <w:rFonts w:hint="cs"/>
              </w:rPr>
            </w:pPr>
            <w:r>
              <w:rPr>
                <w:rFonts w:hint="cs"/>
                <w:rtl/>
              </w:rPr>
              <w:t>24.4</w:t>
            </w:r>
          </w:p>
        </w:tc>
        <w:tc>
          <w:tcPr>
            <w:tcW w:w="1440" w:type="dxa"/>
          </w:tcPr>
          <w:p w:rsidR="003865AC" w:rsidRDefault="003865AC">
            <w:pPr>
              <w:spacing w:before="120" w:after="120"/>
              <w:jc w:val="both"/>
              <w:rPr>
                <w:rFonts w:hint="cs"/>
              </w:rPr>
            </w:pPr>
            <w:r>
              <w:rPr>
                <w:rFonts w:hint="cs"/>
                <w:rtl/>
              </w:rPr>
              <w:t>23.5</w:t>
            </w:r>
          </w:p>
        </w:tc>
        <w:tc>
          <w:tcPr>
            <w:tcW w:w="1368" w:type="dxa"/>
          </w:tcPr>
          <w:p w:rsidR="003865AC" w:rsidRDefault="003865AC">
            <w:pPr>
              <w:spacing w:before="120" w:after="120"/>
              <w:jc w:val="both"/>
              <w:rPr>
                <w:rFonts w:hint="cs"/>
              </w:rPr>
            </w:pPr>
            <w:r>
              <w:rPr>
                <w:rFonts w:hint="cs"/>
                <w:rtl/>
              </w:rPr>
              <w:t>22.5</w:t>
            </w:r>
          </w:p>
        </w:tc>
      </w:tr>
      <w:tr w:rsidR="003865AC" w:rsidTr="003865AC">
        <w:tblPrEx>
          <w:tblCellMar>
            <w:top w:w="0" w:type="dxa"/>
            <w:bottom w:w="0" w:type="dxa"/>
          </w:tblCellMar>
        </w:tblPrEx>
        <w:tc>
          <w:tcPr>
            <w:tcW w:w="5502" w:type="dxa"/>
          </w:tcPr>
          <w:p w:rsidR="003865AC" w:rsidRDefault="003865AC">
            <w:pPr>
              <w:spacing w:before="120" w:after="120"/>
              <w:jc w:val="both"/>
              <w:rPr>
                <w:rFonts w:hint="cs"/>
                <w:rtl/>
              </w:rPr>
            </w:pPr>
            <w:r>
              <w:rPr>
                <w:rFonts w:hint="cs"/>
                <w:rtl/>
              </w:rPr>
              <w:t>متوسط طول مدة الإقامة في المشفى (بالأيام)</w:t>
            </w:r>
          </w:p>
        </w:tc>
        <w:tc>
          <w:tcPr>
            <w:tcW w:w="1260" w:type="dxa"/>
          </w:tcPr>
          <w:p w:rsidR="003865AC" w:rsidRDefault="003865AC">
            <w:pPr>
              <w:spacing w:before="120" w:after="120"/>
              <w:jc w:val="both"/>
              <w:rPr>
                <w:rFonts w:hint="cs"/>
              </w:rPr>
            </w:pPr>
            <w:r>
              <w:rPr>
                <w:rFonts w:hint="cs"/>
                <w:rtl/>
              </w:rPr>
              <w:t>10.5</w:t>
            </w:r>
          </w:p>
        </w:tc>
        <w:tc>
          <w:tcPr>
            <w:tcW w:w="1440" w:type="dxa"/>
          </w:tcPr>
          <w:p w:rsidR="003865AC" w:rsidRDefault="003865AC">
            <w:pPr>
              <w:spacing w:before="120" w:after="120"/>
              <w:jc w:val="both"/>
              <w:rPr>
                <w:rFonts w:hint="cs"/>
              </w:rPr>
            </w:pPr>
            <w:r>
              <w:rPr>
                <w:rFonts w:hint="cs"/>
                <w:rtl/>
              </w:rPr>
              <w:t>11.7</w:t>
            </w:r>
          </w:p>
        </w:tc>
        <w:tc>
          <w:tcPr>
            <w:tcW w:w="1368" w:type="dxa"/>
          </w:tcPr>
          <w:p w:rsidR="003865AC" w:rsidRDefault="003865AC">
            <w:pPr>
              <w:spacing w:before="120" w:after="120"/>
              <w:jc w:val="both"/>
              <w:rPr>
                <w:rFonts w:hint="cs"/>
              </w:rPr>
            </w:pPr>
            <w:r>
              <w:rPr>
                <w:rFonts w:hint="cs"/>
                <w:rtl/>
              </w:rPr>
              <w:t>10.7</w:t>
            </w:r>
          </w:p>
        </w:tc>
      </w:tr>
      <w:tr w:rsidR="003865AC" w:rsidTr="003865AC">
        <w:tblPrEx>
          <w:tblCellMar>
            <w:top w:w="0" w:type="dxa"/>
            <w:bottom w:w="0" w:type="dxa"/>
          </w:tblCellMar>
        </w:tblPrEx>
        <w:tc>
          <w:tcPr>
            <w:tcW w:w="5502" w:type="dxa"/>
          </w:tcPr>
          <w:p w:rsidR="003865AC" w:rsidRDefault="003865AC">
            <w:pPr>
              <w:spacing w:before="120" w:after="120"/>
              <w:jc w:val="both"/>
              <w:rPr>
                <w:rFonts w:hint="cs"/>
                <w:rtl/>
              </w:rPr>
            </w:pPr>
            <w:r>
              <w:rPr>
                <w:rFonts w:hint="cs"/>
                <w:rtl/>
              </w:rPr>
              <w:t xml:space="preserve">عدد العيادات الخاصة بالمرضى الخارجيين </w:t>
            </w:r>
          </w:p>
        </w:tc>
        <w:tc>
          <w:tcPr>
            <w:tcW w:w="1260" w:type="dxa"/>
          </w:tcPr>
          <w:p w:rsidR="003865AC" w:rsidRDefault="003865AC">
            <w:pPr>
              <w:spacing w:before="120" w:after="120"/>
              <w:jc w:val="both"/>
              <w:rPr>
                <w:rFonts w:hint="cs"/>
              </w:rPr>
            </w:pPr>
            <w:r>
              <w:rPr>
                <w:rFonts w:hint="cs"/>
                <w:rtl/>
              </w:rPr>
              <w:t xml:space="preserve">   109 1</w:t>
            </w:r>
          </w:p>
        </w:tc>
        <w:tc>
          <w:tcPr>
            <w:tcW w:w="1440" w:type="dxa"/>
          </w:tcPr>
          <w:p w:rsidR="003865AC" w:rsidRDefault="003865AC">
            <w:pPr>
              <w:spacing w:before="120" w:after="120"/>
              <w:jc w:val="both"/>
              <w:rPr>
                <w:rFonts w:hint="cs"/>
              </w:rPr>
            </w:pPr>
            <w:r>
              <w:rPr>
                <w:rFonts w:hint="cs"/>
                <w:rtl/>
              </w:rPr>
              <w:t xml:space="preserve">   900 1</w:t>
            </w:r>
          </w:p>
        </w:tc>
        <w:tc>
          <w:tcPr>
            <w:tcW w:w="1368" w:type="dxa"/>
          </w:tcPr>
          <w:p w:rsidR="003865AC" w:rsidRDefault="003865AC">
            <w:pPr>
              <w:spacing w:before="120" w:after="120"/>
              <w:jc w:val="both"/>
              <w:rPr>
                <w:rFonts w:hint="cs"/>
              </w:rPr>
            </w:pPr>
            <w:r>
              <w:rPr>
                <w:rFonts w:hint="cs"/>
                <w:rtl/>
              </w:rPr>
              <w:t xml:space="preserve">   073 1</w:t>
            </w:r>
          </w:p>
        </w:tc>
      </w:tr>
      <w:tr w:rsidR="003865AC" w:rsidTr="003865AC">
        <w:tblPrEx>
          <w:tblCellMar>
            <w:top w:w="0" w:type="dxa"/>
            <w:bottom w:w="0" w:type="dxa"/>
          </w:tblCellMar>
        </w:tblPrEx>
        <w:tc>
          <w:tcPr>
            <w:tcW w:w="5502" w:type="dxa"/>
          </w:tcPr>
          <w:p w:rsidR="003865AC" w:rsidRDefault="003865AC">
            <w:pPr>
              <w:spacing w:before="120" w:after="120"/>
              <w:jc w:val="both"/>
              <w:rPr>
                <w:rFonts w:hint="cs"/>
                <w:rtl/>
              </w:rPr>
            </w:pPr>
            <w:r>
              <w:rPr>
                <w:rFonts w:hint="cs"/>
                <w:rtl/>
              </w:rPr>
              <w:t>الطاقة الاستيعابية لعيادات المرضى الخارجيين (عدد المرضى في كل نوبة عمل، بالآلاف)</w:t>
            </w:r>
          </w:p>
        </w:tc>
        <w:tc>
          <w:tcPr>
            <w:tcW w:w="1260" w:type="dxa"/>
          </w:tcPr>
          <w:p w:rsidR="003865AC" w:rsidRDefault="003865AC">
            <w:pPr>
              <w:spacing w:before="120" w:after="120"/>
              <w:jc w:val="both"/>
              <w:rPr>
                <w:rFonts w:hint="cs"/>
              </w:rPr>
            </w:pPr>
            <w:r>
              <w:rPr>
                <w:rFonts w:hint="cs"/>
                <w:rtl/>
              </w:rPr>
              <w:t>97.7</w:t>
            </w:r>
          </w:p>
        </w:tc>
        <w:tc>
          <w:tcPr>
            <w:tcW w:w="1440" w:type="dxa"/>
          </w:tcPr>
          <w:p w:rsidR="003865AC" w:rsidRDefault="003865AC">
            <w:pPr>
              <w:spacing w:before="120" w:after="120"/>
              <w:jc w:val="both"/>
              <w:rPr>
                <w:rFonts w:hint="cs"/>
              </w:rPr>
            </w:pPr>
            <w:r>
              <w:rPr>
                <w:rFonts w:hint="cs"/>
                <w:rtl/>
              </w:rPr>
              <w:t>100.0</w:t>
            </w:r>
          </w:p>
        </w:tc>
        <w:tc>
          <w:tcPr>
            <w:tcW w:w="1368" w:type="dxa"/>
          </w:tcPr>
          <w:p w:rsidR="003865AC" w:rsidRDefault="003865AC">
            <w:pPr>
              <w:spacing w:before="120" w:after="120"/>
              <w:jc w:val="both"/>
              <w:rPr>
                <w:rFonts w:hint="cs"/>
              </w:rPr>
            </w:pPr>
            <w:r>
              <w:rPr>
                <w:rFonts w:hint="cs"/>
                <w:rtl/>
              </w:rPr>
              <w:t>97.2</w:t>
            </w:r>
          </w:p>
        </w:tc>
      </w:tr>
    </w:tbl>
    <w:p w:rsidR="00000000" w:rsidRDefault="003865AC">
      <w:pPr>
        <w:jc w:val="center"/>
        <w:rPr>
          <w:b/>
          <w:bCs/>
          <w:rtl/>
        </w:rPr>
      </w:pPr>
    </w:p>
    <w:p w:rsidR="00000000" w:rsidRDefault="003865AC">
      <w:pPr>
        <w:jc w:val="center"/>
        <w:rPr>
          <w:rFonts w:hint="cs"/>
          <w:b/>
          <w:bCs/>
          <w:rtl/>
        </w:rPr>
      </w:pPr>
      <w:r>
        <w:rPr>
          <w:rFonts w:hint="cs"/>
          <w:b/>
          <w:bCs/>
          <w:rtl/>
        </w:rPr>
        <w:t>خدمات الطوارئ الطبية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1721"/>
        <w:gridCol w:w="1440"/>
        <w:gridCol w:w="1620"/>
        <w:gridCol w:w="1800"/>
        <w:gridCol w:w="2268"/>
      </w:tblGrid>
      <w:tr w:rsidR="003865AC" w:rsidTr="003865AC">
        <w:tblPrEx>
          <w:tblCellMar>
            <w:top w:w="0" w:type="dxa"/>
            <w:bottom w:w="0" w:type="dxa"/>
          </w:tblCellMar>
        </w:tblPrEx>
        <w:trPr>
          <w:cantSplit/>
        </w:trPr>
        <w:tc>
          <w:tcPr>
            <w:tcW w:w="721" w:type="dxa"/>
            <w:vMerge w:val="restart"/>
          </w:tcPr>
          <w:p w:rsidR="003865AC" w:rsidRDefault="003865AC">
            <w:pPr>
              <w:spacing w:before="0" w:after="0" w:line="400" w:lineRule="exact"/>
              <w:jc w:val="center"/>
              <w:rPr>
                <w:b/>
                <w:bCs/>
                <w:sz w:val="26"/>
                <w:szCs w:val="26"/>
              </w:rPr>
            </w:pPr>
            <w:r>
              <w:rPr>
                <w:rFonts w:hint="cs"/>
                <w:b/>
                <w:bCs/>
                <w:sz w:val="26"/>
                <w:szCs w:val="26"/>
                <w:rtl/>
              </w:rPr>
              <w:t>العام</w:t>
            </w:r>
          </w:p>
        </w:tc>
        <w:tc>
          <w:tcPr>
            <w:tcW w:w="1721" w:type="dxa"/>
            <w:vMerge w:val="restart"/>
          </w:tcPr>
          <w:p w:rsidR="003865AC" w:rsidRDefault="003865AC">
            <w:pPr>
              <w:spacing w:before="0" w:after="0" w:line="400" w:lineRule="exact"/>
              <w:jc w:val="center"/>
              <w:rPr>
                <w:b/>
                <w:bCs/>
                <w:sz w:val="26"/>
                <w:szCs w:val="26"/>
              </w:rPr>
            </w:pPr>
            <w:r>
              <w:rPr>
                <w:rFonts w:hint="cs"/>
                <w:b/>
                <w:bCs/>
                <w:sz w:val="26"/>
                <w:szCs w:val="26"/>
                <w:rtl/>
              </w:rPr>
              <w:t>عدد الأشخاص الذين تلقوا الإسعافات الأولية</w:t>
            </w:r>
          </w:p>
        </w:tc>
        <w:tc>
          <w:tcPr>
            <w:tcW w:w="7128" w:type="dxa"/>
            <w:gridSpan w:val="4"/>
          </w:tcPr>
          <w:p w:rsidR="003865AC" w:rsidRDefault="003865AC">
            <w:pPr>
              <w:spacing w:before="0" w:after="0" w:line="400" w:lineRule="exact"/>
              <w:jc w:val="center"/>
              <w:rPr>
                <w:rFonts w:hint="cs"/>
                <w:b/>
                <w:bCs/>
                <w:sz w:val="26"/>
                <w:szCs w:val="26"/>
              </w:rPr>
            </w:pPr>
            <w:r>
              <w:rPr>
                <w:rFonts w:hint="cs"/>
                <w:b/>
                <w:bCs/>
                <w:sz w:val="26"/>
                <w:szCs w:val="26"/>
                <w:rtl/>
              </w:rPr>
              <w:t>منها:</w:t>
            </w:r>
          </w:p>
        </w:tc>
      </w:tr>
      <w:tr w:rsidR="003865AC" w:rsidTr="003865AC">
        <w:tblPrEx>
          <w:tblCellMar>
            <w:top w:w="0" w:type="dxa"/>
            <w:bottom w:w="0" w:type="dxa"/>
          </w:tblCellMar>
        </w:tblPrEx>
        <w:trPr>
          <w:cantSplit/>
        </w:trPr>
        <w:tc>
          <w:tcPr>
            <w:tcW w:w="721" w:type="dxa"/>
            <w:vMerge/>
          </w:tcPr>
          <w:p w:rsidR="003865AC" w:rsidRDefault="003865AC">
            <w:pPr>
              <w:spacing w:before="0" w:after="0" w:line="400" w:lineRule="exact"/>
              <w:jc w:val="center"/>
              <w:rPr>
                <w:rFonts w:hint="cs"/>
                <w:sz w:val="26"/>
                <w:szCs w:val="26"/>
              </w:rPr>
            </w:pPr>
          </w:p>
        </w:tc>
        <w:tc>
          <w:tcPr>
            <w:tcW w:w="1721" w:type="dxa"/>
            <w:vMerge/>
          </w:tcPr>
          <w:p w:rsidR="003865AC" w:rsidRDefault="003865AC">
            <w:pPr>
              <w:spacing w:before="0" w:after="0" w:line="400" w:lineRule="exact"/>
              <w:jc w:val="center"/>
              <w:rPr>
                <w:rFonts w:hint="cs"/>
                <w:sz w:val="26"/>
                <w:szCs w:val="26"/>
              </w:rPr>
            </w:pPr>
          </w:p>
        </w:tc>
        <w:tc>
          <w:tcPr>
            <w:tcW w:w="1440" w:type="dxa"/>
          </w:tcPr>
          <w:p w:rsidR="003865AC" w:rsidRDefault="003865AC">
            <w:pPr>
              <w:spacing w:before="0" w:after="0" w:line="400" w:lineRule="exact"/>
              <w:jc w:val="center"/>
              <w:rPr>
                <w:rFonts w:hint="cs"/>
                <w:b/>
                <w:bCs/>
                <w:sz w:val="26"/>
                <w:szCs w:val="26"/>
              </w:rPr>
            </w:pPr>
            <w:r>
              <w:rPr>
                <w:rFonts w:hint="cs"/>
                <w:b/>
                <w:bCs/>
                <w:sz w:val="26"/>
                <w:szCs w:val="26"/>
                <w:rtl/>
              </w:rPr>
              <w:t>الحوادث</w:t>
            </w:r>
          </w:p>
        </w:tc>
        <w:tc>
          <w:tcPr>
            <w:tcW w:w="1620" w:type="dxa"/>
          </w:tcPr>
          <w:p w:rsidR="003865AC" w:rsidRDefault="003865AC">
            <w:pPr>
              <w:spacing w:before="0" w:after="0" w:line="400" w:lineRule="exact"/>
              <w:jc w:val="center"/>
              <w:rPr>
                <w:rFonts w:hint="cs"/>
                <w:b/>
                <w:bCs/>
                <w:sz w:val="26"/>
                <w:szCs w:val="26"/>
              </w:rPr>
            </w:pPr>
            <w:r>
              <w:rPr>
                <w:rFonts w:hint="cs"/>
                <w:b/>
                <w:bCs/>
                <w:sz w:val="26"/>
                <w:szCs w:val="26"/>
                <w:rtl/>
              </w:rPr>
              <w:t>الظهور المفاجئ للمرض</w:t>
            </w:r>
          </w:p>
        </w:tc>
        <w:tc>
          <w:tcPr>
            <w:tcW w:w="1800" w:type="dxa"/>
          </w:tcPr>
          <w:p w:rsidR="003865AC" w:rsidRDefault="003865AC">
            <w:pPr>
              <w:spacing w:before="0" w:after="0" w:line="400" w:lineRule="exact"/>
              <w:jc w:val="center"/>
              <w:rPr>
                <w:rFonts w:hint="cs"/>
                <w:b/>
                <w:bCs/>
                <w:sz w:val="26"/>
                <w:szCs w:val="26"/>
              </w:rPr>
            </w:pPr>
            <w:r>
              <w:rPr>
                <w:rFonts w:hint="cs"/>
                <w:b/>
                <w:bCs/>
                <w:sz w:val="26"/>
                <w:szCs w:val="26"/>
                <w:rtl/>
              </w:rPr>
              <w:t>الولادة ومضاعفات الحمل</w:t>
            </w:r>
          </w:p>
        </w:tc>
        <w:tc>
          <w:tcPr>
            <w:tcW w:w="2268" w:type="dxa"/>
          </w:tcPr>
          <w:p w:rsidR="003865AC" w:rsidRDefault="003865AC">
            <w:pPr>
              <w:spacing w:before="0" w:after="0" w:line="400" w:lineRule="exact"/>
              <w:jc w:val="center"/>
              <w:rPr>
                <w:rFonts w:hint="cs"/>
                <w:b/>
                <w:bCs/>
                <w:sz w:val="26"/>
                <w:szCs w:val="26"/>
              </w:rPr>
            </w:pPr>
            <w:r>
              <w:rPr>
                <w:rFonts w:hint="cs"/>
                <w:b/>
                <w:bCs/>
                <w:sz w:val="26"/>
                <w:szCs w:val="26"/>
                <w:rtl/>
              </w:rPr>
              <w:t>نقل المرضى والنساء أثناء الوضع والمولودين حديثا</w:t>
            </w:r>
          </w:p>
        </w:tc>
      </w:tr>
      <w:tr w:rsidR="003865AC" w:rsidTr="003865AC">
        <w:tblPrEx>
          <w:tblCellMar>
            <w:top w:w="0" w:type="dxa"/>
            <w:bottom w:w="0" w:type="dxa"/>
          </w:tblCellMar>
        </w:tblPrEx>
        <w:tc>
          <w:tcPr>
            <w:tcW w:w="721" w:type="dxa"/>
          </w:tcPr>
          <w:p w:rsidR="003865AC" w:rsidRDefault="003865AC">
            <w:pPr>
              <w:spacing w:before="0" w:after="0" w:line="400" w:lineRule="exact"/>
              <w:jc w:val="center"/>
              <w:rPr>
                <w:rFonts w:hint="cs"/>
                <w:sz w:val="26"/>
                <w:szCs w:val="26"/>
                <w:rtl/>
              </w:rPr>
            </w:pPr>
            <w:r>
              <w:rPr>
                <w:rFonts w:hint="cs"/>
                <w:sz w:val="26"/>
                <w:szCs w:val="26"/>
                <w:rtl/>
              </w:rPr>
              <w:t>1996</w:t>
            </w:r>
          </w:p>
          <w:p w:rsidR="003865AC" w:rsidRDefault="003865AC">
            <w:pPr>
              <w:spacing w:before="0" w:after="0" w:line="400" w:lineRule="exact"/>
              <w:jc w:val="center"/>
              <w:rPr>
                <w:rFonts w:hint="cs"/>
                <w:sz w:val="26"/>
                <w:szCs w:val="26"/>
                <w:rtl/>
              </w:rPr>
            </w:pPr>
            <w:r>
              <w:rPr>
                <w:rFonts w:hint="cs"/>
                <w:sz w:val="26"/>
                <w:szCs w:val="26"/>
                <w:rtl/>
              </w:rPr>
              <w:t>1997</w:t>
            </w:r>
          </w:p>
          <w:p w:rsidR="003865AC" w:rsidRDefault="003865AC">
            <w:pPr>
              <w:spacing w:before="0" w:after="0" w:line="400" w:lineRule="exact"/>
              <w:jc w:val="center"/>
              <w:rPr>
                <w:rFonts w:hint="cs"/>
                <w:sz w:val="26"/>
                <w:szCs w:val="26"/>
                <w:rtl/>
              </w:rPr>
            </w:pPr>
            <w:r>
              <w:rPr>
                <w:rFonts w:hint="cs"/>
                <w:sz w:val="26"/>
                <w:szCs w:val="26"/>
                <w:rtl/>
              </w:rPr>
              <w:t>1988</w:t>
            </w:r>
          </w:p>
          <w:p w:rsidR="003865AC" w:rsidRDefault="003865AC">
            <w:pPr>
              <w:spacing w:before="0" w:after="0" w:line="400" w:lineRule="exact"/>
              <w:jc w:val="center"/>
              <w:rPr>
                <w:rFonts w:hint="cs"/>
                <w:sz w:val="26"/>
                <w:szCs w:val="26"/>
              </w:rPr>
            </w:pPr>
            <w:r>
              <w:rPr>
                <w:rFonts w:hint="cs"/>
                <w:sz w:val="26"/>
                <w:szCs w:val="26"/>
                <w:rtl/>
              </w:rPr>
              <w:t>1999</w:t>
            </w:r>
          </w:p>
        </w:tc>
        <w:tc>
          <w:tcPr>
            <w:tcW w:w="1721" w:type="dxa"/>
          </w:tcPr>
          <w:p w:rsidR="003865AC" w:rsidRDefault="003865AC">
            <w:pPr>
              <w:spacing w:before="0" w:after="0" w:line="400" w:lineRule="exact"/>
              <w:jc w:val="center"/>
              <w:rPr>
                <w:rFonts w:hint="cs"/>
                <w:sz w:val="26"/>
                <w:szCs w:val="26"/>
                <w:rtl/>
              </w:rPr>
            </w:pPr>
            <w:r>
              <w:rPr>
                <w:rFonts w:hint="cs"/>
                <w:sz w:val="26"/>
                <w:szCs w:val="26"/>
                <w:rtl/>
              </w:rPr>
              <w:t>344 152</w:t>
            </w:r>
          </w:p>
          <w:p w:rsidR="003865AC" w:rsidRDefault="003865AC">
            <w:pPr>
              <w:spacing w:before="0" w:after="0" w:line="400" w:lineRule="exact"/>
              <w:jc w:val="center"/>
              <w:rPr>
                <w:rFonts w:hint="cs"/>
                <w:sz w:val="26"/>
                <w:szCs w:val="26"/>
                <w:rtl/>
              </w:rPr>
            </w:pPr>
            <w:r>
              <w:rPr>
                <w:rFonts w:hint="cs"/>
                <w:sz w:val="26"/>
                <w:szCs w:val="26"/>
                <w:rtl/>
              </w:rPr>
              <w:t>734 117</w:t>
            </w:r>
          </w:p>
          <w:p w:rsidR="003865AC" w:rsidRDefault="003865AC">
            <w:pPr>
              <w:spacing w:before="0" w:after="0" w:line="400" w:lineRule="exact"/>
              <w:jc w:val="center"/>
              <w:rPr>
                <w:rFonts w:hint="cs"/>
                <w:sz w:val="26"/>
                <w:szCs w:val="26"/>
                <w:rtl/>
              </w:rPr>
            </w:pPr>
            <w:r>
              <w:rPr>
                <w:rFonts w:hint="cs"/>
                <w:sz w:val="26"/>
                <w:szCs w:val="26"/>
                <w:rtl/>
              </w:rPr>
              <w:t>582 123</w:t>
            </w:r>
          </w:p>
          <w:p w:rsidR="003865AC" w:rsidRDefault="003865AC">
            <w:pPr>
              <w:spacing w:before="0" w:after="0" w:line="400" w:lineRule="exact"/>
              <w:jc w:val="center"/>
              <w:rPr>
                <w:rFonts w:hint="cs"/>
                <w:sz w:val="26"/>
                <w:szCs w:val="26"/>
              </w:rPr>
            </w:pPr>
            <w:r>
              <w:rPr>
                <w:rFonts w:hint="cs"/>
                <w:sz w:val="26"/>
                <w:szCs w:val="26"/>
                <w:rtl/>
              </w:rPr>
              <w:t>695 142</w:t>
            </w:r>
          </w:p>
        </w:tc>
        <w:tc>
          <w:tcPr>
            <w:tcW w:w="1440" w:type="dxa"/>
          </w:tcPr>
          <w:p w:rsidR="003865AC" w:rsidRDefault="003865AC">
            <w:pPr>
              <w:spacing w:before="0" w:after="0" w:line="400" w:lineRule="exact"/>
              <w:jc w:val="center"/>
              <w:rPr>
                <w:rFonts w:hint="cs"/>
                <w:sz w:val="26"/>
                <w:szCs w:val="26"/>
                <w:rtl/>
              </w:rPr>
            </w:pPr>
            <w:r>
              <w:rPr>
                <w:rFonts w:hint="cs"/>
                <w:sz w:val="26"/>
                <w:szCs w:val="26"/>
                <w:rtl/>
              </w:rPr>
              <w:t>701 7</w:t>
            </w:r>
          </w:p>
          <w:p w:rsidR="003865AC" w:rsidRDefault="003865AC">
            <w:pPr>
              <w:spacing w:before="0" w:after="0" w:line="400" w:lineRule="exact"/>
              <w:jc w:val="center"/>
              <w:rPr>
                <w:rFonts w:hint="cs"/>
                <w:sz w:val="26"/>
                <w:szCs w:val="26"/>
                <w:rtl/>
              </w:rPr>
            </w:pPr>
            <w:r>
              <w:rPr>
                <w:rFonts w:hint="cs"/>
                <w:sz w:val="26"/>
                <w:szCs w:val="26"/>
                <w:rtl/>
              </w:rPr>
              <w:t>295 7</w:t>
            </w:r>
          </w:p>
          <w:p w:rsidR="003865AC" w:rsidRDefault="003865AC">
            <w:pPr>
              <w:spacing w:before="0" w:after="0" w:line="400" w:lineRule="exact"/>
              <w:jc w:val="center"/>
              <w:rPr>
                <w:rFonts w:hint="cs"/>
                <w:sz w:val="26"/>
                <w:szCs w:val="26"/>
                <w:rtl/>
              </w:rPr>
            </w:pPr>
            <w:r>
              <w:rPr>
                <w:rFonts w:hint="cs"/>
                <w:sz w:val="26"/>
                <w:szCs w:val="26"/>
                <w:rtl/>
              </w:rPr>
              <w:t>794 7</w:t>
            </w:r>
          </w:p>
          <w:p w:rsidR="003865AC" w:rsidRDefault="003865AC">
            <w:pPr>
              <w:spacing w:before="0" w:after="0" w:line="400" w:lineRule="exact"/>
              <w:jc w:val="center"/>
              <w:rPr>
                <w:rFonts w:hint="cs"/>
                <w:sz w:val="26"/>
                <w:szCs w:val="26"/>
              </w:rPr>
            </w:pPr>
            <w:r>
              <w:rPr>
                <w:rFonts w:hint="cs"/>
                <w:sz w:val="26"/>
                <w:szCs w:val="26"/>
                <w:rtl/>
              </w:rPr>
              <w:t xml:space="preserve"> 219 10</w:t>
            </w:r>
          </w:p>
        </w:tc>
        <w:tc>
          <w:tcPr>
            <w:tcW w:w="1620" w:type="dxa"/>
          </w:tcPr>
          <w:p w:rsidR="003865AC" w:rsidRDefault="003865AC">
            <w:pPr>
              <w:spacing w:before="0" w:after="0" w:line="400" w:lineRule="exact"/>
              <w:jc w:val="center"/>
              <w:rPr>
                <w:rFonts w:hint="cs"/>
                <w:sz w:val="26"/>
                <w:szCs w:val="26"/>
                <w:rtl/>
              </w:rPr>
            </w:pPr>
            <w:r>
              <w:rPr>
                <w:rFonts w:hint="cs"/>
                <w:sz w:val="26"/>
                <w:szCs w:val="26"/>
                <w:rtl/>
              </w:rPr>
              <w:t>734 139</w:t>
            </w:r>
          </w:p>
          <w:p w:rsidR="003865AC" w:rsidRDefault="003865AC">
            <w:pPr>
              <w:spacing w:before="0" w:after="0" w:line="400" w:lineRule="exact"/>
              <w:jc w:val="center"/>
              <w:rPr>
                <w:rFonts w:hint="cs"/>
                <w:sz w:val="26"/>
                <w:szCs w:val="26"/>
                <w:rtl/>
              </w:rPr>
            </w:pPr>
            <w:r>
              <w:rPr>
                <w:rFonts w:hint="cs"/>
                <w:sz w:val="26"/>
                <w:szCs w:val="26"/>
                <w:rtl/>
              </w:rPr>
              <w:t>932 105</w:t>
            </w:r>
          </w:p>
          <w:p w:rsidR="003865AC" w:rsidRDefault="003865AC">
            <w:pPr>
              <w:spacing w:before="0" w:after="0" w:line="400" w:lineRule="exact"/>
              <w:jc w:val="center"/>
              <w:rPr>
                <w:rFonts w:hint="cs"/>
                <w:sz w:val="26"/>
                <w:szCs w:val="26"/>
                <w:rtl/>
              </w:rPr>
            </w:pPr>
            <w:r>
              <w:rPr>
                <w:rFonts w:hint="cs"/>
                <w:sz w:val="26"/>
                <w:szCs w:val="26"/>
                <w:rtl/>
              </w:rPr>
              <w:t>410 111</w:t>
            </w:r>
          </w:p>
          <w:p w:rsidR="003865AC" w:rsidRDefault="003865AC">
            <w:pPr>
              <w:spacing w:before="0" w:after="0" w:line="400" w:lineRule="exact"/>
              <w:jc w:val="center"/>
              <w:rPr>
                <w:rFonts w:hint="cs"/>
                <w:sz w:val="26"/>
                <w:szCs w:val="26"/>
              </w:rPr>
            </w:pPr>
            <w:r>
              <w:rPr>
                <w:rFonts w:hint="cs"/>
                <w:sz w:val="26"/>
                <w:szCs w:val="26"/>
                <w:rtl/>
              </w:rPr>
              <w:t>644 126</w:t>
            </w:r>
          </w:p>
        </w:tc>
        <w:tc>
          <w:tcPr>
            <w:tcW w:w="1800" w:type="dxa"/>
          </w:tcPr>
          <w:p w:rsidR="003865AC" w:rsidRDefault="003865AC">
            <w:pPr>
              <w:spacing w:before="0" w:after="0" w:line="400" w:lineRule="exact"/>
              <w:jc w:val="center"/>
              <w:rPr>
                <w:rFonts w:hint="cs"/>
                <w:sz w:val="26"/>
                <w:szCs w:val="26"/>
                <w:rtl/>
              </w:rPr>
            </w:pPr>
            <w:r>
              <w:rPr>
                <w:rFonts w:hint="cs"/>
                <w:sz w:val="26"/>
                <w:szCs w:val="26"/>
                <w:rtl/>
              </w:rPr>
              <w:t>959</w:t>
            </w:r>
          </w:p>
          <w:p w:rsidR="003865AC" w:rsidRDefault="003865AC">
            <w:pPr>
              <w:spacing w:before="0" w:after="0" w:line="400" w:lineRule="exact"/>
              <w:jc w:val="center"/>
              <w:rPr>
                <w:rFonts w:hint="cs"/>
                <w:sz w:val="26"/>
                <w:szCs w:val="26"/>
                <w:rtl/>
              </w:rPr>
            </w:pPr>
            <w:r>
              <w:rPr>
                <w:rFonts w:hint="cs"/>
                <w:sz w:val="26"/>
                <w:szCs w:val="26"/>
                <w:rtl/>
              </w:rPr>
              <w:t>780</w:t>
            </w:r>
          </w:p>
          <w:p w:rsidR="003865AC" w:rsidRDefault="003865AC">
            <w:pPr>
              <w:spacing w:before="0" w:after="0" w:line="400" w:lineRule="exact"/>
              <w:jc w:val="center"/>
              <w:rPr>
                <w:rFonts w:hint="cs"/>
                <w:sz w:val="26"/>
                <w:szCs w:val="26"/>
                <w:rtl/>
              </w:rPr>
            </w:pPr>
            <w:r>
              <w:rPr>
                <w:rFonts w:hint="cs"/>
                <w:sz w:val="26"/>
                <w:szCs w:val="26"/>
                <w:rtl/>
              </w:rPr>
              <w:t xml:space="preserve">    337 1</w:t>
            </w:r>
          </w:p>
          <w:p w:rsidR="003865AC" w:rsidRDefault="003865AC">
            <w:pPr>
              <w:spacing w:before="0" w:after="0" w:line="400" w:lineRule="exact"/>
              <w:jc w:val="center"/>
              <w:rPr>
                <w:rFonts w:hint="cs"/>
                <w:sz w:val="26"/>
                <w:szCs w:val="26"/>
              </w:rPr>
            </w:pPr>
            <w:r>
              <w:rPr>
                <w:rFonts w:hint="cs"/>
                <w:sz w:val="26"/>
                <w:szCs w:val="26"/>
                <w:rtl/>
              </w:rPr>
              <w:t xml:space="preserve">    856 1</w:t>
            </w:r>
          </w:p>
        </w:tc>
        <w:tc>
          <w:tcPr>
            <w:tcW w:w="2268" w:type="dxa"/>
          </w:tcPr>
          <w:p w:rsidR="003865AC" w:rsidRDefault="003865AC">
            <w:pPr>
              <w:spacing w:before="0" w:after="0" w:line="400" w:lineRule="exact"/>
              <w:jc w:val="center"/>
              <w:rPr>
                <w:rFonts w:hint="cs"/>
                <w:sz w:val="26"/>
                <w:szCs w:val="26"/>
                <w:rtl/>
              </w:rPr>
            </w:pPr>
            <w:r>
              <w:rPr>
                <w:rFonts w:hint="cs"/>
                <w:sz w:val="26"/>
                <w:szCs w:val="26"/>
                <w:rtl/>
              </w:rPr>
              <w:t>950 3</w:t>
            </w:r>
          </w:p>
          <w:p w:rsidR="003865AC" w:rsidRDefault="003865AC">
            <w:pPr>
              <w:spacing w:before="0" w:after="0" w:line="400" w:lineRule="exact"/>
              <w:jc w:val="center"/>
              <w:rPr>
                <w:rFonts w:hint="cs"/>
                <w:sz w:val="26"/>
                <w:szCs w:val="26"/>
                <w:rtl/>
              </w:rPr>
            </w:pPr>
            <w:r>
              <w:rPr>
                <w:rFonts w:hint="cs"/>
                <w:sz w:val="26"/>
                <w:szCs w:val="26"/>
                <w:rtl/>
              </w:rPr>
              <w:t>727 3</w:t>
            </w:r>
          </w:p>
          <w:p w:rsidR="003865AC" w:rsidRDefault="003865AC">
            <w:pPr>
              <w:spacing w:before="0" w:after="0" w:line="400" w:lineRule="exact"/>
              <w:jc w:val="center"/>
              <w:rPr>
                <w:rFonts w:hint="cs"/>
                <w:sz w:val="26"/>
                <w:szCs w:val="26"/>
                <w:rtl/>
              </w:rPr>
            </w:pPr>
            <w:r>
              <w:rPr>
                <w:rFonts w:hint="cs"/>
                <w:sz w:val="26"/>
                <w:szCs w:val="26"/>
                <w:rtl/>
              </w:rPr>
              <w:t>041 3</w:t>
            </w:r>
          </w:p>
          <w:p w:rsidR="003865AC" w:rsidRDefault="003865AC">
            <w:pPr>
              <w:spacing w:before="0" w:after="0" w:line="400" w:lineRule="exact"/>
              <w:jc w:val="center"/>
              <w:rPr>
                <w:rFonts w:hint="cs"/>
                <w:sz w:val="26"/>
                <w:szCs w:val="26"/>
              </w:rPr>
            </w:pPr>
            <w:r>
              <w:rPr>
                <w:rFonts w:hint="cs"/>
                <w:sz w:val="26"/>
                <w:szCs w:val="26"/>
                <w:rtl/>
              </w:rPr>
              <w:t>976 3</w:t>
            </w:r>
          </w:p>
        </w:tc>
      </w:tr>
    </w:tbl>
    <w:p w:rsidR="00000000" w:rsidRDefault="003865AC">
      <w:pPr>
        <w:jc w:val="center"/>
        <w:rPr>
          <w:rFonts w:hint="cs"/>
          <w:b/>
          <w:bCs/>
          <w:rtl/>
        </w:rPr>
      </w:pPr>
      <w:r>
        <w:rPr>
          <w:rFonts w:hint="cs"/>
          <w:b/>
          <w:bCs/>
          <w:rtl/>
        </w:rPr>
        <w:t>تصنيف المعوقين بحسب سبب الإعاقة لدى</w:t>
      </w:r>
      <w:r>
        <w:rPr>
          <w:rFonts w:hint="cs"/>
          <w:b/>
          <w:bCs/>
          <w:rtl/>
        </w:rPr>
        <w:t xml:space="preserve"> التأهل الأولي للشخص لمعاملته كمعاق</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2"/>
        <w:gridCol w:w="1440"/>
        <w:gridCol w:w="1440"/>
        <w:gridCol w:w="1368"/>
      </w:tblGrid>
      <w:tr w:rsidR="003865AC" w:rsidTr="003865AC">
        <w:tblPrEx>
          <w:tblCellMar>
            <w:top w:w="0" w:type="dxa"/>
            <w:bottom w:w="0" w:type="dxa"/>
          </w:tblCellMar>
        </w:tblPrEx>
        <w:tc>
          <w:tcPr>
            <w:tcW w:w="5322" w:type="dxa"/>
            <w:tcBorders>
              <w:bottom w:val="single" w:sz="4" w:space="0" w:color="auto"/>
            </w:tcBorders>
          </w:tcPr>
          <w:p w:rsidR="003865AC" w:rsidRDefault="003865AC">
            <w:pPr>
              <w:spacing w:before="0" w:after="0" w:line="400" w:lineRule="exact"/>
              <w:jc w:val="both"/>
              <w:rPr>
                <w:rFonts w:hint="cs"/>
              </w:rPr>
            </w:pPr>
          </w:p>
        </w:tc>
        <w:tc>
          <w:tcPr>
            <w:tcW w:w="1440" w:type="dxa"/>
            <w:tcBorders>
              <w:bottom w:val="single" w:sz="4" w:space="0" w:color="auto"/>
            </w:tcBorders>
          </w:tcPr>
          <w:p w:rsidR="003865AC" w:rsidRDefault="003865AC">
            <w:pPr>
              <w:spacing w:before="0" w:after="0" w:line="400" w:lineRule="exact"/>
              <w:jc w:val="both"/>
              <w:rPr>
                <w:rFonts w:hint="cs"/>
                <w:b/>
                <w:bCs/>
              </w:rPr>
            </w:pPr>
            <w:r>
              <w:rPr>
                <w:rFonts w:hint="cs"/>
                <w:b/>
                <w:bCs/>
                <w:rtl/>
              </w:rPr>
              <w:t>1997</w:t>
            </w:r>
          </w:p>
        </w:tc>
        <w:tc>
          <w:tcPr>
            <w:tcW w:w="1440" w:type="dxa"/>
            <w:tcBorders>
              <w:bottom w:val="single" w:sz="4" w:space="0" w:color="auto"/>
            </w:tcBorders>
          </w:tcPr>
          <w:p w:rsidR="003865AC" w:rsidRDefault="003865AC">
            <w:pPr>
              <w:spacing w:before="0" w:after="0" w:line="400" w:lineRule="exact"/>
              <w:jc w:val="both"/>
              <w:rPr>
                <w:rFonts w:hint="cs"/>
                <w:b/>
                <w:bCs/>
              </w:rPr>
            </w:pPr>
            <w:r>
              <w:rPr>
                <w:rFonts w:hint="cs"/>
                <w:b/>
                <w:bCs/>
                <w:rtl/>
              </w:rPr>
              <w:t>1998</w:t>
            </w:r>
          </w:p>
        </w:tc>
        <w:tc>
          <w:tcPr>
            <w:tcW w:w="1368" w:type="dxa"/>
            <w:tcBorders>
              <w:bottom w:val="single" w:sz="4" w:space="0" w:color="auto"/>
            </w:tcBorders>
          </w:tcPr>
          <w:p w:rsidR="003865AC" w:rsidRDefault="003865AC">
            <w:pPr>
              <w:spacing w:before="0" w:after="0" w:line="400" w:lineRule="exact"/>
              <w:jc w:val="both"/>
              <w:rPr>
                <w:rFonts w:hint="cs"/>
                <w:b/>
                <w:bCs/>
              </w:rPr>
            </w:pPr>
            <w:r>
              <w:rPr>
                <w:rFonts w:hint="cs"/>
                <w:b/>
                <w:bCs/>
                <w:rtl/>
              </w:rPr>
              <w:t>1999</w:t>
            </w:r>
          </w:p>
        </w:tc>
      </w:tr>
      <w:tr w:rsidR="003865AC" w:rsidTr="003865AC">
        <w:tblPrEx>
          <w:tblCellMar>
            <w:top w:w="0" w:type="dxa"/>
            <w:bottom w:w="0" w:type="dxa"/>
          </w:tblCellMar>
        </w:tblPrEx>
        <w:tc>
          <w:tcPr>
            <w:tcW w:w="5322" w:type="dxa"/>
            <w:tcBorders>
              <w:bottom w:val="nil"/>
            </w:tcBorders>
          </w:tcPr>
          <w:p w:rsidR="003865AC" w:rsidRDefault="003865AC">
            <w:pPr>
              <w:spacing w:before="0" w:after="0" w:line="400" w:lineRule="exact"/>
              <w:jc w:val="both"/>
              <w:rPr>
                <w:rFonts w:hint="cs"/>
              </w:rPr>
            </w:pPr>
            <w:r>
              <w:rPr>
                <w:rFonts w:hint="cs"/>
                <w:rtl/>
              </w:rPr>
              <w:t xml:space="preserve">مجموع عدد المعوقين على أساس التأهل الأولي </w:t>
            </w:r>
          </w:p>
        </w:tc>
        <w:tc>
          <w:tcPr>
            <w:tcW w:w="1440" w:type="dxa"/>
            <w:tcBorders>
              <w:bottom w:val="nil"/>
            </w:tcBorders>
          </w:tcPr>
          <w:p w:rsidR="003865AC" w:rsidRDefault="003865AC">
            <w:pPr>
              <w:spacing w:before="0" w:after="0" w:line="400" w:lineRule="exact"/>
              <w:jc w:val="both"/>
              <w:rPr>
                <w:rFonts w:hint="cs"/>
              </w:rPr>
            </w:pPr>
            <w:r>
              <w:rPr>
                <w:rFonts w:hint="cs"/>
                <w:rtl/>
              </w:rPr>
              <w:t>852 10</w:t>
            </w:r>
          </w:p>
        </w:tc>
        <w:tc>
          <w:tcPr>
            <w:tcW w:w="1440" w:type="dxa"/>
            <w:tcBorders>
              <w:bottom w:val="nil"/>
            </w:tcBorders>
          </w:tcPr>
          <w:p w:rsidR="003865AC" w:rsidRDefault="003865AC">
            <w:pPr>
              <w:spacing w:before="0" w:after="0" w:line="400" w:lineRule="exact"/>
              <w:jc w:val="both"/>
              <w:rPr>
                <w:rFonts w:hint="cs"/>
              </w:rPr>
            </w:pPr>
            <w:r>
              <w:rPr>
                <w:rFonts w:hint="cs"/>
                <w:rtl/>
              </w:rPr>
              <w:t>721 12</w:t>
            </w:r>
          </w:p>
        </w:tc>
        <w:tc>
          <w:tcPr>
            <w:tcW w:w="1368" w:type="dxa"/>
            <w:tcBorders>
              <w:bottom w:val="nil"/>
            </w:tcBorders>
          </w:tcPr>
          <w:p w:rsidR="003865AC" w:rsidRDefault="003865AC">
            <w:pPr>
              <w:spacing w:before="0" w:after="0" w:line="400" w:lineRule="exact"/>
              <w:jc w:val="both"/>
              <w:rPr>
                <w:rFonts w:hint="cs"/>
              </w:rPr>
            </w:pPr>
            <w:r>
              <w:rPr>
                <w:rFonts w:hint="cs"/>
                <w:rtl/>
              </w:rPr>
              <w:t>567 11</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Fonts w:hint="cs"/>
                <w:rtl/>
              </w:rPr>
            </w:pPr>
            <w:r>
              <w:rPr>
                <w:rFonts w:hint="cs"/>
                <w:rtl/>
              </w:rPr>
              <w:t>الإناث منهم</w:t>
            </w:r>
          </w:p>
        </w:tc>
        <w:tc>
          <w:tcPr>
            <w:tcW w:w="1440" w:type="dxa"/>
            <w:tcBorders>
              <w:top w:val="nil"/>
              <w:bottom w:val="nil"/>
            </w:tcBorders>
          </w:tcPr>
          <w:p w:rsidR="003865AC" w:rsidRDefault="003865AC">
            <w:pPr>
              <w:spacing w:before="0" w:after="0" w:line="400" w:lineRule="exact"/>
              <w:jc w:val="both"/>
              <w:rPr>
                <w:rFonts w:hint="cs"/>
              </w:rPr>
            </w:pPr>
            <w:r>
              <w:rPr>
                <w:rFonts w:hint="cs"/>
                <w:rtl/>
              </w:rPr>
              <w:t>137 5</w:t>
            </w:r>
          </w:p>
        </w:tc>
        <w:tc>
          <w:tcPr>
            <w:tcW w:w="1440" w:type="dxa"/>
            <w:tcBorders>
              <w:top w:val="nil"/>
              <w:bottom w:val="nil"/>
            </w:tcBorders>
          </w:tcPr>
          <w:p w:rsidR="003865AC" w:rsidRDefault="003865AC">
            <w:pPr>
              <w:spacing w:before="0" w:after="0" w:line="400" w:lineRule="exact"/>
              <w:jc w:val="both"/>
              <w:rPr>
                <w:rFonts w:hint="cs"/>
              </w:rPr>
            </w:pPr>
            <w:r>
              <w:rPr>
                <w:rFonts w:hint="cs"/>
                <w:rtl/>
              </w:rPr>
              <w:t>081 6</w:t>
            </w:r>
          </w:p>
        </w:tc>
        <w:tc>
          <w:tcPr>
            <w:tcW w:w="1368" w:type="dxa"/>
            <w:tcBorders>
              <w:top w:val="nil"/>
              <w:bottom w:val="nil"/>
            </w:tcBorders>
          </w:tcPr>
          <w:p w:rsidR="003865AC" w:rsidRDefault="003865AC">
            <w:pPr>
              <w:spacing w:before="0" w:after="0" w:line="400" w:lineRule="exact"/>
              <w:jc w:val="both"/>
              <w:rPr>
                <w:rFonts w:hint="cs"/>
              </w:rPr>
            </w:pPr>
            <w:r>
              <w:rPr>
                <w:rFonts w:hint="cs"/>
                <w:rtl/>
              </w:rPr>
              <w:t>146 5</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Fonts w:hint="cs"/>
                <w:rtl/>
              </w:rPr>
            </w:pPr>
            <w:r>
              <w:rPr>
                <w:rFonts w:hint="cs"/>
                <w:rtl/>
              </w:rPr>
              <w:t>طبيعة الإعاقة</w:t>
            </w:r>
          </w:p>
        </w:tc>
        <w:tc>
          <w:tcPr>
            <w:tcW w:w="1440" w:type="dxa"/>
            <w:tcBorders>
              <w:top w:val="nil"/>
              <w:bottom w:val="nil"/>
            </w:tcBorders>
          </w:tcPr>
          <w:p w:rsidR="003865AC" w:rsidRDefault="003865AC">
            <w:pPr>
              <w:spacing w:before="0" w:after="0" w:line="400" w:lineRule="exact"/>
              <w:jc w:val="both"/>
              <w:rPr>
                <w:rFonts w:hint="cs"/>
              </w:rPr>
            </w:pPr>
          </w:p>
        </w:tc>
        <w:tc>
          <w:tcPr>
            <w:tcW w:w="1440" w:type="dxa"/>
            <w:tcBorders>
              <w:top w:val="nil"/>
              <w:bottom w:val="nil"/>
            </w:tcBorders>
          </w:tcPr>
          <w:p w:rsidR="003865AC" w:rsidRDefault="003865AC">
            <w:pPr>
              <w:spacing w:before="0" w:after="0" w:line="400" w:lineRule="exact"/>
              <w:jc w:val="both"/>
              <w:rPr>
                <w:rFonts w:hint="cs"/>
              </w:rPr>
            </w:pPr>
          </w:p>
        </w:tc>
        <w:tc>
          <w:tcPr>
            <w:tcW w:w="1368" w:type="dxa"/>
            <w:tcBorders>
              <w:top w:val="nil"/>
              <w:bottom w:val="nil"/>
            </w:tcBorders>
          </w:tcPr>
          <w:p w:rsidR="003865AC" w:rsidRDefault="003865AC">
            <w:pPr>
              <w:spacing w:before="0" w:after="0" w:line="400" w:lineRule="exact"/>
              <w:jc w:val="both"/>
              <w:rPr>
                <w:rFonts w:hint="cs"/>
              </w:rPr>
            </w:pP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Fonts w:hint="cs"/>
                <w:rtl/>
              </w:rPr>
            </w:pPr>
            <w:r>
              <w:rPr>
                <w:rFonts w:hint="cs"/>
                <w:rtl/>
              </w:rPr>
              <w:t>الإصابة بحادث أثناء العمل، مرض مهني</w:t>
            </w:r>
          </w:p>
        </w:tc>
        <w:tc>
          <w:tcPr>
            <w:tcW w:w="1440" w:type="dxa"/>
            <w:tcBorders>
              <w:top w:val="nil"/>
              <w:bottom w:val="nil"/>
            </w:tcBorders>
          </w:tcPr>
          <w:p w:rsidR="003865AC" w:rsidRDefault="003865AC">
            <w:pPr>
              <w:spacing w:before="0" w:after="0" w:line="400" w:lineRule="exact"/>
              <w:jc w:val="both"/>
              <w:rPr>
                <w:rFonts w:hint="cs"/>
              </w:rPr>
            </w:pPr>
            <w:r>
              <w:rPr>
                <w:rFonts w:hint="cs"/>
                <w:rtl/>
              </w:rPr>
              <w:t>48</w:t>
            </w:r>
          </w:p>
        </w:tc>
        <w:tc>
          <w:tcPr>
            <w:tcW w:w="1440" w:type="dxa"/>
            <w:tcBorders>
              <w:top w:val="nil"/>
              <w:bottom w:val="nil"/>
            </w:tcBorders>
          </w:tcPr>
          <w:p w:rsidR="003865AC" w:rsidRDefault="003865AC">
            <w:pPr>
              <w:spacing w:before="0" w:after="0" w:line="400" w:lineRule="exact"/>
              <w:jc w:val="both"/>
              <w:rPr>
                <w:rFonts w:hint="cs"/>
              </w:rPr>
            </w:pPr>
            <w:r>
              <w:rPr>
                <w:rFonts w:hint="cs"/>
                <w:rtl/>
              </w:rPr>
              <w:t>47</w:t>
            </w:r>
          </w:p>
        </w:tc>
        <w:tc>
          <w:tcPr>
            <w:tcW w:w="1368" w:type="dxa"/>
            <w:tcBorders>
              <w:top w:val="nil"/>
              <w:bottom w:val="nil"/>
            </w:tcBorders>
          </w:tcPr>
          <w:p w:rsidR="003865AC" w:rsidRDefault="003865AC">
            <w:pPr>
              <w:spacing w:before="0" w:after="0" w:line="400" w:lineRule="exact"/>
              <w:jc w:val="both"/>
              <w:rPr>
                <w:rFonts w:hint="cs"/>
              </w:rPr>
            </w:pPr>
            <w:r>
              <w:rPr>
                <w:rFonts w:hint="cs"/>
                <w:rtl/>
              </w:rPr>
              <w:t>55</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Fonts w:hint="cs"/>
                <w:rtl/>
              </w:rPr>
            </w:pPr>
            <w:r>
              <w:rPr>
                <w:rFonts w:hint="cs"/>
                <w:rtl/>
              </w:rPr>
              <w:t>مرض عام</w:t>
            </w:r>
          </w:p>
        </w:tc>
        <w:tc>
          <w:tcPr>
            <w:tcW w:w="1440" w:type="dxa"/>
            <w:tcBorders>
              <w:top w:val="nil"/>
              <w:bottom w:val="nil"/>
            </w:tcBorders>
          </w:tcPr>
          <w:p w:rsidR="003865AC" w:rsidRDefault="003865AC">
            <w:pPr>
              <w:spacing w:before="0" w:after="0" w:line="400" w:lineRule="exact"/>
              <w:jc w:val="both"/>
              <w:rPr>
                <w:rFonts w:hint="cs"/>
              </w:rPr>
            </w:pPr>
            <w:r>
              <w:rPr>
                <w:rFonts w:hint="cs"/>
                <w:rtl/>
              </w:rPr>
              <w:t>593 9</w:t>
            </w:r>
          </w:p>
        </w:tc>
        <w:tc>
          <w:tcPr>
            <w:tcW w:w="1440" w:type="dxa"/>
            <w:tcBorders>
              <w:top w:val="nil"/>
              <w:bottom w:val="nil"/>
            </w:tcBorders>
          </w:tcPr>
          <w:p w:rsidR="003865AC" w:rsidRDefault="003865AC">
            <w:pPr>
              <w:spacing w:before="0" w:after="0" w:line="400" w:lineRule="exact"/>
              <w:jc w:val="both"/>
              <w:rPr>
                <w:rFonts w:hint="cs"/>
              </w:rPr>
            </w:pPr>
            <w:r>
              <w:rPr>
                <w:rFonts w:hint="cs"/>
                <w:rtl/>
              </w:rPr>
              <w:t>046 11</w:t>
            </w:r>
          </w:p>
        </w:tc>
        <w:tc>
          <w:tcPr>
            <w:tcW w:w="1368" w:type="dxa"/>
            <w:tcBorders>
              <w:top w:val="nil"/>
              <w:bottom w:val="nil"/>
            </w:tcBorders>
          </w:tcPr>
          <w:p w:rsidR="003865AC" w:rsidRDefault="003865AC">
            <w:pPr>
              <w:spacing w:before="0" w:after="0" w:line="400" w:lineRule="exact"/>
              <w:jc w:val="both"/>
              <w:rPr>
                <w:rFonts w:hint="cs"/>
              </w:rPr>
            </w:pPr>
            <w:r>
              <w:rPr>
                <w:rFonts w:hint="cs"/>
                <w:rtl/>
              </w:rPr>
              <w:t>155 10</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Fonts w:hint="cs"/>
                <w:rtl/>
              </w:rPr>
            </w:pPr>
            <w:r>
              <w:rPr>
                <w:rFonts w:hint="cs"/>
                <w:rtl/>
              </w:rPr>
              <w:t>الإصابة أثناء الخدمة العسكرية</w:t>
            </w:r>
          </w:p>
        </w:tc>
        <w:tc>
          <w:tcPr>
            <w:tcW w:w="1440" w:type="dxa"/>
            <w:tcBorders>
              <w:top w:val="nil"/>
              <w:bottom w:val="nil"/>
            </w:tcBorders>
          </w:tcPr>
          <w:p w:rsidR="003865AC" w:rsidRDefault="003865AC">
            <w:pPr>
              <w:spacing w:before="0" w:after="0" w:line="400" w:lineRule="exact"/>
              <w:jc w:val="both"/>
              <w:rPr>
                <w:rFonts w:hint="cs"/>
              </w:rPr>
            </w:pPr>
            <w:r>
              <w:rPr>
                <w:rFonts w:hint="cs"/>
                <w:rtl/>
              </w:rPr>
              <w:t>209</w:t>
            </w:r>
          </w:p>
        </w:tc>
        <w:tc>
          <w:tcPr>
            <w:tcW w:w="1440" w:type="dxa"/>
            <w:tcBorders>
              <w:top w:val="nil"/>
              <w:bottom w:val="nil"/>
            </w:tcBorders>
          </w:tcPr>
          <w:p w:rsidR="003865AC" w:rsidRDefault="003865AC">
            <w:pPr>
              <w:spacing w:before="0" w:after="0" w:line="400" w:lineRule="exact"/>
              <w:jc w:val="both"/>
              <w:rPr>
                <w:rFonts w:hint="cs"/>
              </w:rPr>
            </w:pPr>
            <w:r>
              <w:rPr>
                <w:rFonts w:hint="cs"/>
                <w:rtl/>
              </w:rPr>
              <w:t>553</w:t>
            </w:r>
          </w:p>
        </w:tc>
        <w:tc>
          <w:tcPr>
            <w:tcW w:w="1368" w:type="dxa"/>
            <w:tcBorders>
              <w:top w:val="nil"/>
              <w:bottom w:val="nil"/>
            </w:tcBorders>
          </w:tcPr>
          <w:p w:rsidR="003865AC" w:rsidRDefault="003865AC">
            <w:pPr>
              <w:spacing w:before="0" w:after="0" w:line="400" w:lineRule="exact"/>
              <w:jc w:val="both"/>
              <w:rPr>
                <w:rFonts w:hint="cs"/>
              </w:rPr>
            </w:pPr>
            <w:r>
              <w:rPr>
                <w:rFonts w:hint="cs"/>
                <w:rtl/>
              </w:rPr>
              <w:t>517</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Fonts w:hint="cs"/>
                <w:rtl/>
              </w:rPr>
            </w:pPr>
            <w:r>
              <w:rPr>
                <w:rFonts w:hint="cs"/>
                <w:rtl/>
              </w:rPr>
              <w:t>عاهات الطفولة</w:t>
            </w:r>
          </w:p>
        </w:tc>
        <w:tc>
          <w:tcPr>
            <w:tcW w:w="1440" w:type="dxa"/>
            <w:tcBorders>
              <w:top w:val="nil"/>
              <w:bottom w:val="nil"/>
            </w:tcBorders>
          </w:tcPr>
          <w:p w:rsidR="003865AC" w:rsidRDefault="003865AC">
            <w:pPr>
              <w:spacing w:before="0" w:after="0" w:line="400" w:lineRule="exact"/>
              <w:jc w:val="both"/>
              <w:rPr>
                <w:rFonts w:hint="cs"/>
              </w:rPr>
            </w:pPr>
            <w:r>
              <w:rPr>
                <w:rFonts w:hint="cs"/>
                <w:rtl/>
              </w:rPr>
              <w:t>002 1</w:t>
            </w:r>
          </w:p>
        </w:tc>
        <w:tc>
          <w:tcPr>
            <w:tcW w:w="1440" w:type="dxa"/>
            <w:tcBorders>
              <w:top w:val="nil"/>
              <w:bottom w:val="nil"/>
            </w:tcBorders>
          </w:tcPr>
          <w:p w:rsidR="003865AC" w:rsidRDefault="003865AC">
            <w:pPr>
              <w:spacing w:before="0" w:after="0" w:line="400" w:lineRule="exact"/>
              <w:jc w:val="both"/>
              <w:rPr>
                <w:rFonts w:hint="cs"/>
              </w:rPr>
            </w:pPr>
            <w:r>
              <w:rPr>
                <w:rFonts w:hint="cs"/>
                <w:rtl/>
              </w:rPr>
              <w:t>075 1</w:t>
            </w:r>
          </w:p>
        </w:tc>
        <w:tc>
          <w:tcPr>
            <w:tcW w:w="1368" w:type="dxa"/>
            <w:tcBorders>
              <w:top w:val="nil"/>
              <w:bottom w:val="nil"/>
            </w:tcBorders>
          </w:tcPr>
          <w:p w:rsidR="003865AC" w:rsidRDefault="003865AC">
            <w:pPr>
              <w:spacing w:before="0" w:after="0" w:line="400" w:lineRule="exact"/>
              <w:jc w:val="both"/>
              <w:rPr>
                <w:rFonts w:hint="cs"/>
              </w:rPr>
            </w:pPr>
            <w:r>
              <w:rPr>
                <w:rFonts w:hint="cs"/>
                <w:rtl/>
              </w:rPr>
              <w:t>840</w:t>
            </w:r>
          </w:p>
        </w:tc>
      </w:tr>
      <w:tr w:rsidR="003865AC" w:rsidTr="003865AC">
        <w:tblPrEx>
          <w:tblCellMar>
            <w:top w:w="0" w:type="dxa"/>
            <w:bottom w:w="0" w:type="dxa"/>
          </w:tblCellMar>
        </w:tblPrEx>
        <w:tc>
          <w:tcPr>
            <w:tcW w:w="5322" w:type="dxa"/>
            <w:tcBorders>
              <w:top w:val="nil"/>
            </w:tcBorders>
          </w:tcPr>
          <w:p w:rsidR="003865AC" w:rsidRDefault="003865AC">
            <w:pPr>
              <w:spacing w:before="0" w:after="0" w:line="400" w:lineRule="exact"/>
              <w:jc w:val="both"/>
              <w:rPr>
                <w:rFonts w:hint="cs"/>
                <w:rtl/>
              </w:rPr>
            </w:pPr>
            <w:r>
              <w:rPr>
                <w:rFonts w:hint="cs"/>
                <w:rtl/>
              </w:rPr>
              <w:t>المعوقون إعاقة دائمة ومثبتة</w:t>
            </w:r>
          </w:p>
        </w:tc>
        <w:tc>
          <w:tcPr>
            <w:tcW w:w="1440" w:type="dxa"/>
            <w:tcBorders>
              <w:top w:val="nil"/>
            </w:tcBorders>
          </w:tcPr>
          <w:p w:rsidR="003865AC" w:rsidRDefault="003865AC">
            <w:pPr>
              <w:spacing w:before="0" w:after="0" w:line="400" w:lineRule="exact"/>
              <w:jc w:val="both"/>
              <w:rPr>
                <w:rFonts w:hint="cs"/>
              </w:rPr>
            </w:pPr>
            <w:r>
              <w:rPr>
                <w:rFonts w:hint="cs"/>
                <w:rtl/>
              </w:rPr>
              <w:t>553 2</w:t>
            </w:r>
          </w:p>
        </w:tc>
        <w:tc>
          <w:tcPr>
            <w:tcW w:w="1440" w:type="dxa"/>
            <w:tcBorders>
              <w:top w:val="nil"/>
            </w:tcBorders>
          </w:tcPr>
          <w:p w:rsidR="003865AC" w:rsidRDefault="003865AC">
            <w:pPr>
              <w:spacing w:before="0" w:after="0" w:line="400" w:lineRule="exact"/>
              <w:jc w:val="both"/>
              <w:rPr>
                <w:rFonts w:hint="cs"/>
              </w:rPr>
            </w:pPr>
            <w:r>
              <w:rPr>
                <w:rFonts w:hint="cs"/>
                <w:rtl/>
              </w:rPr>
              <w:t>208 3</w:t>
            </w:r>
          </w:p>
        </w:tc>
        <w:tc>
          <w:tcPr>
            <w:tcW w:w="1368" w:type="dxa"/>
            <w:tcBorders>
              <w:top w:val="nil"/>
            </w:tcBorders>
          </w:tcPr>
          <w:p w:rsidR="003865AC" w:rsidRDefault="003865AC">
            <w:pPr>
              <w:spacing w:before="0" w:after="0" w:line="400" w:lineRule="exact"/>
              <w:jc w:val="both"/>
              <w:rPr>
                <w:rFonts w:hint="cs"/>
              </w:rPr>
            </w:pPr>
            <w:r>
              <w:rPr>
                <w:rFonts w:hint="cs"/>
                <w:rtl/>
              </w:rPr>
              <w:t>513 3</w:t>
            </w:r>
          </w:p>
        </w:tc>
      </w:tr>
    </w:tbl>
    <w:p w:rsidR="00000000" w:rsidRDefault="003865AC">
      <w:pPr>
        <w:spacing w:line="360" w:lineRule="exact"/>
        <w:jc w:val="center"/>
        <w:rPr>
          <w:b/>
          <w:bCs/>
          <w:rtl/>
        </w:rPr>
      </w:pPr>
      <w:r>
        <w:rPr>
          <w:rFonts w:hint="cs"/>
          <w:b/>
          <w:bCs/>
          <w:rtl/>
        </w:rPr>
        <w:t>حالات الإجهاض</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2"/>
        <w:gridCol w:w="1440"/>
        <w:gridCol w:w="1440"/>
        <w:gridCol w:w="1368"/>
      </w:tblGrid>
      <w:tr w:rsidR="003865AC" w:rsidTr="003865AC">
        <w:tblPrEx>
          <w:tblCellMar>
            <w:top w:w="0" w:type="dxa"/>
            <w:bottom w:w="0" w:type="dxa"/>
          </w:tblCellMar>
        </w:tblPrEx>
        <w:tc>
          <w:tcPr>
            <w:tcW w:w="5322" w:type="dxa"/>
            <w:tcBorders>
              <w:bottom w:val="single" w:sz="4" w:space="0" w:color="auto"/>
            </w:tcBorders>
          </w:tcPr>
          <w:p w:rsidR="003865AC" w:rsidRDefault="003865AC">
            <w:pPr>
              <w:spacing w:before="0" w:after="0" w:line="400" w:lineRule="exact"/>
              <w:jc w:val="both"/>
              <w:rPr>
                <w:rFonts w:hint="cs"/>
              </w:rPr>
            </w:pPr>
          </w:p>
        </w:tc>
        <w:tc>
          <w:tcPr>
            <w:tcW w:w="1440" w:type="dxa"/>
            <w:tcBorders>
              <w:bottom w:val="single" w:sz="4" w:space="0" w:color="auto"/>
            </w:tcBorders>
          </w:tcPr>
          <w:p w:rsidR="003865AC" w:rsidRDefault="003865AC">
            <w:pPr>
              <w:spacing w:before="0" w:after="0" w:line="400" w:lineRule="exact"/>
              <w:jc w:val="both"/>
              <w:rPr>
                <w:rFonts w:hint="cs"/>
                <w:b/>
                <w:bCs/>
              </w:rPr>
            </w:pPr>
            <w:r>
              <w:rPr>
                <w:rFonts w:hint="cs"/>
                <w:b/>
                <w:bCs/>
                <w:rtl/>
              </w:rPr>
              <w:t>1997</w:t>
            </w:r>
          </w:p>
        </w:tc>
        <w:tc>
          <w:tcPr>
            <w:tcW w:w="1440" w:type="dxa"/>
            <w:tcBorders>
              <w:bottom w:val="single" w:sz="4" w:space="0" w:color="auto"/>
            </w:tcBorders>
          </w:tcPr>
          <w:p w:rsidR="003865AC" w:rsidRDefault="003865AC">
            <w:pPr>
              <w:spacing w:before="0" w:after="0" w:line="400" w:lineRule="exact"/>
              <w:jc w:val="both"/>
              <w:rPr>
                <w:rFonts w:hint="cs"/>
                <w:b/>
                <w:bCs/>
              </w:rPr>
            </w:pPr>
            <w:r>
              <w:rPr>
                <w:rFonts w:hint="cs"/>
                <w:b/>
                <w:bCs/>
                <w:rtl/>
              </w:rPr>
              <w:t>1998</w:t>
            </w:r>
          </w:p>
        </w:tc>
        <w:tc>
          <w:tcPr>
            <w:tcW w:w="1368" w:type="dxa"/>
            <w:tcBorders>
              <w:bottom w:val="single" w:sz="4" w:space="0" w:color="auto"/>
            </w:tcBorders>
          </w:tcPr>
          <w:p w:rsidR="003865AC" w:rsidRDefault="003865AC">
            <w:pPr>
              <w:spacing w:before="0" w:after="0" w:line="400" w:lineRule="exact"/>
              <w:jc w:val="both"/>
              <w:rPr>
                <w:rFonts w:hint="cs"/>
                <w:b/>
                <w:bCs/>
              </w:rPr>
            </w:pPr>
            <w:r>
              <w:rPr>
                <w:rFonts w:hint="cs"/>
                <w:b/>
                <w:bCs/>
                <w:rtl/>
              </w:rPr>
              <w:t>1999</w:t>
            </w:r>
          </w:p>
        </w:tc>
      </w:tr>
      <w:tr w:rsidR="003865AC" w:rsidTr="003865AC">
        <w:tblPrEx>
          <w:tblCellMar>
            <w:top w:w="0" w:type="dxa"/>
            <w:bottom w:w="0" w:type="dxa"/>
          </w:tblCellMar>
        </w:tblPrEx>
        <w:tc>
          <w:tcPr>
            <w:tcW w:w="5322" w:type="dxa"/>
            <w:tcBorders>
              <w:bottom w:val="nil"/>
            </w:tcBorders>
          </w:tcPr>
          <w:p w:rsidR="003865AC" w:rsidRDefault="003865AC">
            <w:pPr>
              <w:spacing w:before="0" w:after="0" w:line="400" w:lineRule="exact"/>
              <w:jc w:val="both"/>
              <w:rPr>
                <w:rFonts w:hint="cs"/>
              </w:rPr>
            </w:pPr>
            <w:r>
              <w:rPr>
                <w:rFonts w:hint="cs"/>
                <w:rtl/>
              </w:rPr>
              <w:t>مجموع عدد حالات الإجهاض (بالآلاف)</w:t>
            </w:r>
          </w:p>
        </w:tc>
        <w:tc>
          <w:tcPr>
            <w:tcW w:w="1440" w:type="dxa"/>
            <w:tcBorders>
              <w:bottom w:val="nil"/>
            </w:tcBorders>
          </w:tcPr>
          <w:p w:rsidR="003865AC" w:rsidRDefault="003865AC">
            <w:pPr>
              <w:spacing w:before="0" w:after="0" w:line="400" w:lineRule="exact"/>
              <w:jc w:val="both"/>
              <w:rPr>
                <w:rFonts w:hint="cs"/>
                <w:rtl/>
              </w:rPr>
            </w:pPr>
            <w:r>
              <w:rPr>
                <w:rFonts w:hint="cs"/>
                <w:rtl/>
              </w:rPr>
              <w:t>23.4</w:t>
            </w:r>
          </w:p>
        </w:tc>
        <w:tc>
          <w:tcPr>
            <w:tcW w:w="1440" w:type="dxa"/>
            <w:tcBorders>
              <w:bottom w:val="nil"/>
            </w:tcBorders>
          </w:tcPr>
          <w:p w:rsidR="003865AC" w:rsidRDefault="003865AC">
            <w:pPr>
              <w:spacing w:before="0" w:after="0" w:line="400" w:lineRule="exact"/>
              <w:jc w:val="both"/>
              <w:rPr>
                <w:rFonts w:hint="cs"/>
                <w:rtl/>
              </w:rPr>
            </w:pPr>
            <w:r>
              <w:rPr>
                <w:rFonts w:hint="cs"/>
                <w:rtl/>
              </w:rPr>
              <w:t>21.0</w:t>
            </w:r>
          </w:p>
        </w:tc>
        <w:tc>
          <w:tcPr>
            <w:tcW w:w="1368" w:type="dxa"/>
            <w:tcBorders>
              <w:bottom w:val="nil"/>
            </w:tcBorders>
          </w:tcPr>
          <w:p w:rsidR="003865AC" w:rsidRDefault="003865AC">
            <w:pPr>
              <w:spacing w:before="0" w:after="0" w:line="400" w:lineRule="exact"/>
              <w:jc w:val="both"/>
              <w:rPr>
                <w:rFonts w:hint="cs"/>
                <w:rtl/>
              </w:rPr>
            </w:pPr>
            <w:r>
              <w:rPr>
                <w:rFonts w:hint="cs"/>
                <w:rtl/>
              </w:rPr>
              <w:t>18.3</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Fonts w:hint="cs"/>
                <w:rtl/>
              </w:rPr>
            </w:pPr>
            <w:r>
              <w:rPr>
                <w:rFonts w:hint="cs"/>
                <w:rtl/>
              </w:rPr>
              <w:t>منها عمليات الإجهاض المستحث التحريض المأمون والمبكر (عمليات صغيرة) (بالآلاف)</w:t>
            </w:r>
          </w:p>
        </w:tc>
        <w:tc>
          <w:tcPr>
            <w:tcW w:w="1440" w:type="dxa"/>
            <w:tcBorders>
              <w:top w:val="nil"/>
              <w:bottom w:val="nil"/>
            </w:tcBorders>
          </w:tcPr>
          <w:p w:rsidR="003865AC" w:rsidRDefault="003865AC">
            <w:pPr>
              <w:spacing w:before="0" w:after="0" w:line="400" w:lineRule="exact"/>
              <w:jc w:val="both"/>
              <w:rPr>
                <w:rFonts w:hint="cs"/>
                <w:rtl/>
              </w:rPr>
            </w:pPr>
            <w:r>
              <w:rPr>
                <w:rFonts w:hint="cs"/>
                <w:rtl/>
              </w:rPr>
              <w:t>5.5</w:t>
            </w:r>
          </w:p>
        </w:tc>
        <w:tc>
          <w:tcPr>
            <w:tcW w:w="1440" w:type="dxa"/>
            <w:tcBorders>
              <w:top w:val="nil"/>
              <w:bottom w:val="nil"/>
            </w:tcBorders>
          </w:tcPr>
          <w:p w:rsidR="003865AC" w:rsidRDefault="003865AC">
            <w:pPr>
              <w:spacing w:before="0" w:after="0" w:line="400" w:lineRule="exact"/>
              <w:jc w:val="both"/>
              <w:rPr>
                <w:rFonts w:hint="cs"/>
                <w:rtl/>
              </w:rPr>
            </w:pPr>
            <w:r>
              <w:rPr>
                <w:rFonts w:hint="cs"/>
                <w:rtl/>
              </w:rPr>
              <w:t>6.8</w:t>
            </w:r>
          </w:p>
        </w:tc>
        <w:tc>
          <w:tcPr>
            <w:tcW w:w="1368" w:type="dxa"/>
            <w:tcBorders>
              <w:top w:val="nil"/>
              <w:bottom w:val="nil"/>
            </w:tcBorders>
          </w:tcPr>
          <w:p w:rsidR="003865AC" w:rsidRDefault="003865AC">
            <w:pPr>
              <w:spacing w:before="0" w:after="0" w:line="400" w:lineRule="exact"/>
              <w:jc w:val="both"/>
              <w:rPr>
                <w:rFonts w:hint="cs"/>
                <w:rtl/>
              </w:rPr>
            </w:pPr>
            <w:r>
              <w:rPr>
                <w:rFonts w:hint="cs"/>
                <w:rtl/>
              </w:rPr>
              <w:t>6.5</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Fonts w:hint="cs"/>
                <w:rtl/>
              </w:rPr>
            </w:pPr>
            <w:r>
              <w:rPr>
                <w:rFonts w:hint="cs"/>
                <w:rtl/>
              </w:rPr>
              <w:t xml:space="preserve">عدد عمليات الإجهاض بحسب المجموعة العمرية: </w:t>
            </w:r>
          </w:p>
        </w:tc>
        <w:tc>
          <w:tcPr>
            <w:tcW w:w="1440" w:type="dxa"/>
            <w:tcBorders>
              <w:top w:val="nil"/>
              <w:bottom w:val="nil"/>
            </w:tcBorders>
          </w:tcPr>
          <w:p w:rsidR="003865AC" w:rsidRDefault="003865AC">
            <w:pPr>
              <w:spacing w:before="0" w:after="0" w:line="400" w:lineRule="exact"/>
              <w:jc w:val="both"/>
              <w:rPr>
                <w:rFonts w:hint="cs"/>
                <w:rtl/>
              </w:rPr>
            </w:pPr>
          </w:p>
        </w:tc>
        <w:tc>
          <w:tcPr>
            <w:tcW w:w="1440" w:type="dxa"/>
            <w:tcBorders>
              <w:top w:val="nil"/>
              <w:bottom w:val="nil"/>
            </w:tcBorders>
          </w:tcPr>
          <w:p w:rsidR="003865AC" w:rsidRDefault="003865AC">
            <w:pPr>
              <w:spacing w:before="0" w:after="0" w:line="400" w:lineRule="exact"/>
              <w:jc w:val="both"/>
              <w:rPr>
                <w:rFonts w:hint="cs"/>
                <w:rtl/>
              </w:rPr>
            </w:pPr>
          </w:p>
        </w:tc>
        <w:tc>
          <w:tcPr>
            <w:tcW w:w="1368" w:type="dxa"/>
            <w:tcBorders>
              <w:top w:val="nil"/>
              <w:bottom w:val="nil"/>
            </w:tcBorders>
          </w:tcPr>
          <w:p w:rsidR="003865AC" w:rsidRDefault="003865AC">
            <w:pPr>
              <w:spacing w:before="0" w:after="0" w:line="400" w:lineRule="exact"/>
              <w:jc w:val="both"/>
              <w:rPr>
                <w:rFonts w:hint="cs"/>
                <w:rtl/>
              </w:rPr>
            </w:pP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Fonts w:hint="cs"/>
                <w:rtl/>
              </w:rPr>
            </w:pPr>
            <w:r>
              <w:rPr>
                <w:rFonts w:hint="cs"/>
                <w:rtl/>
              </w:rPr>
              <w:t xml:space="preserve">   أقل من 15 سنة</w:t>
            </w:r>
          </w:p>
        </w:tc>
        <w:tc>
          <w:tcPr>
            <w:tcW w:w="1440" w:type="dxa"/>
            <w:tcBorders>
              <w:top w:val="nil"/>
              <w:bottom w:val="nil"/>
            </w:tcBorders>
          </w:tcPr>
          <w:p w:rsidR="003865AC" w:rsidRDefault="003865AC">
            <w:pPr>
              <w:spacing w:before="0" w:after="0" w:line="400" w:lineRule="exact"/>
              <w:jc w:val="both"/>
              <w:rPr>
                <w:rFonts w:hint="cs"/>
                <w:rtl/>
              </w:rPr>
            </w:pPr>
            <w:r>
              <w:rPr>
                <w:rFonts w:hint="cs"/>
                <w:rtl/>
              </w:rPr>
              <w:t xml:space="preserve">   2</w:t>
            </w:r>
          </w:p>
        </w:tc>
        <w:tc>
          <w:tcPr>
            <w:tcW w:w="1440" w:type="dxa"/>
            <w:tcBorders>
              <w:top w:val="nil"/>
              <w:bottom w:val="nil"/>
            </w:tcBorders>
          </w:tcPr>
          <w:p w:rsidR="003865AC" w:rsidRDefault="003865AC">
            <w:pPr>
              <w:spacing w:before="0" w:after="0" w:line="400" w:lineRule="exact"/>
              <w:jc w:val="both"/>
              <w:rPr>
                <w:rFonts w:hint="cs"/>
                <w:rtl/>
              </w:rPr>
            </w:pPr>
            <w:r>
              <w:rPr>
                <w:rFonts w:hint="cs"/>
                <w:rtl/>
              </w:rPr>
              <w:t xml:space="preserve">   14</w:t>
            </w:r>
          </w:p>
        </w:tc>
        <w:tc>
          <w:tcPr>
            <w:tcW w:w="1368" w:type="dxa"/>
            <w:tcBorders>
              <w:top w:val="nil"/>
              <w:bottom w:val="nil"/>
            </w:tcBorders>
          </w:tcPr>
          <w:p w:rsidR="003865AC" w:rsidRDefault="003865AC">
            <w:pPr>
              <w:spacing w:before="0" w:after="0" w:line="400" w:lineRule="exact"/>
              <w:jc w:val="both"/>
              <w:rPr>
                <w:rFonts w:hint="cs"/>
                <w:rtl/>
              </w:rPr>
            </w:pPr>
            <w:r>
              <w:rPr>
                <w:rFonts w:hint="cs"/>
                <w:rtl/>
              </w:rPr>
              <w:t xml:space="preserve">    3</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Fonts w:hint="cs"/>
                <w:rtl/>
              </w:rPr>
            </w:pPr>
            <w:r>
              <w:rPr>
                <w:rFonts w:hint="cs"/>
                <w:rtl/>
              </w:rPr>
              <w:t xml:space="preserve">   15-19 سنة</w:t>
            </w:r>
          </w:p>
        </w:tc>
        <w:tc>
          <w:tcPr>
            <w:tcW w:w="1440" w:type="dxa"/>
            <w:tcBorders>
              <w:top w:val="nil"/>
              <w:bottom w:val="nil"/>
            </w:tcBorders>
          </w:tcPr>
          <w:p w:rsidR="003865AC" w:rsidRDefault="003865AC">
            <w:pPr>
              <w:spacing w:before="0" w:after="0" w:line="400" w:lineRule="exact"/>
              <w:jc w:val="both"/>
              <w:rPr>
                <w:rFonts w:hint="cs"/>
                <w:rtl/>
              </w:rPr>
            </w:pPr>
            <w:r>
              <w:rPr>
                <w:rFonts w:hint="cs"/>
                <w:rtl/>
              </w:rPr>
              <w:t xml:space="preserve">   320 1</w:t>
            </w:r>
          </w:p>
        </w:tc>
        <w:tc>
          <w:tcPr>
            <w:tcW w:w="1440" w:type="dxa"/>
            <w:tcBorders>
              <w:top w:val="nil"/>
              <w:bottom w:val="nil"/>
            </w:tcBorders>
          </w:tcPr>
          <w:p w:rsidR="003865AC" w:rsidRDefault="003865AC">
            <w:pPr>
              <w:spacing w:before="0" w:after="0" w:line="400" w:lineRule="exact"/>
              <w:jc w:val="both"/>
              <w:rPr>
                <w:rFonts w:hint="cs"/>
                <w:rtl/>
              </w:rPr>
            </w:pPr>
            <w:r>
              <w:rPr>
                <w:rFonts w:hint="cs"/>
                <w:rtl/>
              </w:rPr>
              <w:t xml:space="preserve">   009 1</w:t>
            </w:r>
          </w:p>
        </w:tc>
        <w:tc>
          <w:tcPr>
            <w:tcW w:w="1368" w:type="dxa"/>
            <w:tcBorders>
              <w:top w:val="nil"/>
              <w:bottom w:val="nil"/>
            </w:tcBorders>
          </w:tcPr>
          <w:p w:rsidR="003865AC" w:rsidRDefault="003865AC">
            <w:pPr>
              <w:spacing w:before="0" w:after="0" w:line="400" w:lineRule="exact"/>
              <w:jc w:val="both"/>
              <w:rPr>
                <w:rFonts w:hint="cs"/>
                <w:rtl/>
              </w:rPr>
            </w:pPr>
            <w:r>
              <w:rPr>
                <w:rFonts w:hint="cs"/>
                <w:rtl/>
              </w:rPr>
              <w:t xml:space="preserve">   866</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Fonts w:hint="cs"/>
                <w:rtl/>
              </w:rPr>
            </w:pPr>
            <w:r>
              <w:rPr>
                <w:rFonts w:hint="cs"/>
                <w:rtl/>
              </w:rPr>
              <w:t xml:space="preserve">   20-34 سنة</w:t>
            </w:r>
          </w:p>
        </w:tc>
        <w:tc>
          <w:tcPr>
            <w:tcW w:w="1440" w:type="dxa"/>
            <w:tcBorders>
              <w:top w:val="nil"/>
              <w:bottom w:val="nil"/>
            </w:tcBorders>
          </w:tcPr>
          <w:p w:rsidR="003865AC" w:rsidRDefault="003865AC">
            <w:pPr>
              <w:spacing w:before="0" w:after="0" w:line="400" w:lineRule="exact"/>
              <w:jc w:val="both"/>
              <w:rPr>
                <w:rFonts w:hint="cs"/>
                <w:rtl/>
              </w:rPr>
            </w:pPr>
            <w:r>
              <w:rPr>
                <w:rFonts w:hint="cs"/>
                <w:rtl/>
              </w:rPr>
              <w:t xml:space="preserve">   690 17</w:t>
            </w:r>
          </w:p>
        </w:tc>
        <w:tc>
          <w:tcPr>
            <w:tcW w:w="1440" w:type="dxa"/>
            <w:tcBorders>
              <w:top w:val="nil"/>
              <w:bottom w:val="nil"/>
            </w:tcBorders>
          </w:tcPr>
          <w:p w:rsidR="003865AC" w:rsidRDefault="003865AC">
            <w:pPr>
              <w:spacing w:before="0" w:after="0" w:line="400" w:lineRule="exact"/>
              <w:jc w:val="both"/>
              <w:rPr>
                <w:rFonts w:hint="cs"/>
                <w:rtl/>
              </w:rPr>
            </w:pPr>
            <w:r>
              <w:rPr>
                <w:rFonts w:hint="cs"/>
                <w:rtl/>
              </w:rPr>
              <w:t xml:space="preserve">   919 15</w:t>
            </w:r>
          </w:p>
        </w:tc>
        <w:tc>
          <w:tcPr>
            <w:tcW w:w="1368" w:type="dxa"/>
            <w:tcBorders>
              <w:top w:val="nil"/>
              <w:bottom w:val="nil"/>
            </w:tcBorders>
          </w:tcPr>
          <w:p w:rsidR="003865AC" w:rsidRDefault="003865AC">
            <w:pPr>
              <w:spacing w:before="0" w:after="0" w:line="400" w:lineRule="exact"/>
              <w:jc w:val="both"/>
              <w:rPr>
                <w:rFonts w:hint="cs"/>
                <w:rtl/>
              </w:rPr>
            </w:pPr>
            <w:r>
              <w:rPr>
                <w:rFonts w:hint="cs"/>
                <w:rtl/>
              </w:rPr>
              <w:t xml:space="preserve">   271 14</w:t>
            </w:r>
          </w:p>
        </w:tc>
      </w:tr>
      <w:tr w:rsidR="003865AC" w:rsidTr="003865AC">
        <w:tblPrEx>
          <w:tblCellMar>
            <w:top w:w="0" w:type="dxa"/>
            <w:bottom w:w="0" w:type="dxa"/>
          </w:tblCellMar>
        </w:tblPrEx>
        <w:tc>
          <w:tcPr>
            <w:tcW w:w="5322" w:type="dxa"/>
            <w:tcBorders>
              <w:top w:val="nil"/>
            </w:tcBorders>
          </w:tcPr>
          <w:p w:rsidR="003865AC" w:rsidRDefault="003865AC">
            <w:pPr>
              <w:spacing w:before="0" w:after="0" w:line="400" w:lineRule="exact"/>
              <w:jc w:val="both"/>
              <w:rPr>
                <w:rFonts w:hint="cs"/>
                <w:rtl/>
              </w:rPr>
            </w:pPr>
            <w:r>
              <w:rPr>
                <w:rFonts w:hint="cs"/>
                <w:rtl/>
              </w:rPr>
              <w:t xml:space="preserve">   34 فما فوق</w:t>
            </w:r>
          </w:p>
        </w:tc>
        <w:tc>
          <w:tcPr>
            <w:tcW w:w="1440" w:type="dxa"/>
            <w:tcBorders>
              <w:top w:val="nil"/>
            </w:tcBorders>
          </w:tcPr>
          <w:p w:rsidR="003865AC" w:rsidRDefault="003865AC">
            <w:pPr>
              <w:spacing w:before="0" w:after="0" w:line="400" w:lineRule="exact"/>
              <w:jc w:val="both"/>
              <w:rPr>
                <w:rFonts w:hint="cs"/>
                <w:rtl/>
              </w:rPr>
            </w:pPr>
            <w:r>
              <w:rPr>
                <w:rFonts w:hint="cs"/>
                <w:rtl/>
              </w:rPr>
              <w:t xml:space="preserve">   388 4</w:t>
            </w:r>
          </w:p>
        </w:tc>
        <w:tc>
          <w:tcPr>
            <w:tcW w:w="1440" w:type="dxa"/>
            <w:tcBorders>
              <w:top w:val="nil"/>
            </w:tcBorders>
          </w:tcPr>
          <w:p w:rsidR="003865AC" w:rsidRDefault="003865AC">
            <w:pPr>
              <w:spacing w:before="0" w:after="0" w:line="400" w:lineRule="exact"/>
              <w:jc w:val="both"/>
              <w:rPr>
                <w:rFonts w:hint="cs"/>
                <w:rtl/>
              </w:rPr>
            </w:pPr>
            <w:r>
              <w:rPr>
                <w:rFonts w:hint="cs"/>
                <w:rtl/>
              </w:rPr>
              <w:t xml:space="preserve">   076 4</w:t>
            </w:r>
          </w:p>
        </w:tc>
        <w:tc>
          <w:tcPr>
            <w:tcW w:w="1368" w:type="dxa"/>
            <w:tcBorders>
              <w:top w:val="nil"/>
            </w:tcBorders>
          </w:tcPr>
          <w:p w:rsidR="003865AC" w:rsidRDefault="003865AC">
            <w:pPr>
              <w:spacing w:before="0" w:after="0" w:line="400" w:lineRule="exact"/>
              <w:jc w:val="both"/>
              <w:rPr>
                <w:rFonts w:hint="cs"/>
                <w:rtl/>
              </w:rPr>
            </w:pPr>
            <w:r>
              <w:rPr>
                <w:rFonts w:hint="cs"/>
                <w:rtl/>
              </w:rPr>
              <w:t xml:space="preserve">   166 3</w:t>
            </w:r>
          </w:p>
        </w:tc>
      </w:tr>
    </w:tbl>
    <w:p w:rsidR="00000000" w:rsidRDefault="003865AC">
      <w:pPr>
        <w:jc w:val="both"/>
        <w:rPr>
          <w:rFonts w:hint="cs"/>
          <w:rtl/>
        </w:rPr>
      </w:pPr>
      <w:r>
        <w:rPr>
          <w:rFonts w:hint="cs"/>
          <w:rtl/>
        </w:rPr>
        <w:t>225-</w:t>
      </w:r>
      <w:r>
        <w:rPr>
          <w:rFonts w:hint="cs"/>
          <w:rtl/>
        </w:rPr>
        <w:tab/>
        <w:t>وفيما يتعلق بتنظيم الأ</w:t>
      </w:r>
      <w:r>
        <w:rPr>
          <w:rFonts w:hint="cs"/>
          <w:rtl/>
        </w:rPr>
        <w:t>سرة، تجدر الإشارة إلى أنه تم خلال السنة الماضية إنشاء أكثر من 30 مركزاً لتقديم المشورة في مجال الصحة الإنجابية في مدن في شتى أنحاء جورجيا. وتزود هذه المراكز الزوار بموانع الحمل وبالمعلومات والنصائح بشأن مسائل تتعلق بتنظيم الأسرة وباستخدام موانع الحمل. وهذا</w:t>
      </w:r>
      <w:r>
        <w:rPr>
          <w:rFonts w:hint="cs"/>
          <w:rtl/>
        </w:rPr>
        <w:t xml:space="preserve"> المشروع هو نتاج التعاون بين إحدى المنظمات غير الحكومية الجورجية وجامعة جون هوبكنز في الولايات المتحدة الأمريكية وبمشاركة من المعهد الجورجي للصحة الإنجابية.</w:t>
      </w:r>
    </w:p>
    <w:p w:rsidR="00000000" w:rsidRDefault="003865AC">
      <w:pPr>
        <w:jc w:val="both"/>
        <w:rPr>
          <w:rFonts w:hint="cs"/>
          <w:b/>
          <w:bCs/>
          <w:rtl/>
        </w:rPr>
      </w:pPr>
      <w:r>
        <w:rPr>
          <w:rFonts w:hint="cs"/>
          <w:b/>
          <w:bCs/>
          <w:rtl/>
        </w:rPr>
        <w:t>المادة 13</w:t>
      </w:r>
    </w:p>
    <w:p w:rsidR="00000000" w:rsidRDefault="003865AC">
      <w:pPr>
        <w:jc w:val="both"/>
        <w:rPr>
          <w:rFonts w:hint="cs"/>
          <w:rtl/>
        </w:rPr>
      </w:pPr>
      <w:r>
        <w:rPr>
          <w:rFonts w:hint="cs"/>
          <w:rtl/>
        </w:rPr>
        <w:t>مؤشرات التعليم العامة خلال الفترة المشمولة بالتقرير</w:t>
      </w:r>
    </w:p>
    <w:p w:rsidR="00000000" w:rsidRDefault="003865AC">
      <w:pPr>
        <w:jc w:val="both"/>
        <w:rPr>
          <w:rFonts w:hint="cs"/>
          <w:rtl/>
        </w:rPr>
      </w:pPr>
      <w:r>
        <w:rPr>
          <w:rFonts w:hint="cs"/>
          <w:rtl/>
        </w:rPr>
        <w:t>226-</w:t>
      </w:r>
      <w:r>
        <w:rPr>
          <w:rFonts w:hint="cs"/>
          <w:rtl/>
        </w:rPr>
        <w:tab/>
        <w:t xml:space="preserve">ينبغي الرجوع في هذه المسألة إلى </w:t>
      </w:r>
      <w:r>
        <w:rPr>
          <w:rFonts w:hint="cs"/>
          <w:rtl/>
        </w:rPr>
        <w:t>التقرير الأولي لجورجيا المقدم إلى لجنة القضاء على التمييز العنصري، إذ إنه يقدم معلومات مسهبة عن التشريعات الناظمة للتعليم (الفقرات من 253 إلى 265) وبيانات إحصائية تغطي الفترة حتى نهاية عام 1998 (الفقرات من 266 إلى 271).</w:t>
      </w:r>
    </w:p>
    <w:p w:rsidR="00000000" w:rsidRDefault="003865AC">
      <w:pPr>
        <w:jc w:val="both"/>
        <w:rPr>
          <w:rFonts w:hint="cs"/>
          <w:rtl/>
        </w:rPr>
      </w:pPr>
      <w:r>
        <w:rPr>
          <w:rFonts w:hint="cs"/>
          <w:rtl/>
        </w:rPr>
        <w:t>227-</w:t>
      </w:r>
      <w:r>
        <w:rPr>
          <w:rFonts w:hint="cs"/>
          <w:rtl/>
        </w:rPr>
        <w:tab/>
        <w:t>كما ترد معلومات هامة عن الحق في</w:t>
      </w:r>
      <w:r>
        <w:rPr>
          <w:rFonts w:hint="cs"/>
          <w:rtl/>
        </w:rPr>
        <w:t xml:space="preserve"> التعليم في الردود على قائمة المسائل التي وضعتها لجنة حقوق الطفل </w:t>
      </w:r>
      <w:r>
        <w:t>(CRC/C/Q/GEO/1)</w:t>
      </w:r>
      <w:r>
        <w:rPr>
          <w:rFonts w:hint="cs"/>
          <w:rtl/>
        </w:rPr>
        <w:t xml:space="preserve"> فيما يتعلق بنظرها في التقرير الأولي لجورجيا. ولقد نظرت اللجنة في هذا التقرير في أيار/مايو 2000.</w:t>
      </w:r>
    </w:p>
    <w:p w:rsidR="00000000" w:rsidRDefault="003865AC">
      <w:pPr>
        <w:jc w:val="both"/>
        <w:rPr>
          <w:rFonts w:hint="cs"/>
          <w:rtl/>
        </w:rPr>
      </w:pPr>
      <w:r>
        <w:rPr>
          <w:rFonts w:hint="cs"/>
          <w:rtl/>
        </w:rPr>
        <w:t>228-</w:t>
      </w:r>
      <w:r>
        <w:rPr>
          <w:rFonts w:hint="cs"/>
          <w:rtl/>
        </w:rPr>
        <w:tab/>
        <w:t xml:space="preserve">كما تناولت جورجيا، في ردودها على قائمة المسائل التي وضعتها اللجنة المعنية </w:t>
      </w:r>
      <w:r>
        <w:rPr>
          <w:rFonts w:hint="cs"/>
          <w:rtl/>
        </w:rPr>
        <w:t xml:space="preserve">بالحقوق الاقتصادية والاجتماعية والثقافية </w:t>
      </w:r>
      <w:r>
        <w:t>(E/C.12/Q/GEO/1)</w:t>
      </w:r>
      <w:r>
        <w:rPr>
          <w:rFonts w:hint="cs"/>
          <w:rtl/>
        </w:rPr>
        <w:t>، إلى جوانب محددة من الحق في التعليم وفقا لما ورد سابقا في هذا التقرير. ويمكن الاطلاع على الإحصاءات ذات الصلة وعلى معلومات أخرى في الردود على الأسئلة من 42 إلى 46 الواردة في تلك الوثيقة.</w:t>
      </w:r>
    </w:p>
    <w:p w:rsidR="00000000" w:rsidRDefault="003865AC">
      <w:pPr>
        <w:jc w:val="both"/>
        <w:rPr>
          <w:rFonts w:hint="cs"/>
          <w:rtl/>
        </w:rPr>
      </w:pPr>
      <w:r>
        <w:rPr>
          <w:rFonts w:hint="cs"/>
          <w:rtl/>
        </w:rPr>
        <w:t>229-</w:t>
      </w:r>
      <w:r>
        <w:rPr>
          <w:rFonts w:hint="cs"/>
          <w:rtl/>
        </w:rPr>
        <w:tab/>
        <w:t>وعلى ضو</w:t>
      </w:r>
      <w:r>
        <w:rPr>
          <w:rFonts w:hint="cs"/>
          <w:rtl/>
        </w:rPr>
        <w:t>ء ما سبق، ونظرا لانقضاء أقل من سنة واحدة على تقديم الوثائق المذكورة آنفا، فإننا نقترح ألا نشير هنا إلا لتلك الإحصاءات التي لا يمكن لنا أن نجدها في الوثائق المشار إليها، وأن نبين ما طرأ من تغير.</w:t>
      </w:r>
    </w:p>
    <w:p w:rsidR="00000000" w:rsidRDefault="003865AC">
      <w:pPr>
        <w:jc w:val="both"/>
        <w:rPr>
          <w:rFonts w:hint="cs"/>
          <w:rtl/>
        </w:rPr>
      </w:pPr>
      <w:r>
        <w:rPr>
          <w:rFonts w:hint="cs"/>
          <w:rtl/>
        </w:rPr>
        <w:t>230-</w:t>
      </w:r>
      <w:r>
        <w:rPr>
          <w:rFonts w:hint="cs"/>
          <w:rtl/>
        </w:rPr>
        <w:tab/>
        <w:t>وترد أدناه إحصاءات تقدم لمحة عامة عن قطاع التعليم في جورج</w:t>
      </w:r>
      <w:r>
        <w:rPr>
          <w:rFonts w:hint="cs"/>
          <w:rtl/>
        </w:rPr>
        <w:t>يا.</w:t>
      </w:r>
    </w:p>
    <w:p w:rsidR="00000000" w:rsidRDefault="003865AC">
      <w:pPr>
        <w:jc w:val="center"/>
        <w:rPr>
          <w:rFonts w:hint="cs"/>
          <w:b/>
          <w:bCs/>
          <w:rtl/>
        </w:rPr>
      </w:pPr>
      <w:r>
        <w:rPr>
          <w:rFonts w:hint="cs"/>
          <w:b/>
          <w:bCs/>
          <w:rtl/>
        </w:rPr>
        <w:t>المستوى التعليمي للسكان</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02"/>
        <w:gridCol w:w="1080"/>
        <w:gridCol w:w="1080"/>
        <w:gridCol w:w="1008"/>
      </w:tblGrid>
      <w:tr w:rsidR="003865AC" w:rsidTr="003865AC">
        <w:tblPrEx>
          <w:tblCellMar>
            <w:top w:w="0" w:type="dxa"/>
            <w:bottom w:w="0" w:type="dxa"/>
          </w:tblCellMar>
        </w:tblPrEx>
        <w:trPr>
          <w:tblHeader/>
        </w:trPr>
        <w:tc>
          <w:tcPr>
            <w:tcW w:w="6402" w:type="dxa"/>
            <w:tcBorders>
              <w:bottom w:val="single" w:sz="4" w:space="0" w:color="auto"/>
            </w:tcBorders>
          </w:tcPr>
          <w:p w:rsidR="003865AC" w:rsidRDefault="003865AC">
            <w:pPr>
              <w:spacing w:before="0" w:after="0" w:line="340" w:lineRule="exact"/>
              <w:jc w:val="both"/>
              <w:rPr>
                <w:rStyle w:val="FootnoteReference"/>
                <w:rFonts w:hint="cs"/>
                <w:b/>
                <w:vertAlign w:val="baseline"/>
              </w:rPr>
            </w:pPr>
          </w:p>
        </w:tc>
        <w:tc>
          <w:tcPr>
            <w:tcW w:w="1080" w:type="dxa"/>
            <w:tcBorders>
              <w:bottom w:val="single" w:sz="4" w:space="0" w:color="auto"/>
            </w:tcBorders>
          </w:tcPr>
          <w:p w:rsidR="003865AC" w:rsidRDefault="003865AC">
            <w:pPr>
              <w:spacing w:before="0" w:after="0" w:line="340" w:lineRule="exact"/>
              <w:jc w:val="center"/>
              <w:rPr>
                <w:rStyle w:val="FootnoteReference"/>
                <w:rFonts w:hint="cs"/>
                <w:b/>
                <w:sz w:val="28"/>
                <w:vertAlign w:val="baseline"/>
              </w:rPr>
            </w:pPr>
            <w:r>
              <w:rPr>
                <w:rFonts w:hint="cs"/>
                <w:b/>
                <w:bCs/>
                <w:sz w:val="28"/>
                <w:szCs w:val="28"/>
                <w:rtl/>
              </w:rPr>
              <w:t>1979</w:t>
            </w:r>
          </w:p>
        </w:tc>
        <w:tc>
          <w:tcPr>
            <w:tcW w:w="1080" w:type="dxa"/>
            <w:tcBorders>
              <w:bottom w:val="single" w:sz="4" w:space="0" w:color="auto"/>
            </w:tcBorders>
          </w:tcPr>
          <w:p w:rsidR="003865AC" w:rsidRDefault="003865AC">
            <w:pPr>
              <w:spacing w:before="0" w:after="0" w:line="340" w:lineRule="exact"/>
              <w:jc w:val="center"/>
              <w:rPr>
                <w:rStyle w:val="FootnoteReference"/>
                <w:rFonts w:hint="cs"/>
                <w:b/>
                <w:sz w:val="28"/>
                <w:vertAlign w:val="baseline"/>
              </w:rPr>
            </w:pPr>
            <w:r>
              <w:rPr>
                <w:rFonts w:hint="cs"/>
                <w:b/>
                <w:bCs/>
                <w:sz w:val="28"/>
                <w:szCs w:val="28"/>
                <w:rtl/>
              </w:rPr>
              <w:t>1989</w:t>
            </w:r>
          </w:p>
        </w:tc>
        <w:tc>
          <w:tcPr>
            <w:tcW w:w="1008" w:type="dxa"/>
            <w:tcBorders>
              <w:bottom w:val="single" w:sz="4" w:space="0" w:color="auto"/>
            </w:tcBorders>
          </w:tcPr>
          <w:p w:rsidR="003865AC" w:rsidRDefault="003865AC">
            <w:pPr>
              <w:spacing w:before="0" w:after="0" w:line="340" w:lineRule="exact"/>
              <w:jc w:val="center"/>
              <w:rPr>
                <w:rStyle w:val="FootnoteReference"/>
                <w:rFonts w:hint="cs"/>
                <w:b/>
                <w:sz w:val="28"/>
                <w:vertAlign w:val="baseline"/>
              </w:rPr>
            </w:pPr>
            <w:r>
              <w:rPr>
                <w:rFonts w:hint="cs"/>
                <w:b/>
                <w:bCs/>
                <w:sz w:val="28"/>
                <w:szCs w:val="28"/>
                <w:rtl/>
              </w:rPr>
              <w:t>1999</w:t>
            </w:r>
          </w:p>
        </w:tc>
      </w:tr>
      <w:tr w:rsidR="003865AC" w:rsidTr="003865AC">
        <w:tblPrEx>
          <w:tblCellMar>
            <w:top w:w="0" w:type="dxa"/>
            <w:bottom w:w="0" w:type="dxa"/>
          </w:tblCellMar>
        </w:tblPrEx>
        <w:tc>
          <w:tcPr>
            <w:tcW w:w="6402" w:type="dxa"/>
            <w:tcBorders>
              <w:bottom w:val="nil"/>
            </w:tcBorders>
          </w:tcPr>
          <w:p w:rsidR="003865AC" w:rsidRDefault="003865AC">
            <w:pPr>
              <w:spacing w:before="0" w:after="0" w:line="340" w:lineRule="exact"/>
              <w:jc w:val="both"/>
              <w:rPr>
                <w:rStyle w:val="FootnoteReference"/>
                <w:rFonts w:hint="cs"/>
                <w:bCs w:val="0"/>
                <w:sz w:val="28"/>
                <w:vertAlign w:val="baseline"/>
              </w:rPr>
            </w:pPr>
            <w:r>
              <w:rPr>
                <w:rFonts w:hint="cs"/>
                <w:sz w:val="28"/>
                <w:szCs w:val="28"/>
                <w:rtl/>
              </w:rPr>
              <w:t>العدد الإجمالي للأشخاص في سن العاشرة فما فوق ممن تلقوا تعليما عاليا أو ثانويا كاملاً أو منقوصا (لكل 000 1 شخص في هذه الفئة العمرية)</w:t>
            </w:r>
          </w:p>
        </w:tc>
        <w:tc>
          <w:tcPr>
            <w:tcW w:w="1080" w:type="dxa"/>
            <w:tcBorders>
              <w:bottom w:val="nil"/>
            </w:tcBorders>
          </w:tcPr>
          <w:p w:rsidR="003865AC" w:rsidRDefault="003865AC">
            <w:pPr>
              <w:spacing w:before="0" w:after="0" w:line="340" w:lineRule="exact"/>
              <w:jc w:val="center"/>
              <w:rPr>
                <w:rStyle w:val="FootnoteReference"/>
                <w:rFonts w:hint="cs"/>
                <w:bCs w:val="0"/>
                <w:vertAlign w:val="baseline"/>
              </w:rPr>
            </w:pPr>
            <w:r>
              <w:rPr>
                <w:rFonts w:hint="cs"/>
                <w:rtl/>
              </w:rPr>
              <w:t>698</w:t>
            </w:r>
          </w:p>
        </w:tc>
        <w:tc>
          <w:tcPr>
            <w:tcW w:w="1080" w:type="dxa"/>
            <w:tcBorders>
              <w:bottom w:val="nil"/>
            </w:tcBorders>
          </w:tcPr>
          <w:p w:rsidR="003865AC" w:rsidRDefault="003865AC">
            <w:pPr>
              <w:spacing w:before="0" w:after="0" w:line="340" w:lineRule="exact"/>
              <w:jc w:val="center"/>
              <w:rPr>
                <w:rStyle w:val="FootnoteReference"/>
                <w:rFonts w:hint="cs"/>
                <w:bCs w:val="0"/>
                <w:vertAlign w:val="baseline"/>
              </w:rPr>
            </w:pPr>
            <w:r>
              <w:rPr>
                <w:rFonts w:hint="cs"/>
                <w:rtl/>
              </w:rPr>
              <w:t>798</w:t>
            </w:r>
          </w:p>
        </w:tc>
        <w:tc>
          <w:tcPr>
            <w:tcW w:w="1008" w:type="dxa"/>
            <w:tcBorders>
              <w:bottom w:val="nil"/>
            </w:tcBorders>
          </w:tcPr>
          <w:p w:rsidR="003865AC" w:rsidRDefault="003865AC">
            <w:pPr>
              <w:spacing w:before="0" w:after="0" w:line="340" w:lineRule="exact"/>
              <w:jc w:val="center"/>
              <w:rPr>
                <w:rStyle w:val="FootnoteReference"/>
                <w:rFonts w:hint="cs"/>
                <w:bCs w:val="0"/>
                <w:vertAlign w:val="baseline"/>
              </w:rPr>
            </w:pPr>
            <w:r>
              <w:rPr>
                <w:rFonts w:hint="cs"/>
                <w:rtl/>
              </w:rPr>
              <w:t>871</w:t>
            </w:r>
          </w:p>
        </w:tc>
      </w:tr>
      <w:tr w:rsidR="003865AC" w:rsidTr="003865AC">
        <w:tblPrEx>
          <w:tblCellMar>
            <w:top w:w="0" w:type="dxa"/>
            <w:bottom w:w="0" w:type="dxa"/>
          </w:tblCellMar>
        </w:tblPrEx>
        <w:tc>
          <w:tcPr>
            <w:tcW w:w="6402" w:type="dxa"/>
            <w:tcBorders>
              <w:top w:val="nil"/>
              <w:bottom w:val="nil"/>
            </w:tcBorders>
          </w:tcPr>
          <w:p w:rsidR="003865AC" w:rsidRDefault="003865AC">
            <w:pPr>
              <w:spacing w:before="0" w:after="0" w:line="340" w:lineRule="exact"/>
              <w:jc w:val="both"/>
              <w:rPr>
                <w:rFonts w:hint="cs"/>
                <w:sz w:val="28"/>
                <w:szCs w:val="28"/>
                <w:rtl/>
              </w:rPr>
            </w:pPr>
            <w:r>
              <w:rPr>
                <w:rFonts w:hint="cs"/>
                <w:sz w:val="28"/>
                <w:szCs w:val="28"/>
                <w:rtl/>
              </w:rPr>
              <w:t>الجزء من هذا المجموع الحاصل على:</w:t>
            </w:r>
          </w:p>
        </w:tc>
        <w:tc>
          <w:tcPr>
            <w:tcW w:w="1080" w:type="dxa"/>
            <w:tcBorders>
              <w:top w:val="nil"/>
              <w:bottom w:val="nil"/>
            </w:tcBorders>
          </w:tcPr>
          <w:p w:rsidR="003865AC" w:rsidRDefault="003865AC">
            <w:pPr>
              <w:spacing w:before="0" w:after="0" w:line="340" w:lineRule="exact"/>
              <w:jc w:val="center"/>
              <w:rPr>
                <w:rStyle w:val="FootnoteReference"/>
                <w:rFonts w:hint="cs"/>
                <w:bCs w:val="0"/>
                <w:vertAlign w:val="baseline"/>
              </w:rPr>
            </w:pPr>
          </w:p>
        </w:tc>
        <w:tc>
          <w:tcPr>
            <w:tcW w:w="1080" w:type="dxa"/>
            <w:tcBorders>
              <w:top w:val="nil"/>
              <w:bottom w:val="nil"/>
            </w:tcBorders>
          </w:tcPr>
          <w:p w:rsidR="003865AC" w:rsidRDefault="003865AC">
            <w:pPr>
              <w:spacing w:before="0" w:after="0" w:line="340" w:lineRule="exact"/>
              <w:jc w:val="center"/>
              <w:rPr>
                <w:rStyle w:val="FootnoteReference"/>
                <w:rFonts w:hint="cs"/>
                <w:bCs w:val="0"/>
                <w:vertAlign w:val="baseline"/>
              </w:rPr>
            </w:pPr>
          </w:p>
        </w:tc>
        <w:tc>
          <w:tcPr>
            <w:tcW w:w="1008" w:type="dxa"/>
            <w:tcBorders>
              <w:top w:val="nil"/>
              <w:bottom w:val="nil"/>
            </w:tcBorders>
          </w:tcPr>
          <w:p w:rsidR="003865AC" w:rsidRDefault="003865AC">
            <w:pPr>
              <w:spacing w:before="0" w:after="0" w:line="340" w:lineRule="exact"/>
              <w:jc w:val="center"/>
              <w:rPr>
                <w:rStyle w:val="FootnoteReference"/>
                <w:rFonts w:hint="cs"/>
                <w:bCs w:val="0"/>
                <w:vertAlign w:val="baseline"/>
              </w:rPr>
            </w:pPr>
          </w:p>
        </w:tc>
      </w:tr>
      <w:tr w:rsidR="003865AC" w:rsidTr="003865AC">
        <w:tblPrEx>
          <w:tblCellMar>
            <w:top w:w="0" w:type="dxa"/>
            <w:bottom w:w="0" w:type="dxa"/>
          </w:tblCellMar>
        </w:tblPrEx>
        <w:tc>
          <w:tcPr>
            <w:tcW w:w="6402" w:type="dxa"/>
            <w:tcBorders>
              <w:top w:val="nil"/>
              <w:bottom w:val="nil"/>
            </w:tcBorders>
          </w:tcPr>
          <w:p w:rsidR="003865AC" w:rsidRDefault="003865AC">
            <w:pPr>
              <w:spacing w:before="0" w:after="0" w:line="340" w:lineRule="exact"/>
              <w:jc w:val="both"/>
              <w:rPr>
                <w:rFonts w:hint="cs"/>
                <w:sz w:val="28"/>
                <w:szCs w:val="28"/>
                <w:rtl/>
              </w:rPr>
            </w:pPr>
            <w:r>
              <w:rPr>
                <w:sz w:val="28"/>
                <w:szCs w:val="28"/>
                <w:rtl/>
              </w:rPr>
              <w:tab/>
            </w:r>
            <w:r>
              <w:rPr>
                <w:rFonts w:hint="cs"/>
                <w:sz w:val="28"/>
                <w:szCs w:val="28"/>
                <w:rtl/>
              </w:rPr>
              <w:t>تعليم عال</w:t>
            </w:r>
          </w:p>
        </w:tc>
        <w:tc>
          <w:tcPr>
            <w:tcW w:w="1080" w:type="dxa"/>
            <w:tcBorders>
              <w:top w:val="nil"/>
              <w:bottom w:val="nil"/>
            </w:tcBorders>
          </w:tcPr>
          <w:p w:rsidR="003865AC" w:rsidRDefault="003865AC">
            <w:pPr>
              <w:spacing w:before="0" w:after="0" w:line="340" w:lineRule="exact"/>
              <w:jc w:val="center"/>
              <w:rPr>
                <w:rStyle w:val="FootnoteReference"/>
                <w:rFonts w:hint="cs"/>
                <w:bCs w:val="0"/>
                <w:vertAlign w:val="baseline"/>
              </w:rPr>
            </w:pPr>
            <w:r>
              <w:rPr>
                <w:rFonts w:hint="cs"/>
                <w:rtl/>
              </w:rPr>
              <w:t>103</w:t>
            </w:r>
          </w:p>
        </w:tc>
        <w:tc>
          <w:tcPr>
            <w:tcW w:w="1080" w:type="dxa"/>
            <w:tcBorders>
              <w:top w:val="nil"/>
              <w:bottom w:val="nil"/>
            </w:tcBorders>
          </w:tcPr>
          <w:p w:rsidR="003865AC" w:rsidRDefault="003865AC">
            <w:pPr>
              <w:spacing w:before="0" w:after="0" w:line="340" w:lineRule="exact"/>
              <w:jc w:val="center"/>
              <w:rPr>
                <w:rStyle w:val="FootnoteReference"/>
                <w:rFonts w:hint="cs"/>
                <w:bCs w:val="0"/>
                <w:vertAlign w:val="baseline"/>
              </w:rPr>
            </w:pPr>
            <w:r>
              <w:rPr>
                <w:rFonts w:hint="cs"/>
                <w:rtl/>
              </w:rPr>
              <w:t>137</w:t>
            </w:r>
          </w:p>
        </w:tc>
        <w:tc>
          <w:tcPr>
            <w:tcW w:w="1008" w:type="dxa"/>
            <w:tcBorders>
              <w:top w:val="nil"/>
              <w:bottom w:val="nil"/>
            </w:tcBorders>
          </w:tcPr>
          <w:p w:rsidR="003865AC" w:rsidRDefault="003865AC">
            <w:pPr>
              <w:spacing w:before="0" w:after="0" w:line="340" w:lineRule="exact"/>
              <w:jc w:val="center"/>
              <w:rPr>
                <w:rStyle w:val="FootnoteReference"/>
                <w:rFonts w:hint="cs"/>
                <w:bCs w:val="0"/>
                <w:vertAlign w:val="baseline"/>
              </w:rPr>
            </w:pPr>
            <w:r>
              <w:rPr>
                <w:rFonts w:hint="cs"/>
                <w:rtl/>
              </w:rPr>
              <w:t>201</w:t>
            </w:r>
          </w:p>
        </w:tc>
      </w:tr>
      <w:tr w:rsidR="003865AC" w:rsidTr="003865AC">
        <w:tblPrEx>
          <w:tblCellMar>
            <w:top w:w="0" w:type="dxa"/>
            <w:bottom w:w="0" w:type="dxa"/>
          </w:tblCellMar>
        </w:tblPrEx>
        <w:tc>
          <w:tcPr>
            <w:tcW w:w="6402" w:type="dxa"/>
            <w:tcBorders>
              <w:top w:val="nil"/>
              <w:bottom w:val="nil"/>
            </w:tcBorders>
          </w:tcPr>
          <w:p w:rsidR="003865AC" w:rsidRDefault="003865AC">
            <w:pPr>
              <w:spacing w:before="0" w:after="0" w:line="340" w:lineRule="exact"/>
              <w:jc w:val="both"/>
              <w:rPr>
                <w:sz w:val="28"/>
                <w:szCs w:val="28"/>
                <w:rtl/>
              </w:rPr>
            </w:pPr>
            <w:r>
              <w:rPr>
                <w:sz w:val="28"/>
                <w:szCs w:val="28"/>
                <w:rtl/>
              </w:rPr>
              <w:tab/>
            </w:r>
            <w:r>
              <w:rPr>
                <w:rFonts w:hint="cs"/>
                <w:sz w:val="28"/>
                <w:szCs w:val="28"/>
                <w:rtl/>
              </w:rPr>
              <w:t>تعليم عال منقوص</w:t>
            </w:r>
          </w:p>
        </w:tc>
        <w:tc>
          <w:tcPr>
            <w:tcW w:w="1080" w:type="dxa"/>
            <w:tcBorders>
              <w:top w:val="nil"/>
              <w:bottom w:val="nil"/>
            </w:tcBorders>
          </w:tcPr>
          <w:p w:rsidR="003865AC" w:rsidRDefault="003865AC">
            <w:pPr>
              <w:spacing w:before="0" w:after="0" w:line="340" w:lineRule="exact"/>
              <w:jc w:val="center"/>
              <w:rPr>
                <w:rStyle w:val="FootnoteReference"/>
                <w:rFonts w:hint="cs"/>
                <w:bCs w:val="0"/>
                <w:vertAlign w:val="baseline"/>
              </w:rPr>
            </w:pPr>
            <w:r>
              <w:rPr>
                <w:rFonts w:hint="cs"/>
                <w:rtl/>
              </w:rPr>
              <w:t>19</w:t>
            </w:r>
          </w:p>
        </w:tc>
        <w:tc>
          <w:tcPr>
            <w:tcW w:w="1080" w:type="dxa"/>
            <w:tcBorders>
              <w:top w:val="nil"/>
              <w:bottom w:val="nil"/>
            </w:tcBorders>
          </w:tcPr>
          <w:p w:rsidR="003865AC" w:rsidRDefault="003865AC">
            <w:pPr>
              <w:spacing w:before="0" w:after="0" w:line="340" w:lineRule="exact"/>
              <w:jc w:val="center"/>
              <w:rPr>
                <w:rStyle w:val="FootnoteReference"/>
                <w:rFonts w:hint="cs"/>
                <w:bCs w:val="0"/>
                <w:vertAlign w:val="baseline"/>
              </w:rPr>
            </w:pPr>
            <w:r>
              <w:rPr>
                <w:rFonts w:hint="cs"/>
                <w:rtl/>
              </w:rPr>
              <w:t>22</w:t>
            </w:r>
          </w:p>
        </w:tc>
        <w:tc>
          <w:tcPr>
            <w:tcW w:w="1008" w:type="dxa"/>
            <w:tcBorders>
              <w:top w:val="nil"/>
              <w:bottom w:val="nil"/>
            </w:tcBorders>
          </w:tcPr>
          <w:p w:rsidR="003865AC" w:rsidRDefault="003865AC">
            <w:pPr>
              <w:spacing w:before="0" w:after="0" w:line="340" w:lineRule="exact"/>
              <w:jc w:val="center"/>
              <w:rPr>
                <w:rStyle w:val="FootnoteReference"/>
                <w:rFonts w:hint="cs"/>
                <w:bCs w:val="0"/>
                <w:vertAlign w:val="baseline"/>
              </w:rPr>
            </w:pPr>
            <w:r>
              <w:rPr>
                <w:rFonts w:hint="cs"/>
                <w:rtl/>
              </w:rPr>
              <w:t>40</w:t>
            </w:r>
          </w:p>
        </w:tc>
      </w:tr>
      <w:tr w:rsidR="003865AC" w:rsidTr="003865AC">
        <w:tblPrEx>
          <w:tblCellMar>
            <w:top w:w="0" w:type="dxa"/>
            <w:bottom w:w="0" w:type="dxa"/>
          </w:tblCellMar>
        </w:tblPrEx>
        <w:tc>
          <w:tcPr>
            <w:tcW w:w="6402" w:type="dxa"/>
            <w:tcBorders>
              <w:top w:val="nil"/>
              <w:bottom w:val="nil"/>
            </w:tcBorders>
          </w:tcPr>
          <w:p w:rsidR="003865AC" w:rsidRDefault="003865AC">
            <w:pPr>
              <w:spacing w:before="0" w:after="0" w:line="340" w:lineRule="exact"/>
              <w:jc w:val="both"/>
              <w:rPr>
                <w:rFonts w:hint="cs"/>
                <w:sz w:val="28"/>
                <w:szCs w:val="28"/>
                <w:rtl/>
              </w:rPr>
            </w:pPr>
            <w:r>
              <w:rPr>
                <w:sz w:val="28"/>
                <w:szCs w:val="28"/>
                <w:rtl/>
              </w:rPr>
              <w:tab/>
            </w:r>
            <w:r>
              <w:rPr>
                <w:rFonts w:hint="cs"/>
                <w:sz w:val="28"/>
                <w:szCs w:val="28"/>
                <w:rtl/>
              </w:rPr>
              <w:t>تعليم ثانوي متخصص</w:t>
            </w:r>
          </w:p>
        </w:tc>
        <w:tc>
          <w:tcPr>
            <w:tcW w:w="1080" w:type="dxa"/>
            <w:tcBorders>
              <w:top w:val="nil"/>
              <w:bottom w:val="nil"/>
            </w:tcBorders>
          </w:tcPr>
          <w:p w:rsidR="003865AC" w:rsidRDefault="003865AC">
            <w:pPr>
              <w:spacing w:before="0" w:after="0" w:line="340" w:lineRule="exact"/>
              <w:jc w:val="center"/>
              <w:rPr>
                <w:rStyle w:val="FootnoteReference"/>
                <w:rFonts w:hint="cs"/>
                <w:bCs w:val="0"/>
                <w:vertAlign w:val="baseline"/>
              </w:rPr>
            </w:pPr>
            <w:r>
              <w:rPr>
                <w:rFonts w:hint="cs"/>
                <w:rtl/>
              </w:rPr>
              <w:t>100</w:t>
            </w:r>
          </w:p>
        </w:tc>
        <w:tc>
          <w:tcPr>
            <w:tcW w:w="1080" w:type="dxa"/>
            <w:tcBorders>
              <w:top w:val="nil"/>
              <w:bottom w:val="nil"/>
            </w:tcBorders>
          </w:tcPr>
          <w:p w:rsidR="003865AC" w:rsidRDefault="003865AC">
            <w:pPr>
              <w:spacing w:before="0" w:after="0" w:line="340" w:lineRule="exact"/>
              <w:jc w:val="center"/>
              <w:rPr>
                <w:rStyle w:val="FootnoteReference"/>
                <w:rFonts w:hint="cs"/>
                <w:bCs w:val="0"/>
                <w:vertAlign w:val="baseline"/>
              </w:rPr>
            </w:pPr>
            <w:r>
              <w:rPr>
                <w:rFonts w:hint="cs"/>
                <w:rtl/>
              </w:rPr>
              <w:t>169</w:t>
            </w:r>
          </w:p>
        </w:tc>
        <w:tc>
          <w:tcPr>
            <w:tcW w:w="1008" w:type="dxa"/>
            <w:tcBorders>
              <w:top w:val="nil"/>
              <w:bottom w:val="nil"/>
            </w:tcBorders>
          </w:tcPr>
          <w:p w:rsidR="003865AC" w:rsidRDefault="003865AC">
            <w:pPr>
              <w:spacing w:before="0" w:after="0" w:line="340" w:lineRule="exact"/>
              <w:jc w:val="center"/>
              <w:rPr>
                <w:rStyle w:val="FootnoteReference"/>
                <w:rFonts w:hint="cs"/>
                <w:bCs w:val="0"/>
                <w:vertAlign w:val="baseline"/>
              </w:rPr>
            </w:pPr>
            <w:r>
              <w:rPr>
                <w:rFonts w:hint="cs"/>
                <w:rtl/>
              </w:rPr>
              <w:t>174</w:t>
            </w:r>
          </w:p>
        </w:tc>
      </w:tr>
      <w:tr w:rsidR="003865AC" w:rsidTr="003865AC">
        <w:tblPrEx>
          <w:tblCellMar>
            <w:top w:w="0" w:type="dxa"/>
            <w:bottom w:w="0" w:type="dxa"/>
          </w:tblCellMar>
        </w:tblPrEx>
        <w:tc>
          <w:tcPr>
            <w:tcW w:w="6402" w:type="dxa"/>
            <w:tcBorders>
              <w:top w:val="nil"/>
              <w:bottom w:val="nil"/>
            </w:tcBorders>
          </w:tcPr>
          <w:p w:rsidR="003865AC" w:rsidRDefault="003865AC">
            <w:pPr>
              <w:spacing w:before="0" w:after="0" w:line="340" w:lineRule="exact"/>
              <w:jc w:val="both"/>
              <w:rPr>
                <w:rFonts w:hint="cs"/>
                <w:sz w:val="28"/>
                <w:szCs w:val="28"/>
                <w:rtl/>
              </w:rPr>
            </w:pPr>
            <w:r>
              <w:rPr>
                <w:sz w:val="28"/>
                <w:szCs w:val="28"/>
                <w:rtl/>
              </w:rPr>
              <w:tab/>
            </w:r>
            <w:r>
              <w:rPr>
                <w:rFonts w:hint="cs"/>
                <w:sz w:val="28"/>
                <w:szCs w:val="28"/>
                <w:rtl/>
              </w:rPr>
              <w:t>تعليم ثانوي عام</w:t>
            </w:r>
          </w:p>
        </w:tc>
        <w:tc>
          <w:tcPr>
            <w:tcW w:w="1080" w:type="dxa"/>
            <w:tcBorders>
              <w:top w:val="nil"/>
              <w:bottom w:val="nil"/>
            </w:tcBorders>
          </w:tcPr>
          <w:p w:rsidR="003865AC" w:rsidRDefault="003865AC">
            <w:pPr>
              <w:spacing w:before="0" w:after="0" w:line="340" w:lineRule="exact"/>
              <w:jc w:val="center"/>
              <w:rPr>
                <w:rStyle w:val="FootnoteReference"/>
                <w:rFonts w:hint="cs"/>
                <w:bCs w:val="0"/>
                <w:vertAlign w:val="baseline"/>
              </w:rPr>
            </w:pPr>
            <w:r>
              <w:rPr>
                <w:rFonts w:hint="cs"/>
                <w:rtl/>
              </w:rPr>
              <w:t>292</w:t>
            </w:r>
          </w:p>
        </w:tc>
        <w:tc>
          <w:tcPr>
            <w:tcW w:w="1080" w:type="dxa"/>
            <w:tcBorders>
              <w:top w:val="nil"/>
              <w:bottom w:val="nil"/>
            </w:tcBorders>
          </w:tcPr>
          <w:p w:rsidR="003865AC" w:rsidRDefault="003865AC">
            <w:pPr>
              <w:spacing w:before="0" w:after="0" w:line="340" w:lineRule="exact"/>
              <w:jc w:val="center"/>
              <w:rPr>
                <w:rStyle w:val="FootnoteReference"/>
                <w:rFonts w:hint="cs"/>
                <w:bCs w:val="0"/>
                <w:vertAlign w:val="baseline"/>
              </w:rPr>
            </w:pPr>
            <w:r>
              <w:rPr>
                <w:rFonts w:hint="cs"/>
                <w:rtl/>
              </w:rPr>
              <w:t>328</w:t>
            </w:r>
          </w:p>
        </w:tc>
        <w:tc>
          <w:tcPr>
            <w:tcW w:w="1008" w:type="dxa"/>
            <w:tcBorders>
              <w:top w:val="nil"/>
              <w:bottom w:val="nil"/>
            </w:tcBorders>
          </w:tcPr>
          <w:p w:rsidR="003865AC" w:rsidRDefault="003865AC">
            <w:pPr>
              <w:spacing w:before="0" w:after="0" w:line="340" w:lineRule="exact"/>
              <w:jc w:val="center"/>
              <w:rPr>
                <w:rStyle w:val="FootnoteReference"/>
                <w:rFonts w:hint="cs"/>
                <w:bCs w:val="0"/>
                <w:vertAlign w:val="baseline"/>
              </w:rPr>
            </w:pPr>
            <w:r>
              <w:rPr>
                <w:rFonts w:hint="cs"/>
                <w:rtl/>
              </w:rPr>
              <w:t>330</w:t>
            </w:r>
          </w:p>
        </w:tc>
      </w:tr>
      <w:tr w:rsidR="003865AC" w:rsidTr="003865AC">
        <w:tblPrEx>
          <w:tblCellMar>
            <w:top w:w="0" w:type="dxa"/>
            <w:bottom w:w="0" w:type="dxa"/>
          </w:tblCellMar>
        </w:tblPrEx>
        <w:tc>
          <w:tcPr>
            <w:tcW w:w="6402" w:type="dxa"/>
            <w:tcBorders>
              <w:top w:val="nil"/>
            </w:tcBorders>
          </w:tcPr>
          <w:p w:rsidR="003865AC" w:rsidRDefault="003865AC">
            <w:pPr>
              <w:spacing w:before="0" w:after="0" w:line="340" w:lineRule="exact"/>
              <w:jc w:val="both"/>
              <w:rPr>
                <w:rFonts w:hint="cs"/>
                <w:sz w:val="28"/>
                <w:szCs w:val="28"/>
                <w:rtl/>
              </w:rPr>
            </w:pPr>
            <w:r>
              <w:rPr>
                <w:rFonts w:hint="cs"/>
                <w:sz w:val="28"/>
                <w:szCs w:val="28"/>
                <w:rtl/>
              </w:rPr>
              <w:tab/>
              <w:t>تعليم ثانوي منقوص</w:t>
            </w:r>
          </w:p>
        </w:tc>
        <w:tc>
          <w:tcPr>
            <w:tcW w:w="1080" w:type="dxa"/>
            <w:tcBorders>
              <w:top w:val="nil"/>
            </w:tcBorders>
          </w:tcPr>
          <w:p w:rsidR="003865AC" w:rsidRDefault="003865AC">
            <w:pPr>
              <w:spacing w:before="0" w:after="0" w:line="340" w:lineRule="exact"/>
              <w:jc w:val="center"/>
              <w:rPr>
                <w:rStyle w:val="FootnoteReference"/>
                <w:rFonts w:hint="cs"/>
                <w:bCs w:val="0"/>
                <w:vertAlign w:val="baseline"/>
              </w:rPr>
            </w:pPr>
            <w:r>
              <w:rPr>
                <w:rFonts w:hint="cs"/>
                <w:rtl/>
              </w:rPr>
              <w:t>184</w:t>
            </w:r>
          </w:p>
        </w:tc>
        <w:tc>
          <w:tcPr>
            <w:tcW w:w="1080" w:type="dxa"/>
            <w:tcBorders>
              <w:top w:val="nil"/>
            </w:tcBorders>
          </w:tcPr>
          <w:p w:rsidR="003865AC" w:rsidRDefault="003865AC">
            <w:pPr>
              <w:spacing w:before="0" w:after="0" w:line="340" w:lineRule="exact"/>
              <w:jc w:val="center"/>
              <w:rPr>
                <w:rStyle w:val="FootnoteReference"/>
                <w:rFonts w:hint="cs"/>
                <w:bCs w:val="0"/>
                <w:vertAlign w:val="baseline"/>
              </w:rPr>
            </w:pPr>
            <w:r>
              <w:rPr>
                <w:rFonts w:hint="cs"/>
                <w:rtl/>
              </w:rPr>
              <w:t>142</w:t>
            </w:r>
          </w:p>
        </w:tc>
        <w:tc>
          <w:tcPr>
            <w:tcW w:w="1008" w:type="dxa"/>
            <w:tcBorders>
              <w:top w:val="nil"/>
            </w:tcBorders>
          </w:tcPr>
          <w:p w:rsidR="003865AC" w:rsidRDefault="003865AC">
            <w:pPr>
              <w:spacing w:before="0" w:after="0" w:line="340" w:lineRule="exact"/>
              <w:jc w:val="center"/>
              <w:rPr>
                <w:rStyle w:val="FootnoteReference"/>
                <w:rFonts w:hint="cs"/>
                <w:bCs w:val="0"/>
                <w:vertAlign w:val="baseline"/>
              </w:rPr>
            </w:pPr>
            <w:r>
              <w:rPr>
                <w:rFonts w:hint="cs"/>
                <w:rtl/>
              </w:rPr>
              <w:t>125</w:t>
            </w:r>
          </w:p>
        </w:tc>
      </w:tr>
    </w:tbl>
    <w:p w:rsidR="00000000" w:rsidRDefault="003865AC">
      <w:pPr>
        <w:jc w:val="center"/>
        <w:rPr>
          <w:rFonts w:hint="cs"/>
          <w:b/>
          <w:bCs/>
          <w:rtl/>
        </w:rPr>
      </w:pPr>
      <w:r>
        <w:rPr>
          <w:rFonts w:hint="cs"/>
          <w:b/>
          <w:bCs/>
          <w:rtl/>
        </w:rPr>
        <w:t>المؤسسات التعليمية: عدد الطلاب والتلاميذ (في بداية السنة الدراسية)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91"/>
        <w:gridCol w:w="971"/>
        <w:gridCol w:w="900"/>
        <w:gridCol w:w="971"/>
        <w:gridCol w:w="889"/>
        <w:gridCol w:w="900"/>
        <w:gridCol w:w="948"/>
      </w:tblGrid>
      <w:tr w:rsidR="003865AC" w:rsidTr="003865AC">
        <w:tblPrEx>
          <w:tblCellMar>
            <w:top w:w="0" w:type="dxa"/>
            <w:bottom w:w="0" w:type="dxa"/>
          </w:tblCellMar>
        </w:tblPrEx>
        <w:trPr>
          <w:cantSplit/>
        </w:trPr>
        <w:tc>
          <w:tcPr>
            <w:tcW w:w="3991" w:type="dxa"/>
            <w:vMerge w:val="restart"/>
          </w:tcPr>
          <w:p w:rsidR="003865AC" w:rsidRDefault="003865AC">
            <w:pPr>
              <w:spacing w:before="0" w:after="0"/>
              <w:jc w:val="both"/>
              <w:rPr>
                <w:rStyle w:val="FootnoteReference"/>
                <w:sz w:val="26"/>
                <w:szCs w:val="26"/>
              </w:rPr>
            </w:pPr>
          </w:p>
        </w:tc>
        <w:tc>
          <w:tcPr>
            <w:tcW w:w="2842" w:type="dxa"/>
            <w:gridSpan w:val="3"/>
          </w:tcPr>
          <w:p w:rsidR="003865AC" w:rsidRDefault="003865AC">
            <w:pPr>
              <w:spacing w:before="0" w:after="0"/>
              <w:jc w:val="center"/>
              <w:rPr>
                <w:rStyle w:val="FootnoteReference"/>
                <w:b/>
                <w:bCs w:val="0"/>
                <w:sz w:val="26"/>
                <w:szCs w:val="26"/>
              </w:rPr>
            </w:pPr>
            <w:r>
              <w:rPr>
                <w:rFonts w:hint="cs"/>
                <w:b/>
                <w:bCs/>
                <w:sz w:val="26"/>
                <w:szCs w:val="26"/>
                <w:rtl/>
              </w:rPr>
              <w:t>عدد المؤسسات</w:t>
            </w:r>
          </w:p>
        </w:tc>
        <w:tc>
          <w:tcPr>
            <w:tcW w:w="2737" w:type="dxa"/>
            <w:gridSpan w:val="3"/>
          </w:tcPr>
          <w:p w:rsidR="003865AC" w:rsidRDefault="003865AC">
            <w:pPr>
              <w:spacing w:before="0" w:after="0"/>
              <w:jc w:val="both"/>
              <w:rPr>
                <w:rStyle w:val="FootnoteReference"/>
                <w:b/>
                <w:bCs w:val="0"/>
                <w:sz w:val="26"/>
                <w:szCs w:val="26"/>
              </w:rPr>
            </w:pPr>
            <w:r>
              <w:rPr>
                <w:rFonts w:hint="cs"/>
                <w:b/>
                <w:bCs/>
                <w:sz w:val="26"/>
                <w:szCs w:val="26"/>
                <w:rtl/>
              </w:rPr>
              <w:t>عدد الطلاب والتلاميذ (بالآلاف)</w:t>
            </w:r>
          </w:p>
        </w:tc>
      </w:tr>
      <w:tr w:rsidR="003865AC" w:rsidTr="003865AC">
        <w:tblPrEx>
          <w:tblCellMar>
            <w:top w:w="0" w:type="dxa"/>
            <w:bottom w:w="0" w:type="dxa"/>
          </w:tblCellMar>
        </w:tblPrEx>
        <w:trPr>
          <w:cantSplit/>
        </w:trPr>
        <w:tc>
          <w:tcPr>
            <w:tcW w:w="3991" w:type="dxa"/>
            <w:vMerge/>
          </w:tcPr>
          <w:p w:rsidR="003865AC" w:rsidRDefault="003865AC">
            <w:pPr>
              <w:spacing w:before="0" w:after="0"/>
              <w:jc w:val="both"/>
              <w:rPr>
                <w:rStyle w:val="FootnoteReference"/>
                <w:sz w:val="26"/>
                <w:szCs w:val="26"/>
              </w:rPr>
            </w:pPr>
          </w:p>
        </w:tc>
        <w:tc>
          <w:tcPr>
            <w:tcW w:w="971" w:type="dxa"/>
          </w:tcPr>
          <w:p w:rsidR="003865AC" w:rsidRDefault="003865AC">
            <w:pPr>
              <w:spacing w:before="0" w:after="0"/>
              <w:jc w:val="both"/>
              <w:rPr>
                <w:rStyle w:val="FootnoteReference"/>
                <w:b/>
                <w:bCs w:val="0"/>
                <w:sz w:val="26"/>
                <w:szCs w:val="26"/>
              </w:rPr>
            </w:pPr>
            <w:r>
              <w:rPr>
                <w:rFonts w:hint="cs"/>
                <w:b/>
                <w:bCs/>
                <w:sz w:val="26"/>
                <w:szCs w:val="26"/>
                <w:rtl/>
              </w:rPr>
              <w:t>1997/1998</w:t>
            </w:r>
          </w:p>
        </w:tc>
        <w:tc>
          <w:tcPr>
            <w:tcW w:w="900" w:type="dxa"/>
          </w:tcPr>
          <w:p w:rsidR="003865AC" w:rsidRDefault="003865AC">
            <w:pPr>
              <w:spacing w:before="0" w:after="0"/>
              <w:jc w:val="both"/>
              <w:rPr>
                <w:rStyle w:val="FootnoteReference"/>
                <w:b/>
                <w:bCs w:val="0"/>
                <w:sz w:val="26"/>
                <w:szCs w:val="26"/>
              </w:rPr>
            </w:pPr>
            <w:r>
              <w:rPr>
                <w:rFonts w:hint="cs"/>
                <w:b/>
                <w:bCs/>
                <w:sz w:val="26"/>
                <w:szCs w:val="26"/>
                <w:rtl/>
              </w:rPr>
              <w:t>1998/1999</w:t>
            </w:r>
          </w:p>
        </w:tc>
        <w:tc>
          <w:tcPr>
            <w:tcW w:w="971" w:type="dxa"/>
          </w:tcPr>
          <w:p w:rsidR="003865AC" w:rsidRDefault="003865AC">
            <w:pPr>
              <w:spacing w:before="0" w:after="0"/>
              <w:jc w:val="both"/>
              <w:rPr>
                <w:rStyle w:val="FootnoteReference"/>
                <w:b/>
                <w:bCs w:val="0"/>
                <w:sz w:val="26"/>
                <w:szCs w:val="26"/>
              </w:rPr>
            </w:pPr>
            <w:r>
              <w:rPr>
                <w:rFonts w:hint="cs"/>
                <w:b/>
                <w:bCs/>
                <w:sz w:val="26"/>
                <w:szCs w:val="26"/>
                <w:rtl/>
              </w:rPr>
              <w:t>1999/2000</w:t>
            </w:r>
          </w:p>
        </w:tc>
        <w:tc>
          <w:tcPr>
            <w:tcW w:w="889" w:type="dxa"/>
          </w:tcPr>
          <w:p w:rsidR="003865AC" w:rsidRDefault="003865AC">
            <w:pPr>
              <w:spacing w:before="0" w:after="0"/>
              <w:jc w:val="both"/>
              <w:rPr>
                <w:rStyle w:val="FootnoteReference"/>
                <w:rFonts w:hint="cs"/>
                <w:b/>
                <w:bCs w:val="0"/>
                <w:sz w:val="26"/>
                <w:szCs w:val="26"/>
              </w:rPr>
            </w:pPr>
            <w:r>
              <w:rPr>
                <w:rFonts w:hint="cs"/>
                <w:b/>
                <w:bCs/>
                <w:sz w:val="26"/>
                <w:szCs w:val="26"/>
                <w:rtl/>
              </w:rPr>
              <w:t>1997/1998</w:t>
            </w:r>
          </w:p>
        </w:tc>
        <w:tc>
          <w:tcPr>
            <w:tcW w:w="900" w:type="dxa"/>
          </w:tcPr>
          <w:p w:rsidR="003865AC" w:rsidRDefault="003865AC">
            <w:pPr>
              <w:spacing w:before="0" w:after="0"/>
              <w:jc w:val="both"/>
              <w:rPr>
                <w:rStyle w:val="FootnoteReference"/>
                <w:rFonts w:hint="cs"/>
                <w:b/>
                <w:bCs w:val="0"/>
                <w:sz w:val="26"/>
                <w:szCs w:val="26"/>
              </w:rPr>
            </w:pPr>
            <w:r>
              <w:rPr>
                <w:rFonts w:hint="cs"/>
                <w:b/>
                <w:bCs/>
                <w:sz w:val="26"/>
                <w:szCs w:val="26"/>
                <w:rtl/>
              </w:rPr>
              <w:t>1998/1999</w:t>
            </w:r>
          </w:p>
        </w:tc>
        <w:tc>
          <w:tcPr>
            <w:tcW w:w="948" w:type="dxa"/>
          </w:tcPr>
          <w:p w:rsidR="003865AC" w:rsidRDefault="003865AC">
            <w:pPr>
              <w:spacing w:before="0" w:after="0"/>
              <w:jc w:val="both"/>
              <w:rPr>
                <w:rStyle w:val="FootnoteReference"/>
                <w:rFonts w:hint="cs"/>
                <w:b/>
                <w:bCs w:val="0"/>
                <w:sz w:val="26"/>
                <w:szCs w:val="26"/>
              </w:rPr>
            </w:pPr>
            <w:r>
              <w:rPr>
                <w:rFonts w:hint="cs"/>
                <w:b/>
                <w:bCs/>
                <w:sz w:val="26"/>
                <w:szCs w:val="26"/>
                <w:rtl/>
              </w:rPr>
              <w:t>1999/2000</w:t>
            </w:r>
          </w:p>
        </w:tc>
      </w:tr>
      <w:tr w:rsidR="003865AC" w:rsidTr="003865AC">
        <w:tblPrEx>
          <w:tblCellMar>
            <w:top w:w="0" w:type="dxa"/>
            <w:bottom w:w="0" w:type="dxa"/>
          </w:tblCellMar>
        </w:tblPrEx>
        <w:tc>
          <w:tcPr>
            <w:tcW w:w="399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مؤسسات رعاية الأطفال في مرحلة ما قبل المدرسة</w:t>
            </w:r>
          </w:p>
        </w:tc>
        <w:tc>
          <w:tcPr>
            <w:tcW w:w="97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224 1</w:t>
            </w:r>
          </w:p>
        </w:tc>
        <w:tc>
          <w:tcPr>
            <w:tcW w:w="900"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241 1</w:t>
            </w:r>
          </w:p>
        </w:tc>
        <w:tc>
          <w:tcPr>
            <w:tcW w:w="97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 xml:space="preserve"> 1229</w:t>
            </w:r>
          </w:p>
        </w:tc>
        <w:tc>
          <w:tcPr>
            <w:tcW w:w="889"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74.9</w:t>
            </w:r>
          </w:p>
        </w:tc>
        <w:tc>
          <w:tcPr>
            <w:tcW w:w="900"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74.2</w:t>
            </w:r>
          </w:p>
        </w:tc>
        <w:tc>
          <w:tcPr>
            <w:tcW w:w="948"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74.0</w:t>
            </w:r>
          </w:p>
        </w:tc>
      </w:tr>
      <w:tr w:rsidR="003865AC" w:rsidTr="003865AC">
        <w:tblPrEx>
          <w:tblCellMar>
            <w:top w:w="0" w:type="dxa"/>
            <w:bottom w:w="0" w:type="dxa"/>
          </w:tblCellMar>
        </w:tblPrEx>
        <w:tc>
          <w:tcPr>
            <w:tcW w:w="399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مدارس التعليم العام الحكومية</w:t>
            </w:r>
          </w:p>
        </w:tc>
        <w:tc>
          <w:tcPr>
            <w:tcW w:w="97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223 3</w:t>
            </w:r>
          </w:p>
        </w:tc>
        <w:tc>
          <w:tcPr>
            <w:tcW w:w="900"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237 3</w:t>
            </w:r>
          </w:p>
        </w:tc>
        <w:tc>
          <w:tcPr>
            <w:tcW w:w="97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201 3</w:t>
            </w:r>
          </w:p>
        </w:tc>
        <w:tc>
          <w:tcPr>
            <w:tcW w:w="889"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721.8</w:t>
            </w:r>
          </w:p>
        </w:tc>
        <w:tc>
          <w:tcPr>
            <w:tcW w:w="900"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722.5</w:t>
            </w:r>
          </w:p>
        </w:tc>
        <w:tc>
          <w:tcPr>
            <w:tcW w:w="948"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714.4</w:t>
            </w:r>
          </w:p>
        </w:tc>
      </w:tr>
      <w:tr w:rsidR="003865AC" w:rsidTr="003865AC">
        <w:tblPrEx>
          <w:tblCellMar>
            <w:top w:w="0" w:type="dxa"/>
            <w:bottom w:w="0" w:type="dxa"/>
          </w:tblCellMar>
        </w:tblPrEx>
        <w:tc>
          <w:tcPr>
            <w:tcW w:w="399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المدارس الابتدائية ومدارس للتدريب المهني والحرفي</w:t>
            </w:r>
          </w:p>
        </w:tc>
        <w:tc>
          <w:tcPr>
            <w:tcW w:w="97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99</w:t>
            </w:r>
          </w:p>
        </w:tc>
        <w:tc>
          <w:tcPr>
            <w:tcW w:w="900"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98</w:t>
            </w:r>
          </w:p>
        </w:tc>
        <w:tc>
          <w:tcPr>
            <w:tcW w:w="97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84</w:t>
            </w:r>
          </w:p>
        </w:tc>
        <w:tc>
          <w:tcPr>
            <w:tcW w:w="889"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17.8</w:t>
            </w:r>
          </w:p>
        </w:tc>
        <w:tc>
          <w:tcPr>
            <w:tcW w:w="900"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18.4</w:t>
            </w:r>
          </w:p>
        </w:tc>
        <w:tc>
          <w:tcPr>
            <w:tcW w:w="948"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16.8</w:t>
            </w:r>
          </w:p>
        </w:tc>
      </w:tr>
      <w:tr w:rsidR="003865AC" w:rsidTr="003865AC">
        <w:tblPrEx>
          <w:tblCellMar>
            <w:top w:w="0" w:type="dxa"/>
            <w:bottom w:w="0" w:type="dxa"/>
          </w:tblCellMar>
        </w:tblPrEx>
        <w:tc>
          <w:tcPr>
            <w:tcW w:w="399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المؤسسات الحكومية للتعليم الثانوي المتخصص</w:t>
            </w:r>
          </w:p>
        </w:tc>
        <w:tc>
          <w:tcPr>
            <w:tcW w:w="97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81</w:t>
            </w:r>
          </w:p>
        </w:tc>
        <w:tc>
          <w:tcPr>
            <w:tcW w:w="900"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83</w:t>
            </w:r>
          </w:p>
        </w:tc>
        <w:tc>
          <w:tcPr>
            <w:tcW w:w="97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85</w:t>
            </w:r>
          </w:p>
        </w:tc>
        <w:tc>
          <w:tcPr>
            <w:tcW w:w="889"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30.7</w:t>
            </w:r>
          </w:p>
        </w:tc>
        <w:tc>
          <w:tcPr>
            <w:tcW w:w="900"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32.4</w:t>
            </w:r>
          </w:p>
        </w:tc>
        <w:tc>
          <w:tcPr>
            <w:tcW w:w="948"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29.9</w:t>
            </w:r>
          </w:p>
        </w:tc>
      </w:tr>
      <w:tr w:rsidR="003865AC" w:rsidTr="003865AC">
        <w:tblPrEx>
          <w:tblCellMar>
            <w:top w:w="0" w:type="dxa"/>
            <w:bottom w:w="0" w:type="dxa"/>
          </w:tblCellMar>
        </w:tblPrEx>
        <w:tc>
          <w:tcPr>
            <w:tcW w:w="399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المؤسسات الخاصة للتعليم الثانوي المتخصص (لقاء دفع رسوم)</w:t>
            </w:r>
          </w:p>
        </w:tc>
        <w:tc>
          <w:tcPr>
            <w:tcW w:w="97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47</w:t>
            </w:r>
          </w:p>
        </w:tc>
        <w:tc>
          <w:tcPr>
            <w:tcW w:w="900"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58</w:t>
            </w:r>
          </w:p>
        </w:tc>
        <w:tc>
          <w:tcPr>
            <w:tcW w:w="97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58</w:t>
            </w:r>
          </w:p>
        </w:tc>
        <w:tc>
          <w:tcPr>
            <w:tcW w:w="889"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5.2</w:t>
            </w:r>
          </w:p>
        </w:tc>
        <w:tc>
          <w:tcPr>
            <w:tcW w:w="900"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7.2</w:t>
            </w:r>
          </w:p>
        </w:tc>
        <w:tc>
          <w:tcPr>
            <w:tcW w:w="948"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6.8</w:t>
            </w:r>
          </w:p>
        </w:tc>
      </w:tr>
      <w:tr w:rsidR="003865AC" w:rsidTr="003865AC">
        <w:tblPrEx>
          <w:tblCellMar>
            <w:top w:w="0" w:type="dxa"/>
            <w:bottom w:w="0" w:type="dxa"/>
          </w:tblCellMar>
        </w:tblPrEx>
        <w:tc>
          <w:tcPr>
            <w:tcW w:w="399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مؤسسات التعليم العالي الحكومية</w:t>
            </w:r>
          </w:p>
        </w:tc>
        <w:tc>
          <w:tcPr>
            <w:tcW w:w="97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23</w:t>
            </w:r>
          </w:p>
        </w:tc>
        <w:tc>
          <w:tcPr>
            <w:tcW w:w="900"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24</w:t>
            </w:r>
          </w:p>
        </w:tc>
        <w:tc>
          <w:tcPr>
            <w:tcW w:w="97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24</w:t>
            </w:r>
          </w:p>
        </w:tc>
        <w:tc>
          <w:tcPr>
            <w:tcW w:w="889"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87.3</w:t>
            </w:r>
          </w:p>
        </w:tc>
        <w:tc>
          <w:tcPr>
            <w:tcW w:w="900"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90.1</w:t>
            </w:r>
          </w:p>
        </w:tc>
        <w:tc>
          <w:tcPr>
            <w:tcW w:w="948"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95.0</w:t>
            </w:r>
          </w:p>
        </w:tc>
      </w:tr>
      <w:tr w:rsidR="003865AC" w:rsidTr="003865AC">
        <w:tblPrEx>
          <w:tblCellMar>
            <w:top w:w="0" w:type="dxa"/>
            <w:bottom w:w="0" w:type="dxa"/>
          </w:tblCellMar>
        </w:tblPrEx>
        <w:tc>
          <w:tcPr>
            <w:tcW w:w="399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مؤسسات التعليم الخاصة العالي (لقاء دفع رسوم)</w:t>
            </w:r>
          </w:p>
        </w:tc>
        <w:tc>
          <w:tcPr>
            <w:tcW w:w="97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159</w:t>
            </w:r>
          </w:p>
        </w:tc>
        <w:tc>
          <w:tcPr>
            <w:tcW w:w="900"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154</w:t>
            </w:r>
          </w:p>
        </w:tc>
        <w:tc>
          <w:tcPr>
            <w:tcW w:w="97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162</w:t>
            </w:r>
          </w:p>
        </w:tc>
        <w:tc>
          <w:tcPr>
            <w:tcW w:w="889"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40.2</w:t>
            </w:r>
          </w:p>
        </w:tc>
        <w:tc>
          <w:tcPr>
            <w:tcW w:w="900"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38.3</w:t>
            </w:r>
          </w:p>
        </w:tc>
        <w:tc>
          <w:tcPr>
            <w:tcW w:w="948"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40.1</w:t>
            </w:r>
          </w:p>
        </w:tc>
      </w:tr>
      <w:tr w:rsidR="003865AC" w:rsidTr="003865AC">
        <w:tblPrEx>
          <w:tblCellMar>
            <w:top w:w="0" w:type="dxa"/>
            <w:bottom w:w="0" w:type="dxa"/>
          </w:tblCellMar>
        </w:tblPrEx>
        <w:tc>
          <w:tcPr>
            <w:tcW w:w="399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مؤسسات لتحضير الدراسات العليا</w:t>
            </w:r>
          </w:p>
        </w:tc>
        <w:tc>
          <w:tcPr>
            <w:tcW w:w="97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66</w:t>
            </w:r>
          </w:p>
        </w:tc>
        <w:tc>
          <w:tcPr>
            <w:tcW w:w="900"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66</w:t>
            </w:r>
          </w:p>
        </w:tc>
        <w:tc>
          <w:tcPr>
            <w:tcW w:w="971"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69</w:t>
            </w:r>
          </w:p>
        </w:tc>
        <w:tc>
          <w:tcPr>
            <w:tcW w:w="889"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1.9</w:t>
            </w:r>
          </w:p>
        </w:tc>
        <w:tc>
          <w:tcPr>
            <w:tcW w:w="900"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1.8</w:t>
            </w:r>
          </w:p>
        </w:tc>
        <w:tc>
          <w:tcPr>
            <w:tcW w:w="948" w:type="dxa"/>
          </w:tcPr>
          <w:p w:rsidR="003865AC" w:rsidRDefault="003865AC">
            <w:pPr>
              <w:spacing w:before="120" w:after="120"/>
              <w:jc w:val="both"/>
              <w:rPr>
                <w:rStyle w:val="FootnoteReference"/>
                <w:rFonts w:hint="cs"/>
                <w:bCs w:val="0"/>
                <w:sz w:val="26"/>
                <w:szCs w:val="26"/>
                <w:vertAlign w:val="baseline"/>
              </w:rPr>
            </w:pPr>
            <w:r>
              <w:rPr>
                <w:rFonts w:hint="cs"/>
                <w:sz w:val="26"/>
                <w:szCs w:val="26"/>
                <w:rtl/>
              </w:rPr>
              <w:t>1.8</w:t>
            </w:r>
          </w:p>
        </w:tc>
      </w:tr>
    </w:tbl>
    <w:p w:rsidR="00000000" w:rsidRDefault="003865AC">
      <w:pPr>
        <w:jc w:val="both"/>
        <w:rPr>
          <w:rFonts w:hint="cs"/>
          <w:rtl/>
        </w:rPr>
      </w:pPr>
      <w:r>
        <w:rPr>
          <w:rFonts w:hint="cs"/>
          <w:rtl/>
        </w:rPr>
        <w:t>231-</w:t>
      </w:r>
      <w:r>
        <w:rPr>
          <w:rFonts w:hint="cs"/>
          <w:rtl/>
        </w:rPr>
        <w:tab/>
        <w:t>بقي عدد الطلاب في مدارس التعليم الثانوي العام والمتخصص (لكل 000 1 فرد من السكان) مستقراً إلى حد ما في السنوات الأخيرة، في حين ارتفع عدد الطلاب في مؤسسات التعليم العالي ارتفاعاً كبيراً</w:t>
      </w:r>
      <w:r>
        <w:rPr>
          <w:rFonts w:hint="cs"/>
          <w:rtl/>
        </w:rPr>
        <w:t>.</w:t>
      </w:r>
    </w:p>
    <w:p w:rsidR="00000000" w:rsidRDefault="003865AC">
      <w:pPr>
        <w:jc w:val="both"/>
        <w:rPr>
          <w:rFonts w:hint="cs"/>
          <w:rtl/>
        </w:rPr>
      </w:pPr>
      <w:r>
        <w:rPr>
          <w:rFonts w:hint="cs"/>
          <w:rtl/>
        </w:rPr>
        <w:t>232-</w:t>
      </w:r>
      <w:r>
        <w:rPr>
          <w:rFonts w:hint="cs"/>
          <w:rtl/>
        </w:rPr>
        <w:tab/>
        <w:t>غير أن عدد الخبراء من خريجي مؤسسات التعليم العالي والتعليم الثانوي المتخصص لم يكن مستقراً خلال الفترة ذاتها (لكل 000 1 فرد من السكان)، على الرغم من حدوث زيادة إجمالية طفيفة. فقد ازداد الرقم القياسي لخريجي المدارس الثانوية المتخصصة من 13 في السنة الد</w:t>
      </w:r>
      <w:r>
        <w:rPr>
          <w:rFonts w:hint="cs"/>
          <w:rtl/>
        </w:rPr>
        <w:t>راسية 1997/1998 إلى 21 في السنة الدراسية 1999/2000، وذلك بالمقارنة مع 40 و45 خريجا من مؤسسات التعليمي العالي في نفس السنتين.</w:t>
      </w:r>
    </w:p>
    <w:p w:rsidR="00000000" w:rsidRDefault="003865AC">
      <w:pPr>
        <w:jc w:val="both"/>
        <w:rPr>
          <w:rFonts w:hint="cs"/>
          <w:rtl/>
        </w:rPr>
      </w:pPr>
      <w:r>
        <w:rPr>
          <w:rFonts w:hint="cs"/>
          <w:rtl/>
        </w:rPr>
        <w:t>233-</w:t>
      </w:r>
      <w:r>
        <w:rPr>
          <w:rFonts w:hint="cs"/>
          <w:rtl/>
        </w:rPr>
        <w:tab/>
        <w:t>ويبين الجدول أعلاه أن انخفاضاً طرأ أثناء الفترة المشمولة بالتقرير على عدد كل من المؤسسات الحكومية للتعليم الثانوي العام والمدا</w:t>
      </w:r>
      <w:r>
        <w:rPr>
          <w:rFonts w:hint="cs"/>
          <w:rtl/>
        </w:rPr>
        <w:t>رس المسائية وعلى عدد الطلاب في هاتين الفئتين من المؤسسات. وظل متوسط نسبة الطلاب إلى المدرسين دون تغير، أي عشرة طلاب لكل مدرس.</w:t>
      </w:r>
    </w:p>
    <w:p w:rsidR="00000000" w:rsidRDefault="003865AC">
      <w:pPr>
        <w:jc w:val="center"/>
        <w:rPr>
          <w:b/>
          <w:bCs/>
          <w:rtl/>
        </w:rPr>
      </w:pPr>
      <w:r>
        <w:rPr>
          <w:rFonts w:hint="cs"/>
          <w:b/>
          <w:bCs/>
          <w:rtl/>
        </w:rPr>
        <w:t xml:space="preserve">تصنيف الطلاب في المدارس العامة النهارية، بحسب لغة التعليم </w:t>
      </w:r>
    </w:p>
    <w:tbl>
      <w:tblPr>
        <w:bidiVisual/>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2"/>
        <w:gridCol w:w="1980"/>
        <w:gridCol w:w="1800"/>
        <w:gridCol w:w="1908"/>
      </w:tblGrid>
      <w:tr w:rsidR="003865AC" w:rsidTr="003865AC">
        <w:tblPrEx>
          <w:tblCellMar>
            <w:top w:w="0" w:type="dxa"/>
            <w:bottom w:w="0" w:type="dxa"/>
          </w:tblCellMar>
        </w:tblPrEx>
        <w:tc>
          <w:tcPr>
            <w:tcW w:w="3882" w:type="dxa"/>
            <w:tcBorders>
              <w:bottom w:val="single" w:sz="4" w:space="0" w:color="auto"/>
            </w:tcBorders>
          </w:tcPr>
          <w:p w:rsidR="003865AC" w:rsidRDefault="003865AC">
            <w:pPr>
              <w:spacing w:before="120" w:after="120"/>
              <w:jc w:val="center"/>
              <w:rPr>
                <w:rFonts w:hint="cs"/>
                <w:b/>
                <w:bCs/>
              </w:rPr>
            </w:pPr>
          </w:p>
        </w:tc>
        <w:tc>
          <w:tcPr>
            <w:tcW w:w="1980" w:type="dxa"/>
            <w:tcBorders>
              <w:bottom w:val="single" w:sz="4" w:space="0" w:color="auto"/>
            </w:tcBorders>
          </w:tcPr>
          <w:p w:rsidR="003865AC" w:rsidRDefault="003865AC">
            <w:pPr>
              <w:spacing w:before="120" w:after="120"/>
              <w:jc w:val="center"/>
              <w:rPr>
                <w:rFonts w:hint="cs"/>
                <w:b/>
                <w:bCs/>
              </w:rPr>
            </w:pPr>
            <w:r>
              <w:rPr>
                <w:rFonts w:hint="cs"/>
                <w:b/>
                <w:bCs/>
                <w:rtl/>
              </w:rPr>
              <w:t>1997/1998</w:t>
            </w:r>
          </w:p>
        </w:tc>
        <w:tc>
          <w:tcPr>
            <w:tcW w:w="1800" w:type="dxa"/>
            <w:tcBorders>
              <w:bottom w:val="single" w:sz="4" w:space="0" w:color="auto"/>
            </w:tcBorders>
          </w:tcPr>
          <w:p w:rsidR="003865AC" w:rsidRDefault="003865AC">
            <w:pPr>
              <w:spacing w:before="120" w:after="120"/>
              <w:jc w:val="center"/>
              <w:rPr>
                <w:rFonts w:hint="cs"/>
                <w:b/>
                <w:bCs/>
              </w:rPr>
            </w:pPr>
            <w:r>
              <w:rPr>
                <w:rFonts w:hint="cs"/>
                <w:b/>
                <w:bCs/>
                <w:rtl/>
              </w:rPr>
              <w:t>1998/1999</w:t>
            </w:r>
          </w:p>
        </w:tc>
        <w:tc>
          <w:tcPr>
            <w:tcW w:w="1908" w:type="dxa"/>
            <w:tcBorders>
              <w:bottom w:val="single" w:sz="4" w:space="0" w:color="auto"/>
            </w:tcBorders>
          </w:tcPr>
          <w:p w:rsidR="003865AC" w:rsidRDefault="003865AC">
            <w:pPr>
              <w:spacing w:before="120" w:after="120"/>
              <w:jc w:val="center"/>
              <w:rPr>
                <w:rFonts w:hint="cs"/>
                <w:b/>
                <w:bCs/>
              </w:rPr>
            </w:pPr>
            <w:r>
              <w:rPr>
                <w:rFonts w:hint="cs"/>
                <w:b/>
                <w:bCs/>
                <w:rtl/>
              </w:rPr>
              <w:t>1999/2000</w:t>
            </w:r>
          </w:p>
        </w:tc>
      </w:tr>
      <w:tr w:rsidR="003865AC" w:rsidTr="003865AC">
        <w:tblPrEx>
          <w:tblCellMar>
            <w:top w:w="0" w:type="dxa"/>
            <w:bottom w:w="0" w:type="dxa"/>
          </w:tblCellMar>
        </w:tblPrEx>
        <w:tc>
          <w:tcPr>
            <w:tcW w:w="3882" w:type="dxa"/>
            <w:tcBorders>
              <w:bottom w:val="nil"/>
            </w:tcBorders>
          </w:tcPr>
          <w:p w:rsidR="003865AC" w:rsidRDefault="003865AC">
            <w:pPr>
              <w:spacing w:before="80" w:after="80"/>
              <w:jc w:val="both"/>
              <w:rPr>
                <w:rFonts w:hint="cs"/>
              </w:rPr>
            </w:pPr>
            <w:r>
              <w:rPr>
                <w:rFonts w:hint="cs"/>
                <w:rtl/>
              </w:rPr>
              <w:t>العـدد الإجمالـي للطـلاب (بـالآلاف) منهم الذين يتلقون التعليم باللغة:</w:t>
            </w:r>
          </w:p>
        </w:tc>
        <w:tc>
          <w:tcPr>
            <w:tcW w:w="1980" w:type="dxa"/>
            <w:tcBorders>
              <w:bottom w:val="nil"/>
            </w:tcBorders>
          </w:tcPr>
          <w:p w:rsidR="003865AC" w:rsidRDefault="003865AC">
            <w:pPr>
              <w:spacing w:before="80" w:after="80"/>
              <w:ind w:left="567"/>
              <w:jc w:val="left"/>
              <w:rPr>
                <w:rFonts w:hint="cs"/>
              </w:rPr>
            </w:pPr>
            <w:r>
              <w:rPr>
                <w:rFonts w:hint="cs"/>
                <w:rtl/>
              </w:rPr>
              <w:t>714.6</w:t>
            </w:r>
          </w:p>
        </w:tc>
        <w:tc>
          <w:tcPr>
            <w:tcW w:w="1800" w:type="dxa"/>
            <w:tcBorders>
              <w:bottom w:val="nil"/>
            </w:tcBorders>
          </w:tcPr>
          <w:p w:rsidR="003865AC" w:rsidRDefault="003865AC">
            <w:pPr>
              <w:spacing w:before="80" w:after="80"/>
              <w:ind w:left="567"/>
              <w:jc w:val="left"/>
              <w:rPr>
                <w:rFonts w:hint="cs"/>
              </w:rPr>
            </w:pPr>
            <w:r>
              <w:rPr>
                <w:rFonts w:hint="cs"/>
                <w:rtl/>
              </w:rPr>
              <w:t>715.8</w:t>
            </w:r>
          </w:p>
        </w:tc>
        <w:tc>
          <w:tcPr>
            <w:tcW w:w="1908" w:type="dxa"/>
            <w:tcBorders>
              <w:bottom w:val="nil"/>
            </w:tcBorders>
          </w:tcPr>
          <w:p w:rsidR="003865AC" w:rsidRDefault="003865AC">
            <w:pPr>
              <w:spacing w:before="80" w:after="80"/>
              <w:ind w:left="567"/>
              <w:jc w:val="left"/>
              <w:rPr>
                <w:rFonts w:hint="cs"/>
              </w:rPr>
            </w:pPr>
            <w:r>
              <w:rPr>
                <w:rFonts w:hint="cs"/>
                <w:rtl/>
              </w:rPr>
              <w:t>707.6</w:t>
            </w:r>
          </w:p>
        </w:tc>
      </w:tr>
      <w:tr w:rsidR="003865AC" w:rsidTr="003865AC">
        <w:tblPrEx>
          <w:tblCellMar>
            <w:top w:w="0" w:type="dxa"/>
            <w:bottom w:w="0" w:type="dxa"/>
          </w:tblCellMar>
        </w:tblPrEx>
        <w:tc>
          <w:tcPr>
            <w:tcW w:w="3882" w:type="dxa"/>
            <w:tcBorders>
              <w:top w:val="nil"/>
            </w:tcBorders>
          </w:tcPr>
          <w:p w:rsidR="003865AC" w:rsidRDefault="003865AC">
            <w:pPr>
              <w:spacing w:before="80" w:after="80"/>
              <w:jc w:val="both"/>
              <w:rPr>
                <w:rFonts w:hint="cs"/>
                <w:rtl/>
              </w:rPr>
            </w:pPr>
            <w:r>
              <w:rPr>
                <w:rtl/>
              </w:rPr>
              <w:tab/>
            </w:r>
            <w:r>
              <w:rPr>
                <w:rFonts w:hint="cs"/>
                <w:rtl/>
              </w:rPr>
              <w:t>الجورجية</w:t>
            </w:r>
          </w:p>
          <w:p w:rsidR="003865AC" w:rsidRDefault="003865AC">
            <w:pPr>
              <w:spacing w:before="80" w:after="80"/>
              <w:jc w:val="both"/>
              <w:rPr>
                <w:rFonts w:hint="cs"/>
                <w:rtl/>
              </w:rPr>
            </w:pPr>
            <w:r>
              <w:rPr>
                <w:rtl/>
              </w:rPr>
              <w:tab/>
            </w:r>
            <w:r>
              <w:rPr>
                <w:rFonts w:hint="cs"/>
                <w:rtl/>
              </w:rPr>
              <w:t>الروسية</w:t>
            </w:r>
          </w:p>
          <w:p w:rsidR="003865AC" w:rsidRDefault="003865AC">
            <w:pPr>
              <w:spacing w:before="80" w:after="80"/>
              <w:jc w:val="both"/>
              <w:rPr>
                <w:rFonts w:hint="cs"/>
                <w:rtl/>
              </w:rPr>
            </w:pPr>
            <w:r>
              <w:rPr>
                <w:rtl/>
              </w:rPr>
              <w:tab/>
            </w:r>
            <w:r>
              <w:rPr>
                <w:rFonts w:hint="cs"/>
                <w:rtl/>
              </w:rPr>
              <w:t xml:space="preserve">الأذربيجانية </w:t>
            </w:r>
          </w:p>
          <w:p w:rsidR="003865AC" w:rsidRDefault="003865AC">
            <w:pPr>
              <w:spacing w:before="80" w:after="80"/>
              <w:jc w:val="both"/>
              <w:rPr>
                <w:rFonts w:hint="cs"/>
                <w:rtl/>
              </w:rPr>
            </w:pPr>
            <w:r>
              <w:rPr>
                <w:rtl/>
              </w:rPr>
              <w:tab/>
            </w:r>
            <w:r>
              <w:rPr>
                <w:rFonts w:hint="cs"/>
                <w:rtl/>
              </w:rPr>
              <w:t>الأرمنية</w:t>
            </w:r>
          </w:p>
          <w:p w:rsidR="003865AC" w:rsidRDefault="003865AC">
            <w:pPr>
              <w:spacing w:before="80" w:after="80"/>
              <w:jc w:val="both"/>
              <w:rPr>
                <w:rFonts w:hint="cs"/>
                <w:rtl/>
              </w:rPr>
            </w:pPr>
            <w:r>
              <w:rPr>
                <w:rtl/>
              </w:rPr>
              <w:tab/>
            </w:r>
            <w:r>
              <w:rPr>
                <w:rFonts w:hint="cs"/>
                <w:rtl/>
              </w:rPr>
              <w:t>الإستونية</w:t>
            </w:r>
          </w:p>
        </w:tc>
        <w:tc>
          <w:tcPr>
            <w:tcW w:w="1980" w:type="dxa"/>
            <w:tcBorders>
              <w:top w:val="nil"/>
            </w:tcBorders>
          </w:tcPr>
          <w:p w:rsidR="003865AC" w:rsidRDefault="003865AC">
            <w:pPr>
              <w:spacing w:before="80" w:after="80"/>
              <w:ind w:left="567"/>
              <w:jc w:val="left"/>
              <w:rPr>
                <w:rFonts w:hint="cs"/>
                <w:rtl/>
              </w:rPr>
            </w:pPr>
            <w:r>
              <w:rPr>
                <w:rFonts w:hint="cs"/>
                <w:rtl/>
              </w:rPr>
              <w:t>660.0</w:t>
            </w:r>
          </w:p>
          <w:p w:rsidR="003865AC" w:rsidRDefault="003865AC">
            <w:pPr>
              <w:spacing w:before="80" w:after="80"/>
              <w:ind w:left="567"/>
              <w:jc w:val="left"/>
              <w:rPr>
                <w:rFonts w:hint="cs"/>
                <w:rtl/>
              </w:rPr>
            </w:pPr>
            <w:r>
              <w:rPr>
                <w:rFonts w:hint="cs"/>
                <w:rtl/>
              </w:rPr>
              <w:t>44.4</w:t>
            </w:r>
          </w:p>
          <w:p w:rsidR="003865AC" w:rsidRDefault="003865AC">
            <w:pPr>
              <w:spacing w:before="80" w:after="80"/>
              <w:ind w:left="567"/>
              <w:jc w:val="left"/>
              <w:rPr>
                <w:rFonts w:hint="cs"/>
                <w:rtl/>
              </w:rPr>
            </w:pPr>
            <w:r>
              <w:rPr>
                <w:rFonts w:hint="cs"/>
                <w:rtl/>
              </w:rPr>
              <w:t>41.9</w:t>
            </w:r>
          </w:p>
          <w:p w:rsidR="003865AC" w:rsidRDefault="003865AC">
            <w:pPr>
              <w:spacing w:before="80" w:after="80"/>
              <w:ind w:left="567"/>
              <w:jc w:val="left"/>
              <w:rPr>
                <w:rFonts w:hint="cs"/>
                <w:rtl/>
              </w:rPr>
            </w:pPr>
            <w:r>
              <w:rPr>
                <w:rFonts w:hint="cs"/>
                <w:rtl/>
              </w:rPr>
              <w:t>28.0</w:t>
            </w:r>
          </w:p>
          <w:p w:rsidR="003865AC" w:rsidRDefault="003865AC">
            <w:pPr>
              <w:spacing w:before="80" w:after="80"/>
              <w:ind w:left="567"/>
              <w:jc w:val="left"/>
              <w:rPr>
                <w:rFonts w:hint="cs"/>
              </w:rPr>
            </w:pPr>
            <w:r>
              <w:rPr>
                <w:rFonts w:hint="cs"/>
                <w:rtl/>
              </w:rPr>
              <w:t>0.2</w:t>
            </w:r>
          </w:p>
        </w:tc>
        <w:tc>
          <w:tcPr>
            <w:tcW w:w="1800" w:type="dxa"/>
            <w:tcBorders>
              <w:top w:val="nil"/>
            </w:tcBorders>
          </w:tcPr>
          <w:p w:rsidR="003865AC" w:rsidRDefault="003865AC">
            <w:pPr>
              <w:spacing w:before="80" w:after="80"/>
              <w:ind w:left="567"/>
              <w:jc w:val="left"/>
              <w:rPr>
                <w:rFonts w:hint="cs"/>
                <w:rtl/>
              </w:rPr>
            </w:pPr>
            <w:r>
              <w:rPr>
                <w:rFonts w:hint="cs"/>
                <w:rtl/>
              </w:rPr>
              <w:t>603.1</w:t>
            </w:r>
          </w:p>
          <w:p w:rsidR="003865AC" w:rsidRDefault="003865AC">
            <w:pPr>
              <w:spacing w:before="80" w:after="80"/>
              <w:ind w:left="567"/>
              <w:jc w:val="left"/>
              <w:rPr>
                <w:rFonts w:hint="cs"/>
                <w:rtl/>
              </w:rPr>
            </w:pPr>
            <w:r>
              <w:rPr>
                <w:rFonts w:hint="cs"/>
                <w:rtl/>
              </w:rPr>
              <w:t>43.7</w:t>
            </w:r>
          </w:p>
          <w:p w:rsidR="003865AC" w:rsidRDefault="003865AC">
            <w:pPr>
              <w:spacing w:before="80" w:after="80"/>
              <w:ind w:left="567"/>
              <w:jc w:val="left"/>
              <w:rPr>
                <w:rFonts w:hint="cs"/>
                <w:rtl/>
              </w:rPr>
            </w:pPr>
            <w:r>
              <w:rPr>
                <w:rFonts w:hint="cs"/>
                <w:rtl/>
              </w:rPr>
              <w:t>41.0</w:t>
            </w:r>
          </w:p>
          <w:p w:rsidR="003865AC" w:rsidRDefault="003865AC">
            <w:pPr>
              <w:spacing w:before="80" w:after="80"/>
              <w:ind w:left="567"/>
              <w:jc w:val="left"/>
              <w:rPr>
                <w:rFonts w:hint="cs"/>
                <w:rtl/>
              </w:rPr>
            </w:pPr>
            <w:r>
              <w:rPr>
                <w:rFonts w:hint="cs"/>
                <w:rtl/>
              </w:rPr>
              <w:t>27.8</w:t>
            </w:r>
          </w:p>
          <w:p w:rsidR="003865AC" w:rsidRDefault="003865AC">
            <w:pPr>
              <w:spacing w:before="80" w:after="80"/>
              <w:ind w:left="567"/>
              <w:jc w:val="left"/>
              <w:rPr>
                <w:rFonts w:hint="cs"/>
              </w:rPr>
            </w:pPr>
            <w:r>
              <w:rPr>
                <w:rFonts w:hint="cs"/>
                <w:rtl/>
              </w:rPr>
              <w:t>0.2</w:t>
            </w:r>
          </w:p>
        </w:tc>
        <w:tc>
          <w:tcPr>
            <w:tcW w:w="1908" w:type="dxa"/>
            <w:tcBorders>
              <w:top w:val="nil"/>
            </w:tcBorders>
          </w:tcPr>
          <w:p w:rsidR="003865AC" w:rsidRDefault="003865AC">
            <w:pPr>
              <w:spacing w:before="80" w:after="80"/>
              <w:ind w:left="567"/>
              <w:jc w:val="left"/>
              <w:rPr>
                <w:rFonts w:hint="cs"/>
                <w:rtl/>
              </w:rPr>
            </w:pPr>
            <w:r>
              <w:rPr>
                <w:rFonts w:hint="cs"/>
                <w:rtl/>
              </w:rPr>
              <w:t>600.4</w:t>
            </w:r>
          </w:p>
          <w:p w:rsidR="003865AC" w:rsidRDefault="003865AC">
            <w:pPr>
              <w:spacing w:before="80" w:after="80"/>
              <w:ind w:left="567"/>
              <w:jc w:val="left"/>
              <w:rPr>
                <w:rFonts w:hint="cs"/>
                <w:rtl/>
              </w:rPr>
            </w:pPr>
            <w:r>
              <w:rPr>
                <w:rFonts w:hint="cs"/>
                <w:rtl/>
              </w:rPr>
              <w:t>40.8</w:t>
            </w:r>
          </w:p>
          <w:p w:rsidR="003865AC" w:rsidRDefault="003865AC">
            <w:pPr>
              <w:spacing w:before="80" w:after="80"/>
              <w:ind w:left="567"/>
              <w:jc w:val="left"/>
              <w:rPr>
                <w:rFonts w:hint="cs"/>
                <w:rtl/>
              </w:rPr>
            </w:pPr>
            <w:r>
              <w:rPr>
                <w:rFonts w:hint="cs"/>
                <w:rtl/>
              </w:rPr>
              <w:t>39.6</w:t>
            </w:r>
          </w:p>
          <w:p w:rsidR="003865AC" w:rsidRDefault="003865AC">
            <w:pPr>
              <w:spacing w:before="80" w:after="80"/>
              <w:ind w:left="567"/>
              <w:jc w:val="left"/>
              <w:rPr>
                <w:rFonts w:hint="cs"/>
                <w:rtl/>
              </w:rPr>
            </w:pPr>
            <w:r>
              <w:rPr>
                <w:rFonts w:hint="cs"/>
                <w:rtl/>
              </w:rPr>
              <w:t>26.7</w:t>
            </w:r>
          </w:p>
          <w:p w:rsidR="003865AC" w:rsidRDefault="003865AC">
            <w:pPr>
              <w:spacing w:before="80" w:after="80"/>
              <w:ind w:left="567"/>
              <w:jc w:val="left"/>
              <w:rPr>
                <w:rFonts w:hint="cs"/>
              </w:rPr>
            </w:pPr>
            <w:r>
              <w:rPr>
                <w:rFonts w:hint="cs"/>
                <w:rtl/>
              </w:rPr>
              <w:t>0.2</w:t>
            </w:r>
          </w:p>
        </w:tc>
      </w:tr>
    </w:tbl>
    <w:p w:rsidR="00000000" w:rsidRDefault="003865AC">
      <w:pPr>
        <w:jc w:val="both"/>
        <w:rPr>
          <w:rFonts w:hint="cs"/>
          <w:i/>
          <w:iCs/>
          <w:rtl/>
        </w:rPr>
      </w:pPr>
      <w:r>
        <w:rPr>
          <w:rFonts w:hint="cs"/>
          <w:i/>
          <w:iCs/>
          <w:rtl/>
        </w:rPr>
        <w:t>التعليم المهني والحرفي الابتدائي</w:t>
      </w:r>
    </w:p>
    <w:p w:rsidR="00000000" w:rsidRDefault="003865AC">
      <w:pPr>
        <w:jc w:val="both"/>
        <w:rPr>
          <w:rFonts w:hint="cs"/>
          <w:i/>
          <w:iCs/>
          <w:rtl/>
        </w:rPr>
      </w:pPr>
      <w:r>
        <w:rPr>
          <w:rFonts w:hint="cs"/>
          <w:rtl/>
        </w:rPr>
        <w:t>234-</w:t>
      </w:r>
      <w:r>
        <w:rPr>
          <w:rFonts w:hint="cs"/>
          <w:rtl/>
        </w:rPr>
        <w:tab/>
        <w:t>طرأ خلال الفترة المشمولة بالتقرير انخ</w:t>
      </w:r>
      <w:r>
        <w:rPr>
          <w:rFonts w:hint="cs"/>
          <w:rtl/>
        </w:rPr>
        <w:t>فاض على عدد المؤسسات التعليمية من هذه الفئة، كما انخفضت أعداد الطلاب الملتحقين بالمدارس المهنية أو المتخرجين منها. كما حدث خلال الفترة 1997-1999 انخفاض في عدد المؤسسات التعليمية من هذه الفئة من 99 إلى 84 مؤسسـة وفي عدد الطلاب فيهـا من 600 19 إلى 800 16 طال</w:t>
      </w:r>
      <w:r>
        <w:rPr>
          <w:rFonts w:hint="cs"/>
          <w:rtl/>
        </w:rPr>
        <w:t>ب. وانخفض عدد الملتحقين بهذه المؤسسات سنوياً من 100 11 إلى 100 7 طالب وانخفض عدد الطلاب الذين أنهوا دوراتهم التعليمية من 100 10 إلى 200 7 طالب.</w:t>
      </w:r>
    </w:p>
    <w:p w:rsidR="00000000" w:rsidRDefault="003865AC">
      <w:pPr>
        <w:jc w:val="both"/>
        <w:rPr>
          <w:rFonts w:hint="cs"/>
          <w:i/>
          <w:iCs/>
          <w:rtl/>
        </w:rPr>
      </w:pPr>
      <w:r>
        <w:rPr>
          <w:rFonts w:hint="cs"/>
          <w:i/>
          <w:iCs/>
          <w:rtl/>
        </w:rPr>
        <w:t>التعليم الثانوي المتخصص</w:t>
      </w:r>
    </w:p>
    <w:p w:rsidR="00000000" w:rsidRDefault="003865AC">
      <w:pPr>
        <w:jc w:val="both"/>
        <w:rPr>
          <w:rFonts w:hint="cs"/>
          <w:rtl/>
          <w:lang w:eastAsia="en-US"/>
        </w:rPr>
      </w:pPr>
      <w:r>
        <w:rPr>
          <w:rFonts w:hint="cs"/>
          <w:rtl/>
        </w:rPr>
        <w:t>235-</w:t>
      </w:r>
      <w:r>
        <w:rPr>
          <w:rFonts w:hint="cs"/>
          <w:rtl/>
        </w:rPr>
        <w:tab/>
        <w:t xml:space="preserve">طرأت خلال الفترة المشمولة بالتقرير زيادة على عدد المؤسسات الحكومية للتعليم الثانوي </w:t>
      </w:r>
      <w:r>
        <w:rPr>
          <w:rFonts w:hint="cs"/>
          <w:rtl/>
        </w:rPr>
        <w:t>المتخصص من 81 مؤسسة في عام 1997 إلى 85 مؤسسة في عام 1999. بينما انخفض عدد الطلاب من 770 30 طالبا في عام 1997 إلى 900 29 طالب في عام 1999، ويعزى ذلك بصفة أساسية إلى انخفاض عدد الطلاب الذين يشاركون في دورات تعليمية عن بعد. وازداد عدد المدارس الخاصة من هذه ال</w:t>
      </w:r>
      <w:r>
        <w:rPr>
          <w:rFonts w:hint="cs"/>
          <w:rtl/>
        </w:rPr>
        <w:t xml:space="preserve">فئة من 47 </w:t>
      </w:r>
      <w:r>
        <w:rPr>
          <w:rFonts w:hint="cs"/>
          <w:rtl/>
          <w:lang w:eastAsia="en-US"/>
        </w:rPr>
        <w:t>إلى 58 مدرسة، كما ازداد عدد الطلاب المسجلين فيها (من 800 5 إلى800 6). والدورات التعليمية التي تستوجب دفع الرسوم لا تقام إلا أثناء النهار.</w:t>
      </w:r>
    </w:p>
    <w:p w:rsidR="00000000" w:rsidRDefault="003865AC">
      <w:pPr>
        <w:jc w:val="both"/>
        <w:rPr>
          <w:rFonts w:hint="cs"/>
          <w:rtl/>
          <w:lang w:eastAsia="en-US"/>
        </w:rPr>
      </w:pPr>
      <w:r>
        <w:rPr>
          <w:rFonts w:hint="cs"/>
          <w:i/>
          <w:iCs/>
          <w:rtl/>
          <w:lang w:eastAsia="en-US"/>
        </w:rPr>
        <w:t>التعليم العالي</w:t>
      </w:r>
    </w:p>
    <w:p w:rsidR="00000000" w:rsidRDefault="003865AC">
      <w:pPr>
        <w:jc w:val="both"/>
        <w:rPr>
          <w:rFonts w:hint="cs"/>
          <w:rtl/>
          <w:lang w:eastAsia="en-US"/>
        </w:rPr>
      </w:pPr>
      <w:r>
        <w:rPr>
          <w:rFonts w:hint="cs"/>
          <w:rtl/>
          <w:lang w:eastAsia="en-US"/>
        </w:rPr>
        <w:t>236-</w:t>
      </w:r>
      <w:r>
        <w:rPr>
          <w:rFonts w:hint="cs"/>
          <w:rtl/>
          <w:lang w:eastAsia="en-US"/>
        </w:rPr>
        <w:tab/>
        <w:t>ازداد عدد الطلاب في مؤسسات التعليم العالي الحكومية خلال الفترة 1997-1999 من 300 87 إلى 0</w:t>
      </w:r>
      <w:r>
        <w:rPr>
          <w:rFonts w:hint="cs"/>
          <w:rtl/>
          <w:lang w:eastAsia="en-US"/>
        </w:rPr>
        <w:t xml:space="preserve">00 95 طالب. كما ازداد عدد الطلاب المسجلين في الدورات النهارية، بينما انخفض عدد الطلاب المسجلين في الصفوف المسائية بنسبة 40 في المائة؛ وظل مجموع عدد الطلاب المشاركين في الدورات التعليمية عن بعد كما هو تقريبا. وطرأت زيادة طفيفة على عدد مؤسسات التعليم العالي </w:t>
      </w:r>
      <w:r>
        <w:rPr>
          <w:rFonts w:hint="cs"/>
          <w:rtl/>
          <w:lang w:eastAsia="en-US"/>
        </w:rPr>
        <w:t>الخاصة في ظل تقلب أعداد الطلاب. وكان عدد الطلاب المشاركين في الدورات التعليمية عن بعد هو العدد الوحيد الذي يشهد انخفاضا ملموساً من 000 3 إلى 100 2 طالب.</w:t>
      </w:r>
    </w:p>
    <w:p w:rsidR="00000000" w:rsidRDefault="003865AC">
      <w:pPr>
        <w:jc w:val="both"/>
        <w:rPr>
          <w:rFonts w:hint="cs"/>
          <w:rtl/>
          <w:lang w:eastAsia="en-US"/>
        </w:rPr>
      </w:pPr>
      <w:r>
        <w:rPr>
          <w:rFonts w:hint="cs"/>
          <w:rtl/>
          <w:lang w:eastAsia="en-US"/>
        </w:rPr>
        <w:t>237-</w:t>
      </w:r>
      <w:r>
        <w:rPr>
          <w:rFonts w:hint="cs"/>
          <w:rtl/>
          <w:lang w:eastAsia="en-US"/>
        </w:rPr>
        <w:tab/>
        <w:t xml:space="preserve">وتشكل مؤسسات التعليم العالي الحكومية والخاصة التي تدرب الاختصاصين في مجال التعليم العدد الأكبر من </w:t>
      </w:r>
      <w:r>
        <w:rPr>
          <w:rFonts w:hint="cs"/>
          <w:rtl/>
          <w:lang w:eastAsia="en-US"/>
        </w:rPr>
        <w:t xml:space="preserve">المؤسسات المندرجة في هذه الفئة. وبالتالي يتركز العدد الأكبر من الطلاب في هذه المؤسسات. وأما المؤسسات التي تليها من حيث عدد الطلاب فهي المؤسسات المتخصصة في الزراعة والصناعة والبناء والاقتصاد والقانون والطب. </w:t>
      </w:r>
    </w:p>
    <w:p w:rsidR="00000000" w:rsidRDefault="003865AC">
      <w:pPr>
        <w:jc w:val="both"/>
        <w:rPr>
          <w:rFonts w:hint="cs"/>
          <w:i/>
          <w:iCs/>
          <w:rtl/>
          <w:lang w:eastAsia="en-US"/>
        </w:rPr>
      </w:pPr>
      <w:r>
        <w:rPr>
          <w:rFonts w:hint="cs"/>
          <w:i/>
          <w:iCs/>
          <w:rtl/>
          <w:lang w:eastAsia="en-US"/>
        </w:rPr>
        <w:t>الدراسات العليا</w:t>
      </w:r>
    </w:p>
    <w:p w:rsidR="00000000" w:rsidRDefault="003865AC">
      <w:pPr>
        <w:jc w:val="both"/>
        <w:rPr>
          <w:rtl/>
        </w:rPr>
      </w:pPr>
      <w:r>
        <w:rPr>
          <w:rFonts w:hint="cs"/>
          <w:rtl/>
          <w:lang w:eastAsia="en-US"/>
        </w:rPr>
        <w:t>238-</w:t>
      </w:r>
      <w:r>
        <w:rPr>
          <w:rFonts w:hint="cs"/>
          <w:rtl/>
          <w:lang w:eastAsia="en-US"/>
        </w:rPr>
        <w:tab/>
        <w:t>يبن الجدول أدناه إحصاءات تتع</w:t>
      </w:r>
      <w:r>
        <w:rPr>
          <w:rFonts w:hint="cs"/>
          <w:rtl/>
          <w:lang w:eastAsia="en-US"/>
        </w:rPr>
        <w:t>لق بالموضوع.</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2"/>
        <w:gridCol w:w="1634"/>
        <w:gridCol w:w="1606"/>
        <w:gridCol w:w="1548"/>
      </w:tblGrid>
      <w:tr w:rsidR="003865AC" w:rsidTr="003865AC">
        <w:tblPrEx>
          <w:tblCellMar>
            <w:top w:w="0" w:type="dxa"/>
            <w:bottom w:w="0" w:type="dxa"/>
          </w:tblCellMar>
        </w:tblPrEx>
        <w:tc>
          <w:tcPr>
            <w:tcW w:w="4782" w:type="dxa"/>
            <w:tcBorders>
              <w:bottom w:val="single" w:sz="4" w:space="0" w:color="auto"/>
            </w:tcBorders>
          </w:tcPr>
          <w:p w:rsidR="003865AC" w:rsidRDefault="003865AC">
            <w:pPr>
              <w:spacing w:before="120" w:after="120"/>
              <w:jc w:val="both"/>
              <w:rPr>
                <w:rFonts w:hint="cs"/>
              </w:rPr>
            </w:pPr>
          </w:p>
        </w:tc>
        <w:tc>
          <w:tcPr>
            <w:tcW w:w="1634" w:type="dxa"/>
            <w:tcBorders>
              <w:bottom w:val="single" w:sz="4" w:space="0" w:color="auto"/>
            </w:tcBorders>
          </w:tcPr>
          <w:p w:rsidR="003865AC" w:rsidRDefault="003865AC">
            <w:pPr>
              <w:spacing w:before="120" w:after="120"/>
              <w:ind w:left="284"/>
              <w:jc w:val="left"/>
              <w:rPr>
                <w:rFonts w:hint="cs"/>
                <w:b/>
                <w:bCs/>
              </w:rPr>
            </w:pPr>
            <w:r>
              <w:rPr>
                <w:rFonts w:hint="cs"/>
                <w:b/>
                <w:bCs/>
                <w:rtl/>
              </w:rPr>
              <w:t>1997</w:t>
            </w:r>
          </w:p>
        </w:tc>
        <w:tc>
          <w:tcPr>
            <w:tcW w:w="1606" w:type="dxa"/>
            <w:tcBorders>
              <w:bottom w:val="single" w:sz="4" w:space="0" w:color="auto"/>
            </w:tcBorders>
          </w:tcPr>
          <w:p w:rsidR="003865AC" w:rsidRDefault="003865AC">
            <w:pPr>
              <w:spacing w:before="120" w:after="120"/>
              <w:ind w:left="284"/>
              <w:jc w:val="left"/>
              <w:rPr>
                <w:rFonts w:hint="cs"/>
                <w:b/>
                <w:bCs/>
              </w:rPr>
            </w:pPr>
            <w:r>
              <w:rPr>
                <w:rFonts w:hint="cs"/>
                <w:b/>
                <w:bCs/>
                <w:rtl/>
              </w:rPr>
              <w:t>1998</w:t>
            </w:r>
          </w:p>
        </w:tc>
        <w:tc>
          <w:tcPr>
            <w:tcW w:w="1548" w:type="dxa"/>
            <w:tcBorders>
              <w:bottom w:val="single" w:sz="4" w:space="0" w:color="auto"/>
            </w:tcBorders>
          </w:tcPr>
          <w:p w:rsidR="003865AC" w:rsidRDefault="003865AC">
            <w:pPr>
              <w:spacing w:before="120" w:after="120"/>
              <w:ind w:left="284"/>
              <w:jc w:val="left"/>
              <w:rPr>
                <w:b/>
                <w:bCs/>
              </w:rPr>
            </w:pPr>
            <w:r>
              <w:rPr>
                <w:rFonts w:hint="cs"/>
                <w:b/>
                <w:bCs/>
                <w:rtl/>
              </w:rPr>
              <w:t>1999</w:t>
            </w:r>
          </w:p>
        </w:tc>
      </w:tr>
      <w:tr w:rsidR="003865AC" w:rsidTr="003865AC">
        <w:tblPrEx>
          <w:tblCellMar>
            <w:top w:w="0" w:type="dxa"/>
            <w:bottom w:w="0" w:type="dxa"/>
          </w:tblCellMar>
        </w:tblPrEx>
        <w:tc>
          <w:tcPr>
            <w:tcW w:w="4782" w:type="dxa"/>
            <w:tcBorders>
              <w:bottom w:val="nil"/>
            </w:tcBorders>
          </w:tcPr>
          <w:p w:rsidR="003865AC" w:rsidRDefault="003865AC">
            <w:pPr>
              <w:spacing w:before="120" w:after="120"/>
              <w:jc w:val="both"/>
              <w:rPr>
                <w:rFonts w:hint="cs"/>
              </w:rPr>
            </w:pPr>
            <w:r>
              <w:rPr>
                <w:rFonts w:hint="cs"/>
                <w:rtl/>
              </w:rPr>
              <w:t xml:space="preserve">مجموع عدد المتابعين للدراسات </w:t>
            </w:r>
          </w:p>
        </w:tc>
        <w:tc>
          <w:tcPr>
            <w:tcW w:w="1634" w:type="dxa"/>
            <w:tcBorders>
              <w:bottom w:val="nil"/>
            </w:tcBorders>
          </w:tcPr>
          <w:p w:rsidR="003865AC" w:rsidRDefault="003865AC">
            <w:pPr>
              <w:spacing w:before="120" w:after="120"/>
              <w:ind w:left="284" w:right="340"/>
              <w:jc w:val="both"/>
              <w:rPr>
                <w:rFonts w:hint="cs"/>
              </w:rPr>
            </w:pPr>
            <w:r>
              <w:rPr>
                <w:rFonts w:hint="cs"/>
                <w:rtl/>
              </w:rPr>
              <w:t>655</w:t>
            </w:r>
          </w:p>
        </w:tc>
        <w:tc>
          <w:tcPr>
            <w:tcW w:w="1606" w:type="dxa"/>
            <w:tcBorders>
              <w:bottom w:val="nil"/>
            </w:tcBorders>
          </w:tcPr>
          <w:p w:rsidR="003865AC" w:rsidRDefault="003865AC">
            <w:pPr>
              <w:spacing w:before="120" w:after="120"/>
              <w:ind w:left="284" w:right="340"/>
              <w:jc w:val="both"/>
              <w:rPr>
                <w:rFonts w:hint="cs"/>
              </w:rPr>
            </w:pPr>
            <w:r>
              <w:rPr>
                <w:rFonts w:hint="cs"/>
                <w:rtl/>
              </w:rPr>
              <w:t>602</w:t>
            </w:r>
          </w:p>
        </w:tc>
        <w:tc>
          <w:tcPr>
            <w:tcW w:w="1548" w:type="dxa"/>
            <w:tcBorders>
              <w:bottom w:val="nil"/>
            </w:tcBorders>
          </w:tcPr>
          <w:p w:rsidR="003865AC" w:rsidRDefault="003865AC">
            <w:pPr>
              <w:spacing w:before="120" w:after="120"/>
              <w:ind w:left="284" w:right="340"/>
              <w:jc w:val="both"/>
              <w:rPr>
                <w:rFonts w:hint="cs"/>
              </w:rPr>
            </w:pPr>
            <w:r>
              <w:rPr>
                <w:rFonts w:hint="cs"/>
                <w:rtl/>
              </w:rPr>
              <w:t>584</w:t>
            </w:r>
          </w:p>
        </w:tc>
      </w:tr>
      <w:tr w:rsidR="003865AC" w:rsidTr="003865AC">
        <w:tblPrEx>
          <w:tblCellMar>
            <w:top w:w="0" w:type="dxa"/>
            <w:bottom w:w="0" w:type="dxa"/>
          </w:tblCellMar>
        </w:tblPrEx>
        <w:tc>
          <w:tcPr>
            <w:tcW w:w="4782" w:type="dxa"/>
            <w:tcBorders>
              <w:top w:val="nil"/>
              <w:bottom w:val="nil"/>
            </w:tcBorders>
          </w:tcPr>
          <w:p w:rsidR="003865AC" w:rsidRDefault="003865AC">
            <w:pPr>
              <w:spacing w:before="120" w:after="120"/>
              <w:jc w:val="both"/>
              <w:rPr>
                <w:rFonts w:hint="cs"/>
                <w:rtl/>
              </w:rPr>
            </w:pPr>
            <w:r>
              <w:rPr>
                <w:rFonts w:hint="cs"/>
                <w:rtl/>
              </w:rPr>
              <w:t>مجموع عدد خريجي الدراسات العليا</w:t>
            </w:r>
          </w:p>
        </w:tc>
        <w:tc>
          <w:tcPr>
            <w:tcW w:w="1634" w:type="dxa"/>
            <w:tcBorders>
              <w:top w:val="nil"/>
              <w:bottom w:val="nil"/>
            </w:tcBorders>
          </w:tcPr>
          <w:p w:rsidR="003865AC" w:rsidRDefault="003865AC">
            <w:pPr>
              <w:spacing w:before="120" w:after="120"/>
              <w:ind w:left="284" w:right="340"/>
              <w:jc w:val="both"/>
              <w:rPr>
                <w:rFonts w:hint="cs"/>
              </w:rPr>
            </w:pPr>
            <w:r>
              <w:rPr>
                <w:rFonts w:hint="cs"/>
                <w:rtl/>
              </w:rPr>
              <w:t>911 1</w:t>
            </w:r>
          </w:p>
        </w:tc>
        <w:tc>
          <w:tcPr>
            <w:tcW w:w="1606" w:type="dxa"/>
            <w:tcBorders>
              <w:top w:val="nil"/>
              <w:bottom w:val="nil"/>
            </w:tcBorders>
          </w:tcPr>
          <w:p w:rsidR="003865AC" w:rsidRDefault="003865AC">
            <w:pPr>
              <w:spacing w:before="120" w:after="120"/>
              <w:ind w:left="284" w:right="340"/>
              <w:jc w:val="both"/>
              <w:rPr>
                <w:rFonts w:hint="cs"/>
              </w:rPr>
            </w:pPr>
            <w:r>
              <w:rPr>
                <w:rFonts w:hint="cs"/>
                <w:rtl/>
              </w:rPr>
              <w:t>824 1</w:t>
            </w:r>
          </w:p>
        </w:tc>
        <w:tc>
          <w:tcPr>
            <w:tcW w:w="1548" w:type="dxa"/>
            <w:tcBorders>
              <w:top w:val="nil"/>
              <w:bottom w:val="nil"/>
            </w:tcBorders>
          </w:tcPr>
          <w:p w:rsidR="003865AC" w:rsidRDefault="003865AC">
            <w:pPr>
              <w:spacing w:before="120" w:after="120"/>
              <w:ind w:left="284" w:right="340"/>
              <w:jc w:val="both"/>
              <w:rPr>
                <w:rFonts w:hint="cs"/>
              </w:rPr>
            </w:pPr>
            <w:r>
              <w:rPr>
                <w:rFonts w:hint="cs"/>
                <w:rtl/>
              </w:rPr>
              <w:t>826 1</w:t>
            </w:r>
          </w:p>
        </w:tc>
      </w:tr>
      <w:tr w:rsidR="003865AC" w:rsidTr="003865AC">
        <w:tblPrEx>
          <w:tblCellMar>
            <w:top w:w="0" w:type="dxa"/>
            <w:bottom w:w="0" w:type="dxa"/>
          </w:tblCellMar>
        </w:tblPrEx>
        <w:tc>
          <w:tcPr>
            <w:tcW w:w="4782" w:type="dxa"/>
            <w:tcBorders>
              <w:top w:val="nil"/>
              <w:bottom w:val="nil"/>
            </w:tcBorders>
          </w:tcPr>
          <w:p w:rsidR="003865AC" w:rsidRDefault="003865AC">
            <w:pPr>
              <w:spacing w:before="120" w:after="120"/>
              <w:jc w:val="both"/>
              <w:rPr>
                <w:rFonts w:hint="cs"/>
                <w:rtl/>
              </w:rPr>
            </w:pPr>
            <w:r>
              <w:rPr>
                <w:rFonts w:hint="cs"/>
                <w:rtl/>
              </w:rPr>
              <w:t>مجموع عدد الذين لم يكملوا دراساتهم العليا</w:t>
            </w:r>
          </w:p>
        </w:tc>
        <w:tc>
          <w:tcPr>
            <w:tcW w:w="1634" w:type="dxa"/>
            <w:tcBorders>
              <w:top w:val="nil"/>
              <w:bottom w:val="nil"/>
            </w:tcBorders>
          </w:tcPr>
          <w:p w:rsidR="003865AC" w:rsidRDefault="003865AC">
            <w:pPr>
              <w:spacing w:before="120" w:after="120"/>
              <w:ind w:left="284" w:right="340"/>
              <w:jc w:val="both"/>
              <w:rPr>
                <w:rFonts w:hint="cs"/>
              </w:rPr>
            </w:pPr>
            <w:r>
              <w:rPr>
                <w:rFonts w:hint="cs"/>
                <w:rtl/>
              </w:rPr>
              <w:t>489</w:t>
            </w:r>
          </w:p>
        </w:tc>
        <w:tc>
          <w:tcPr>
            <w:tcW w:w="1606" w:type="dxa"/>
            <w:tcBorders>
              <w:top w:val="nil"/>
              <w:bottom w:val="nil"/>
            </w:tcBorders>
          </w:tcPr>
          <w:p w:rsidR="003865AC" w:rsidRDefault="003865AC">
            <w:pPr>
              <w:spacing w:before="120" w:after="120"/>
              <w:ind w:left="284" w:right="340"/>
              <w:jc w:val="both"/>
              <w:rPr>
                <w:rFonts w:hint="cs"/>
              </w:rPr>
            </w:pPr>
            <w:r>
              <w:rPr>
                <w:rFonts w:hint="cs"/>
                <w:rtl/>
              </w:rPr>
              <w:t>536</w:t>
            </w:r>
          </w:p>
        </w:tc>
        <w:tc>
          <w:tcPr>
            <w:tcW w:w="1548" w:type="dxa"/>
            <w:tcBorders>
              <w:top w:val="nil"/>
              <w:bottom w:val="nil"/>
            </w:tcBorders>
          </w:tcPr>
          <w:p w:rsidR="003865AC" w:rsidRDefault="003865AC">
            <w:pPr>
              <w:spacing w:before="120" w:after="120"/>
              <w:ind w:left="284" w:right="340"/>
              <w:jc w:val="both"/>
              <w:rPr>
                <w:rFonts w:hint="cs"/>
              </w:rPr>
            </w:pPr>
            <w:r>
              <w:rPr>
                <w:rFonts w:hint="cs"/>
                <w:rtl/>
              </w:rPr>
              <w:t>596</w:t>
            </w:r>
          </w:p>
        </w:tc>
      </w:tr>
      <w:tr w:rsidR="003865AC" w:rsidTr="003865AC">
        <w:tblPrEx>
          <w:tblCellMar>
            <w:top w:w="0" w:type="dxa"/>
            <w:bottom w:w="0" w:type="dxa"/>
          </w:tblCellMar>
        </w:tblPrEx>
        <w:tc>
          <w:tcPr>
            <w:tcW w:w="4782" w:type="dxa"/>
            <w:tcBorders>
              <w:top w:val="nil"/>
            </w:tcBorders>
          </w:tcPr>
          <w:p w:rsidR="003865AC" w:rsidRDefault="003865AC">
            <w:pPr>
              <w:spacing w:before="120" w:after="120"/>
              <w:jc w:val="both"/>
              <w:rPr>
                <w:rFonts w:hint="cs"/>
                <w:rtl/>
              </w:rPr>
            </w:pPr>
            <w:r>
              <w:rPr>
                <w:rFonts w:hint="cs"/>
                <w:rtl/>
              </w:rPr>
              <w:t>مجموع عدد الذين قدموا الأبحاث اللازمة لإتمام دراساتهم العليا</w:t>
            </w:r>
          </w:p>
        </w:tc>
        <w:tc>
          <w:tcPr>
            <w:tcW w:w="1634" w:type="dxa"/>
            <w:tcBorders>
              <w:top w:val="nil"/>
            </w:tcBorders>
          </w:tcPr>
          <w:p w:rsidR="003865AC" w:rsidRDefault="003865AC">
            <w:pPr>
              <w:spacing w:before="120" w:after="120"/>
              <w:ind w:left="284" w:right="340"/>
              <w:jc w:val="both"/>
              <w:rPr>
                <w:rFonts w:hint="cs"/>
              </w:rPr>
            </w:pPr>
            <w:r>
              <w:rPr>
                <w:rFonts w:hint="cs"/>
                <w:rtl/>
              </w:rPr>
              <w:t>14</w:t>
            </w:r>
          </w:p>
        </w:tc>
        <w:tc>
          <w:tcPr>
            <w:tcW w:w="1606" w:type="dxa"/>
            <w:tcBorders>
              <w:top w:val="nil"/>
            </w:tcBorders>
          </w:tcPr>
          <w:p w:rsidR="003865AC" w:rsidRDefault="003865AC">
            <w:pPr>
              <w:spacing w:before="120" w:after="120"/>
              <w:ind w:left="284" w:right="340"/>
              <w:jc w:val="both"/>
              <w:rPr>
                <w:rFonts w:hint="cs"/>
              </w:rPr>
            </w:pPr>
            <w:r>
              <w:rPr>
                <w:rFonts w:hint="cs"/>
                <w:rtl/>
              </w:rPr>
              <w:t>19</w:t>
            </w:r>
          </w:p>
        </w:tc>
        <w:tc>
          <w:tcPr>
            <w:tcW w:w="1548" w:type="dxa"/>
            <w:tcBorders>
              <w:top w:val="nil"/>
            </w:tcBorders>
          </w:tcPr>
          <w:p w:rsidR="003865AC" w:rsidRDefault="003865AC">
            <w:pPr>
              <w:spacing w:before="120" w:after="120"/>
              <w:ind w:left="284" w:right="340"/>
              <w:jc w:val="both"/>
              <w:rPr>
                <w:rFonts w:hint="cs"/>
              </w:rPr>
            </w:pPr>
            <w:r>
              <w:rPr>
                <w:rFonts w:hint="cs"/>
                <w:rtl/>
              </w:rPr>
              <w:t>32</w:t>
            </w:r>
          </w:p>
        </w:tc>
      </w:tr>
    </w:tbl>
    <w:p w:rsidR="00000000" w:rsidRDefault="003865AC">
      <w:pPr>
        <w:jc w:val="both"/>
        <w:rPr>
          <w:rFonts w:hint="cs"/>
          <w:i/>
          <w:iCs/>
          <w:rtl/>
        </w:rPr>
      </w:pPr>
    </w:p>
    <w:p w:rsidR="00000000" w:rsidRDefault="003865AC">
      <w:pPr>
        <w:jc w:val="both"/>
        <w:rPr>
          <w:rFonts w:hint="cs"/>
          <w:i/>
          <w:iCs/>
          <w:rtl/>
        </w:rPr>
      </w:pPr>
      <w:r>
        <w:rPr>
          <w:rFonts w:hint="cs"/>
          <w:i/>
          <w:iCs/>
          <w:rtl/>
        </w:rPr>
        <w:t>مدارس</w:t>
      </w:r>
      <w:r>
        <w:rPr>
          <w:rFonts w:hint="cs"/>
          <w:i/>
          <w:iCs/>
          <w:rtl/>
        </w:rPr>
        <w:t xml:space="preserve"> الأطفال المعوقين عقليا وبدنيا</w:t>
      </w:r>
    </w:p>
    <w:p w:rsidR="00000000" w:rsidRDefault="003865AC">
      <w:pPr>
        <w:jc w:val="both"/>
        <w:rPr>
          <w:rFonts w:hint="cs"/>
          <w:rtl/>
        </w:rPr>
      </w:pPr>
      <w:r>
        <w:rPr>
          <w:rFonts w:hint="cs"/>
          <w:rtl/>
        </w:rPr>
        <w:t>239-</w:t>
      </w:r>
      <w:r>
        <w:rPr>
          <w:rFonts w:hint="cs"/>
          <w:rtl/>
        </w:rPr>
        <w:tab/>
        <w:t>يتلقى الأطفال من هـذه الفئة التعليم في 14 مؤسسـة تعليمية يقيمون فيها وتسـتضيف 460 2 طفـلاً (151 1 من البنات و309 1 من البنين) تتراوح أعمارهم بين 7 و18 سنة. ويبين تحليل البيانات الحديثة أن عدد الأطفال في هذه المؤسسات قد ا</w:t>
      </w:r>
      <w:r>
        <w:rPr>
          <w:rFonts w:hint="cs"/>
          <w:rtl/>
        </w:rPr>
        <w:t>زداد باطراد من 155 1 طفلا في عام 1997 إلى 460 2 طفلا في عام 2000.</w:t>
      </w:r>
    </w:p>
    <w:p w:rsidR="00000000" w:rsidRDefault="003865AC">
      <w:pPr>
        <w:jc w:val="both"/>
        <w:rPr>
          <w:rFonts w:hint="cs"/>
          <w:rtl/>
        </w:rPr>
      </w:pPr>
      <w:r>
        <w:rPr>
          <w:rFonts w:hint="cs"/>
          <w:i/>
          <w:iCs/>
          <w:rtl/>
        </w:rPr>
        <w:t>التمويل العام للتعليم</w:t>
      </w:r>
    </w:p>
    <w:p w:rsidR="00000000" w:rsidRDefault="003865AC">
      <w:pPr>
        <w:jc w:val="both"/>
        <w:rPr>
          <w:rFonts w:hint="cs"/>
          <w:rtl/>
        </w:rPr>
      </w:pPr>
      <w:r>
        <w:rPr>
          <w:rFonts w:hint="cs"/>
          <w:rtl/>
        </w:rPr>
        <w:t>240-</w:t>
      </w:r>
      <w:r>
        <w:rPr>
          <w:rFonts w:hint="cs"/>
          <w:rtl/>
        </w:rPr>
        <w:tab/>
        <w:t>تبين المعلومات الواردة من مصادر مختلفة أن النفقات العامة المخصصة للتعليم قد انخفضت باطراد خلال الفترة المشمولة بالتقرير. فمخصصات التعليم في ميزانية عام 1999 لم تتج</w:t>
      </w:r>
      <w:r>
        <w:rPr>
          <w:rFonts w:hint="cs"/>
          <w:rtl/>
        </w:rPr>
        <w:t>اوز نسبة 2.2 في المائة من الناتج المحلي الإجمالي.وقد كان المبلغ المرصود أقل بقليل من 30 مليون لاري بالأرقام المطلقة. ويشير تقرير التنمية البشرية في جورجيا الذي أعده برنامج الأمم المتحدة الإنمائي في عام 2000 إلى أنه في ظل النظام التعليمي الذي يعاني من نقص م</w:t>
      </w:r>
      <w:r>
        <w:rPr>
          <w:rFonts w:hint="cs"/>
          <w:rtl/>
        </w:rPr>
        <w:t>زمن في التمويل، نشأت ظروف مواتية لظهور نظام مدفوعات غير رسمي تمول بموجبه الأسر المعيشية الجورجية من مواردها الخاصة معظم ميزانية المؤسسات التعليمية. فهي تساهم فيما يسمى "صناديق المدارس" وتوفر الوقود اللازم لتدفئة المباني المدرسية في فصل الشتاء، وما إلى ذلك.</w:t>
      </w:r>
      <w:r>
        <w:rPr>
          <w:rFonts w:hint="cs"/>
          <w:rtl/>
        </w:rPr>
        <w:t xml:space="preserve"> كما تُدفع رسوم إلى المؤسسات الخاصة للتعليم العالي والثانوي.</w:t>
      </w:r>
    </w:p>
    <w:p w:rsidR="00000000" w:rsidRDefault="003865AC">
      <w:pPr>
        <w:jc w:val="both"/>
        <w:rPr>
          <w:rFonts w:hint="cs"/>
          <w:rtl/>
        </w:rPr>
      </w:pPr>
      <w:r>
        <w:rPr>
          <w:rFonts w:hint="cs"/>
          <w:rtl/>
        </w:rPr>
        <w:t>241-</w:t>
      </w:r>
      <w:r>
        <w:rPr>
          <w:rFonts w:hint="cs"/>
          <w:rtl/>
        </w:rPr>
        <w:tab/>
        <w:t xml:space="preserve">ولقد أدت المفاوضات التي تواصلت منذ عام 1998 إلى التوقيع على اتفاق تعهد البنك الدولي بموجبه بتقديم قرض بمبلغ 60 مليون دولار من دولارات الولايات المتحدة إلى وزارة التعليم في جورجيا. وسوف تنفق </w:t>
      </w:r>
      <w:r>
        <w:rPr>
          <w:rFonts w:hint="cs"/>
          <w:rtl/>
        </w:rPr>
        <w:t>هذه الأموال حصرا على نظام التعليم الثانوي. وقد تم اختيار الأولويات التالية:</w:t>
      </w:r>
    </w:p>
    <w:p w:rsidR="00000000" w:rsidRDefault="003865AC">
      <w:pPr>
        <w:ind w:left="1440" w:hanging="720"/>
        <w:jc w:val="both"/>
        <w:rPr>
          <w:rFonts w:hint="cs"/>
          <w:rtl/>
        </w:rPr>
      </w:pPr>
      <w:r>
        <w:rPr>
          <w:rFonts w:hint="cs"/>
          <w:rtl/>
        </w:rPr>
        <w:t>•</w:t>
      </w:r>
      <w:r>
        <w:rPr>
          <w:rFonts w:hint="cs"/>
          <w:rtl/>
        </w:rPr>
        <w:tab/>
        <w:t>تحديد المعايير المناهج الدراسية الوطنية؛ وإعداد واعتماد كتب مدرسية تفي بالمعايير والمناهج الدراسية الوطنية وتزويد المدارس بمواد داعمة للتدريس؛</w:t>
      </w:r>
    </w:p>
    <w:p w:rsidR="00000000" w:rsidRDefault="003865AC">
      <w:pPr>
        <w:ind w:left="1440" w:hanging="720"/>
        <w:jc w:val="both"/>
        <w:rPr>
          <w:rFonts w:hint="cs"/>
          <w:rtl/>
        </w:rPr>
      </w:pPr>
      <w:r>
        <w:rPr>
          <w:rFonts w:hint="cs"/>
          <w:rtl/>
        </w:rPr>
        <w:t>•</w:t>
      </w:r>
      <w:r>
        <w:rPr>
          <w:rFonts w:hint="cs"/>
          <w:rtl/>
        </w:rPr>
        <w:tab/>
        <w:t>الارتقاء بمستوى تدريب المدرسين وا</w:t>
      </w:r>
      <w:r>
        <w:rPr>
          <w:rFonts w:hint="cs"/>
          <w:rtl/>
        </w:rPr>
        <w:t>لدورات المخصصة لاستكمال معلوماتهم وفقا للمعايير الجديدة؛</w:t>
      </w:r>
    </w:p>
    <w:p w:rsidR="00000000" w:rsidRDefault="003865AC">
      <w:pPr>
        <w:ind w:left="1440" w:hanging="720"/>
        <w:jc w:val="both"/>
        <w:rPr>
          <w:rFonts w:hint="cs"/>
          <w:rtl/>
        </w:rPr>
      </w:pPr>
      <w:r>
        <w:rPr>
          <w:rFonts w:hint="cs"/>
          <w:rtl/>
        </w:rPr>
        <w:t>•</w:t>
      </w:r>
      <w:r>
        <w:rPr>
          <w:rFonts w:hint="cs"/>
          <w:rtl/>
        </w:rPr>
        <w:tab/>
        <w:t>تعديل نظام التقييم في المدارس الثانوية؛ والأخذ بنظم الإدارة المحوسبة ووضع سياسة إدارية في مجال التعليم؛</w:t>
      </w:r>
    </w:p>
    <w:p w:rsidR="00000000" w:rsidRDefault="003865AC">
      <w:pPr>
        <w:ind w:left="1440" w:hanging="720"/>
        <w:jc w:val="both"/>
        <w:rPr>
          <w:rFonts w:hint="cs"/>
          <w:rtl/>
        </w:rPr>
      </w:pPr>
      <w:r>
        <w:rPr>
          <w:rFonts w:hint="cs"/>
          <w:rtl/>
        </w:rPr>
        <w:t>•</w:t>
      </w:r>
      <w:r>
        <w:rPr>
          <w:rFonts w:hint="cs"/>
          <w:rtl/>
        </w:rPr>
        <w:tab/>
        <w:t xml:space="preserve">استخدام أفضل نموذج لمرتبات المدرسين. وتجدر الإشارة إلى وجود آلية لتنفيذ مشاريع القروض تكفل </w:t>
      </w:r>
      <w:r>
        <w:rPr>
          <w:rFonts w:hint="cs"/>
          <w:rtl/>
        </w:rPr>
        <w:t>للجمهور التحقق مما إذا كانت هذه الأموال قد استخدمت للغرض المرجو.</w:t>
      </w:r>
    </w:p>
    <w:p w:rsidR="00000000" w:rsidRDefault="003865AC">
      <w:pPr>
        <w:jc w:val="both"/>
        <w:rPr>
          <w:rFonts w:hint="cs"/>
          <w:rtl/>
        </w:rPr>
      </w:pPr>
      <w:r>
        <w:rPr>
          <w:rFonts w:hint="cs"/>
          <w:rtl/>
        </w:rPr>
        <w:t>242-</w:t>
      </w:r>
      <w:r>
        <w:rPr>
          <w:rFonts w:hint="cs"/>
          <w:rtl/>
        </w:rPr>
        <w:tab/>
        <w:t>ويمكن للمنظمات غير الحكومية أن تودي هذا النوع من الرصد. وقد نتمكن من إعلان النتائج المحققة أثناء تنفيذ هذه المشاريع وذلك عندما تقدم جورجيا تقريرها الدوري الثالث.</w:t>
      </w:r>
    </w:p>
    <w:p w:rsidR="00000000" w:rsidRDefault="003865AC">
      <w:pPr>
        <w:jc w:val="both"/>
        <w:rPr>
          <w:rFonts w:hint="cs"/>
          <w:b/>
          <w:bCs/>
          <w:rtl/>
        </w:rPr>
      </w:pPr>
      <w:r>
        <w:rPr>
          <w:rFonts w:hint="cs"/>
          <w:b/>
          <w:bCs/>
          <w:rtl/>
        </w:rPr>
        <w:t>المادة 15</w:t>
      </w:r>
    </w:p>
    <w:p w:rsidR="00000000" w:rsidRDefault="003865AC">
      <w:pPr>
        <w:jc w:val="both"/>
        <w:rPr>
          <w:rFonts w:hint="cs"/>
          <w:i/>
          <w:iCs/>
          <w:rtl/>
        </w:rPr>
      </w:pPr>
      <w:r>
        <w:rPr>
          <w:rFonts w:hint="cs"/>
          <w:i/>
          <w:iCs/>
          <w:rtl/>
        </w:rPr>
        <w:t>الحق في المشار</w:t>
      </w:r>
      <w:r>
        <w:rPr>
          <w:rFonts w:hint="cs"/>
          <w:i/>
          <w:iCs/>
          <w:rtl/>
        </w:rPr>
        <w:t>كة في الحياة الثقافية</w:t>
      </w:r>
    </w:p>
    <w:p w:rsidR="00000000" w:rsidRDefault="003865AC">
      <w:pPr>
        <w:jc w:val="both"/>
        <w:rPr>
          <w:rFonts w:hint="cs"/>
          <w:rtl/>
        </w:rPr>
      </w:pPr>
      <w:r>
        <w:rPr>
          <w:rFonts w:hint="cs"/>
          <w:rtl/>
        </w:rPr>
        <w:t>243-</w:t>
      </w:r>
      <w:r>
        <w:rPr>
          <w:rFonts w:hint="cs"/>
          <w:rtl/>
        </w:rPr>
        <w:tab/>
        <w:t>وفيما يتعلق بالمساواة في التمتع بهذا الحق، انظر التقرير الأولي لجورجيا المقدم إلى لجنة القضاء على التمييز العنصري، الفقرات من 272 إلى 279. كما تم تناول هذه المسألة في الردود الخطية على قائمة المسائل التي وضعتها لجنة الحقوق الاقتص</w:t>
      </w:r>
      <w:r>
        <w:rPr>
          <w:rFonts w:hint="cs"/>
          <w:rtl/>
        </w:rPr>
        <w:t>ادية والاجتماعية الثقافية فيما يتعلق بنظرها في التقرير الأولي لجورجيا المقدم بموجب العهد (</w:t>
      </w:r>
      <w:r>
        <w:t>HR/CESCR/None/1999/15</w:t>
      </w:r>
      <w:r>
        <w:rPr>
          <w:rFonts w:hint="cs"/>
          <w:rtl/>
        </w:rPr>
        <w:t xml:space="preserve">، الردود على الأسئلة 47-50). </w:t>
      </w:r>
    </w:p>
    <w:p w:rsidR="00000000" w:rsidRDefault="003865AC">
      <w:pPr>
        <w:jc w:val="both"/>
        <w:rPr>
          <w:rFonts w:hint="cs"/>
          <w:rtl/>
        </w:rPr>
      </w:pPr>
      <w:r>
        <w:rPr>
          <w:rFonts w:hint="cs"/>
          <w:rtl/>
        </w:rPr>
        <w:t>244-</w:t>
      </w:r>
      <w:r>
        <w:rPr>
          <w:rFonts w:hint="cs"/>
          <w:rtl/>
        </w:rPr>
        <w:tab/>
        <w:t>وبالإضافة إلى هذه المعلومات، ترد أدناه نخبة من البيانات المقدمة من وزارة الثقافة.</w:t>
      </w:r>
    </w:p>
    <w:p w:rsidR="00000000" w:rsidRDefault="003865AC">
      <w:pPr>
        <w:jc w:val="both"/>
        <w:rPr>
          <w:rFonts w:hint="cs"/>
          <w:rtl/>
        </w:rPr>
      </w:pPr>
      <w:r>
        <w:rPr>
          <w:rFonts w:hint="cs"/>
          <w:rtl/>
        </w:rPr>
        <w:t>245-</w:t>
      </w:r>
      <w:r>
        <w:rPr>
          <w:rFonts w:hint="cs"/>
          <w:rtl/>
        </w:rPr>
        <w:tab/>
        <w:t>يوجد في جورجيا حاليا صن</w:t>
      </w:r>
      <w:r>
        <w:rPr>
          <w:rFonts w:hint="cs"/>
          <w:rtl/>
        </w:rPr>
        <w:t>دوقان يتمثل هدفهما الرئيسي في تطوير الثقافـة وتشجيع المشـاركة الإبداعية لجميع فئات السكان في هذه العملية. وهذان الصندوقان هما صندوق التراث الثقافي وصندوق تطوير ونشر الثقافة.</w:t>
      </w:r>
    </w:p>
    <w:p w:rsidR="00000000" w:rsidRDefault="003865AC">
      <w:pPr>
        <w:jc w:val="both"/>
        <w:rPr>
          <w:rFonts w:hint="cs"/>
          <w:rtl/>
        </w:rPr>
      </w:pPr>
      <w:r>
        <w:rPr>
          <w:rFonts w:hint="cs"/>
          <w:rtl/>
        </w:rPr>
        <w:t>246-</w:t>
      </w:r>
      <w:r>
        <w:rPr>
          <w:rFonts w:hint="cs"/>
          <w:rtl/>
        </w:rPr>
        <w:tab/>
        <w:t>وقد تولت وزارة الثقافية خلال الفترة المشمولة بالتقرير المسؤولية المباشرة عن 1</w:t>
      </w:r>
      <w:r>
        <w:rPr>
          <w:rFonts w:hint="cs"/>
          <w:rtl/>
        </w:rPr>
        <w:t>1 مركزاً ثقافياً و478 داراً للثقافة و849 نادياً. ومعظم هذه المؤسسات تحتاج إلى إصلاحات هيكلية؛ فالمباني التي تستخدمها هي مبان غير مناسبة ولا تتوفر فيها التدفئة في الشتاء، وأثاثاتها ومعداتها بالية. وتوجد 14 حديقة للثقافة والترفيه يحتاج معظمها إلى تجديد من خل</w:t>
      </w:r>
      <w:r>
        <w:rPr>
          <w:rFonts w:hint="cs"/>
          <w:rtl/>
        </w:rPr>
        <w:t>ال زراعة أشجار ونباتات جديدة كما أن مرافق الترفيه قد أصبحت الآن بالية تماماً. غير أن الأموال غير متوفرة لأغراض الترميم أو لاقتناء تجهيزات ومعدات جديدة.</w:t>
      </w:r>
    </w:p>
    <w:p w:rsidR="00000000" w:rsidRDefault="003865AC">
      <w:pPr>
        <w:jc w:val="both"/>
        <w:rPr>
          <w:rFonts w:hint="cs"/>
          <w:rtl/>
        </w:rPr>
      </w:pPr>
      <w:r>
        <w:rPr>
          <w:rFonts w:hint="cs"/>
          <w:rtl/>
        </w:rPr>
        <w:t>247-</w:t>
      </w:r>
      <w:r>
        <w:rPr>
          <w:rFonts w:hint="cs"/>
          <w:rtl/>
        </w:rPr>
        <w:tab/>
        <w:t>وهناك 72 فرقة مسرحية للهواة في جورجيا (20 مسرحا للدمى و52 مسرحا للتراث الشعبي) تقدم عروضاً بين الحي</w:t>
      </w:r>
      <w:r>
        <w:rPr>
          <w:rFonts w:hint="cs"/>
          <w:rtl/>
        </w:rPr>
        <w:t>ن والآخر. ولقد نظم في عام 1998 مهرجاناً لمسرح الهواة. لكن القيود المالية قد حالت دون تنظيم مهرجان مماثل منذ ذلك الحين. غير أنه يعتزم إقامة مهرجان آخر لمسرح الهواة في عام 2002 وسيكون لـه طابع دولي.</w:t>
      </w:r>
    </w:p>
    <w:p w:rsidR="00000000" w:rsidRDefault="003865AC">
      <w:pPr>
        <w:jc w:val="both"/>
        <w:rPr>
          <w:rFonts w:hint="cs"/>
          <w:rtl/>
        </w:rPr>
      </w:pPr>
      <w:r>
        <w:rPr>
          <w:rFonts w:hint="cs"/>
          <w:rtl/>
        </w:rPr>
        <w:t>248-</w:t>
      </w:r>
      <w:r>
        <w:rPr>
          <w:rFonts w:hint="cs"/>
          <w:rtl/>
        </w:rPr>
        <w:tab/>
        <w:t>وتفتخر جورجيا بوجود 650 1 فرقة من الهواة في المسارح ال</w:t>
      </w:r>
      <w:r>
        <w:rPr>
          <w:rFonts w:hint="cs"/>
          <w:rtl/>
        </w:rPr>
        <w:t xml:space="preserve">شعبية. وقد أقيم مهرجان للتراث الشعبي في عام 1997، ووضعت خطط لتكرار هذا النشاط كل سنتين. لكن عدم توفر الأموال قد جعل من المستحيل أيضاً ترجمة هذا المشروع على أرض الواقع. ومن المزمع إقامة مهرجان دولي للتراث الشعبي للمرة الأولى في هذا العام. والمشكلة الرئيسية </w:t>
      </w:r>
      <w:r>
        <w:rPr>
          <w:rFonts w:hint="cs"/>
          <w:rtl/>
        </w:rPr>
        <w:t>التي تواجه الفرق الشعبية هي عدم توفر الأموال، إذ إن فرقاً كثيرة لا تستطيع حتى شراء الملابس اللازمة للعروض. ورغم الدعوات المتكررة لحضور حلقات دراسية ومؤتمرات نظمتها المنظمة الدولية للفنون الشعبيـة، لم يستطع ممثلو جورجيا المشاركة فيها نظراً لعدم توفر الأموال</w:t>
      </w:r>
      <w:r>
        <w:rPr>
          <w:rFonts w:hint="cs"/>
          <w:rtl/>
        </w:rPr>
        <w:t>.</w:t>
      </w:r>
    </w:p>
    <w:p w:rsidR="00000000" w:rsidRDefault="003865AC">
      <w:pPr>
        <w:jc w:val="both"/>
        <w:rPr>
          <w:rFonts w:hint="cs"/>
          <w:rtl/>
        </w:rPr>
      </w:pPr>
      <w:r>
        <w:rPr>
          <w:rFonts w:hint="cs"/>
          <w:rtl/>
        </w:rPr>
        <w:t>249-</w:t>
      </w:r>
      <w:r>
        <w:rPr>
          <w:rFonts w:hint="cs"/>
          <w:rtl/>
        </w:rPr>
        <w:tab/>
        <w:t xml:space="preserve">أما فيما يتعلـق بالأنشطـة الثقافية للهواة من الأقليات الموجودة في جورجيا، فهناك مسارح للهواة الأرمن في منطقة اخالتسيخ (قرية سادزيليسي) وفي منطقـة أخالكلاكي ونينوتسميندا ويوجـد مسرح وطني روسي في دار روستافي للثقافة. </w:t>
      </w:r>
      <w:r>
        <w:rPr>
          <w:rFonts w:hint="cs"/>
          <w:spacing w:val="0"/>
          <w:rtl/>
        </w:rPr>
        <w:t>وتتخذ فرقة دايوماخ الشعبية من منطق</w:t>
      </w:r>
      <w:r>
        <w:rPr>
          <w:rFonts w:hint="cs"/>
          <w:spacing w:val="0"/>
          <w:rtl/>
        </w:rPr>
        <w:t>ة أخميتا مقراً لها؛ كما أن هناك فرقة شعبية آشورية تتخذ من تتري -</w:t>
      </w:r>
      <w:r>
        <w:rPr>
          <w:rFonts w:hint="cs"/>
          <w:rtl/>
        </w:rPr>
        <w:t xml:space="preserve"> تسكارو مقراً لها؛ وتوجد فرق شعبية أرمنية في منطقة اخالكلاكي ونينوتسميندا.</w:t>
      </w:r>
    </w:p>
    <w:p w:rsidR="00000000" w:rsidRDefault="003865AC">
      <w:pPr>
        <w:jc w:val="both"/>
        <w:rPr>
          <w:rtl/>
        </w:rPr>
      </w:pPr>
      <w:r>
        <w:rPr>
          <w:rFonts w:hint="cs"/>
          <w:rtl/>
        </w:rPr>
        <w:t>250-</w:t>
      </w:r>
      <w:r>
        <w:rPr>
          <w:rFonts w:hint="cs"/>
          <w:rtl/>
        </w:rPr>
        <w:tab/>
        <w:t>ويبين الجدول أدناه الاحصاءات المتعلقة بوجود وعمل البنى الثقافية الأساسية في جورجيا خلال الفترة المشمولة بالتقرير</w:t>
      </w:r>
      <w:r>
        <w:rPr>
          <w:rFonts w:hint="cs"/>
          <w:rtl/>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2"/>
        <w:gridCol w:w="1440"/>
        <w:gridCol w:w="1440"/>
        <w:gridCol w:w="1368"/>
      </w:tblGrid>
      <w:tr w:rsidR="003865AC" w:rsidTr="003865AC">
        <w:tblPrEx>
          <w:tblCellMar>
            <w:top w:w="0" w:type="dxa"/>
            <w:bottom w:w="0" w:type="dxa"/>
          </w:tblCellMar>
        </w:tblPrEx>
        <w:tc>
          <w:tcPr>
            <w:tcW w:w="5322" w:type="dxa"/>
            <w:tcBorders>
              <w:bottom w:val="single" w:sz="4" w:space="0" w:color="auto"/>
            </w:tcBorders>
          </w:tcPr>
          <w:p w:rsidR="003865AC" w:rsidRDefault="003865AC">
            <w:pPr>
              <w:spacing w:before="0" w:after="0" w:line="400" w:lineRule="exact"/>
              <w:jc w:val="both"/>
              <w:rPr>
                <w:rStyle w:val="FootnoteReference"/>
                <w:rFonts w:hint="cs"/>
                <w:bCs w:val="0"/>
                <w:vertAlign w:val="baseline"/>
              </w:rPr>
            </w:pPr>
          </w:p>
        </w:tc>
        <w:tc>
          <w:tcPr>
            <w:tcW w:w="1440" w:type="dxa"/>
            <w:tcBorders>
              <w:bottom w:val="single" w:sz="4" w:space="0" w:color="auto"/>
            </w:tcBorders>
          </w:tcPr>
          <w:p w:rsidR="003865AC" w:rsidRDefault="003865AC">
            <w:pPr>
              <w:spacing w:before="0" w:after="0" w:line="400" w:lineRule="exact"/>
              <w:jc w:val="center"/>
              <w:rPr>
                <w:rStyle w:val="FootnoteReference"/>
                <w:rFonts w:hint="cs"/>
                <w:b/>
                <w:bCs w:val="0"/>
                <w:vertAlign w:val="baseline"/>
              </w:rPr>
            </w:pPr>
            <w:r>
              <w:rPr>
                <w:rFonts w:hint="cs"/>
                <w:b/>
                <w:bCs/>
                <w:rtl/>
              </w:rPr>
              <w:t>1997</w:t>
            </w:r>
          </w:p>
        </w:tc>
        <w:tc>
          <w:tcPr>
            <w:tcW w:w="1440" w:type="dxa"/>
            <w:tcBorders>
              <w:bottom w:val="single" w:sz="4" w:space="0" w:color="auto"/>
            </w:tcBorders>
          </w:tcPr>
          <w:p w:rsidR="003865AC" w:rsidRDefault="003865AC">
            <w:pPr>
              <w:spacing w:before="0" w:after="0" w:line="400" w:lineRule="exact"/>
              <w:jc w:val="center"/>
              <w:rPr>
                <w:rStyle w:val="FootnoteReference"/>
                <w:rFonts w:hint="cs"/>
                <w:b/>
                <w:bCs w:val="0"/>
                <w:vertAlign w:val="baseline"/>
              </w:rPr>
            </w:pPr>
            <w:r>
              <w:rPr>
                <w:rFonts w:hint="cs"/>
                <w:b/>
                <w:bCs/>
                <w:rtl/>
              </w:rPr>
              <w:t>1998</w:t>
            </w:r>
          </w:p>
        </w:tc>
        <w:tc>
          <w:tcPr>
            <w:tcW w:w="1368" w:type="dxa"/>
            <w:tcBorders>
              <w:bottom w:val="single" w:sz="4" w:space="0" w:color="auto"/>
            </w:tcBorders>
          </w:tcPr>
          <w:p w:rsidR="003865AC" w:rsidRDefault="003865AC">
            <w:pPr>
              <w:spacing w:before="0" w:after="0" w:line="400" w:lineRule="exact"/>
              <w:jc w:val="center"/>
              <w:rPr>
                <w:rStyle w:val="FootnoteReference"/>
                <w:rFonts w:hint="cs"/>
                <w:b/>
                <w:bCs w:val="0"/>
                <w:vertAlign w:val="baseline"/>
              </w:rPr>
            </w:pPr>
            <w:r>
              <w:rPr>
                <w:rFonts w:hint="cs"/>
                <w:b/>
                <w:bCs/>
                <w:rtl/>
              </w:rPr>
              <w:t>1999</w:t>
            </w:r>
          </w:p>
        </w:tc>
      </w:tr>
      <w:tr w:rsidR="003865AC" w:rsidTr="003865AC">
        <w:tblPrEx>
          <w:tblCellMar>
            <w:top w:w="0" w:type="dxa"/>
            <w:bottom w:w="0" w:type="dxa"/>
          </w:tblCellMar>
        </w:tblPrEx>
        <w:tc>
          <w:tcPr>
            <w:tcW w:w="5322" w:type="dxa"/>
            <w:tcBorders>
              <w:bottom w:val="nil"/>
            </w:tcBorders>
          </w:tcPr>
          <w:p w:rsidR="003865AC" w:rsidRDefault="003865AC">
            <w:pPr>
              <w:spacing w:before="0" w:after="0" w:line="400" w:lineRule="exact"/>
              <w:jc w:val="both"/>
              <w:rPr>
                <w:rStyle w:val="FootnoteReference"/>
                <w:rFonts w:hint="cs"/>
                <w:bCs w:val="0"/>
                <w:vertAlign w:val="baseline"/>
              </w:rPr>
            </w:pPr>
            <w:r>
              <w:rPr>
                <w:rFonts w:hint="cs"/>
                <w:rtl/>
              </w:rPr>
              <w:t>مجموع المتاحف</w:t>
            </w:r>
          </w:p>
        </w:tc>
        <w:tc>
          <w:tcPr>
            <w:tcW w:w="1440" w:type="dxa"/>
            <w:tcBorders>
              <w:bottom w:val="nil"/>
            </w:tcBorders>
          </w:tcPr>
          <w:p w:rsidR="003865AC" w:rsidRDefault="003865AC">
            <w:pPr>
              <w:spacing w:before="0" w:after="0" w:line="400" w:lineRule="exact"/>
              <w:jc w:val="center"/>
              <w:rPr>
                <w:rStyle w:val="FootnoteReference"/>
                <w:rFonts w:hint="cs"/>
                <w:bCs w:val="0"/>
                <w:vertAlign w:val="baseline"/>
              </w:rPr>
            </w:pPr>
            <w:r>
              <w:rPr>
                <w:rFonts w:hint="cs"/>
                <w:rtl/>
              </w:rPr>
              <w:t>96</w:t>
            </w:r>
          </w:p>
        </w:tc>
        <w:tc>
          <w:tcPr>
            <w:tcW w:w="1440" w:type="dxa"/>
            <w:tcBorders>
              <w:bottom w:val="nil"/>
            </w:tcBorders>
          </w:tcPr>
          <w:p w:rsidR="003865AC" w:rsidRDefault="003865AC">
            <w:pPr>
              <w:spacing w:before="0" w:after="0" w:line="400" w:lineRule="exact"/>
              <w:jc w:val="center"/>
              <w:rPr>
                <w:rStyle w:val="FootnoteReference"/>
                <w:rFonts w:hint="cs"/>
                <w:bCs w:val="0"/>
                <w:vertAlign w:val="baseline"/>
              </w:rPr>
            </w:pPr>
            <w:r>
              <w:rPr>
                <w:rFonts w:hint="cs"/>
                <w:rtl/>
              </w:rPr>
              <w:t>97</w:t>
            </w:r>
          </w:p>
        </w:tc>
        <w:tc>
          <w:tcPr>
            <w:tcW w:w="1368" w:type="dxa"/>
            <w:tcBorders>
              <w:bottom w:val="nil"/>
            </w:tcBorders>
          </w:tcPr>
          <w:p w:rsidR="003865AC" w:rsidRDefault="003865AC">
            <w:pPr>
              <w:spacing w:before="0" w:after="0" w:line="400" w:lineRule="exact"/>
              <w:jc w:val="center"/>
              <w:rPr>
                <w:rStyle w:val="FootnoteReference"/>
                <w:rFonts w:hint="cs"/>
                <w:bCs w:val="0"/>
                <w:vertAlign w:val="baseline"/>
              </w:rPr>
            </w:pPr>
            <w:r>
              <w:rPr>
                <w:rFonts w:hint="cs"/>
                <w:rtl/>
              </w:rPr>
              <w:t>98</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Fonts w:hint="cs"/>
                <w:rtl/>
              </w:rPr>
            </w:pPr>
            <w:r>
              <w:rPr>
                <w:rtl/>
              </w:rPr>
              <w:tab/>
              <w:t>منها:</w:t>
            </w:r>
          </w:p>
        </w:tc>
        <w:tc>
          <w:tcPr>
            <w:tcW w:w="1440" w:type="dxa"/>
            <w:tcBorders>
              <w:top w:val="nil"/>
              <w:bottom w:val="nil"/>
            </w:tcBorders>
          </w:tcPr>
          <w:p w:rsidR="003865AC" w:rsidRDefault="003865AC">
            <w:pPr>
              <w:spacing w:before="0" w:after="0" w:line="400" w:lineRule="exact"/>
              <w:jc w:val="center"/>
              <w:rPr>
                <w:rFonts w:hint="cs"/>
                <w:rtl/>
              </w:rPr>
            </w:pPr>
          </w:p>
        </w:tc>
        <w:tc>
          <w:tcPr>
            <w:tcW w:w="1440" w:type="dxa"/>
            <w:tcBorders>
              <w:top w:val="nil"/>
              <w:bottom w:val="nil"/>
            </w:tcBorders>
          </w:tcPr>
          <w:p w:rsidR="003865AC" w:rsidRDefault="003865AC">
            <w:pPr>
              <w:spacing w:before="0" w:after="0" w:line="400" w:lineRule="exact"/>
              <w:jc w:val="center"/>
              <w:rPr>
                <w:rFonts w:hint="cs"/>
                <w:rtl/>
              </w:rPr>
            </w:pPr>
          </w:p>
        </w:tc>
        <w:tc>
          <w:tcPr>
            <w:tcW w:w="1368" w:type="dxa"/>
            <w:tcBorders>
              <w:top w:val="nil"/>
              <w:bottom w:val="nil"/>
            </w:tcBorders>
          </w:tcPr>
          <w:p w:rsidR="003865AC" w:rsidRDefault="003865AC">
            <w:pPr>
              <w:spacing w:before="0" w:after="0" w:line="400" w:lineRule="exact"/>
              <w:jc w:val="center"/>
              <w:rPr>
                <w:rFonts w:hint="cs"/>
                <w:rtl/>
              </w:rPr>
            </w:pP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Fonts w:hint="cs"/>
                <w:rtl/>
              </w:rPr>
            </w:pPr>
            <w:r>
              <w:rPr>
                <w:rFonts w:hint="cs"/>
                <w:rtl/>
              </w:rPr>
              <w:t>متاحف التاريخ/الآثار</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13</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12</w:t>
            </w:r>
          </w:p>
        </w:tc>
        <w:tc>
          <w:tcPr>
            <w:tcW w:w="1368" w:type="dxa"/>
            <w:tcBorders>
              <w:top w:val="nil"/>
              <w:bottom w:val="nil"/>
            </w:tcBorders>
          </w:tcPr>
          <w:p w:rsidR="003865AC" w:rsidRDefault="003865AC">
            <w:pPr>
              <w:spacing w:before="0" w:after="0" w:line="400" w:lineRule="exact"/>
              <w:jc w:val="center"/>
              <w:rPr>
                <w:rFonts w:hint="cs"/>
                <w:rtl/>
              </w:rPr>
            </w:pPr>
            <w:r>
              <w:rPr>
                <w:rFonts w:hint="cs"/>
                <w:rtl/>
              </w:rPr>
              <w:t>13</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Fonts w:hint="cs"/>
                <w:rtl/>
              </w:rPr>
            </w:pPr>
            <w:r>
              <w:rPr>
                <w:rFonts w:hint="cs"/>
                <w:rtl/>
              </w:rPr>
              <w:t>المتاحف التذكارية</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32</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33</w:t>
            </w:r>
          </w:p>
        </w:tc>
        <w:tc>
          <w:tcPr>
            <w:tcW w:w="1368" w:type="dxa"/>
            <w:tcBorders>
              <w:top w:val="nil"/>
              <w:bottom w:val="nil"/>
            </w:tcBorders>
          </w:tcPr>
          <w:p w:rsidR="003865AC" w:rsidRDefault="003865AC">
            <w:pPr>
              <w:spacing w:before="0" w:after="0" w:line="400" w:lineRule="exact"/>
              <w:jc w:val="center"/>
              <w:rPr>
                <w:rFonts w:hint="cs"/>
                <w:rtl/>
              </w:rPr>
            </w:pPr>
            <w:r>
              <w:rPr>
                <w:rFonts w:hint="cs"/>
                <w:rtl/>
              </w:rPr>
              <w:t>34</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Fonts w:hint="cs"/>
                <w:rtl/>
              </w:rPr>
            </w:pPr>
            <w:r>
              <w:rPr>
                <w:rFonts w:hint="cs"/>
                <w:rtl/>
              </w:rPr>
              <w:t>المتاحف الإثنوغرافية</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36</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36</w:t>
            </w:r>
          </w:p>
        </w:tc>
        <w:tc>
          <w:tcPr>
            <w:tcW w:w="1368" w:type="dxa"/>
            <w:tcBorders>
              <w:top w:val="nil"/>
              <w:bottom w:val="nil"/>
            </w:tcBorders>
          </w:tcPr>
          <w:p w:rsidR="003865AC" w:rsidRDefault="003865AC">
            <w:pPr>
              <w:spacing w:before="0" w:after="0" w:line="400" w:lineRule="exact"/>
              <w:jc w:val="center"/>
              <w:rPr>
                <w:rFonts w:hint="cs"/>
                <w:rtl/>
              </w:rPr>
            </w:pPr>
            <w:r>
              <w:rPr>
                <w:rFonts w:hint="cs"/>
                <w:rtl/>
              </w:rPr>
              <w:t>35</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Fonts w:hint="cs"/>
                <w:rtl/>
              </w:rPr>
            </w:pPr>
            <w:r>
              <w:rPr>
                <w:rFonts w:hint="cs"/>
                <w:rtl/>
              </w:rPr>
              <w:t>متاحف الفنون</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11</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12</w:t>
            </w:r>
          </w:p>
        </w:tc>
        <w:tc>
          <w:tcPr>
            <w:tcW w:w="1368" w:type="dxa"/>
            <w:tcBorders>
              <w:top w:val="nil"/>
              <w:bottom w:val="nil"/>
            </w:tcBorders>
          </w:tcPr>
          <w:p w:rsidR="003865AC" w:rsidRDefault="003865AC">
            <w:pPr>
              <w:spacing w:before="0" w:after="0" w:line="400" w:lineRule="exact"/>
              <w:jc w:val="center"/>
              <w:rPr>
                <w:rFonts w:hint="cs"/>
                <w:rtl/>
              </w:rPr>
            </w:pPr>
            <w:r>
              <w:rPr>
                <w:rFonts w:hint="cs"/>
                <w:rtl/>
              </w:rPr>
              <w:t>11</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Fonts w:hint="cs"/>
                <w:rtl/>
              </w:rPr>
            </w:pPr>
            <w:r>
              <w:rPr>
                <w:rFonts w:hint="cs"/>
                <w:rtl/>
              </w:rPr>
              <w:t>متاحف الأعمال الأدبية</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2</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2</w:t>
            </w:r>
          </w:p>
        </w:tc>
        <w:tc>
          <w:tcPr>
            <w:tcW w:w="1368" w:type="dxa"/>
            <w:tcBorders>
              <w:top w:val="nil"/>
              <w:bottom w:val="nil"/>
            </w:tcBorders>
          </w:tcPr>
          <w:p w:rsidR="003865AC" w:rsidRDefault="003865AC">
            <w:pPr>
              <w:spacing w:before="0" w:after="0" w:line="400" w:lineRule="exact"/>
              <w:jc w:val="center"/>
              <w:rPr>
                <w:rFonts w:hint="cs"/>
                <w:rtl/>
              </w:rPr>
            </w:pPr>
            <w:r>
              <w:rPr>
                <w:rFonts w:hint="cs"/>
                <w:rtl/>
              </w:rPr>
              <w:t>2</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Fonts w:hint="cs"/>
                <w:rtl/>
              </w:rPr>
            </w:pPr>
            <w:r>
              <w:rPr>
                <w:rFonts w:hint="cs"/>
                <w:rtl/>
              </w:rPr>
              <w:t>متاحف التراث الصناعي</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2</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2</w:t>
            </w:r>
          </w:p>
        </w:tc>
        <w:tc>
          <w:tcPr>
            <w:tcW w:w="1368" w:type="dxa"/>
            <w:tcBorders>
              <w:top w:val="nil"/>
              <w:bottom w:val="nil"/>
            </w:tcBorders>
          </w:tcPr>
          <w:p w:rsidR="003865AC" w:rsidRDefault="003865AC">
            <w:pPr>
              <w:spacing w:before="0" w:after="0" w:line="400" w:lineRule="exact"/>
              <w:jc w:val="center"/>
              <w:rPr>
                <w:rFonts w:hint="cs"/>
                <w:rtl/>
              </w:rPr>
            </w:pPr>
            <w:r>
              <w:rPr>
                <w:rFonts w:hint="cs"/>
                <w:rtl/>
              </w:rPr>
              <w:t>3</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Fonts w:hint="cs"/>
                <w:rtl/>
              </w:rPr>
            </w:pPr>
            <w:r>
              <w:rPr>
                <w:rFonts w:hint="cs"/>
                <w:rtl/>
              </w:rPr>
              <w:t>عدد الزائرين (بالآلاف)</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368.4</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324.1</w:t>
            </w:r>
          </w:p>
        </w:tc>
        <w:tc>
          <w:tcPr>
            <w:tcW w:w="1368" w:type="dxa"/>
            <w:tcBorders>
              <w:top w:val="nil"/>
              <w:bottom w:val="nil"/>
            </w:tcBorders>
          </w:tcPr>
          <w:p w:rsidR="003865AC" w:rsidRDefault="003865AC">
            <w:pPr>
              <w:spacing w:before="0" w:after="0" w:line="400" w:lineRule="exact"/>
              <w:jc w:val="center"/>
              <w:rPr>
                <w:rFonts w:hint="cs"/>
                <w:rtl/>
              </w:rPr>
            </w:pPr>
            <w:r>
              <w:rPr>
                <w:rFonts w:hint="cs"/>
                <w:rtl/>
              </w:rPr>
              <w:t>326.4</w:t>
            </w:r>
          </w:p>
        </w:tc>
      </w:tr>
      <w:tr w:rsidR="003865AC" w:rsidTr="003865AC">
        <w:tblPrEx>
          <w:tblCellMar>
            <w:top w:w="0" w:type="dxa"/>
            <w:bottom w:w="0" w:type="dxa"/>
          </w:tblCellMar>
        </w:tblPrEx>
        <w:tc>
          <w:tcPr>
            <w:tcW w:w="5322" w:type="dxa"/>
            <w:tcBorders>
              <w:top w:val="nil"/>
            </w:tcBorders>
          </w:tcPr>
          <w:p w:rsidR="003865AC" w:rsidRDefault="003865AC">
            <w:pPr>
              <w:spacing w:before="0" w:after="0" w:line="400" w:lineRule="exact"/>
              <w:jc w:val="both"/>
              <w:rPr>
                <w:rFonts w:hint="cs"/>
                <w:rtl/>
              </w:rPr>
            </w:pPr>
            <w:r>
              <w:rPr>
                <w:rFonts w:hint="cs"/>
                <w:rtl/>
              </w:rPr>
              <w:t>عدد المعارض</w:t>
            </w:r>
          </w:p>
        </w:tc>
        <w:tc>
          <w:tcPr>
            <w:tcW w:w="1440" w:type="dxa"/>
            <w:tcBorders>
              <w:top w:val="nil"/>
            </w:tcBorders>
          </w:tcPr>
          <w:p w:rsidR="003865AC" w:rsidRDefault="003865AC">
            <w:pPr>
              <w:spacing w:before="0" w:after="0" w:line="400" w:lineRule="exact"/>
              <w:jc w:val="center"/>
              <w:rPr>
                <w:rFonts w:hint="cs"/>
                <w:rtl/>
              </w:rPr>
            </w:pPr>
            <w:r>
              <w:rPr>
                <w:rFonts w:hint="cs"/>
                <w:rtl/>
              </w:rPr>
              <w:t>363</w:t>
            </w:r>
          </w:p>
        </w:tc>
        <w:tc>
          <w:tcPr>
            <w:tcW w:w="1440" w:type="dxa"/>
            <w:tcBorders>
              <w:top w:val="nil"/>
            </w:tcBorders>
          </w:tcPr>
          <w:p w:rsidR="003865AC" w:rsidRDefault="003865AC">
            <w:pPr>
              <w:spacing w:before="0" w:after="0" w:line="400" w:lineRule="exact"/>
              <w:jc w:val="center"/>
              <w:rPr>
                <w:rFonts w:hint="cs"/>
                <w:rtl/>
              </w:rPr>
            </w:pPr>
            <w:r>
              <w:rPr>
                <w:rFonts w:hint="cs"/>
                <w:rtl/>
              </w:rPr>
              <w:t>337</w:t>
            </w:r>
          </w:p>
        </w:tc>
        <w:tc>
          <w:tcPr>
            <w:tcW w:w="1368" w:type="dxa"/>
            <w:tcBorders>
              <w:top w:val="nil"/>
            </w:tcBorders>
          </w:tcPr>
          <w:p w:rsidR="003865AC" w:rsidRDefault="003865AC">
            <w:pPr>
              <w:spacing w:before="0" w:after="0" w:line="400" w:lineRule="exact"/>
              <w:jc w:val="center"/>
              <w:rPr>
                <w:rtl/>
              </w:rPr>
            </w:pPr>
            <w:r>
              <w:rPr>
                <w:rFonts w:hint="cs"/>
                <w:rtl/>
              </w:rPr>
              <w:t>385</w:t>
            </w:r>
          </w:p>
        </w:tc>
      </w:tr>
    </w:tbl>
    <w:p w:rsidR="00000000" w:rsidRDefault="003865AC">
      <w:pPr>
        <w:spacing w:before="0" w:after="0" w:line="400" w:lineRule="exact"/>
        <w:jc w:val="both"/>
        <w:rPr>
          <w:rFonts w:hint="cs"/>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2"/>
        <w:gridCol w:w="1440"/>
        <w:gridCol w:w="1440"/>
        <w:gridCol w:w="1368"/>
      </w:tblGrid>
      <w:tr w:rsidR="003865AC" w:rsidTr="003865AC">
        <w:tblPrEx>
          <w:tblCellMar>
            <w:top w:w="0" w:type="dxa"/>
            <w:bottom w:w="0" w:type="dxa"/>
          </w:tblCellMar>
        </w:tblPrEx>
        <w:tc>
          <w:tcPr>
            <w:tcW w:w="5322" w:type="dxa"/>
            <w:tcBorders>
              <w:bottom w:val="single" w:sz="4" w:space="0" w:color="auto"/>
            </w:tcBorders>
          </w:tcPr>
          <w:p w:rsidR="003865AC" w:rsidRDefault="003865AC">
            <w:pPr>
              <w:spacing w:before="0" w:after="0" w:line="400" w:lineRule="exact"/>
              <w:jc w:val="both"/>
              <w:rPr>
                <w:rStyle w:val="FootnoteReference"/>
                <w:rFonts w:hint="cs"/>
                <w:bCs w:val="0"/>
                <w:vertAlign w:val="baseline"/>
              </w:rPr>
            </w:pPr>
          </w:p>
        </w:tc>
        <w:tc>
          <w:tcPr>
            <w:tcW w:w="1440" w:type="dxa"/>
            <w:tcBorders>
              <w:bottom w:val="single" w:sz="4" w:space="0" w:color="auto"/>
            </w:tcBorders>
          </w:tcPr>
          <w:p w:rsidR="003865AC" w:rsidRDefault="003865AC">
            <w:pPr>
              <w:spacing w:before="0" w:after="0" w:line="400" w:lineRule="exact"/>
              <w:jc w:val="center"/>
              <w:rPr>
                <w:rStyle w:val="FootnoteReference"/>
                <w:rFonts w:hint="cs"/>
                <w:b/>
                <w:bCs w:val="0"/>
                <w:vertAlign w:val="baseline"/>
              </w:rPr>
            </w:pPr>
            <w:r>
              <w:rPr>
                <w:rFonts w:hint="cs"/>
                <w:b/>
                <w:bCs/>
                <w:rtl/>
              </w:rPr>
              <w:t>1997</w:t>
            </w:r>
          </w:p>
        </w:tc>
        <w:tc>
          <w:tcPr>
            <w:tcW w:w="1440" w:type="dxa"/>
            <w:tcBorders>
              <w:bottom w:val="single" w:sz="4" w:space="0" w:color="auto"/>
            </w:tcBorders>
          </w:tcPr>
          <w:p w:rsidR="003865AC" w:rsidRDefault="003865AC">
            <w:pPr>
              <w:spacing w:before="0" w:after="0" w:line="400" w:lineRule="exact"/>
              <w:jc w:val="center"/>
              <w:rPr>
                <w:rStyle w:val="FootnoteReference"/>
                <w:rFonts w:hint="cs"/>
                <w:b/>
                <w:bCs w:val="0"/>
                <w:vertAlign w:val="baseline"/>
              </w:rPr>
            </w:pPr>
            <w:r>
              <w:rPr>
                <w:rFonts w:hint="cs"/>
                <w:b/>
                <w:bCs/>
                <w:rtl/>
              </w:rPr>
              <w:t>1998</w:t>
            </w:r>
          </w:p>
        </w:tc>
        <w:tc>
          <w:tcPr>
            <w:tcW w:w="1368" w:type="dxa"/>
            <w:tcBorders>
              <w:bottom w:val="single" w:sz="4" w:space="0" w:color="auto"/>
            </w:tcBorders>
          </w:tcPr>
          <w:p w:rsidR="003865AC" w:rsidRDefault="003865AC">
            <w:pPr>
              <w:spacing w:before="0" w:after="0" w:line="400" w:lineRule="exact"/>
              <w:jc w:val="center"/>
              <w:rPr>
                <w:rStyle w:val="FootnoteReference"/>
                <w:rFonts w:hint="cs"/>
                <w:b/>
                <w:bCs w:val="0"/>
                <w:vertAlign w:val="baseline"/>
              </w:rPr>
            </w:pPr>
            <w:r>
              <w:rPr>
                <w:rFonts w:hint="cs"/>
                <w:b/>
                <w:bCs/>
                <w:rtl/>
              </w:rPr>
              <w:t>1999</w:t>
            </w:r>
          </w:p>
        </w:tc>
      </w:tr>
      <w:tr w:rsidR="003865AC" w:rsidTr="003865AC">
        <w:tblPrEx>
          <w:tblCellMar>
            <w:top w:w="0" w:type="dxa"/>
            <w:bottom w:w="0" w:type="dxa"/>
          </w:tblCellMar>
        </w:tblPrEx>
        <w:tc>
          <w:tcPr>
            <w:tcW w:w="5322" w:type="dxa"/>
            <w:tcBorders>
              <w:bottom w:val="nil"/>
            </w:tcBorders>
          </w:tcPr>
          <w:p w:rsidR="003865AC" w:rsidRDefault="003865AC">
            <w:pPr>
              <w:spacing w:before="0" w:after="0" w:line="400" w:lineRule="exact"/>
              <w:jc w:val="both"/>
              <w:rPr>
                <w:rStyle w:val="FootnoteReference"/>
                <w:rFonts w:hint="cs"/>
                <w:bCs w:val="0"/>
                <w:vertAlign w:val="baseline"/>
              </w:rPr>
            </w:pPr>
            <w:r>
              <w:rPr>
                <w:rFonts w:hint="cs"/>
                <w:rtl/>
              </w:rPr>
              <w:t>المكتبات العامة</w:t>
            </w:r>
          </w:p>
        </w:tc>
        <w:tc>
          <w:tcPr>
            <w:tcW w:w="1440" w:type="dxa"/>
            <w:tcBorders>
              <w:bottom w:val="nil"/>
            </w:tcBorders>
          </w:tcPr>
          <w:p w:rsidR="003865AC" w:rsidRDefault="003865AC">
            <w:pPr>
              <w:spacing w:before="0" w:after="0" w:line="400" w:lineRule="exact"/>
              <w:jc w:val="center"/>
              <w:rPr>
                <w:rStyle w:val="FootnoteReference"/>
                <w:rFonts w:hint="cs"/>
                <w:bCs w:val="0"/>
                <w:vertAlign w:val="baseline"/>
              </w:rPr>
            </w:pPr>
            <w:r>
              <w:rPr>
                <w:rFonts w:hint="cs"/>
                <w:rtl/>
              </w:rPr>
              <w:t>425 2</w:t>
            </w:r>
          </w:p>
        </w:tc>
        <w:tc>
          <w:tcPr>
            <w:tcW w:w="1440" w:type="dxa"/>
            <w:tcBorders>
              <w:bottom w:val="nil"/>
            </w:tcBorders>
          </w:tcPr>
          <w:p w:rsidR="003865AC" w:rsidRDefault="003865AC">
            <w:pPr>
              <w:spacing w:before="0" w:after="0" w:line="400" w:lineRule="exact"/>
              <w:jc w:val="center"/>
              <w:rPr>
                <w:rStyle w:val="FootnoteReference"/>
                <w:rFonts w:hint="cs"/>
                <w:bCs w:val="0"/>
                <w:vertAlign w:val="baseline"/>
              </w:rPr>
            </w:pPr>
            <w:r>
              <w:rPr>
                <w:rFonts w:hint="cs"/>
                <w:rtl/>
              </w:rPr>
              <w:t>301 2</w:t>
            </w:r>
          </w:p>
        </w:tc>
        <w:tc>
          <w:tcPr>
            <w:tcW w:w="1368" w:type="dxa"/>
            <w:tcBorders>
              <w:bottom w:val="nil"/>
            </w:tcBorders>
          </w:tcPr>
          <w:p w:rsidR="003865AC" w:rsidRDefault="003865AC">
            <w:pPr>
              <w:spacing w:before="0" w:after="0" w:line="400" w:lineRule="exact"/>
              <w:jc w:val="center"/>
              <w:rPr>
                <w:rStyle w:val="FootnoteReference"/>
                <w:rFonts w:hint="cs"/>
                <w:bCs w:val="0"/>
                <w:vertAlign w:val="baseline"/>
              </w:rPr>
            </w:pPr>
            <w:r>
              <w:rPr>
                <w:rFonts w:hint="cs"/>
                <w:rtl/>
              </w:rPr>
              <w:t>251 2</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Fonts w:hint="cs"/>
                <w:rtl/>
              </w:rPr>
            </w:pPr>
            <w:r>
              <w:rPr>
                <w:rFonts w:hint="cs"/>
                <w:rtl/>
              </w:rPr>
              <w:t>عدد القراء (بالآلاف)</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191.5 2</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753.3 2</w:t>
            </w:r>
          </w:p>
        </w:tc>
        <w:tc>
          <w:tcPr>
            <w:tcW w:w="1368" w:type="dxa"/>
            <w:tcBorders>
              <w:top w:val="nil"/>
              <w:bottom w:val="nil"/>
            </w:tcBorders>
          </w:tcPr>
          <w:p w:rsidR="003865AC" w:rsidRDefault="003865AC">
            <w:pPr>
              <w:spacing w:before="0" w:after="0" w:line="400" w:lineRule="exact"/>
              <w:jc w:val="center"/>
              <w:rPr>
                <w:rFonts w:hint="cs"/>
                <w:rtl/>
              </w:rPr>
            </w:pPr>
            <w:r>
              <w:rPr>
                <w:rFonts w:hint="cs"/>
                <w:rtl/>
              </w:rPr>
              <w:t>840.3 2</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Fonts w:hint="cs"/>
                <w:rtl/>
              </w:rPr>
            </w:pPr>
            <w:r>
              <w:rPr>
                <w:rFonts w:hint="cs"/>
                <w:rtl/>
              </w:rPr>
              <w:t>متوسط عدد القراء لكل مكتبة</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903.7</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196.6 1</w:t>
            </w:r>
          </w:p>
        </w:tc>
        <w:tc>
          <w:tcPr>
            <w:tcW w:w="1368" w:type="dxa"/>
            <w:tcBorders>
              <w:top w:val="nil"/>
              <w:bottom w:val="nil"/>
            </w:tcBorders>
          </w:tcPr>
          <w:p w:rsidR="003865AC" w:rsidRDefault="003865AC">
            <w:pPr>
              <w:spacing w:before="0" w:after="0" w:line="400" w:lineRule="exact"/>
              <w:jc w:val="center"/>
              <w:rPr>
                <w:rFonts w:hint="cs"/>
                <w:rtl/>
              </w:rPr>
            </w:pPr>
            <w:r>
              <w:rPr>
                <w:rFonts w:hint="cs"/>
                <w:rtl/>
              </w:rPr>
              <w:t>101.9 1</w:t>
            </w:r>
          </w:p>
        </w:tc>
      </w:tr>
      <w:tr w:rsidR="003865AC" w:rsidTr="003865AC">
        <w:tblPrEx>
          <w:tblCellMar>
            <w:top w:w="0" w:type="dxa"/>
            <w:bottom w:w="0" w:type="dxa"/>
          </w:tblCellMar>
        </w:tblPrEx>
        <w:tc>
          <w:tcPr>
            <w:tcW w:w="5322" w:type="dxa"/>
            <w:tcBorders>
              <w:top w:val="nil"/>
              <w:bottom w:val="single" w:sz="4" w:space="0" w:color="auto"/>
            </w:tcBorders>
          </w:tcPr>
          <w:p w:rsidR="003865AC" w:rsidRDefault="003865AC">
            <w:pPr>
              <w:spacing w:before="0" w:after="0" w:line="400" w:lineRule="exact"/>
              <w:jc w:val="both"/>
              <w:rPr>
                <w:rFonts w:hint="cs"/>
                <w:rtl/>
              </w:rPr>
            </w:pPr>
            <w:r>
              <w:rPr>
                <w:rFonts w:hint="cs"/>
                <w:rtl/>
              </w:rPr>
              <w:t>عدد الكتب (بالملايين)</w:t>
            </w:r>
          </w:p>
        </w:tc>
        <w:tc>
          <w:tcPr>
            <w:tcW w:w="1440" w:type="dxa"/>
            <w:tcBorders>
              <w:top w:val="nil"/>
              <w:bottom w:val="single" w:sz="4" w:space="0" w:color="auto"/>
            </w:tcBorders>
          </w:tcPr>
          <w:p w:rsidR="003865AC" w:rsidRDefault="003865AC">
            <w:pPr>
              <w:spacing w:before="0" w:after="0" w:line="400" w:lineRule="exact"/>
              <w:jc w:val="center"/>
              <w:rPr>
                <w:rFonts w:hint="cs"/>
                <w:rtl/>
              </w:rPr>
            </w:pPr>
            <w:r>
              <w:rPr>
                <w:rFonts w:hint="cs"/>
                <w:rtl/>
              </w:rPr>
              <w:t>25.9</w:t>
            </w:r>
          </w:p>
        </w:tc>
        <w:tc>
          <w:tcPr>
            <w:tcW w:w="1440" w:type="dxa"/>
            <w:tcBorders>
              <w:top w:val="nil"/>
              <w:bottom w:val="single" w:sz="4" w:space="0" w:color="auto"/>
            </w:tcBorders>
          </w:tcPr>
          <w:p w:rsidR="003865AC" w:rsidRDefault="003865AC">
            <w:pPr>
              <w:spacing w:before="0" w:after="0" w:line="400" w:lineRule="exact"/>
              <w:jc w:val="center"/>
              <w:rPr>
                <w:rFonts w:hint="cs"/>
                <w:rtl/>
              </w:rPr>
            </w:pPr>
            <w:r>
              <w:rPr>
                <w:rFonts w:hint="cs"/>
                <w:rtl/>
              </w:rPr>
              <w:t>24.5</w:t>
            </w:r>
          </w:p>
        </w:tc>
        <w:tc>
          <w:tcPr>
            <w:tcW w:w="1368" w:type="dxa"/>
            <w:tcBorders>
              <w:top w:val="nil"/>
              <w:bottom w:val="single" w:sz="4" w:space="0" w:color="auto"/>
            </w:tcBorders>
          </w:tcPr>
          <w:p w:rsidR="003865AC" w:rsidRDefault="003865AC">
            <w:pPr>
              <w:spacing w:before="0" w:after="0" w:line="400" w:lineRule="exact"/>
              <w:jc w:val="center"/>
              <w:rPr>
                <w:rFonts w:hint="cs"/>
                <w:rtl/>
              </w:rPr>
            </w:pPr>
            <w:r>
              <w:rPr>
                <w:rFonts w:hint="cs"/>
                <w:rtl/>
              </w:rPr>
              <w:t>31.6</w:t>
            </w:r>
          </w:p>
        </w:tc>
      </w:tr>
    </w:tbl>
    <w:p w:rsidR="00000000" w:rsidRDefault="003865AC">
      <w:pPr>
        <w:spacing w:before="0" w:after="0" w:line="400" w:lineRule="exact"/>
        <w:jc w:val="both"/>
        <w:rPr>
          <w:rFonts w:hint="cs"/>
          <w:rtl/>
        </w:rPr>
      </w:pPr>
    </w:p>
    <w:p w:rsidR="00000000" w:rsidRDefault="003865AC">
      <w:pPr>
        <w:spacing w:before="0" w:after="0" w:line="400" w:lineRule="exact"/>
        <w:jc w:val="both"/>
        <w:rPr>
          <w:rFonts w:hint="cs"/>
          <w:rtl/>
        </w:rPr>
      </w:pPr>
    </w:p>
    <w:p w:rsidR="00000000" w:rsidRDefault="003865AC">
      <w:pPr>
        <w:spacing w:before="0" w:after="0" w:line="400" w:lineRule="exact"/>
        <w:jc w:val="both"/>
        <w:rPr>
          <w:rFonts w:hint="cs"/>
          <w:rtl/>
        </w:rPr>
      </w:pPr>
    </w:p>
    <w:p w:rsidR="00000000" w:rsidRDefault="003865AC">
      <w:pPr>
        <w:spacing w:before="0" w:after="0" w:line="400" w:lineRule="exact"/>
        <w:jc w:val="both"/>
        <w:rPr>
          <w:rFonts w:hint="cs"/>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2"/>
        <w:gridCol w:w="1440"/>
        <w:gridCol w:w="1440"/>
        <w:gridCol w:w="1368"/>
      </w:tblGrid>
      <w:tr w:rsidR="003865AC" w:rsidTr="003865AC">
        <w:tblPrEx>
          <w:tblCellMar>
            <w:top w:w="0" w:type="dxa"/>
            <w:bottom w:w="0" w:type="dxa"/>
          </w:tblCellMar>
        </w:tblPrEx>
        <w:trPr>
          <w:tblHeader/>
        </w:trPr>
        <w:tc>
          <w:tcPr>
            <w:tcW w:w="5322" w:type="dxa"/>
            <w:tcBorders>
              <w:bottom w:val="single" w:sz="4" w:space="0" w:color="auto"/>
            </w:tcBorders>
          </w:tcPr>
          <w:p w:rsidR="003865AC" w:rsidRDefault="003865AC">
            <w:pPr>
              <w:spacing w:before="0" w:after="0" w:line="400" w:lineRule="exact"/>
              <w:jc w:val="both"/>
              <w:rPr>
                <w:rStyle w:val="FootnoteReference"/>
                <w:rFonts w:hint="cs"/>
                <w:bCs w:val="0"/>
                <w:vertAlign w:val="baseline"/>
              </w:rPr>
            </w:pPr>
          </w:p>
        </w:tc>
        <w:tc>
          <w:tcPr>
            <w:tcW w:w="1440" w:type="dxa"/>
            <w:tcBorders>
              <w:bottom w:val="single" w:sz="4" w:space="0" w:color="auto"/>
            </w:tcBorders>
          </w:tcPr>
          <w:p w:rsidR="003865AC" w:rsidRDefault="003865AC">
            <w:pPr>
              <w:spacing w:before="0" w:after="0" w:line="400" w:lineRule="exact"/>
              <w:jc w:val="center"/>
              <w:rPr>
                <w:rStyle w:val="FootnoteReference"/>
                <w:rFonts w:hint="cs"/>
                <w:b/>
                <w:bCs w:val="0"/>
                <w:vertAlign w:val="baseline"/>
              </w:rPr>
            </w:pPr>
            <w:r>
              <w:rPr>
                <w:rFonts w:hint="cs"/>
                <w:b/>
                <w:bCs/>
                <w:rtl/>
              </w:rPr>
              <w:t>1997</w:t>
            </w:r>
          </w:p>
        </w:tc>
        <w:tc>
          <w:tcPr>
            <w:tcW w:w="1440" w:type="dxa"/>
            <w:tcBorders>
              <w:bottom w:val="single" w:sz="4" w:space="0" w:color="auto"/>
            </w:tcBorders>
          </w:tcPr>
          <w:p w:rsidR="003865AC" w:rsidRDefault="003865AC">
            <w:pPr>
              <w:spacing w:before="0" w:after="0" w:line="400" w:lineRule="exact"/>
              <w:jc w:val="center"/>
              <w:rPr>
                <w:rStyle w:val="FootnoteReference"/>
                <w:rFonts w:hint="cs"/>
                <w:b/>
                <w:bCs w:val="0"/>
                <w:vertAlign w:val="baseline"/>
              </w:rPr>
            </w:pPr>
            <w:r>
              <w:rPr>
                <w:rFonts w:hint="cs"/>
                <w:b/>
                <w:bCs/>
                <w:rtl/>
              </w:rPr>
              <w:t>1998</w:t>
            </w:r>
          </w:p>
        </w:tc>
        <w:tc>
          <w:tcPr>
            <w:tcW w:w="1368" w:type="dxa"/>
            <w:tcBorders>
              <w:bottom w:val="single" w:sz="4" w:space="0" w:color="auto"/>
            </w:tcBorders>
          </w:tcPr>
          <w:p w:rsidR="003865AC" w:rsidRDefault="003865AC">
            <w:pPr>
              <w:spacing w:before="0" w:after="0" w:line="400" w:lineRule="exact"/>
              <w:jc w:val="center"/>
              <w:rPr>
                <w:rStyle w:val="FootnoteReference"/>
                <w:rFonts w:hint="cs"/>
                <w:b/>
                <w:bCs w:val="0"/>
                <w:vertAlign w:val="baseline"/>
              </w:rPr>
            </w:pPr>
            <w:r>
              <w:rPr>
                <w:rFonts w:hint="cs"/>
                <w:b/>
                <w:bCs/>
                <w:rtl/>
              </w:rPr>
              <w:t>1999</w:t>
            </w:r>
          </w:p>
        </w:tc>
      </w:tr>
      <w:tr w:rsidR="003865AC" w:rsidTr="003865AC">
        <w:tblPrEx>
          <w:tblCellMar>
            <w:top w:w="0" w:type="dxa"/>
            <w:bottom w:w="0" w:type="dxa"/>
          </w:tblCellMar>
        </w:tblPrEx>
        <w:tc>
          <w:tcPr>
            <w:tcW w:w="5322" w:type="dxa"/>
            <w:tcBorders>
              <w:bottom w:val="nil"/>
            </w:tcBorders>
          </w:tcPr>
          <w:p w:rsidR="003865AC" w:rsidRDefault="003865AC">
            <w:pPr>
              <w:spacing w:before="0" w:after="0" w:line="400" w:lineRule="exact"/>
              <w:jc w:val="both"/>
              <w:rPr>
                <w:rStyle w:val="FootnoteReference"/>
                <w:rFonts w:hint="cs"/>
                <w:bCs w:val="0"/>
                <w:vertAlign w:val="baseline"/>
              </w:rPr>
            </w:pPr>
            <w:r>
              <w:rPr>
                <w:rFonts w:hint="cs"/>
                <w:rtl/>
              </w:rPr>
              <w:t>مجموع مسارح المحترفين</w:t>
            </w:r>
          </w:p>
        </w:tc>
        <w:tc>
          <w:tcPr>
            <w:tcW w:w="1440" w:type="dxa"/>
            <w:tcBorders>
              <w:bottom w:val="nil"/>
            </w:tcBorders>
          </w:tcPr>
          <w:p w:rsidR="003865AC" w:rsidRDefault="003865AC">
            <w:pPr>
              <w:spacing w:before="0" w:after="0" w:line="400" w:lineRule="exact"/>
              <w:jc w:val="center"/>
              <w:rPr>
                <w:rStyle w:val="FootnoteReference"/>
                <w:rFonts w:hint="cs"/>
                <w:bCs w:val="0"/>
                <w:vertAlign w:val="baseline"/>
              </w:rPr>
            </w:pPr>
            <w:r>
              <w:rPr>
                <w:rFonts w:hint="cs"/>
                <w:rtl/>
              </w:rPr>
              <w:t>32</w:t>
            </w:r>
          </w:p>
        </w:tc>
        <w:tc>
          <w:tcPr>
            <w:tcW w:w="1440" w:type="dxa"/>
            <w:tcBorders>
              <w:bottom w:val="nil"/>
            </w:tcBorders>
          </w:tcPr>
          <w:p w:rsidR="003865AC" w:rsidRDefault="003865AC">
            <w:pPr>
              <w:spacing w:before="0" w:after="0" w:line="400" w:lineRule="exact"/>
              <w:jc w:val="center"/>
              <w:rPr>
                <w:rStyle w:val="FootnoteReference"/>
                <w:rFonts w:hint="cs"/>
                <w:bCs w:val="0"/>
                <w:vertAlign w:val="baseline"/>
              </w:rPr>
            </w:pPr>
            <w:r>
              <w:rPr>
                <w:rFonts w:hint="cs"/>
                <w:rtl/>
              </w:rPr>
              <w:t>32</w:t>
            </w:r>
          </w:p>
        </w:tc>
        <w:tc>
          <w:tcPr>
            <w:tcW w:w="1368" w:type="dxa"/>
            <w:tcBorders>
              <w:bottom w:val="nil"/>
            </w:tcBorders>
          </w:tcPr>
          <w:p w:rsidR="003865AC" w:rsidRDefault="003865AC">
            <w:pPr>
              <w:spacing w:before="0" w:after="0" w:line="400" w:lineRule="exact"/>
              <w:jc w:val="center"/>
              <w:rPr>
                <w:rStyle w:val="FootnoteReference"/>
                <w:rFonts w:hint="cs"/>
                <w:bCs w:val="0"/>
                <w:vertAlign w:val="baseline"/>
              </w:rPr>
            </w:pPr>
            <w:r>
              <w:rPr>
                <w:rFonts w:hint="cs"/>
                <w:rtl/>
              </w:rPr>
              <w:t>32</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Style w:val="FootnoteReference"/>
                <w:rFonts w:hint="cs"/>
                <w:bCs w:val="0"/>
                <w:vertAlign w:val="baseline"/>
              </w:rPr>
            </w:pPr>
            <w:r>
              <w:rPr>
                <w:rFonts w:hint="cs"/>
                <w:rtl/>
              </w:rPr>
              <w:tab/>
              <w:t>منها:</w:t>
            </w:r>
          </w:p>
        </w:tc>
        <w:tc>
          <w:tcPr>
            <w:tcW w:w="1440" w:type="dxa"/>
            <w:tcBorders>
              <w:top w:val="nil"/>
              <w:bottom w:val="nil"/>
            </w:tcBorders>
          </w:tcPr>
          <w:p w:rsidR="003865AC" w:rsidRDefault="003865AC">
            <w:pPr>
              <w:spacing w:before="0" w:after="0" w:line="400" w:lineRule="exact"/>
              <w:jc w:val="center"/>
              <w:rPr>
                <w:rFonts w:hint="cs"/>
                <w:rtl/>
              </w:rPr>
            </w:pPr>
          </w:p>
        </w:tc>
        <w:tc>
          <w:tcPr>
            <w:tcW w:w="1440" w:type="dxa"/>
            <w:tcBorders>
              <w:top w:val="nil"/>
              <w:bottom w:val="nil"/>
            </w:tcBorders>
          </w:tcPr>
          <w:p w:rsidR="003865AC" w:rsidRDefault="003865AC">
            <w:pPr>
              <w:spacing w:before="0" w:after="0" w:line="400" w:lineRule="exact"/>
              <w:jc w:val="center"/>
              <w:rPr>
                <w:rFonts w:hint="cs"/>
                <w:rtl/>
              </w:rPr>
            </w:pPr>
          </w:p>
        </w:tc>
        <w:tc>
          <w:tcPr>
            <w:tcW w:w="1368" w:type="dxa"/>
            <w:tcBorders>
              <w:top w:val="nil"/>
              <w:bottom w:val="nil"/>
            </w:tcBorders>
          </w:tcPr>
          <w:p w:rsidR="003865AC" w:rsidRDefault="003865AC">
            <w:pPr>
              <w:spacing w:before="0" w:after="0" w:line="400" w:lineRule="exact"/>
              <w:jc w:val="center"/>
              <w:rPr>
                <w:rFonts w:hint="cs"/>
                <w:rtl/>
              </w:rPr>
            </w:pP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Style w:val="FootnoteReference"/>
                <w:rFonts w:hint="cs"/>
                <w:bCs w:val="0"/>
                <w:vertAlign w:val="baseline"/>
              </w:rPr>
            </w:pPr>
            <w:r>
              <w:rPr>
                <w:rFonts w:hint="cs"/>
                <w:rtl/>
              </w:rPr>
              <w:t>الأوبرا والباليه</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2</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2</w:t>
            </w:r>
          </w:p>
        </w:tc>
        <w:tc>
          <w:tcPr>
            <w:tcW w:w="1368" w:type="dxa"/>
            <w:tcBorders>
              <w:top w:val="nil"/>
              <w:bottom w:val="nil"/>
            </w:tcBorders>
          </w:tcPr>
          <w:p w:rsidR="003865AC" w:rsidRDefault="003865AC">
            <w:pPr>
              <w:spacing w:before="0" w:after="0" w:line="400" w:lineRule="exact"/>
              <w:jc w:val="center"/>
              <w:rPr>
                <w:rFonts w:hint="cs"/>
                <w:rtl/>
              </w:rPr>
            </w:pPr>
            <w:r>
              <w:rPr>
                <w:rFonts w:hint="cs"/>
                <w:rtl/>
              </w:rPr>
              <w:t>3</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Style w:val="FootnoteReference"/>
                <w:rFonts w:hint="cs"/>
                <w:bCs w:val="0"/>
                <w:spacing w:val="-10"/>
                <w:vertAlign w:val="baseline"/>
              </w:rPr>
            </w:pPr>
            <w:r>
              <w:rPr>
                <w:rFonts w:hint="cs"/>
                <w:spacing w:val="-10"/>
                <w:rtl/>
              </w:rPr>
              <w:t>الدراما والكوميديا الموسيقية والمشاهد المسرحية الهزلية، وما إلى ذلك</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22</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22</w:t>
            </w:r>
          </w:p>
        </w:tc>
        <w:tc>
          <w:tcPr>
            <w:tcW w:w="1368" w:type="dxa"/>
            <w:tcBorders>
              <w:top w:val="nil"/>
              <w:bottom w:val="nil"/>
            </w:tcBorders>
          </w:tcPr>
          <w:p w:rsidR="003865AC" w:rsidRDefault="003865AC">
            <w:pPr>
              <w:spacing w:before="0" w:after="0" w:line="400" w:lineRule="exact"/>
              <w:jc w:val="center"/>
              <w:rPr>
                <w:rFonts w:hint="cs"/>
                <w:rtl/>
              </w:rPr>
            </w:pPr>
            <w:r>
              <w:rPr>
                <w:rFonts w:hint="cs"/>
                <w:rtl/>
              </w:rPr>
              <w:t>22</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Style w:val="FootnoteReference"/>
                <w:rFonts w:hint="cs"/>
                <w:bCs w:val="0"/>
                <w:vertAlign w:val="baseline"/>
              </w:rPr>
            </w:pPr>
            <w:r>
              <w:rPr>
                <w:rFonts w:hint="cs"/>
                <w:rtl/>
              </w:rPr>
              <w:t>مسارح الأطفال</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2</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2</w:t>
            </w:r>
          </w:p>
        </w:tc>
        <w:tc>
          <w:tcPr>
            <w:tcW w:w="1368" w:type="dxa"/>
            <w:tcBorders>
              <w:top w:val="nil"/>
              <w:bottom w:val="nil"/>
            </w:tcBorders>
          </w:tcPr>
          <w:p w:rsidR="003865AC" w:rsidRDefault="003865AC">
            <w:pPr>
              <w:spacing w:before="0" w:after="0" w:line="400" w:lineRule="exact"/>
              <w:jc w:val="center"/>
              <w:rPr>
                <w:rFonts w:hint="cs"/>
                <w:rtl/>
              </w:rPr>
            </w:pPr>
            <w:r>
              <w:rPr>
                <w:rFonts w:hint="cs"/>
                <w:rtl/>
              </w:rPr>
              <w:t>1</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Style w:val="FootnoteReference"/>
                <w:rFonts w:hint="cs"/>
                <w:bCs w:val="0"/>
                <w:vertAlign w:val="baseline"/>
              </w:rPr>
            </w:pPr>
            <w:r>
              <w:rPr>
                <w:rFonts w:hint="cs"/>
                <w:rtl/>
              </w:rPr>
              <w:t>مسارح الدمى</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6</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6</w:t>
            </w:r>
          </w:p>
        </w:tc>
        <w:tc>
          <w:tcPr>
            <w:tcW w:w="1368" w:type="dxa"/>
            <w:tcBorders>
              <w:top w:val="nil"/>
              <w:bottom w:val="nil"/>
            </w:tcBorders>
          </w:tcPr>
          <w:p w:rsidR="003865AC" w:rsidRDefault="003865AC">
            <w:pPr>
              <w:spacing w:before="0" w:after="0" w:line="400" w:lineRule="exact"/>
              <w:jc w:val="center"/>
              <w:rPr>
                <w:rFonts w:hint="cs"/>
                <w:rtl/>
              </w:rPr>
            </w:pPr>
            <w:r>
              <w:rPr>
                <w:rFonts w:hint="cs"/>
                <w:rtl/>
              </w:rPr>
              <w:t>6</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Style w:val="FootnoteReference"/>
                <w:rFonts w:hint="cs"/>
                <w:bCs w:val="0"/>
                <w:vertAlign w:val="baseline"/>
              </w:rPr>
            </w:pPr>
            <w:r>
              <w:rPr>
                <w:rFonts w:hint="cs"/>
                <w:rtl/>
              </w:rPr>
              <w:t>عدد مرتادي المسارح (بالآلاف)</w:t>
            </w:r>
          </w:p>
        </w:tc>
        <w:tc>
          <w:tcPr>
            <w:tcW w:w="1440" w:type="dxa"/>
            <w:tcBorders>
              <w:top w:val="nil"/>
              <w:bottom w:val="nil"/>
            </w:tcBorders>
          </w:tcPr>
          <w:p w:rsidR="003865AC" w:rsidRDefault="003865AC">
            <w:pPr>
              <w:spacing w:before="0" w:after="0" w:line="400" w:lineRule="exact"/>
              <w:jc w:val="center"/>
              <w:rPr>
                <w:rStyle w:val="FootnoteReference"/>
                <w:bCs w:val="0"/>
                <w:vertAlign w:val="baseline"/>
              </w:rPr>
            </w:pPr>
            <w:r>
              <w:rPr>
                <w:rFonts w:hint="cs"/>
                <w:rtl/>
              </w:rPr>
              <w:t>479.0</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421.6</w:t>
            </w:r>
          </w:p>
        </w:tc>
        <w:tc>
          <w:tcPr>
            <w:tcW w:w="1368" w:type="dxa"/>
            <w:tcBorders>
              <w:top w:val="nil"/>
              <w:bottom w:val="nil"/>
            </w:tcBorders>
          </w:tcPr>
          <w:p w:rsidR="003865AC" w:rsidRDefault="003865AC">
            <w:pPr>
              <w:spacing w:before="0" w:after="0" w:line="400" w:lineRule="exact"/>
              <w:jc w:val="center"/>
              <w:rPr>
                <w:rFonts w:hint="cs"/>
                <w:rtl/>
              </w:rPr>
            </w:pPr>
            <w:r>
              <w:rPr>
                <w:rFonts w:hint="cs"/>
                <w:rtl/>
              </w:rPr>
              <w:t>352.6</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Style w:val="FootnoteReference"/>
                <w:rFonts w:hint="cs"/>
                <w:bCs w:val="0"/>
                <w:vertAlign w:val="baseline"/>
              </w:rPr>
            </w:pPr>
            <w:r>
              <w:rPr>
                <w:rFonts w:hint="cs"/>
                <w:rtl/>
              </w:rPr>
              <w:t>عدد العروض</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686 2</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995 1</w:t>
            </w:r>
          </w:p>
        </w:tc>
        <w:tc>
          <w:tcPr>
            <w:tcW w:w="1368" w:type="dxa"/>
            <w:tcBorders>
              <w:top w:val="nil"/>
              <w:bottom w:val="nil"/>
            </w:tcBorders>
          </w:tcPr>
          <w:p w:rsidR="003865AC" w:rsidRDefault="003865AC">
            <w:pPr>
              <w:spacing w:before="0" w:after="0" w:line="400" w:lineRule="exact"/>
              <w:jc w:val="center"/>
              <w:rPr>
                <w:rFonts w:hint="cs"/>
                <w:rtl/>
              </w:rPr>
            </w:pPr>
            <w:r>
              <w:rPr>
                <w:rFonts w:hint="cs"/>
                <w:rtl/>
              </w:rPr>
              <w:t>206 2</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Style w:val="FootnoteReference"/>
                <w:rFonts w:hint="cs"/>
                <w:bCs w:val="0"/>
                <w:vertAlign w:val="baseline"/>
              </w:rPr>
            </w:pPr>
            <w:r>
              <w:rPr>
                <w:rFonts w:hint="cs"/>
                <w:rtl/>
              </w:rPr>
              <w:t>عدد المقاعد (بالآلاف)</w:t>
            </w:r>
          </w:p>
        </w:tc>
        <w:tc>
          <w:tcPr>
            <w:tcW w:w="1440" w:type="dxa"/>
            <w:tcBorders>
              <w:top w:val="nil"/>
              <w:bottom w:val="nil"/>
            </w:tcBorders>
          </w:tcPr>
          <w:p w:rsidR="003865AC" w:rsidRDefault="003865AC">
            <w:pPr>
              <w:spacing w:before="0" w:after="0" w:line="400" w:lineRule="exact"/>
              <w:jc w:val="center"/>
              <w:rPr>
                <w:rStyle w:val="FootnoteReference"/>
                <w:rFonts w:hint="cs"/>
                <w:bCs w:val="0"/>
                <w:vertAlign w:val="baseline"/>
              </w:rPr>
            </w:pPr>
            <w:r>
              <w:rPr>
                <w:rFonts w:hint="cs"/>
                <w:rtl/>
              </w:rPr>
              <w:t>14.4</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14.0</w:t>
            </w:r>
          </w:p>
        </w:tc>
        <w:tc>
          <w:tcPr>
            <w:tcW w:w="1368" w:type="dxa"/>
            <w:tcBorders>
              <w:top w:val="nil"/>
              <w:bottom w:val="nil"/>
            </w:tcBorders>
          </w:tcPr>
          <w:p w:rsidR="003865AC" w:rsidRDefault="003865AC">
            <w:pPr>
              <w:spacing w:before="0" w:after="0" w:line="400" w:lineRule="exact"/>
              <w:jc w:val="center"/>
              <w:rPr>
                <w:rFonts w:hint="cs"/>
                <w:rtl/>
              </w:rPr>
            </w:pPr>
            <w:r>
              <w:rPr>
                <w:rFonts w:hint="cs"/>
                <w:rtl/>
              </w:rPr>
              <w:t>14.6</w:t>
            </w:r>
          </w:p>
        </w:tc>
      </w:tr>
      <w:tr w:rsidR="003865AC" w:rsidTr="003865AC">
        <w:tblPrEx>
          <w:tblCellMar>
            <w:top w:w="0" w:type="dxa"/>
            <w:bottom w:w="0" w:type="dxa"/>
          </w:tblCellMar>
        </w:tblPrEx>
        <w:tc>
          <w:tcPr>
            <w:tcW w:w="5322" w:type="dxa"/>
            <w:tcBorders>
              <w:top w:val="nil"/>
              <w:bottom w:val="nil"/>
            </w:tcBorders>
          </w:tcPr>
          <w:p w:rsidR="003865AC" w:rsidRDefault="003865AC">
            <w:pPr>
              <w:spacing w:before="0" w:after="0" w:line="400" w:lineRule="exact"/>
              <w:jc w:val="both"/>
              <w:rPr>
                <w:rStyle w:val="FootnoteReference"/>
                <w:rFonts w:hint="cs"/>
                <w:bCs w:val="0"/>
                <w:vertAlign w:val="baseline"/>
              </w:rPr>
            </w:pPr>
            <w:r>
              <w:rPr>
                <w:rFonts w:hint="cs"/>
                <w:rtl/>
              </w:rPr>
              <w:t>العروض الجديدة</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75</w:t>
            </w:r>
          </w:p>
        </w:tc>
        <w:tc>
          <w:tcPr>
            <w:tcW w:w="1440" w:type="dxa"/>
            <w:tcBorders>
              <w:top w:val="nil"/>
              <w:bottom w:val="nil"/>
            </w:tcBorders>
          </w:tcPr>
          <w:p w:rsidR="003865AC" w:rsidRDefault="003865AC">
            <w:pPr>
              <w:spacing w:before="0" w:after="0" w:line="400" w:lineRule="exact"/>
              <w:jc w:val="center"/>
              <w:rPr>
                <w:rFonts w:hint="cs"/>
                <w:rtl/>
              </w:rPr>
            </w:pPr>
            <w:r>
              <w:rPr>
                <w:rFonts w:hint="cs"/>
                <w:rtl/>
              </w:rPr>
              <w:t>73</w:t>
            </w:r>
          </w:p>
        </w:tc>
        <w:tc>
          <w:tcPr>
            <w:tcW w:w="1368" w:type="dxa"/>
            <w:tcBorders>
              <w:top w:val="nil"/>
              <w:bottom w:val="nil"/>
            </w:tcBorders>
          </w:tcPr>
          <w:p w:rsidR="003865AC" w:rsidRDefault="003865AC">
            <w:pPr>
              <w:spacing w:before="0" w:after="0" w:line="400" w:lineRule="exact"/>
              <w:jc w:val="center"/>
              <w:rPr>
                <w:rFonts w:hint="cs"/>
                <w:rtl/>
              </w:rPr>
            </w:pPr>
            <w:r>
              <w:rPr>
                <w:rFonts w:hint="cs"/>
                <w:rtl/>
              </w:rPr>
              <w:t>51</w:t>
            </w:r>
          </w:p>
        </w:tc>
      </w:tr>
      <w:tr w:rsidR="003865AC" w:rsidTr="003865AC">
        <w:tblPrEx>
          <w:tblCellMar>
            <w:top w:w="0" w:type="dxa"/>
            <w:bottom w:w="0" w:type="dxa"/>
          </w:tblCellMar>
        </w:tblPrEx>
        <w:tc>
          <w:tcPr>
            <w:tcW w:w="5322" w:type="dxa"/>
            <w:tcBorders>
              <w:top w:val="nil"/>
              <w:bottom w:val="single" w:sz="4" w:space="0" w:color="auto"/>
            </w:tcBorders>
          </w:tcPr>
          <w:p w:rsidR="003865AC" w:rsidRDefault="003865AC">
            <w:pPr>
              <w:spacing w:before="0" w:after="0" w:line="400" w:lineRule="exact"/>
              <w:jc w:val="both"/>
              <w:rPr>
                <w:rStyle w:val="FootnoteReference"/>
                <w:rFonts w:hint="cs"/>
                <w:bCs w:val="0"/>
                <w:spacing w:val="0"/>
                <w:vertAlign w:val="baseline"/>
              </w:rPr>
            </w:pPr>
            <w:r>
              <w:rPr>
                <w:rFonts w:hint="cs"/>
                <w:spacing w:val="0"/>
                <w:rtl/>
              </w:rPr>
              <w:t>متوسط عدد مرتادي المسارح  لكل عرض (بالآلاف)</w:t>
            </w:r>
          </w:p>
        </w:tc>
        <w:tc>
          <w:tcPr>
            <w:tcW w:w="1440" w:type="dxa"/>
            <w:tcBorders>
              <w:top w:val="nil"/>
              <w:bottom w:val="single" w:sz="4" w:space="0" w:color="auto"/>
            </w:tcBorders>
          </w:tcPr>
          <w:p w:rsidR="003865AC" w:rsidRDefault="003865AC">
            <w:pPr>
              <w:spacing w:before="0" w:after="0" w:line="400" w:lineRule="exact"/>
              <w:jc w:val="center"/>
              <w:rPr>
                <w:rFonts w:hint="cs"/>
                <w:rtl/>
              </w:rPr>
            </w:pPr>
            <w:r>
              <w:rPr>
                <w:rFonts w:hint="cs"/>
                <w:rtl/>
              </w:rPr>
              <w:t>0.2</w:t>
            </w:r>
          </w:p>
        </w:tc>
        <w:tc>
          <w:tcPr>
            <w:tcW w:w="1440" w:type="dxa"/>
            <w:tcBorders>
              <w:top w:val="nil"/>
              <w:bottom w:val="single" w:sz="4" w:space="0" w:color="auto"/>
            </w:tcBorders>
          </w:tcPr>
          <w:p w:rsidR="003865AC" w:rsidRDefault="003865AC">
            <w:pPr>
              <w:spacing w:before="0" w:after="0" w:line="400" w:lineRule="exact"/>
              <w:jc w:val="center"/>
              <w:rPr>
                <w:rFonts w:hint="cs"/>
                <w:rtl/>
              </w:rPr>
            </w:pPr>
            <w:r>
              <w:rPr>
                <w:rFonts w:hint="cs"/>
                <w:rtl/>
              </w:rPr>
              <w:t>0.2</w:t>
            </w:r>
          </w:p>
        </w:tc>
        <w:tc>
          <w:tcPr>
            <w:tcW w:w="1368" w:type="dxa"/>
            <w:tcBorders>
              <w:top w:val="nil"/>
              <w:bottom w:val="single" w:sz="4" w:space="0" w:color="auto"/>
            </w:tcBorders>
          </w:tcPr>
          <w:p w:rsidR="003865AC" w:rsidRDefault="003865AC">
            <w:pPr>
              <w:spacing w:before="0" w:after="0" w:line="400" w:lineRule="exact"/>
              <w:jc w:val="center"/>
              <w:rPr>
                <w:rFonts w:hint="cs"/>
                <w:rtl/>
              </w:rPr>
            </w:pPr>
            <w:r>
              <w:rPr>
                <w:rFonts w:hint="cs"/>
                <w:rtl/>
              </w:rPr>
              <w:t>0.2</w:t>
            </w:r>
          </w:p>
        </w:tc>
      </w:tr>
    </w:tbl>
    <w:p w:rsidR="00000000" w:rsidRDefault="003865AC">
      <w:pPr>
        <w:jc w:val="both"/>
        <w:rPr>
          <w:rFonts w:hint="cs"/>
          <w:rtl/>
        </w:rPr>
      </w:pPr>
      <w:r>
        <w:rPr>
          <w:rFonts w:hint="cs"/>
          <w:rtl/>
        </w:rPr>
        <w:t>251-</w:t>
      </w:r>
      <w:r>
        <w:rPr>
          <w:rFonts w:hint="cs"/>
          <w:rtl/>
        </w:rPr>
        <w:tab/>
        <w:t>وتراعي جورجيا ثقافات الأقليات والممثلين البارزين لهذه الثقافات. وتثبت الأمثلة التالية هذا القول.</w:t>
      </w:r>
    </w:p>
    <w:p w:rsidR="00000000" w:rsidRDefault="003865AC">
      <w:pPr>
        <w:jc w:val="both"/>
        <w:rPr>
          <w:rFonts w:hint="cs"/>
          <w:rtl/>
        </w:rPr>
      </w:pPr>
      <w:r>
        <w:rPr>
          <w:rFonts w:hint="cs"/>
          <w:rtl/>
        </w:rPr>
        <w:t>252-</w:t>
      </w:r>
      <w:r>
        <w:rPr>
          <w:rFonts w:hint="cs"/>
          <w:rtl/>
        </w:rPr>
        <w:tab/>
        <w:t>فلإحياء ذكرى مرور مئتي سنة على ميلا</w:t>
      </w:r>
      <w:r>
        <w:rPr>
          <w:rFonts w:hint="cs"/>
          <w:rtl/>
        </w:rPr>
        <w:t>د ألكسندر بوشكين (الذي أُقيم له متحف تذكاري في تبليسي)، عرض كل من متحف الفنون الوطني ومتحف الآداب مواد من الأرشيف ولوحات ذات صلة بحياة هذا الشاعر الروسي العظيم. كما نُظم مؤتمر دولي في تبليسي للاحتفال بيوبيل بوشكين.</w:t>
      </w:r>
    </w:p>
    <w:p w:rsidR="00000000" w:rsidRDefault="003865AC">
      <w:pPr>
        <w:jc w:val="both"/>
        <w:rPr>
          <w:rFonts w:hint="cs"/>
          <w:rtl/>
        </w:rPr>
      </w:pPr>
      <w:r>
        <w:rPr>
          <w:rFonts w:hint="cs"/>
          <w:rtl/>
        </w:rPr>
        <w:t>253-</w:t>
      </w:r>
      <w:r>
        <w:rPr>
          <w:rFonts w:hint="cs"/>
          <w:rtl/>
        </w:rPr>
        <w:tab/>
        <w:t>وأقيم في عام 2000 معرض لأعمال الفنان</w:t>
      </w:r>
      <w:r>
        <w:rPr>
          <w:rFonts w:hint="cs"/>
          <w:rtl/>
        </w:rPr>
        <w:t xml:space="preserve"> ومخرج الأفلام الأرمني الشهير سرجي باراجانوف الذي عاش في جورجيا. ونُظمت في العام ذاته احتفالات لإحياء ذكرى بوريس باسترناك، شملت نشر مذكراته.</w:t>
      </w:r>
    </w:p>
    <w:p w:rsidR="00000000" w:rsidRDefault="003865AC">
      <w:pPr>
        <w:jc w:val="both"/>
        <w:rPr>
          <w:rFonts w:hint="cs"/>
          <w:rtl/>
        </w:rPr>
      </w:pPr>
      <w:r>
        <w:rPr>
          <w:rFonts w:hint="cs"/>
          <w:rtl/>
        </w:rPr>
        <w:t>254-</w:t>
      </w:r>
      <w:r>
        <w:rPr>
          <w:rFonts w:hint="cs"/>
          <w:rtl/>
        </w:rPr>
        <w:tab/>
        <w:t>ونظم المتحف الوطني للفنون الشعبية والزخرفية معرضاً للاحتفال بالذكرى المئوية لميلاد الفنان اللاتفي يانيس ستروم.</w:t>
      </w:r>
      <w:r>
        <w:rPr>
          <w:rFonts w:hint="cs"/>
          <w:rtl/>
        </w:rPr>
        <w:t xml:space="preserve"> وإضافة إلى هذا المعرض الذي كان لتعاون زملاء من لاتفيا الفضل في إقامته، عُقدت حلقة دراسية لاحياء هذه الذكرى.</w:t>
      </w:r>
    </w:p>
    <w:p w:rsidR="00000000" w:rsidRDefault="003865AC">
      <w:pPr>
        <w:jc w:val="both"/>
        <w:rPr>
          <w:rFonts w:hint="cs"/>
          <w:rtl/>
        </w:rPr>
      </w:pPr>
      <w:r>
        <w:rPr>
          <w:rFonts w:hint="cs"/>
          <w:rtl/>
        </w:rPr>
        <w:t>255-</w:t>
      </w:r>
      <w:r>
        <w:rPr>
          <w:rFonts w:hint="cs"/>
          <w:rtl/>
        </w:rPr>
        <w:tab/>
        <w:t>وافتتح متحف خُصص للعازف الأرمني الشهير ألكسندر ميلينك - باشييف في داره الموجودة في منطقة مارنولي. ويتخذ هذا المتحف مكاناً لإقامة حفلات موسيقية</w:t>
      </w:r>
      <w:r>
        <w:rPr>
          <w:rFonts w:hint="cs"/>
          <w:rtl/>
        </w:rPr>
        <w:t xml:space="preserve"> وأمسيات تذكارية عديدة. وقد أرسى متحف فلاديمير مايكوفسكي الذي أقيم في دار الشاعر في بغدادي تقليد استضافة ندوات يشارك فيها المعجبون بأعماله.</w:t>
      </w:r>
    </w:p>
    <w:p w:rsidR="00000000" w:rsidRDefault="003865AC">
      <w:pPr>
        <w:jc w:val="both"/>
        <w:rPr>
          <w:rFonts w:hint="cs"/>
          <w:rtl/>
        </w:rPr>
      </w:pPr>
      <w:r>
        <w:rPr>
          <w:rFonts w:hint="cs"/>
          <w:rtl/>
        </w:rPr>
        <w:t>256-</w:t>
      </w:r>
      <w:r>
        <w:rPr>
          <w:rFonts w:hint="cs"/>
          <w:rtl/>
        </w:rPr>
        <w:tab/>
        <w:t>وكما هو الحال في المراكز الثقافية الأخرى، فإن المشاكل الرئيسية التي تواجه متاحف جورجيا تتصل اتصالاً وثيقاً بعدم</w:t>
      </w:r>
      <w:r>
        <w:rPr>
          <w:rFonts w:hint="cs"/>
          <w:rtl/>
        </w:rPr>
        <w:t xml:space="preserve"> كفاية الموارد المادية والتمويل.</w:t>
      </w:r>
    </w:p>
    <w:p w:rsidR="00000000" w:rsidRDefault="003865AC">
      <w:pPr>
        <w:jc w:val="both"/>
        <w:rPr>
          <w:rFonts w:hint="cs"/>
          <w:rtl/>
        </w:rPr>
      </w:pPr>
      <w:r>
        <w:rPr>
          <w:rFonts w:hint="cs"/>
          <w:rtl/>
        </w:rPr>
        <w:t>257-</w:t>
      </w:r>
      <w:r>
        <w:rPr>
          <w:rFonts w:hint="cs"/>
          <w:rtl/>
        </w:rPr>
        <w:tab/>
        <w:t>ومن مجموع عدد المكتبات العاملة في جورجيا، هناك 120 مكتبة مخصصة تحديداً للأطفال وتسع مكتبات للشباب. وتوجد في تبليسي وباتومي مكتبتان حكوميتان مركزيتان، كما توجد في تبليسي مكتبة حكومية مركزية للشباب.</w:t>
      </w:r>
    </w:p>
    <w:p w:rsidR="00000000" w:rsidRDefault="003865AC">
      <w:pPr>
        <w:jc w:val="both"/>
        <w:rPr>
          <w:rFonts w:hint="cs"/>
          <w:rtl/>
        </w:rPr>
      </w:pPr>
      <w:r>
        <w:rPr>
          <w:rFonts w:hint="cs"/>
          <w:rtl/>
        </w:rPr>
        <w:t>258-</w:t>
      </w:r>
      <w:r>
        <w:rPr>
          <w:rFonts w:hint="cs"/>
          <w:rtl/>
        </w:rPr>
        <w:tab/>
        <w:t>والأشخاص الذين ي</w:t>
      </w:r>
      <w:r>
        <w:rPr>
          <w:rFonts w:hint="cs"/>
          <w:rtl/>
        </w:rPr>
        <w:t xml:space="preserve">رتادون هذه المكتبات يمثلون عملياً جميع فئات السكان الاجتماعية والإثنية. وتمتلك المكتبات عادة مخزوناً متنوعاً من الكتب الأجنبية وباللغات الأصلية وترجماتها أيضاً. وتتضمن مقتنيات المكتبات في المناطق المأهولة بأقلية إثنية كبيرة كتباً باللغة المحلية. وتتخذ هذه </w:t>
      </w:r>
      <w:r>
        <w:rPr>
          <w:rFonts w:hint="cs"/>
          <w:rtl/>
        </w:rPr>
        <w:t>المكتبات مكاناً للالتقاء بممثلين عن أهل الفكر والفنون الإبداعية من الأقليات القومية ولتنظيم مختلف المناسبات المشتركة.</w:t>
      </w:r>
    </w:p>
    <w:p w:rsidR="00000000" w:rsidRDefault="003865AC">
      <w:pPr>
        <w:jc w:val="both"/>
        <w:rPr>
          <w:rFonts w:hint="cs"/>
          <w:rtl/>
        </w:rPr>
      </w:pPr>
      <w:r>
        <w:rPr>
          <w:rFonts w:hint="cs"/>
          <w:rtl/>
        </w:rPr>
        <w:t>259-</w:t>
      </w:r>
      <w:r>
        <w:rPr>
          <w:rFonts w:hint="cs"/>
          <w:rtl/>
        </w:rPr>
        <w:tab/>
        <w:t xml:space="preserve">ويعتزم القيام في عام 2002 بتجديد المكتبات في جورجيا واستكمال مقتنياتها وفقاً لبرنامج وضعته وزارة الثقافة. ولقد ناقشت حكومة جورجيا في </w:t>
      </w:r>
      <w:r>
        <w:rPr>
          <w:rFonts w:hint="cs"/>
          <w:rtl/>
        </w:rPr>
        <w:t>كانون الثاني/يناير 2000 تدابير ترمي إلى تطوير عمل المكتبات وسوف تتخذ هذه التدابير، عملاً بالقرار المعتمد، ضمن إطار برنامج حكومي.</w:t>
      </w:r>
    </w:p>
    <w:p w:rsidR="00000000" w:rsidRDefault="003865AC">
      <w:pPr>
        <w:jc w:val="both"/>
        <w:rPr>
          <w:rFonts w:hint="cs"/>
          <w:rtl/>
        </w:rPr>
      </w:pPr>
      <w:r>
        <w:rPr>
          <w:rFonts w:hint="cs"/>
          <w:rtl/>
        </w:rPr>
        <w:t>260-</w:t>
      </w:r>
      <w:r>
        <w:rPr>
          <w:rFonts w:hint="cs"/>
          <w:rtl/>
        </w:rPr>
        <w:tab/>
        <w:t>وترتبط المشاكل التي تواجه المكتبات ارتباطاً وثيقاً بعدم توفر موظفي مكتبات يعملون على أساس التفرغ الكامل. ويؤدي نقص التمويل</w:t>
      </w:r>
      <w:r>
        <w:rPr>
          <w:rFonts w:hint="cs"/>
          <w:rtl/>
        </w:rPr>
        <w:t xml:space="preserve"> من الميزانية المحلية إلى عدم استكمال مقتنيات المكتبات بكتب حديثة. وقد أنشئت المكتبات في حالات عديدة داخل مبانٍ غير مأمونة، ناهيك عن أنه من غير الممكن تزويد المكتبات بأحدث التجهيزات.</w:t>
      </w:r>
    </w:p>
    <w:p w:rsidR="00000000" w:rsidRDefault="003865AC">
      <w:pPr>
        <w:jc w:val="both"/>
        <w:rPr>
          <w:rFonts w:hint="cs"/>
          <w:rtl/>
        </w:rPr>
      </w:pPr>
      <w:r>
        <w:rPr>
          <w:rFonts w:hint="cs"/>
          <w:rtl/>
        </w:rPr>
        <w:t>261-</w:t>
      </w:r>
      <w:r>
        <w:rPr>
          <w:rFonts w:hint="cs"/>
          <w:rtl/>
        </w:rPr>
        <w:tab/>
        <w:t>ومن بين مسارح المحترفين العاملة حالياً في جورجيا، هناك ثلاثة مسارح ت</w:t>
      </w:r>
      <w:r>
        <w:rPr>
          <w:rFonts w:hint="cs"/>
          <w:rtl/>
        </w:rPr>
        <w:t>قدم عروضها باللغة الروسية وواحد بالأرمنية وآخر بالأبخازية وثالث بالأوستيانية. وتتواصل الأعمال التحضيرية لإنشاء مسرح وطني أذربيجاني في العاصمة. كما ظهرت في جورجيا خمسة مسارح مستقلة من مسارح المحترفين.</w:t>
      </w:r>
    </w:p>
    <w:p w:rsidR="00000000" w:rsidRDefault="003865AC">
      <w:pPr>
        <w:jc w:val="both"/>
        <w:rPr>
          <w:rFonts w:hint="cs"/>
          <w:rtl/>
        </w:rPr>
      </w:pPr>
      <w:r>
        <w:rPr>
          <w:rFonts w:hint="cs"/>
          <w:rtl/>
        </w:rPr>
        <w:t>262-</w:t>
      </w:r>
      <w:r>
        <w:rPr>
          <w:rFonts w:hint="cs"/>
          <w:rtl/>
        </w:rPr>
        <w:tab/>
        <w:t>والمشكلة العامة التي تواجه جميع المسارح تتمثل في عد</w:t>
      </w:r>
      <w:r>
        <w:rPr>
          <w:rFonts w:hint="cs"/>
          <w:rtl/>
        </w:rPr>
        <w:t>م توفر الأموال لتقديم العروض ولتنظيم المسارح الجوالة وفي ندرة المعلومات بشأن الاتجاهات المعاصرة للمسرح العالمي. فمن المستحيل مثلاً جمع الأموال لترجمة ونشر أفضل المسرحيات المعاصرة. لكنه على الرغم من هذه العقبات، يتضح من الجدول أعلاه أن من هذه المسارح لم يتو</w:t>
      </w:r>
      <w:r>
        <w:rPr>
          <w:rFonts w:hint="cs"/>
          <w:rtl/>
        </w:rPr>
        <w:t>قف عن أداء أنشطته خلال الفترة المشمولة بالتقرير.</w:t>
      </w:r>
    </w:p>
    <w:p w:rsidR="00000000" w:rsidRDefault="003865AC">
      <w:pPr>
        <w:jc w:val="both"/>
        <w:rPr>
          <w:rFonts w:hint="cs"/>
          <w:rtl/>
        </w:rPr>
      </w:pPr>
      <w:r>
        <w:rPr>
          <w:rFonts w:hint="cs"/>
          <w:rtl/>
        </w:rPr>
        <w:t>263-</w:t>
      </w:r>
      <w:r>
        <w:rPr>
          <w:rFonts w:hint="cs"/>
          <w:rtl/>
        </w:rPr>
        <w:tab/>
        <w:t>وعلى الرغم من المشاكل المبينة آنفاً، فقد نُظم مهرجانان أثناء الفترة المشمولة بالتقرير هما مهرجان "القناع الذهبي" للمسرح الدولي في روستافي ومهرجان "الهدية" الدولي للفنون الذي تم تنظيمه تكريماً لميخائيل ت</w:t>
      </w:r>
      <w:r>
        <w:rPr>
          <w:rFonts w:hint="cs"/>
          <w:rtl/>
        </w:rPr>
        <w:t>ومانيشفيلي.</w:t>
      </w:r>
    </w:p>
    <w:p w:rsidR="00000000" w:rsidRDefault="003865AC">
      <w:pPr>
        <w:jc w:val="both"/>
        <w:rPr>
          <w:rFonts w:hint="cs"/>
          <w:rtl/>
        </w:rPr>
      </w:pPr>
      <w:r>
        <w:rPr>
          <w:rFonts w:hint="cs"/>
          <w:rtl/>
        </w:rPr>
        <w:t>264-</w:t>
      </w:r>
      <w:r>
        <w:rPr>
          <w:rFonts w:hint="cs"/>
          <w:rtl/>
        </w:rPr>
        <w:tab/>
        <w:t>وبالإضافة إلى ما تبذله الدولة من جهود لمساعدة المسارح التي تؤدي عروضها باللغة الجورجية، فإنها تقدم كل ما يمكنها تقديمه من مساعدة لمسارح الأقليات الإثنية لتمكينها من تنظيم مسارح جوالة والمشاركة في المهرجانات والمسابقات التي تقيمها المسارح ا</w:t>
      </w:r>
      <w:r>
        <w:rPr>
          <w:rFonts w:hint="cs"/>
          <w:rtl/>
        </w:rPr>
        <w:t>لدولية، إلى غير ذلك.</w:t>
      </w:r>
    </w:p>
    <w:p w:rsidR="00000000" w:rsidRDefault="003865AC">
      <w:pPr>
        <w:jc w:val="both"/>
        <w:rPr>
          <w:rFonts w:hint="cs"/>
          <w:rtl/>
        </w:rPr>
      </w:pPr>
      <w:r>
        <w:rPr>
          <w:rFonts w:hint="cs"/>
          <w:rtl/>
        </w:rPr>
        <w:t>265-</w:t>
      </w:r>
      <w:r>
        <w:rPr>
          <w:rFonts w:hint="cs"/>
          <w:rtl/>
        </w:rPr>
        <w:tab/>
        <w:t>ومما يدعو للأسف أن عدم توفر الأموال يعيق بشدة فرص عرض التراث الثقافي العالمي في جورجيا. وللسبب ذاته، فإن مسألة ضمان مشاركة الفنانين الجورجيين في المسابقات والمعارض الدولية هي في أحيان كثيرة مسألة في غاية الصعوبة. وقد أخذ عدد المطر</w:t>
      </w:r>
      <w:r>
        <w:rPr>
          <w:rFonts w:hint="cs"/>
          <w:rtl/>
        </w:rPr>
        <w:t>بين والموسيقيين والراقصين الموهوبين الذين يغادرون جورجيا يتزايد يوماً بعد يوم.</w:t>
      </w:r>
    </w:p>
    <w:p w:rsidR="00000000" w:rsidRDefault="003865AC">
      <w:pPr>
        <w:jc w:val="both"/>
        <w:rPr>
          <w:rFonts w:hint="cs"/>
          <w:i/>
          <w:iCs/>
          <w:rtl/>
        </w:rPr>
      </w:pPr>
      <w:r>
        <w:rPr>
          <w:rFonts w:hint="cs"/>
          <w:i/>
          <w:iCs/>
          <w:rtl/>
        </w:rPr>
        <w:t>التعليم في المجال الثقافي</w:t>
      </w:r>
    </w:p>
    <w:p w:rsidR="00000000" w:rsidRDefault="003865AC">
      <w:pPr>
        <w:jc w:val="both"/>
        <w:rPr>
          <w:rFonts w:hint="cs"/>
          <w:rtl/>
        </w:rPr>
      </w:pPr>
      <w:r>
        <w:rPr>
          <w:rFonts w:hint="cs"/>
          <w:rtl/>
        </w:rPr>
        <w:t>266-</w:t>
      </w:r>
      <w:r>
        <w:rPr>
          <w:rFonts w:hint="cs"/>
          <w:rtl/>
        </w:rPr>
        <w:tab/>
        <w:t>يتألف نظام تعليم الفنون في جورجيا من ثلاث مراحل: المرحلة الابتدائية (مدارس الموسيقى والفنون، وما إليها)، والمدارس الثانوية المتخصصة (كليات الفنون)</w:t>
      </w:r>
      <w:r>
        <w:rPr>
          <w:rFonts w:hint="cs"/>
          <w:rtl/>
        </w:rPr>
        <w:t>، ومعاهد التعليم المهني العالي (أكاديمية الفنون والمعهد الموسيقي ومعهد المسرح والسينما والمعهد الثقافي)، ومؤسسات التعليم العالي (درجات الماجستير والدراسات العليا والمنح التدريبية).</w:t>
      </w:r>
    </w:p>
    <w:p w:rsidR="00000000" w:rsidRDefault="003865AC">
      <w:pPr>
        <w:jc w:val="both"/>
        <w:rPr>
          <w:rFonts w:hint="cs"/>
          <w:rtl/>
        </w:rPr>
      </w:pPr>
      <w:r>
        <w:rPr>
          <w:rFonts w:hint="cs"/>
          <w:rtl/>
        </w:rPr>
        <w:t>267-</w:t>
      </w:r>
      <w:r>
        <w:rPr>
          <w:rFonts w:hint="cs"/>
          <w:rtl/>
        </w:rPr>
        <w:tab/>
        <w:t>ويمول التعليم الابتدائي من الميزانيات المحلية إضافة إلى مساهمة جزئية م</w:t>
      </w:r>
      <w:r>
        <w:rPr>
          <w:rFonts w:hint="cs"/>
          <w:rtl/>
        </w:rPr>
        <w:t>ن الآباء، بينما يمول التعليم المهني الثانوي والعالي من أموال الدولة المرصودة لمؤسسات التعليم.</w:t>
      </w:r>
    </w:p>
    <w:p w:rsidR="00000000" w:rsidRDefault="003865AC">
      <w:pPr>
        <w:jc w:val="both"/>
        <w:rPr>
          <w:rFonts w:hint="cs"/>
          <w:rtl/>
        </w:rPr>
      </w:pPr>
      <w:r>
        <w:rPr>
          <w:rFonts w:hint="cs"/>
          <w:rtl/>
        </w:rPr>
        <w:t>268-</w:t>
      </w:r>
      <w:r>
        <w:rPr>
          <w:rFonts w:hint="cs"/>
          <w:rtl/>
        </w:rPr>
        <w:tab/>
        <w:t>وعلى الرغم من الشروط التي يفرضها قانون الثقافة، فإن فرادى السلطات المحلية في مناطق كثيرة من جورجيا قد أخذت تطالب المدارس الابتدائية لتعليم الفنون بأن تعتمد ك</w:t>
      </w:r>
      <w:r>
        <w:rPr>
          <w:rFonts w:hint="cs"/>
          <w:rtl/>
        </w:rPr>
        <w:t>لياً على ذاتها، وهو ما يعتبر فعلياً إيذاناً بإنهاء وجودها. وبذلك يحرم عدد كبير من الأطفال الموهوبين المنتمين إلى فئات اجتماعية محرومة من فرصة تعلم الفنون، وهي فرصة كانت الدولة تتيحها لهم في السابق.</w:t>
      </w:r>
    </w:p>
    <w:p w:rsidR="00000000" w:rsidRDefault="003865AC">
      <w:pPr>
        <w:jc w:val="both"/>
        <w:rPr>
          <w:rFonts w:hint="cs"/>
          <w:rtl/>
        </w:rPr>
      </w:pPr>
      <w:r>
        <w:rPr>
          <w:rFonts w:hint="cs"/>
          <w:rtl/>
        </w:rPr>
        <w:t>269-</w:t>
      </w:r>
      <w:r>
        <w:rPr>
          <w:rFonts w:hint="cs"/>
          <w:rtl/>
        </w:rPr>
        <w:tab/>
        <w:t>ولقد اتخذ عدد من الخطوات لتصحيح هذا الوضع: إذ تمت صيا</w:t>
      </w:r>
      <w:r>
        <w:rPr>
          <w:rFonts w:hint="cs"/>
          <w:rtl/>
        </w:rPr>
        <w:t>غة مشروع قانون لتعليم الفنون، ووضعت وزارة الثقافة برنامجاً خاصاً لتطوير تعليم الفنون. وسوف تنظر حكومة جورجيا في كانون الأول/ديسمبر 2001 في مجمل مسألة اتخاذ التدابير لتعزيز تعليم الفنون. وتتولى وزارة الثقافة حالياً دراسة هذه المسألة.</w:t>
      </w:r>
    </w:p>
    <w:p w:rsidR="00000000" w:rsidRDefault="003865AC">
      <w:pPr>
        <w:jc w:val="both"/>
        <w:rPr>
          <w:rFonts w:hint="cs"/>
          <w:rtl/>
        </w:rPr>
      </w:pPr>
      <w:r>
        <w:rPr>
          <w:rFonts w:hint="cs"/>
          <w:rtl/>
        </w:rPr>
        <w:t>270-</w:t>
      </w:r>
      <w:r>
        <w:rPr>
          <w:rFonts w:hint="cs"/>
          <w:rtl/>
        </w:rPr>
        <w:tab/>
        <w:t>وقد أُدخلت في كانو</w:t>
      </w:r>
      <w:r>
        <w:rPr>
          <w:rFonts w:hint="cs"/>
          <w:rtl/>
        </w:rPr>
        <w:t>ن الثاني/يناير 2001 تعديلات على قانون الضرائب في جورجيا، وهي تعديلات يعتقد الخبراء بأنه ستكون لها حتماً عواقب سلبية على المؤسسات التعليمية في مجال الفنون تشمل مثلاً عدم تدريب العاملين تدريبا كافياً، وتخفيض عدد المدرسين، وإدخال تعديلات غير مبررة على المناهج</w:t>
      </w:r>
      <w:r>
        <w:rPr>
          <w:rFonts w:hint="cs"/>
          <w:rtl/>
        </w:rPr>
        <w:t xml:space="preserve"> المدرسية، وفي حالات كثيرة إلغاء المواد التي لا يتوفر لها العدد الكافي من المدرسين. وبناء على ذلك، طلبت وزارة الثقافة إلى رئيس الدولة ورئيس مجلس النواب والوزير المكلف بشؤون العائدات الضريبية بإعادة النظر في الأحكام المسيئة في قانون الضرائب (المادة 188 من ا</w:t>
      </w:r>
      <w:r>
        <w:rPr>
          <w:rFonts w:hint="cs"/>
          <w:rtl/>
        </w:rPr>
        <w:t>لفصل 29).</w:t>
      </w:r>
    </w:p>
    <w:p w:rsidR="00000000" w:rsidRDefault="003865AC">
      <w:pPr>
        <w:jc w:val="both"/>
        <w:rPr>
          <w:rFonts w:hint="cs"/>
          <w:i/>
          <w:iCs/>
          <w:rtl/>
        </w:rPr>
      </w:pPr>
      <w:r>
        <w:rPr>
          <w:rFonts w:hint="cs"/>
          <w:i/>
          <w:iCs/>
          <w:rtl/>
        </w:rPr>
        <w:t>الحق في التمتع بفوائد التقدم العلمي</w:t>
      </w:r>
    </w:p>
    <w:p w:rsidR="00000000" w:rsidRDefault="003865AC">
      <w:pPr>
        <w:jc w:val="both"/>
        <w:rPr>
          <w:rFonts w:hint="cs"/>
          <w:rtl/>
        </w:rPr>
      </w:pPr>
      <w:r>
        <w:rPr>
          <w:rFonts w:hint="cs"/>
          <w:rtl/>
        </w:rPr>
        <w:t>271-</w:t>
      </w:r>
      <w:r>
        <w:rPr>
          <w:rFonts w:hint="cs"/>
          <w:rtl/>
        </w:rPr>
        <w:tab/>
        <w:t>تفيد المعلومات التي قدمتها الأكاديمية الجورجية للعلوم بأن عدداً من الخطوات التشريعية قد اتخذت خلال الفترة المشمولة بالتقرير بغرض حماية وتطوير العلوم وضمان التمتع دون عوائق بفوائد التقدم العلمي. ولعل التطور</w:t>
      </w:r>
      <w:r>
        <w:rPr>
          <w:rFonts w:hint="cs"/>
          <w:rtl/>
        </w:rPr>
        <w:t xml:space="preserve"> الأكثر أهمية قد تمثل في إرساء الأساس القانوني لحماية الملكية الفكرية. وقد صدرت في عام 1999 القوانين الرئيسية الناظمة لهذا لمجال. ومهدت هذه القوانين بدورها السبيل لتحقيق المزيد من الكفاءة في عمل مختلف عناصر نظام حماية الملكية الفكرية.</w:t>
      </w:r>
    </w:p>
    <w:p w:rsidR="00000000" w:rsidRDefault="003865AC">
      <w:pPr>
        <w:jc w:val="both"/>
        <w:rPr>
          <w:rFonts w:hint="cs"/>
          <w:rtl/>
        </w:rPr>
      </w:pPr>
      <w:r>
        <w:rPr>
          <w:rFonts w:hint="cs"/>
          <w:rtl/>
        </w:rPr>
        <w:t>272-</w:t>
      </w:r>
      <w:r>
        <w:rPr>
          <w:rFonts w:hint="cs"/>
          <w:rtl/>
        </w:rPr>
        <w:tab/>
        <w:t>وصدرت القوانين ا</w:t>
      </w:r>
      <w:r>
        <w:rPr>
          <w:rFonts w:hint="cs"/>
          <w:rtl/>
        </w:rPr>
        <w:t>لتالية في عام 1999: قانون حقوق المؤلف والحقوق المرتبطة بها، وقانون براءات الاختراع، وقانون تصميم الدوائر المصغرة المتكاملة، وقانون الملكية الفكرية (التدابير المماثلة).</w:t>
      </w:r>
    </w:p>
    <w:p w:rsidR="00000000" w:rsidRDefault="003865AC">
      <w:pPr>
        <w:jc w:val="both"/>
        <w:rPr>
          <w:rFonts w:hint="cs"/>
          <w:rtl/>
        </w:rPr>
      </w:pPr>
      <w:r>
        <w:rPr>
          <w:rFonts w:hint="cs"/>
          <w:rtl/>
        </w:rPr>
        <w:t>273-</w:t>
      </w:r>
      <w:r>
        <w:rPr>
          <w:rFonts w:hint="cs"/>
          <w:rtl/>
        </w:rPr>
        <w:tab/>
        <w:t>ومن القوانين الأخرى البالغة الأهمية التي اعتمدت قانون (تراخيص نشر) أنواع المحاصيل و</w:t>
      </w:r>
      <w:r>
        <w:rPr>
          <w:rFonts w:hint="cs"/>
          <w:rtl/>
        </w:rPr>
        <w:t>البذور والنباتات ذات الجودة العالية.</w:t>
      </w:r>
    </w:p>
    <w:p w:rsidR="00000000" w:rsidRDefault="003865AC">
      <w:pPr>
        <w:jc w:val="both"/>
        <w:rPr>
          <w:rFonts w:hint="cs"/>
          <w:rtl/>
        </w:rPr>
      </w:pPr>
      <w:r>
        <w:rPr>
          <w:rFonts w:hint="cs"/>
          <w:rtl/>
        </w:rPr>
        <w:t>274-</w:t>
      </w:r>
      <w:r>
        <w:rPr>
          <w:rFonts w:hint="cs"/>
          <w:rtl/>
        </w:rPr>
        <w:tab/>
        <w:t>وينظم قانون حقوق المؤلف والحقوق ذات الصلة المسائل المتعلقة بتطوير الأعمال العلمية والاستفادة منها، ويتضمن الفصل الثالث من هذا القانون قائمة مسهبة من القيود على حرية الاستفادة من الأعمال (بما في ذلك الأعمال العلمية)</w:t>
      </w:r>
      <w:r>
        <w:rPr>
          <w:rFonts w:hint="cs"/>
          <w:rtl/>
        </w:rPr>
        <w:t xml:space="preserve"> من جانب مخترعيها وغيرهم من الأشخاص الذين شاركوا فيها (المواد من 21 إلى 30). والقانون ذاته يحمي حقوق المؤلف في المجال العلمي. ويتضمن قانون حقوق المؤلف والحقوق ذات الصلة، ضمن أمور أخرى، قائمة بالأعمال العلمية التي يشملها أو لا يشملها القانون (المادتان 5 و6)</w:t>
      </w:r>
      <w:r>
        <w:rPr>
          <w:rFonts w:hint="cs"/>
          <w:rtl/>
        </w:rPr>
        <w:t>، ويكفل الحقوق الحصرية للناشر (المادة 14)، ويحدد الحقوق المادية والمعنوية ذات الصلة بالعمل العلمي (المادة 17).</w:t>
      </w:r>
    </w:p>
    <w:p w:rsidR="00000000" w:rsidRDefault="003865AC">
      <w:pPr>
        <w:jc w:val="both"/>
        <w:rPr>
          <w:rFonts w:hint="cs"/>
          <w:rtl/>
        </w:rPr>
      </w:pPr>
      <w:r>
        <w:rPr>
          <w:rFonts w:hint="cs"/>
          <w:rtl/>
        </w:rPr>
        <w:t>275-</w:t>
      </w:r>
      <w:r>
        <w:rPr>
          <w:rFonts w:hint="cs"/>
          <w:rtl/>
        </w:rPr>
        <w:tab/>
        <w:t>وتجدر الإشارة إلى أن مضايقة أي فرد بسبب عمله العلمي يعد جريمة بموجب المادة 156 من القانون الجنائي.</w:t>
      </w:r>
    </w:p>
    <w:p w:rsidR="00000000" w:rsidRDefault="003865AC">
      <w:pPr>
        <w:jc w:val="both"/>
        <w:rPr>
          <w:rFonts w:hint="cs"/>
          <w:rtl/>
        </w:rPr>
      </w:pPr>
      <w:r>
        <w:rPr>
          <w:rFonts w:hint="cs"/>
          <w:rtl/>
        </w:rPr>
        <w:t>276-</w:t>
      </w:r>
      <w:r>
        <w:rPr>
          <w:rFonts w:hint="cs"/>
          <w:rtl/>
        </w:rPr>
        <w:tab/>
        <w:t>ولتوضيح التدابير التي اتخذت عملياً ل</w:t>
      </w:r>
      <w:r>
        <w:rPr>
          <w:rFonts w:hint="cs"/>
          <w:rtl/>
        </w:rPr>
        <w:t>تطوير العلوم في جورجيا (بالمعنى الأشمل لكلمة العلوم)، نشير هنا إلى قائمة من المراسيم والأوامر الرئاسية التي لها صلة بهذه المسألة:</w:t>
      </w:r>
    </w:p>
    <w:p w:rsidR="00000000" w:rsidRDefault="003865AC">
      <w:pPr>
        <w:ind w:left="1434" w:hanging="720"/>
        <w:jc w:val="both"/>
        <w:rPr>
          <w:rFonts w:hint="cs"/>
          <w:rtl/>
        </w:rPr>
      </w:pPr>
      <w:r>
        <w:rPr>
          <w:rFonts w:hint="cs"/>
          <w:rtl/>
        </w:rPr>
        <w:t>•</w:t>
      </w:r>
      <w:r>
        <w:rPr>
          <w:rFonts w:hint="cs"/>
          <w:rtl/>
        </w:rPr>
        <w:tab/>
        <w:t>المرسوم الرئاسي الذي يحدد شروط تقديم المنح المالية الرئاسية إلى الباحثين الشباب في المجال العلمي (أيلول/سبتمبر 1997)؛</w:t>
      </w:r>
      <w:r>
        <w:rPr>
          <w:rFonts w:hint="cs"/>
          <w:rtl/>
        </w:rPr>
        <w:tab/>
      </w:r>
    </w:p>
    <w:p w:rsidR="00000000" w:rsidRDefault="003865AC">
      <w:pPr>
        <w:ind w:left="1434" w:hanging="720"/>
        <w:jc w:val="both"/>
        <w:rPr>
          <w:rFonts w:hint="cs"/>
          <w:rtl/>
        </w:rPr>
      </w:pPr>
      <w:r>
        <w:rPr>
          <w:rFonts w:hint="cs"/>
          <w:rtl/>
        </w:rPr>
        <w:t>•</w:t>
      </w:r>
      <w:r>
        <w:rPr>
          <w:rFonts w:hint="cs"/>
          <w:rtl/>
        </w:rPr>
        <w:tab/>
        <w:t>الأ</w:t>
      </w:r>
      <w:r>
        <w:rPr>
          <w:rFonts w:hint="cs"/>
          <w:rtl/>
        </w:rPr>
        <w:t>مر الرئاسي بشأن تمويل إنشاء معهد أثينا للأبحاث الجورجية - اليونانية في جامعة إ. دجافاخشفيليلي الحكومية في تبليسي (أيلول/سبتمبر 1997)؛</w:t>
      </w:r>
    </w:p>
    <w:p w:rsidR="00000000" w:rsidRDefault="003865AC">
      <w:pPr>
        <w:ind w:left="1434" w:hanging="720"/>
        <w:jc w:val="both"/>
        <w:rPr>
          <w:rFonts w:hint="cs"/>
          <w:rtl/>
        </w:rPr>
      </w:pPr>
      <w:r>
        <w:rPr>
          <w:rFonts w:hint="cs"/>
          <w:rtl/>
        </w:rPr>
        <w:t>•</w:t>
      </w:r>
      <w:r>
        <w:rPr>
          <w:rFonts w:hint="cs"/>
          <w:rtl/>
        </w:rPr>
        <w:tab/>
        <w:t>المرسوم الرئاسي بشأن الدعم الحكومي للأطفال والشباب ذوي المواهب الخاصة (تشرين الأول/أكتوبر 1997)؛</w:t>
      </w:r>
    </w:p>
    <w:p w:rsidR="00000000" w:rsidRDefault="003865AC">
      <w:pPr>
        <w:ind w:left="1434" w:hanging="720"/>
        <w:jc w:val="both"/>
        <w:rPr>
          <w:rFonts w:hint="cs"/>
          <w:rtl/>
        </w:rPr>
      </w:pPr>
      <w:r>
        <w:rPr>
          <w:rFonts w:hint="cs"/>
          <w:rtl/>
        </w:rPr>
        <w:t>•</w:t>
      </w:r>
      <w:r>
        <w:rPr>
          <w:rFonts w:hint="cs"/>
          <w:rtl/>
        </w:rPr>
        <w:tab/>
        <w:t xml:space="preserve">المرسوم الرئاسي الذي </w:t>
      </w:r>
      <w:r>
        <w:rPr>
          <w:rFonts w:hint="cs"/>
          <w:rtl/>
        </w:rPr>
        <w:t>يقدم المنح المالية الرئاسية للباحثين الشباب في المجال العلمي (تشرين الثاني/نوفمبر 1997)؛</w:t>
      </w:r>
    </w:p>
    <w:p w:rsidR="00000000" w:rsidRDefault="003865AC">
      <w:pPr>
        <w:ind w:left="1434" w:hanging="720"/>
        <w:jc w:val="both"/>
        <w:rPr>
          <w:rFonts w:hint="cs"/>
          <w:rtl/>
        </w:rPr>
      </w:pPr>
      <w:r>
        <w:rPr>
          <w:rFonts w:hint="cs"/>
          <w:rtl/>
        </w:rPr>
        <w:t>•</w:t>
      </w:r>
      <w:r>
        <w:rPr>
          <w:rFonts w:hint="cs"/>
          <w:rtl/>
        </w:rPr>
        <w:tab/>
        <w:t>المرسوم الرئاسي بشأن تنظيم معارض وأنشطة علمية وثقافية خاصة بجورجيا في الولايات المتحدة الأمريكية خلال العامين 1998 و1999.</w:t>
      </w:r>
    </w:p>
    <w:p w:rsidR="00000000" w:rsidRDefault="003865AC">
      <w:pPr>
        <w:jc w:val="both"/>
        <w:rPr>
          <w:rFonts w:hint="cs"/>
          <w:rtl/>
        </w:rPr>
      </w:pPr>
      <w:r>
        <w:rPr>
          <w:rFonts w:hint="cs"/>
          <w:rtl/>
        </w:rPr>
        <w:t>277-</w:t>
      </w:r>
      <w:r>
        <w:rPr>
          <w:rFonts w:hint="cs"/>
          <w:rtl/>
        </w:rPr>
        <w:tab/>
        <w:t>وقد باشرت الأكاديمية الجورجية للعلوم ف</w:t>
      </w:r>
      <w:r>
        <w:rPr>
          <w:rFonts w:hint="cs"/>
          <w:rtl/>
        </w:rPr>
        <w:t xml:space="preserve">ي عام 1991 إقامة علاقات دولية مع الأكاديميات والمراكز العلمية الأجنبية. وفي الوقت ذاته، أذن لمختلف معاهد الأكاديمية بأن تضع ترتيبات فردية مع الشركاء الأجانب لإجراء أبحاث علمية مشتركة. ولقد أبرمت أكاديمية العلوم بالفعل اتفاقات تعاون واتفاقات لتبادل العلماء </w:t>
      </w:r>
      <w:r>
        <w:rPr>
          <w:rFonts w:hint="cs"/>
          <w:rtl/>
        </w:rPr>
        <w:t>مع أكاديميات أذربيجان وأرمينيا والاتحاد الروسي وأوزبكستان وأوكرانيا. ويتواصل التعاون مع بلدان أخرى من بلدان كومنولث الدول المستقلة بموجب معاهدة الرابطة الدولية لأكاديميات العلوم التي تجمع بين أكاديميات بلدان الاتحاد السوفياتي السابق. أما فيما يتعلق بالبلدا</w:t>
      </w:r>
      <w:r>
        <w:rPr>
          <w:rFonts w:hint="cs"/>
          <w:rtl/>
        </w:rPr>
        <w:t>ن الواقعة خارج نطاق الاتحاد السوفياتي السابق، فقد أبرمت أكاديمية جورجيا للعلوم اتفاقات مع جمعيات علمية مثل الأكاديمية البريطانية والجمعية الملكية في لندن، وأكاديميات العلوم في النمسا وهنغاريا وبولندا ومع أكاديمية إسرائيل للعلوم والإنسانيات، ومع المجلس الوط</w:t>
      </w:r>
      <w:r>
        <w:rPr>
          <w:rFonts w:hint="cs"/>
          <w:rtl/>
        </w:rPr>
        <w:t xml:space="preserve">ني الإيطالي للأبحاث العلمية، ومنظمة الأمم المتحدة للتربية والعلوم والثقافة وغيرها من الجهات. </w:t>
      </w:r>
    </w:p>
    <w:p w:rsidR="00000000" w:rsidRDefault="003865AC">
      <w:pPr>
        <w:jc w:val="both"/>
        <w:rPr>
          <w:rFonts w:hint="cs"/>
          <w:rtl/>
        </w:rPr>
      </w:pPr>
      <w:r>
        <w:rPr>
          <w:rFonts w:hint="cs"/>
          <w:rtl/>
        </w:rPr>
        <w:t>278-</w:t>
      </w:r>
      <w:r>
        <w:rPr>
          <w:rFonts w:hint="cs"/>
          <w:rtl/>
        </w:rPr>
        <w:tab/>
        <w:t>كما برمت فرادى المؤسسات والمراكز العلمية الجورجية اتفاقات شراكة مع نظيراتها في الخارج. فقد أبرمت اتفاقات بين مرصد أبستوماني للعلوم الفلكية وجامعة تبليسي الحك</w:t>
      </w:r>
      <w:r>
        <w:rPr>
          <w:rFonts w:hint="cs"/>
          <w:rtl/>
        </w:rPr>
        <w:t>ومية من جهة وجامعة غرب أونتاريو (كندا) من جهة أخرى، وبين معهد الكيمياء الدوائية وجامعة البحر المتوسط (فرنسا)؛ وبين معهد علوم وأبحاث أصول الإنسان القديم وتطوره ومعهد العلوم النباتية التابع للأكاديمية البولندية للعلوم؛ وبين معهد الفيزيولوجيا ومعهد لوس أنجلوس</w:t>
      </w:r>
      <w:r>
        <w:rPr>
          <w:rFonts w:hint="cs"/>
          <w:rtl/>
        </w:rPr>
        <w:t xml:space="preserve"> لعلم الأورام (الولايات المتحدة الأمريكية).</w:t>
      </w:r>
    </w:p>
    <w:p w:rsidR="00000000" w:rsidRDefault="003865AC">
      <w:pPr>
        <w:jc w:val="both"/>
        <w:rPr>
          <w:rFonts w:hint="cs"/>
          <w:rtl/>
        </w:rPr>
      </w:pPr>
      <w:r>
        <w:rPr>
          <w:rFonts w:hint="cs"/>
          <w:rtl/>
        </w:rPr>
        <w:t>279-</w:t>
      </w:r>
      <w:r>
        <w:rPr>
          <w:rFonts w:hint="cs"/>
          <w:rtl/>
        </w:rPr>
        <w:tab/>
        <w:t>وشاركت أكاديميات جورجيا خلال الفترة المشمولة بالتقارير في أشكال أخرى من الأبحاث المشتركة والاتصالات الدولية؛ وقد تم تمويل تكاليف هذه الاتصالات من قِبل الشركاء الأجانب أو عن طريق المنح المالية. فالأكاديمية ال</w:t>
      </w:r>
      <w:r>
        <w:rPr>
          <w:rFonts w:hint="cs"/>
          <w:rtl/>
        </w:rPr>
        <w:t xml:space="preserve">بريطانية والجمعية الملكية على سبيل المثال، إدراكاً منهما للضائقة المالية التي تعاني منها الأكاديمية الجورجية، تحملتا جميع التكاليف المترتبة على زيارة الأكاديميين الجورجيين وتغاضتا عن التزامات جورجيا بموجب الاتفاق. </w:t>
      </w:r>
    </w:p>
    <w:p w:rsidR="00000000" w:rsidRDefault="003865AC">
      <w:pPr>
        <w:jc w:val="both"/>
        <w:rPr>
          <w:rFonts w:hint="cs"/>
          <w:rtl/>
        </w:rPr>
      </w:pPr>
      <w:r>
        <w:rPr>
          <w:rFonts w:hint="cs"/>
          <w:rtl/>
        </w:rPr>
        <w:t>280-</w:t>
      </w:r>
      <w:r>
        <w:rPr>
          <w:rFonts w:hint="cs"/>
          <w:rtl/>
        </w:rPr>
        <w:tab/>
        <w:t>وبوسائل مماثلة أتيحت مشاركة الأكاديم</w:t>
      </w:r>
      <w:r>
        <w:rPr>
          <w:rFonts w:hint="cs"/>
          <w:rtl/>
        </w:rPr>
        <w:t>يين الجورجيين في مختلف المؤتمرات والندوات والاجتماعات الدولية. فمقارنة بفترة أواخر الثمانينات، مثلاً، طرأت زيادة كبيرة على عدد الأكاديميين الجورجيين الذين سافروا إلى الخارج. فبينما وصل عدد الأكاديميين الجورجيين الذين قاموا بزيارات خارج البلاد إلى ما يقرب م</w:t>
      </w:r>
      <w:r>
        <w:rPr>
          <w:rFonts w:hint="cs"/>
          <w:rtl/>
        </w:rPr>
        <w:t>ن 300 أكاديمي في عام 1989، وصل عدد الزيارات التي قام بها في عام 2000 اختصاصيو الأكاديمية في الرياضيات والفيزياء وحدهم إلى 180 زيارة تقريباً. وفي المتوسط، يسافر إلى خارج البلاد العدد ذاته تقريباً من الإدارات الأخرى في الأكاديمية. والبلدان الرئيسية التي يقصد</w:t>
      </w:r>
      <w:r>
        <w:rPr>
          <w:rFonts w:hint="cs"/>
          <w:rtl/>
        </w:rPr>
        <w:t xml:space="preserve">ها أكاديميو جورجيا هي الاتحاد الروسي وألمانيا وإيطاليا وسويسرا وفرنسا والمملكة المتحدة والنمسا، علماً بأن الأكاديميين الجورجيين قاموا بزيارة أكثر من 20 بلداً في جميع أنحاء العالم. </w:t>
      </w:r>
    </w:p>
    <w:p w:rsidR="00000000" w:rsidRDefault="003865AC">
      <w:pPr>
        <w:jc w:val="both"/>
        <w:rPr>
          <w:rFonts w:hint="cs"/>
          <w:rtl/>
        </w:rPr>
      </w:pPr>
      <w:r>
        <w:rPr>
          <w:rFonts w:hint="cs"/>
          <w:rtl/>
        </w:rPr>
        <w:t>281-</w:t>
      </w:r>
      <w:r>
        <w:rPr>
          <w:rFonts w:hint="cs"/>
          <w:rtl/>
        </w:rPr>
        <w:tab/>
        <w:t xml:space="preserve">أما فيما يتعلق بمساهمة الأكاديميون الجورجيون في العلوم الدولية، فتجدر </w:t>
      </w:r>
      <w:r>
        <w:rPr>
          <w:rFonts w:hint="cs"/>
          <w:rtl/>
        </w:rPr>
        <w:t>الإشارة هنا إلى أسماء شهيرة مثل عالمي الرياضيات أ. موسخيليشفيللي وأ. فيخوا والفيزيائي أ. تافيخيليدز، وعالم الفيزيولوجيا أ. بيريتشفيللي، والعالم في طب النفس د. اوزنادز، وغيرهم. ومن أحدث الإنجازات التي حققها الأكاديميون الجورجيون اكتشاف جمجمتين للإنسان تعودا</w:t>
      </w:r>
      <w:r>
        <w:rPr>
          <w:rFonts w:hint="cs"/>
          <w:rtl/>
        </w:rPr>
        <w:t xml:space="preserve"> إلى ما قبل التاريخ إذ يقدر عمرهما بنحو 1.7 مليون سنة. ولقد وجدت الجمجمتان في موقع أثري يقع غربي تبليسي. وهذا الاكتشاف هام للمجتمع العلمي الدولي لأنه يثبت استيطان البشر في أوروبا منذ مدة تبلغ ضعف ما كان يعتقد في السابق. كما يؤكد هذا الاكتشاف أن الإنسان الق</w:t>
      </w:r>
      <w:r>
        <w:rPr>
          <w:rFonts w:hint="cs"/>
          <w:rtl/>
        </w:rPr>
        <w:t>ديم قد وصل إلى أوروبا من أفريقيا مروراً بالقوقاز. ولمتابعة هذا الاكتشاف، وضعت أكاديمية جورجيا للعلوم مشروعاً دولياً لإجراء أبحاث تجمع بين اختصاصات متعددة في موقع الاكتشاف الأول. ومن المزمع أن تمتد فترة تنفيذ هذا المشروع من عام 2000 إلى عام 2005. ومن المتوق</w:t>
      </w:r>
      <w:r>
        <w:rPr>
          <w:rFonts w:hint="cs"/>
          <w:rtl/>
        </w:rPr>
        <w:t>ع أن يشارك فيه أكاديميون ألمان وأمريكيون وغيرهم من الأجانب إلى جانب زملائهم الجورجيين.</w:t>
      </w:r>
    </w:p>
    <w:p w:rsidR="00000000" w:rsidRDefault="003865AC">
      <w:pPr>
        <w:jc w:val="both"/>
        <w:rPr>
          <w:rFonts w:hint="cs"/>
          <w:rtl/>
        </w:rPr>
      </w:pPr>
      <w:r>
        <w:rPr>
          <w:rFonts w:hint="cs"/>
          <w:rtl/>
        </w:rPr>
        <w:t>282-</w:t>
      </w:r>
      <w:r>
        <w:rPr>
          <w:rFonts w:hint="cs"/>
          <w:rtl/>
        </w:rPr>
        <w:tab/>
        <w:t>ومما يدعو للأسف أن نفيد بأن الإمكانيات المالية لأكاديمية جورجيا للعلوم لم تتحسن خلال الفترة الممتدة بين عامي 1997 و2001، بل تم تخفيض الإنفاق في جميع المجالات تقريبا</w:t>
      </w:r>
      <w:r>
        <w:rPr>
          <w:rFonts w:hint="cs"/>
          <w:rtl/>
        </w:rPr>
        <w:t xml:space="preserve">ً، ومنها المرافق والمصاريف العامة للمكاتب ومصاريف النقل، ناهيك عن البحوث. ولقد ألغي من الميزانية كامل البند المتعلق بالإنفاق على الأجهزة الجديدة والإصلاحات الهامة. </w:t>
      </w:r>
    </w:p>
    <w:p w:rsidR="00000000" w:rsidRDefault="003865AC">
      <w:pPr>
        <w:jc w:val="both"/>
        <w:rPr>
          <w:rFonts w:hint="cs"/>
          <w:rtl/>
        </w:rPr>
      </w:pPr>
      <w:r>
        <w:rPr>
          <w:rFonts w:hint="cs"/>
          <w:rtl/>
        </w:rPr>
        <w:t>283-</w:t>
      </w:r>
      <w:r>
        <w:rPr>
          <w:rFonts w:hint="cs"/>
          <w:rtl/>
        </w:rPr>
        <w:tab/>
        <w:t>ولقد انخفض عدد الوظائف في الأكاديمية خلال الفترة ذاتها من 389.5 10 إلى 878.5 6 وحدة وظ</w:t>
      </w:r>
      <w:r>
        <w:rPr>
          <w:rFonts w:hint="cs"/>
          <w:rtl/>
        </w:rPr>
        <w:t xml:space="preserve">يفية (أي بنسبة 33.8 في المائة). بينما انخفض عدد موظفي الأكاديمية إلى النصف منذ عام 1994. </w:t>
      </w:r>
    </w:p>
    <w:p w:rsidR="00000000" w:rsidRDefault="003865AC">
      <w:pPr>
        <w:jc w:val="both"/>
        <w:rPr>
          <w:rFonts w:hint="cs"/>
          <w:i/>
          <w:iCs/>
          <w:rtl/>
        </w:rPr>
      </w:pPr>
      <w:r>
        <w:rPr>
          <w:rFonts w:hint="cs"/>
          <w:i/>
          <w:iCs/>
          <w:rtl/>
        </w:rPr>
        <w:t>الاتصالات الثقافية الدولية</w:t>
      </w:r>
    </w:p>
    <w:p w:rsidR="00000000" w:rsidRDefault="003865AC">
      <w:pPr>
        <w:jc w:val="both"/>
        <w:rPr>
          <w:rFonts w:hint="cs"/>
          <w:rtl/>
        </w:rPr>
      </w:pPr>
      <w:r>
        <w:rPr>
          <w:rFonts w:hint="cs"/>
          <w:rtl/>
        </w:rPr>
        <w:t>284-</w:t>
      </w:r>
      <w:r>
        <w:rPr>
          <w:rFonts w:hint="cs"/>
          <w:rtl/>
        </w:rPr>
        <w:tab/>
        <w:t xml:space="preserve">احتفلت جورجيا في عام 2000، بوصفها بلداً كامل العضوية في مجلس أوروبا، بأيام التراث الأوروبي للمرة الثانية. ويحتفل بهذه المناسبة سنوياً </w:t>
      </w:r>
      <w:r>
        <w:rPr>
          <w:rFonts w:hint="cs"/>
          <w:rtl/>
        </w:rPr>
        <w:t xml:space="preserve">في الدول الأعضاء في مجلس أوروبا بدعم من المجتمعات الأوروبية. </w:t>
      </w:r>
    </w:p>
    <w:p w:rsidR="00000000" w:rsidRDefault="003865AC">
      <w:pPr>
        <w:jc w:val="both"/>
        <w:rPr>
          <w:rFonts w:hint="cs"/>
          <w:rtl/>
        </w:rPr>
      </w:pPr>
      <w:r>
        <w:rPr>
          <w:rFonts w:hint="cs"/>
          <w:rtl/>
        </w:rPr>
        <w:t>285-</w:t>
      </w:r>
      <w:r>
        <w:rPr>
          <w:rFonts w:hint="cs"/>
          <w:rtl/>
        </w:rPr>
        <w:tab/>
        <w:t xml:space="preserve">ولقد عقد في كانون الأول/ديسمبر 2000 الاجتماع الأول بين وزراء ثقافة أرمينيا وأذربيجان وجورجيا في المقر الرئيسي لمجلس أوروبا في ستراسبورغ، فرنسا. وركز هذا الاجتماع على مشروع أعده مجلس أوروبا </w:t>
      </w:r>
      <w:r>
        <w:rPr>
          <w:rFonts w:hint="cs"/>
          <w:rtl/>
        </w:rPr>
        <w:t>لوضع سياسة ثقافية جامعة بين الدول الثلاث المعنية، وتقرر تنفيذه خلال فترة ثلاث سنوات. وفي الوقت ذاته، وقع وزيرا الثقافة في جورجيا والاتحاد الروسي معاهــدة تكفـل التعاون بين الوزارتين المعنيتين في الفترة 2000-2002.</w:t>
      </w:r>
    </w:p>
    <w:p w:rsidR="00000000" w:rsidRDefault="003865AC">
      <w:pPr>
        <w:jc w:val="both"/>
        <w:rPr>
          <w:rFonts w:hint="cs"/>
          <w:rtl/>
        </w:rPr>
      </w:pPr>
      <w:r>
        <w:rPr>
          <w:rFonts w:hint="cs"/>
          <w:rtl/>
        </w:rPr>
        <w:t>286-</w:t>
      </w:r>
      <w:r>
        <w:rPr>
          <w:rFonts w:hint="cs"/>
          <w:rtl/>
        </w:rPr>
        <w:tab/>
        <w:t>وتعمل وزارة الثقافة الجورجية على إقامة</w:t>
      </w:r>
      <w:r>
        <w:rPr>
          <w:rFonts w:hint="cs"/>
          <w:rtl/>
        </w:rPr>
        <w:t xml:space="preserve"> اتصالات وثيقة للغاية مع نظيراتها في جمهورية الصين الشعبية. ولقد جرى التوقيع في نيسان/أبريل 2001 على بروتوكول لتعزيز التعاون خلال الفترة الممتدة بين عامي 2002 و2004. وهناك خطط لتنظيم أيام ثقافية جورجية في بيجين في خريف عام 2001، وأيام ثقافية صينية في تبليس</w:t>
      </w:r>
      <w:r>
        <w:rPr>
          <w:rFonts w:hint="cs"/>
          <w:rtl/>
        </w:rPr>
        <w:t>ي في ربيع عام 2002.</w:t>
      </w:r>
    </w:p>
    <w:p w:rsidR="00000000" w:rsidRDefault="003865AC">
      <w:pPr>
        <w:jc w:val="both"/>
        <w:rPr>
          <w:rFonts w:hint="cs"/>
          <w:rtl/>
        </w:rPr>
      </w:pPr>
      <w:r>
        <w:rPr>
          <w:rFonts w:hint="cs"/>
          <w:rtl/>
        </w:rPr>
        <w:t>287-</w:t>
      </w:r>
      <w:r>
        <w:rPr>
          <w:rFonts w:hint="cs"/>
          <w:rtl/>
        </w:rPr>
        <w:tab/>
        <w:t>ولقد حدد موعد الزيارة الأولى لفريق من الخبراء في مجلس أوروبا إلى جورجيا في حزيران/يونيه 2001. وسوف ينظر هذا الفريق برئاسة السيد تيري ساندل في أوجه السياسة الثقافية لجورجيا. وثمة خطط لتنظيم حلقة دراسية وحلقة عمل أثناء الزيارة ستشارك</w:t>
      </w:r>
      <w:r>
        <w:rPr>
          <w:rFonts w:hint="cs"/>
          <w:rtl/>
        </w:rPr>
        <w:t xml:space="preserve"> فيهما شخصيات ثقافية من جورجيا وأذربيجان وأرمينيا. </w:t>
      </w:r>
    </w:p>
    <w:p w:rsidR="00000000" w:rsidRDefault="003865AC">
      <w:pPr>
        <w:jc w:val="both"/>
        <w:rPr>
          <w:rtl/>
        </w:rPr>
      </w:pPr>
      <w:r>
        <w:rPr>
          <w:rFonts w:hint="cs"/>
          <w:rtl/>
        </w:rPr>
        <w:t>288-</w:t>
      </w:r>
      <w:r>
        <w:rPr>
          <w:rFonts w:hint="cs"/>
          <w:rtl/>
        </w:rPr>
        <w:tab/>
        <w:t>وتجدر الاشارة إلى أن تنفيذ عدد من المشاريع الهامة في مجال التعاون الثقافي الدولي لا يزال ينطوي على قدر كبير من المشاكل. وتتمثل العقبة الرئيسية في النقص المزمن في التمويل.</w:t>
      </w:r>
    </w:p>
    <w:p w:rsidR="00000000" w:rsidRDefault="003865AC">
      <w:pPr>
        <w:jc w:val="center"/>
        <w:rPr>
          <w:rFonts w:hint="cs"/>
          <w:b/>
          <w:bCs/>
          <w:rtl/>
        </w:rPr>
      </w:pPr>
      <w:r>
        <w:rPr>
          <w:rtl/>
        </w:rPr>
        <w:br w:type="page"/>
      </w:r>
      <w:r>
        <w:rPr>
          <w:rFonts w:hint="cs"/>
          <w:b/>
          <w:bCs/>
          <w:rtl/>
        </w:rPr>
        <w:t>المرفق</w:t>
      </w:r>
    </w:p>
    <w:p w:rsidR="00000000" w:rsidRDefault="003865AC">
      <w:pPr>
        <w:jc w:val="center"/>
        <w:rPr>
          <w:rFonts w:hint="cs"/>
          <w:b/>
          <w:bCs/>
          <w:rtl/>
        </w:rPr>
      </w:pPr>
      <w:r>
        <w:rPr>
          <w:rFonts w:hint="cs"/>
          <w:b/>
          <w:bCs/>
          <w:rtl/>
        </w:rPr>
        <w:t>الجدول 1</w:t>
      </w:r>
    </w:p>
    <w:p w:rsidR="00000000" w:rsidRDefault="003865AC">
      <w:pPr>
        <w:jc w:val="center"/>
        <w:rPr>
          <w:rFonts w:hint="cs"/>
          <w:i/>
          <w:iCs/>
          <w:rtl/>
        </w:rPr>
      </w:pPr>
      <w:r>
        <w:rPr>
          <w:rFonts w:hint="cs"/>
          <w:i/>
          <w:iCs/>
          <w:rtl/>
        </w:rPr>
        <w:t>مستويا الفق</w:t>
      </w:r>
      <w:r>
        <w:rPr>
          <w:rFonts w:hint="cs"/>
          <w:i/>
          <w:iCs/>
          <w:rtl/>
        </w:rPr>
        <w:t>ر المطلق والنسبي (باللاري)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0"/>
      </w:tblGrid>
      <w:tr w:rsidR="003865AC" w:rsidTr="003865AC">
        <w:tblPrEx>
          <w:tblCellMar>
            <w:top w:w="0" w:type="dxa"/>
            <w:bottom w:w="0" w:type="dxa"/>
          </w:tblCellMar>
        </w:tblPrEx>
        <w:tc>
          <w:tcPr>
            <w:tcW w:w="3190" w:type="dxa"/>
            <w:tcBorders>
              <w:bottom w:val="single" w:sz="4" w:space="0" w:color="auto"/>
            </w:tcBorders>
          </w:tcPr>
          <w:p w:rsidR="003865AC" w:rsidRDefault="003865AC">
            <w:pPr>
              <w:spacing w:before="0" w:after="0"/>
              <w:jc w:val="center"/>
              <w:rPr>
                <w:rFonts w:hint="cs"/>
                <w:b/>
                <w:bCs/>
              </w:rPr>
            </w:pPr>
            <w:r>
              <w:rPr>
                <w:rFonts w:hint="cs"/>
                <w:b/>
                <w:bCs/>
                <w:rtl/>
              </w:rPr>
              <w:t>العام (المتوسط)</w:t>
            </w:r>
          </w:p>
        </w:tc>
        <w:tc>
          <w:tcPr>
            <w:tcW w:w="3190" w:type="dxa"/>
            <w:tcBorders>
              <w:bottom w:val="single" w:sz="4" w:space="0" w:color="auto"/>
            </w:tcBorders>
          </w:tcPr>
          <w:p w:rsidR="003865AC" w:rsidRDefault="003865AC">
            <w:pPr>
              <w:spacing w:before="0" w:after="0"/>
              <w:jc w:val="center"/>
              <w:rPr>
                <w:rFonts w:hint="cs"/>
                <w:b/>
                <w:bCs/>
              </w:rPr>
            </w:pPr>
            <w:r>
              <w:rPr>
                <w:rFonts w:hint="cs"/>
                <w:b/>
                <w:bCs/>
                <w:rtl/>
              </w:rPr>
              <w:t>مستوى الكفاف</w:t>
            </w:r>
          </w:p>
        </w:tc>
        <w:tc>
          <w:tcPr>
            <w:tcW w:w="3190" w:type="dxa"/>
            <w:tcBorders>
              <w:bottom w:val="single" w:sz="4" w:space="0" w:color="auto"/>
            </w:tcBorders>
          </w:tcPr>
          <w:p w:rsidR="003865AC" w:rsidRDefault="003865AC">
            <w:pPr>
              <w:spacing w:before="0" w:after="0"/>
              <w:jc w:val="center"/>
              <w:rPr>
                <w:rFonts w:hint="cs"/>
                <w:b/>
                <w:bCs/>
              </w:rPr>
            </w:pPr>
            <w:r>
              <w:rPr>
                <w:rFonts w:hint="cs"/>
                <w:b/>
                <w:bCs/>
                <w:rtl/>
              </w:rPr>
              <w:t>متوسط الاستهلاك</w:t>
            </w:r>
          </w:p>
        </w:tc>
      </w:tr>
      <w:tr w:rsidR="003865AC" w:rsidTr="003865AC">
        <w:tblPrEx>
          <w:tblCellMar>
            <w:top w:w="0" w:type="dxa"/>
            <w:bottom w:w="0" w:type="dxa"/>
          </w:tblCellMar>
        </w:tblPrEx>
        <w:tc>
          <w:tcPr>
            <w:tcW w:w="3190" w:type="dxa"/>
            <w:tcBorders>
              <w:bottom w:val="nil"/>
            </w:tcBorders>
          </w:tcPr>
          <w:p w:rsidR="003865AC" w:rsidRDefault="003865AC">
            <w:pPr>
              <w:spacing w:before="0" w:after="0"/>
              <w:jc w:val="center"/>
              <w:rPr>
                <w:rFonts w:hint="cs"/>
              </w:rPr>
            </w:pPr>
            <w:r>
              <w:rPr>
                <w:rFonts w:hint="cs"/>
                <w:rtl/>
              </w:rPr>
              <w:t>1997</w:t>
            </w:r>
          </w:p>
        </w:tc>
        <w:tc>
          <w:tcPr>
            <w:tcW w:w="3190" w:type="dxa"/>
            <w:tcBorders>
              <w:bottom w:val="nil"/>
            </w:tcBorders>
          </w:tcPr>
          <w:p w:rsidR="003865AC" w:rsidRDefault="003865AC">
            <w:pPr>
              <w:spacing w:before="0" w:after="0"/>
              <w:jc w:val="center"/>
              <w:rPr>
                <w:rFonts w:hint="cs"/>
              </w:rPr>
            </w:pPr>
            <w:r>
              <w:rPr>
                <w:rFonts w:hint="cs"/>
                <w:rtl/>
              </w:rPr>
              <w:t>105.3</w:t>
            </w:r>
          </w:p>
        </w:tc>
        <w:tc>
          <w:tcPr>
            <w:tcW w:w="3190" w:type="dxa"/>
            <w:tcBorders>
              <w:bottom w:val="nil"/>
            </w:tcBorders>
          </w:tcPr>
          <w:p w:rsidR="003865AC" w:rsidRDefault="003865AC">
            <w:pPr>
              <w:spacing w:before="0" w:after="0"/>
              <w:jc w:val="center"/>
              <w:rPr>
                <w:rFonts w:hint="cs"/>
              </w:rPr>
            </w:pPr>
            <w:r>
              <w:rPr>
                <w:rFonts w:hint="cs"/>
                <w:rtl/>
              </w:rPr>
              <w:t>117.7</w:t>
            </w:r>
          </w:p>
        </w:tc>
      </w:tr>
      <w:tr w:rsidR="003865AC" w:rsidTr="003865AC">
        <w:tblPrEx>
          <w:tblCellMar>
            <w:top w:w="0" w:type="dxa"/>
            <w:bottom w:w="0" w:type="dxa"/>
          </w:tblCellMar>
        </w:tblPrEx>
        <w:tc>
          <w:tcPr>
            <w:tcW w:w="3190" w:type="dxa"/>
            <w:tcBorders>
              <w:top w:val="nil"/>
              <w:bottom w:val="nil"/>
            </w:tcBorders>
          </w:tcPr>
          <w:p w:rsidR="003865AC" w:rsidRDefault="003865AC">
            <w:pPr>
              <w:spacing w:before="0" w:after="0"/>
              <w:jc w:val="center"/>
              <w:rPr>
                <w:rFonts w:hint="cs"/>
              </w:rPr>
            </w:pPr>
            <w:r>
              <w:rPr>
                <w:rFonts w:hint="cs"/>
                <w:rtl/>
              </w:rPr>
              <w:t>1998</w:t>
            </w:r>
          </w:p>
        </w:tc>
        <w:tc>
          <w:tcPr>
            <w:tcW w:w="3190" w:type="dxa"/>
            <w:tcBorders>
              <w:top w:val="nil"/>
              <w:bottom w:val="nil"/>
            </w:tcBorders>
          </w:tcPr>
          <w:p w:rsidR="003865AC" w:rsidRDefault="003865AC">
            <w:pPr>
              <w:spacing w:before="0" w:after="0"/>
              <w:jc w:val="center"/>
              <w:rPr>
                <w:rFonts w:hint="cs"/>
              </w:rPr>
            </w:pPr>
            <w:r>
              <w:rPr>
                <w:rFonts w:hint="cs"/>
                <w:rtl/>
              </w:rPr>
              <w:t>101.6</w:t>
            </w:r>
          </w:p>
        </w:tc>
        <w:tc>
          <w:tcPr>
            <w:tcW w:w="3190" w:type="dxa"/>
            <w:tcBorders>
              <w:top w:val="nil"/>
              <w:bottom w:val="nil"/>
            </w:tcBorders>
          </w:tcPr>
          <w:p w:rsidR="003865AC" w:rsidRDefault="003865AC">
            <w:pPr>
              <w:spacing w:before="0" w:after="0"/>
              <w:jc w:val="center"/>
              <w:rPr>
                <w:rFonts w:hint="cs"/>
              </w:rPr>
            </w:pPr>
            <w:r>
              <w:rPr>
                <w:rFonts w:hint="cs"/>
                <w:rtl/>
              </w:rPr>
              <w:t>102.8</w:t>
            </w:r>
          </w:p>
        </w:tc>
      </w:tr>
      <w:tr w:rsidR="003865AC" w:rsidTr="003865AC">
        <w:tblPrEx>
          <w:tblCellMar>
            <w:top w:w="0" w:type="dxa"/>
            <w:bottom w:w="0" w:type="dxa"/>
          </w:tblCellMar>
        </w:tblPrEx>
        <w:tc>
          <w:tcPr>
            <w:tcW w:w="3190" w:type="dxa"/>
            <w:tcBorders>
              <w:top w:val="nil"/>
            </w:tcBorders>
          </w:tcPr>
          <w:p w:rsidR="003865AC" w:rsidRDefault="003865AC">
            <w:pPr>
              <w:spacing w:before="0" w:after="0"/>
              <w:jc w:val="center"/>
              <w:rPr>
                <w:rFonts w:hint="cs"/>
                <w:rtl/>
              </w:rPr>
            </w:pPr>
            <w:r>
              <w:rPr>
                <w:rFonts w:hint="cs"/>
                <w:rtl/>
              </w:rPr>
              <w:t>1999</w:t>
            </w:r>
          </w:p>
        </w:tc>
        <w:tc>
          <w:tcPr>
            <w:tcW w:w="3190" w:type="dxa"/>
            <w:tcBorders>
              <w:top w:val="nil"/>
            </w:tcBorders>
          </w:tcPr>
          <w:p w:rsidR="003865AC" w:rsidRDefault="003865AC">
            <w:pPr>
              <w:spacing w:before="0" w:after="0"/>
              <w:jc w:val="center"/>
              <w:rPr>
                <w:rFonts w:hint="cs"/>
                <w:rtl/>
              </w:rPr>
            </w:pPr>
            <w:r>
              <w:rPr>
                <w:rFonts w:hint="cs"/>
                <w:rtl/>
              </w:rPr>
              <w:t>115.8</w:t>
            </w:r>
          </w:p>
        </w:tc>
        <w:tc>
          <w:tcPr>
            <w:tcW w:w="3190" w:type="dxa"/>
            <w:tcBorders>
              <w:top w:val="nil"/>
            </w:tcBorders>
          </w:tcPr>
          <w:p w:rsidR="003865AC" w:rsidRDefault="003865AC">
            <w:pPr>
              <w:spacing w:before="0" w:after="0"/>
              <w:jc w:val="center"/>
              <w:rPr>
                <w:rFonts w:hint="cs"/>
                <w:rtl/>
              </w:rPr>
            </w:pPr>
            <w:r>
              <w:rPr>
                <w:rFonts w:hint="cs"/>
                <w:rtl/>
              </w:rPr>
              <w:t>113.3</w:t>
            </w:r>
          </w:p>
        </w:tc>
      </w:tr>
    </w:tbl>
    <w:p w:rsidR="00000000" w:rsidRDefault="003865AC">
      <w:pPr>
        <w:jc w:val="center"/>
        <w:rPr>
          <w:rFonts w:hint="cs"/>
          <w:b/>
          <w:bCs/>
          <w:rtl/>
        </w:rPr>
      </w:pPr>
      <w:r>
        <w:rPr>
          <w:rFonts w:hint="cs"/>
          <w:b/>
          <w:bCs/>
          <w:rtl/>
        </w:rPr>
        <w:t>الجدول 2</w:t>
      </w:r>
    </w:p>
    <w:p w:rsidR="00000000" w:rsidRDefault="003865AC">
      <w:pPr>
        <w:jc w:val="center"/>
        <w:rPr>
          <w:rFonts w:hint="cs"/>
          <w:i/>
          <w:iCs/>
          <w:rtl/>
        </w:rPr>
      </w:pPr>
      <w:r>
        <w:rPr>
          <w:rFonts w:hint="cs"/>
          <w:i/>
          <w:iCs/>
          <w:rtl/>
        </w:rPr>
        <w:t>مستوى الفقر في المناطق الحضرية والريفية (نسبة مئوية)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1080"/>
        <w:gridCol w:w="1080"/>
        <w:gridCol w:w="1080"/>
        <w:gridCol w:w="1080"/>
        <w:gridCol w:w="1080"/>
        <w:gridCol w:w="1080"/>
        <w:gridCol w:w="1204"/>
        <w:gridCol w:w="1064"/>
      </w:tblGrid>
      <w:tr w:rsidR="003865AC" w:rsidTr="003865AC">
        <w:tblPrEx>
          <w:tblCellMar>
            <w:top w:w="0" w:type="dxa"/>
            <w:bottom w:w="0" w:type="dxa"/>
          </w:tblCellMar>
        </w:tblPrEx>
        <w:trPr>
          <w:cantSplit/>
        </w:trPr>
        <w:tc>
          <w:tcPr>
            <w:tcW w:w="822" w:type="dxa"/>
            <w:vMerge w:val="restart"/>
          </w:tcPr>
          <w:p w:rsidR="003865AC" w:rsidRDefault="003865AC">
            <w:pPr>
              <w:spacing w:before="0" w:after="0"/>
              <w:jc w:val="both"/>
              <w:rPr>
                <w:szCs w:val="28"/>
              </w:rPr>
            </w:pPr>
          </w:p>
        </w:tc>
        <w:tc>
          <w:tcPr>
            <w:tcW w:w="4320" w:type="dxa"/>
            <w:gridSpan w:val="4"/>
          </w:tcPr>
          <w:p w:rsidR="003865AC" w:rsidRDefault="003865AC">
            <w:pPr>
              <w:spacing w:before="0" w:after="0"/>
              <w:jc w:val="center"/>
              <w:rPr>
                <w:rFonts w:hint="cs"/>
                <w:b/>
                <w:bCs/>
                <w:szCs w:val="28"/>
              </w:rPr>
            </w:pPr>
            <w:r>
              <w:rPr>
                <w:rFonts w:hint="cs"/>
                <w:b/>
                <w:bCs/>
                <w:szCs w:val="28"/>
                <w:rtl/>
              </w:rPr>
              <w:t>1998</w:t>
            </w:r>
          </w:p>
        </w:tc>
        <w:tc>
          <w:tcPr>
            <w:tcW w:w="4428" w:type="dxa"/>
            <w:gridSpan w:val="4"/>
          </w:tcPr>
          <w:p w:rsidR="003865AC" w:rsidRDefault="003865AC">
            <w:pPr>
              <w:spacing w:before="0" w:after="0"/>
              <w:jc w:val="center"/>
              <w:rPr>
                <w:rFonts w:hint="cs"/>
                <w:b/>
                <w:bCs/>
                <w:szCs w:val="28"/>
              </w:rPr>
            </w:pPr>
            <w:r>
              <w:rPr>
                <w:rFonts w:hint="cs"/>
                <w:b/>
                <w:bCs/>
                <w:szCs w:val="28"/>
                <w:rtl/>
              </w:rPr>
              <w:t>1999</w:t>
            </w:r>
          </w:p>
        </w:tc>
      </w:tr>
      <w:tr w:rsidR="003865AC" w:rsidTr="003865AC">
        <w:tblPrEx>
          <w:tblCellMar>
            <w:top w:w="0" w:type="dxa"/>
            <w:bottom w:w="0" w:type="dxa"/>
          </w:tblCellMar>
        </w:tblPrEx>
        <w:trPr>
          <w:cantSplit/>
        </w:trPr>
        <w:tc>
          <w:tcPr>
            <w:tcW w:w="822" w:type="dxa"/>
            <w:vMerge/>
          </w:tcPr>
          <w:p w:rsidR="003865AC" w:rsidRDefault="003865AC">
            <w:pPr>
              <w:spacing w:before="0" w:after="0"/>
              <w:jc w:val="both"/>
              <w:rPr>
                <w:rFonts w:hint="cs"/>
                <w:b/>
                <w:bCs/>
                <w:szCs w:val="28"/>
              </w:rPr>
            </w:pPr>
          </w:p>
        </w:tc>
        <w:tc>
          <w:tcPr>
            <w:tcW w:w="1080" w:type="dxa"/>
          </w:tcPr>
          <w:p w:rsidR="003865AC" w:rsidRDefault="003865AC">
            <w:pPr>
              <w:spacing w:before="0" w:after="0"/>
              <w:jc w:val="both"/>
              <w:rPr>
                <w:rFonts w:hint="cs"/>
                <w:b/>
                <w:bCs/>
                <w:sz w:val="24"/>
                <w:szCs w:val="24"/>
              </w:rPr>
            </w:pPr>
            <w:r>
              <w:rPr>
                <w:rFonts w:hint="cs"/>
                <w:b/>
                <w:bCs/>
                <w:sz w:val="24"/>
                <w:szCs w:val="24"/>
                <w:rtl/>
              </w:rPr>
              <w:t>الربع الأول</w:t>
            </w:r>
          </w:p>
        </w:tc>
        <w:tc>
          <w:tcPr>
            <w:tcW w:w="1080" w:type="dxa"/>
          </w:tcPr>
          <w:p w:rsidR="003865AC" w:rsidRDefault="003865AC">
            <w:pPr>
              <w:spacing w:before="0" w:after="0"/>
              <w:jc w:val="both"/>
              <w:rPr>
                <w:rFonts w:hint="cs"/>
                <w:b/>
                <w:bCs/>
                <w:sz w:val="24"/>
                <w:szCs w:val="24"/>
              </w:rPr>
            </w:pPr>
            <w:r>
              <w:rPr>
                <w:rFonts w:hint="cs"/>
                <w:b/>
                <w:bCs/>
                <w:sz w:val="24"/>
                <w:szCs w:val="24"/>
                <w:rtl/>
              </w:rPr>
              <w:t>الربع الثاني</w:t>
            </w:r>
          </w:p>
        </w:tc>
        <w:tc>
          <w:tcPr>
            <w:tcW w:w="1080" w:type="dxa"/>
          </w:tcPr>
          <w:p w:rsidR="003865AC" w:rsidRDefault="003865AC">
            <w:pPr>
              <w:spacing w:before="0" w:after="0"/>
              <w:jc w:val="both"/>
              <w:rPr>
                <w:rFonts w:hint="cs"/>
                <w:b/>
                <w:bCs/>
                <w:sz w:val="24"/>
                <w:szCs w:val="24"/>
              </w:rPr>
            </w:pPr>
            <w:r>
              <w:rPr>
                <w:rFonts w:hint="cs"/>
                <w:b/>
                <w:bCs/>
                <w:sz w:val="24"/>
                <w:szCs w:val="24"/>
                <w:rtl/>
              </w:rPr>
              <w:t>الربع الثالث</w:t>
            </w:r>
          </w:p>
        </w:tc>
        <w:tc>
          <w:tcPr>
            <w:tcW w:w="1080" w:type="dxa"/>
          </w:tcPr>
          <w:p w:rsidR="003865AC" w:rsidRDefault="003865AC">
            <w:pPr>
              <w:spacing w:before="0" w:after="0"/>
              <w:jc w:val="both"/>
              <w:rPr>
                <w:rFonts w:hint="cs"/>
                <w:b/>
                <w:bCs/>
                <w:sz w:val="24"/>
                <w:szCs w:val="24"/>
              </w:rPr>
            </w:pPr>
            <w:r>
              <w:rPr>
                <w:rFonts w:hint="cs"/>
                <w:b/>
                <w:bCs/>
                <w:sz w:val="24"/>
                <w:szCs w:val="24"/>
                <w:rtl/>
              </w:rPr>
              <w:t>الربع الرابع</w:t>
            </w:r>
          </w:p>
        </w:tc>
        <w:tc>
          <w:tcPr>
            <w:tcW w:w="1080" w:type="dxa"/>
          </w:tcPr>
          <w:p w:rsidR="003865AC" w:rsidRDefault="003865AC">
            <w:pPr>
              <w:spacing w:before="0" w:after="0"/>
              <w:jc w:val="both"/>
              <w:rPr>
                <w:rFonts w:hint="cs"/>
                <w:b/>
                <w:bCs/>
                <w:sz w:val="24"/>
                <w:szCs w:val="24"/>
              </w:rPr>
            </w:pPr>
            <w:r>
              <w:rPr>
                <w:rFonts w:hint="cs"/>
                <w:b/>
                <w:bCs/>
                <w:sz w:val="24"/>
                <w:szCs w:val="24"/>
                <w:rtl/>
              </w:rPr>
              <w:t>الربع الأول</w:t>
            </w:r>
          </w:p>
        </w:tc>
        <w:tc>
          <w:tcPr>
            <w:tcW w:w="1080" w:type="dxa"/>
          </w:tcPr>
          <w:p w:rsidR="003865AC" w:rsidRDefault="003865AC">
            <w:pPr>
              <w:spacing w:before="0" w:after="0"/>
              <w:jc w:val="both"/>
              <w:rPr>
                <w:rFonts w:hint="cs"/>
                <w:b/>
                <w:bCs/>
                <w:sz w:val="24"/>
                <w:szCs w:val="24"/>
              </w:rPr>
            </w:pPr>
            <w:r>
              <w:rPr>
                <w:rFonts w:hint="cs"/>
                <w:b/>
                <w:bCs/>
                <w:sz w:val="24"/>
                <w:szCs w:val="24"/>
                <w:rtl/>
              </w:rPr>
              <w:t>الربع الثاني</w:t>
            </w:r>
          </w:p>
        </w:tc>
        <w:tc>
          <w:tcPr>
            <w:tcW w:w="1204" w:type="dxa"/>
          </w:tcPr>
          <w:p w:rsidR="003865AC" w:rsidRDefault="003865AC">
            <w:pPr>
              <w:spacing w:before="0" w:after="0"/>
              <w:jc w:val="both"/>
              <w:rPr>
                <w:rFonts w:hint="cs"/>
                <w:b/>
                <w:bCs/>
                <w:sz w:val="24"/>
                <w:szCs w:val="24"/>
              </w:rPr>
            </w:pPr>
            <w:r>
              <w:rPr>
                <w:rFonts w:hint="cs"/>
                <w:b/>
                <w:bCs/>
                <w:sz w:val="24"/>
                <w:szCs w:val="24"/>
                <w:rtl/>
              </w:rPr>
              <w:t>الربع الثالث</w:t>
            </w:r>
          </w:p>
        </w:tc>
        <w:tc>
          <w:tcPr>
            <w:tcW w:w="1064" w:type="dxa"/>
          </w:tcPr>
          <w:p w:rsidR="003865AC" w:rsidRDefault="003865AC">
            <w:pPr>
              <w:spacing w:before="0" w:after="0"/>
              <w:jc w:val="both"/>
              <w:rPr>
                <w:rFonts w:hint="cs"/>
                <w:b/>
                <w:bCs/>
                <w:sz w:val="24"/>
                <w:szCs w:val="24"/>
              </w:rPr>
            </w:pPr>
            <w:r>
              <w:rPr>
                <w:rFonts w:hint="cs"/>
                <w:b/>
                <w:bCs/>
                <w:sz w:val="24"/>
                <w:szCs w:val="24"/>
                <w:rtl/>
              </w:rPr>
              <w:t>الربع الرابع</w:t>
            </w:r>
          </w:p>
        </w:tc>
      </w:tr>
      <w:tr w:rsidR="003865AC" w:rsidTr="003865AC">
        <w:tblPrEx>
          <w:tblCellMar>
            <w:top w:w="0" w:type="dxa"/>
            <w:bottom w:w="0" w:type="dxa"/>
          </w:tblCellMar>
        </w:tblPrEx>
        <w:trPr>
          <w:cantSplit/>
        </w:trPr>
        <w:tc>
          <w:tcPr>
            <w:tcW w:w="9570" w:type="dxa"/>
            <w:gridSpan w:val="9"/>
            <w:tcBorders>
              <w:bottom w:val="single" w:sz="4" w:space="0" w:color="auto"/>
            </w:tcBorders>
          </w:tcPr>
          <w:p w:rsidR="00000000" w:rsidRDefault="003865AC">
            <w:pPr>
              <w:spacing w:before="0" w:after="0"/>
              <w:jc w:val="center"/>
              <w:rPr>
                <w:rFonts w:hint="cs"/>
                <w:sz w:val="30"/>
              </w:rPr>
            </w:pPr>
            <w:r>
              <w:rPr>
                <w:rFonts w:hint="cs"/>
                <w:sz w:val="30"/>
                <w:rtl/>
              </w:rPr>
              <w:t>بالنسبة لمستوى الكفاف</w:t>
            </w:r>
          </w:p>
        </w:tc>
      </w:tr>
      <w:tr w:rsidR="003865AC" w:rsidTr="003865AC">
        <w:tblPrEx>
          <w:tblCellMar>
            <w:top w:w="0" w:type="dxa"/>
            <w:bottom w:w="0" w:type="dxa"/>
          </w:tblCellMar>
        </w:tblPrEx>
        <w:tc>
          <w:tcPr>
            <w:tcW w:w="822" w:type="dxa"/>
            <w:tcBorders>
              <w:bottom w:val="nil"/>
            </w:tcBorders>
          </w:tcPr>
          <w:p w:rsidR="003865AC" w:rsidRDefault="003865AC">
            <w:pPr>
              <w:spacing w:before="0" w:after="0"/>
              <w:jc w:val="both"/>
              <w:rPr>
                <w:rFonts w:hint="cs"/>
              </w:rPr>
            </w:pPr>
            <w:r>
              <w:rPr>
                <w:rFonts w:hint="cs"/>
                <w:rtl/>
              </w:rPr>
              <w:t>المدن</w:t>
            </w:r>
          </w:p>
        </w:tc>
        <w:tc>
          <w:tcPr>
            <w:tcW w:w="1080" w:type="dxa"/>
            <w:tcBorders>
              <w:bottom w:val="nil"/>
            </w:tcBorders>
          </w:tcPr>
          <w:p w:rsidR="003865AC" w:rsidRDefault="003865AC">
            <w:pPr>
              <w:spacing w:before="0" w:after="0"/>
              <w:jc w:val="center"/>
              <w:rPr>
                <w:rFonts w:hint="cs"/>
              </w:rPr>
            </w:pPr>
            <w:r>
              <w:rPr>
                <w:rFonts w:hint="cs"/>
                <w:rtl/>
              </w:rPr>
              <w:t>47.9</w:t>
            </w:r>
          </w:p>
        </w:tc>
        <w:tc>
          <w:tcPr>
            <w:tcW w:w="1080" w:type="dxa"/>
            <w:tcBorders>
              <w:bottom w:val="nil"/>
            </w:tcBorders>
          </w:tcPr>
          <w:p w:rsidR="003865AC" w:rsidRDefault="003865AC">
            <w:pPr>
              <w:spacing w:before="0" w:after="0"/>
              <w:jc w:val="center"/>
              <w:rPr>
                <w:rFonts w:hint="cs"/>
              </w:rPr>
            </w:pPr>
            <w:r>
              <w:rPr>
                <w:rFonts w:hint="cs"/>
                <w:rtl/>
              </w:rPr>
              <w:t>55.9</w:t>
            </w:r>
          </w:p>
        </w:tc>
        <w:tc>
          <w:tcPr>
            <w:tcW w:w="1080" w:type="dxa"/>
            <w:tcBorders>
              <w:bottom w:val="nil"/>
            </w:tcBorders>
          </w:tcPr>
          <w:p w:rsidR="003865AC" w:rsidRDefault="003865AC">
            <w:pPr>
              <w:spacing w:before="0" w:after="0"/>
              <w:jc w:val="center"/>
            </w:pPr>
            <w:r>
              <w:rPr>
                <w:rFonts w:hint="cs"/>
                <w:rtl/>
              </w:rPr>
              <w:t>55.3</w:t>
            </w:r>
          </w:p>
        </w:tc>
        <w:tc>
          <w:tcPr>
            <w:tcW w:w="1080" w:type="dxa"/>
            <w:tcBorders>
              <w:bottom w:val="nil"/>
            </w:tcBorders>
          </w:tcPr>
          <w:p w:rsidR="003865AC" w:rsidRDefault="003865AC">
            <w:pPr>
              <w:spacing w:before="0" w:after="0"/>
              <w:jc w:val="center"/>
              <w:rPr>
                <w:rFonts w:hint="cs"/>
              </w:rPr>
            </w:pPr>
            <w:r>
              <w:rPr>
                <w:rFonts w:hint="cs"/>
                <w:rtl/>
              </w:rPr>
              <w:t>49.7</w:t>
            </w:r>
          </w:p>
        </w:tc>
        <w:tc>
          <w:tcPr>
            <w:tcW w:w="1080" w:type="dxa"/>
            <w:tcBorders>
              <w:bottom w:val="nil"/>
            </w:tcBorders>
          </w:tcPr>
          <w:p w:rsidR="003865AC" w:rsidRDefault="003865AC">
            <w:pPr>
              <w:spacing w:before="0" w:after="0"/>
              <w:jc w:val="center"/>
              <w:rPr>
                <w:rFonts w:hint="cs"/>
              </w:rPr>
            </w:pPr>
            <w:r>
              <w:rPr>
                <w:rFonts w:hint="cs"/>
                <w:rtl/>
              </w:rPr>
              <w:t>59.4</w:t>
            </w:r>
          </w:p>
        </w:tc>
        <w:tc>
          <w:tcPr>
            <w:tcW w:w="1080" w:type="dxa"/>
            <w:tcBorders>
              <w:bottom w:val="nil"/>
            </w:tcBorders>
          </w:tcPr>
          <w:p w:rsidR="003865AC" w:rsidRDefault="003865AC">
            <w:pPr>
              <w:spacing w:before="0" w:after="0"/>
              <w:jc w:val="center"/>
              <w:rPr>
                <w:rFonts w:hint="cs"/>
              </w:rPr>
            </w:pPr>
            <w:r>
              <w:rPr>
                <w:rFonts w:hint="cs"/>
                <w:rtl/>
              </w:rPr>
              <w:t>67.5</w:t>
            </w:r>
          </w:p>
        </w:tc>
        <w:tc>
          <w:tcPr>
            <w:tcW w:w="1204" w:type="dxa"/>
            <w:tcBorders>
              <w:bottom w:val="nil"/>
            </w:tcBorders>
          </w:tcPr>
          <w:p w:rsidR="003865AC" w:rsidRDefault="003865AC">
            <w:pPr>
              <w:spacing w:before="0" w:after="0"/>
              <w:jc w:val="center"/>
              <w:rPr>
                <w:rFonts w:hint="cs"/>
              </w:rPr>
            </w:pPr>
            <w:r>
              <w:rPr>
                <w:rFonts w:hint="cs"/>
                <w:rtl/>
              </w:rPr>
              <w:t>61.1</w:t>
            </w:r>
          </w:p>
        </w:tc>
        <w:tc>
          <w:tcPr>
            <w:tcW w:w="1064" w:type="dxa"/>
            <w:tcBorders>
              <w:bottom w:val="nil"/>
            </w:tcBorders>
          </w:tcPr>
          <w:p w:rsidR="003865AC" w:rsidRDefault="003865AC">
            <w:pPr>
              <w:spacing w:before="0" w:after="0"/>
              <w:jc w:val="center"/>
              <w:rPr>
                <w:rFonts w:hint="cs"/>
              </w:rPr>
            </w:pPr>
            <w:r>
              <w:rPr>
                <w:rFonts w:hint="cs"/>
                <w:rtl/>
              </w:rPr>
              <w:t>52.7</w:t>
            </w:r>
          </w:p>
        </w:tc>
      </w:tr>
      <w:tr w:rsidR="003865AC" w:rsidTr="003865AC">
        <w:tblPrEx>
          <w:tblCellMar>
            <w:top w:w="0" w:type="dxa"/>
            <w:bottom w:w="0" w:type="dxa"/>
          </w:tblCellMar>
        </w:tblPrEx>
        <w:tc>
          <w:tcPr>
            <w:tcW w:w="822" w:type="dxa"/>
            <w:tcBorders>
              <w:top w:val="nil"/>
            </w:tcBorders>
          </w:tcPr>
          <w:p w:rsidR="003865AC" w:rsidRDefault="003865AC">
            <w:pPr>
              <w:spacing w:before="0" w:after="0"/>
              <w:jc w:val="both"/>
              <w:rPr>
                <w:rFonts w:hint="cs"/>
                <w:rtl/>
              </w:rPr>
            </w:pPr>
            <w:r>
              <w:rPr>
                <w:rFonts w:hint="cs"/>
                <w:rtl/>
              </w:rPr>
              <w:t>الريف</w:t>
            </w:r>
          </w:p>
        </w:tc>
        <w:tc>
          <w:tcPr>
            <w:tcW w:w="1080" w:type="dxa"/>
            <w:tcBorders>
              <w:top w:val="nil"/>
            </w:tcBorders>
          </w:tcPr>
          <w:p w:rsidR="003865AC" w:rsidRDefault="003865AC">
            <w:pPr>
              <w:spacing w:before="0" w:after="0"/>
              <w:jc w:val="center"/>
              <w:rPr>
                <w:rFonts w:hint="cs"/>
                <w:rtl/>
              </w:rPr>
            </w:pPr>
            <w:r>
              <w:rPr>
                <w:rFonts w:hint="cs"/>
                <w:rtl/>
              </w:rPr>
              <w:t>24.3</w:t>
            </w:r>
          </w:p>
        </w:tc>
        <w:tc>
          <w:tcPr>
            <w:tcW w:w="1080" w:type="dxa"/>
            <w:tcBorders>
              <w:top w:val="nil"/>
            </w:tcBorders>
          </w:tcPr>
          <w:p w:rsidR="003865AC" w:rsidRDefault="003865AC">
            <w:pPr>
              <w:spacing w:before="0" w:after="0"/>
              <w:jc w:val="center"/>
              <w:rPr>
                <w:rFonts w:hint="cs"/>
                <w:rtl/>
              </w:rPr>
            </w:pPr>
            <w:r>
              <w:rPr>
                <w:rFonts w:hint="cs"/>
                <w:rtl/>
              </w:rPr>
              <w:t>45.3</w:t>
            </w:r>
          </w:p>
        </w:tc>
        <w:tc>
          <w:tcPr>
            <w:tcW w:w="1080" w:type="dxa"/>
            <w:tcBorders>
              <w:top w:val="nil"/>
            </w:tcBorders>
          </w:tcPr>
          <w:p w:rsidR="003865AC" w:rsidRDefault="003865AC">
            <w:pPr>
              <w:spacing w:before="0" w:after="0"/>
              <w:jc w:val="center"/>
              <w:rPr>
                <w:rFonts w:hint="cs"/>
                <w:rtl/>
              </w:rPr>
            </w:pPr>
            <w:r>
              <w:rPr>
                <w:rFonts w:hint="cs"/>
                <w:rtl/>
              </w:rPr>
              <w:t>44.2</w:t>
            </w:r>
          </w:p>
        </w:tc>
        <w:tc>
          <w:tcPr>
            <w:tcW w:w="1080" w:type="dxa"/>
            <w:tcBorders>
              <w:top w:val="nil"/>
            </w:tcBorders>
          </w:tcPr>
          <w:p w:rsidR="003865AC" w:rsidRDefault="003865AC">
            <w:pPr>
              <w:spacing w:before="0" w:after="0"/>
              <w:jc w:val="center"/>
              <w:rPr>
                <w:rFonts w:hint="cs"/>
                <w:rtl/>
              </w:rPr>
            </w:pPr>
            <w:r>
              <w:rPr>
                <w:rFonts w:hint="cs"/>
                <w:rtl/>
              </w:rPr>
              <w:t>40.0</w:t>
            </w:r>
          </w:p>
        </w:tc>
        <w:tc>
          <w:tcPr>
            <w:tcW w:w="1080" w:type="dxa"/>
            <w:tcBorders>
              <w:top w:val="nil"/>
            </w:tcBorders>
          </w:tcPr>
          <w:p w:rsidR="003865AC" w:rsidRDefault="003865AC">
            <w:pPr>
              <w:spacing w:before="0" w:after="0"/>
              <w:jc w:val="center"/>
              <w:rPr>
                <w:rFonts w:hint="cs"/>
                <w:rtl/>
              </w:rPr>
            </w:pPr>
            <w:r>
              <w:rPr>
                <w:rFonts w:hint="cs"/>
                <w:rtl/>
              </w:rPr>
              <w:t>33.9</w:t>
            </w:r>
          </w:p>
        </w:tc>
        <w:tc>
          <w:tcPr>
            <w:tcW w:w="1080" w:type="dxa"/>
            <w:tcBorders>
              <w:top w:val="nil"/>
            </w:tcBorders>
          </w:tcPr>
          <w:p w:rsidR="003865AC" w:rsidRDefault="003865AC">
            <w:pPr>
              <w:spacing w:before="0" w:after="0"/>
              <w:jc w:val="center"/>
              <w:rPr>
                <w:rFonts w:hint="cs"/>
                <w:rtl/>
              </w:rPr>
            </w:pPr>
            <w:r>
              <w:rPr>
                <w:rFonts w:hint="cs"/>
                <w:rtl/>
              </w:rPr>
              <w:t>48.3</w:t>
            </w:r>
          </w:p>
        </w:tc>
        <w:tc>
          <w:tcPr>
            <w:tcW w:w="1204" w:type="dxa"/>
            <w:tcBorders>
              <w:top w:val="nil"/>
            </w:tcBorders>
          </w:tcPr>
          <w:p w:rsidR="003865AC" w:rsidRDefault="003865AC">
            <w:pPr>
              <w:spacing w:before="0" w:after="0"/>
              <w:jc w:val="center"/>
              <w:rPr>
                <w:rFonts w:hint="cs"/>
                <w:rtl/>
              </w:rPr>
            </w:pPr>
            <w:r>
              <w:rPr>
                <w:rFonts w:hint="cs"/>
                <w:rtl/>
              </w:rPr>
              <w:t>44.3</w:t>
            </w:r>
          </w:p>
        </w:tc>
        <w:tc>
          <w:tcPr>
            <w:tcW w:w="1064" w:type="dxa"/>
            <w:tcBorders>
              <w:top w:val="nil"/>
            </w:tcBorders>
          </w:tcPr>
          <w:p w:rsidR="003865AC" w:rsidRDefault="003865AC">
            <w:pPr>
              <w:spacing w:before="0" w:after="0"/>
              <w:jc w:val="center"/>
              <w:rPr>
                <w:rFonts w:hint="cs"/>
                <w:rtl/>
              </w:rPr>
            </w:pPr>
            <w:r>
              <w:rPr>
                <w:rFonts w:hint="cs"/>
                <w:rtl/>
              </w:rPr>
              <w:t>37.0</w:t>
            </w:r>
          </w:p>
        </w:tc>
      </w:tr>
      <w:tr w:rsidR="003865AC" w:rsidTr="003865AC">
        <w:tblPrEx>
          <w:tblCellMar>
            <w:top w:w="0" w:type="dxa"/>
            <w:bottom w:w="0" w:type="dxa"/>
          </w:tblCellMar>
        </w:tblPrEx>
        <w:trPr>
          <w:cantSplit/>
        </w:trPr>
        <w:tc>
          <w:tcPr>
            <w:tcW w:w="9570" w:type="dxa"/>
            <w:gridSpan w:val="9"/>
            <w:tcBorders>
              <w:bottom w:val="single" w:sz="4" w:space="0" w:color="auto"/>
            </w:tcBorders>
          </w:tcPr>
          <w:p w:rsidR="00000000" w:rsidRDefault="003865AC">
            <w:pPr>
              <w:spacing w:before="0" w:after="0"/>
              <w:jc w:val="center"/>
              <w:rPr>
                <w:rFonts w:hint="cs"/>
              </w:rPr>
            </w:pPr>
            <w:r>
              <w:rPr>
                <w:rFonts w:hint="cs"/>
                <w:rtl/>
              </w:rPr>
              <w:t>بالنسبة إلى 60 في المائة من متوسط الاستهلاك</w:t>
            </w:r>
          </w:p>
        </w:tc>
      </w:tr>
      <w:tr w:rsidR="003865AC" w:rsidTr="003865AC">
        <w:tblPrEx>
          <w:tblCellMar>
            <w:top w:w="0" w:type="dxa"/>
            <w:bottom w:w="0" w:type="dxa"/>
          </w:tblCellMar>
        </w:tblPrEx>
        <w:tc>
          <w:tcPr>
            <w:tcW w:w="822" w:type="dxa"/>
            <w:tcBorders>
              <w:bottom w:val="nil"/>
            </w:tcBorders>
          </w:tcPr>
          <w:p w:rsidR="003865AC" w:rsidRDefault="003865AC">
            <w:pPr>
              <w:spacing w:before="0" w:after="0"/>
              <w:jc w:val="both"/>
              <w:rPr>
                <w:rFonts w:hint="cs"/>
                <w:rtl/>
              </w:rPr>
            </w:pPr>
            <w:r>
              <w:rPr>
                <w:rFonts w:hint="cs"/>
                <w:rtl/>
              </w:rPr>
              <w:t>المدن</w:t>
            </w:r>
          </w:p>
        </w:tc>
        <w:tc>
          <w:tcPr>
            <w:tcW w:w="1080" w:type="dxa"/>
            <w:tcBorders>
              <w:bottom w:val="nil"/>
            </w:tcBorders>
          </w:tcPr>
          <w:p w:rsidR="003865AC" w:rsidRDefault="003865AC">
            <w:pPr>
              <w:spacing w:before="0" w:after="0"/>
              <w:jc w:val="center"/>
              <w:rPr>
                <w:rFonts w:hint="cs"/>
                <w:rtl/>
              </w:rPr>
            </w:pPr>
            <w:r>
              <w:rPr>
                <w:rFonts w:hint="cs"/>
                <w:rtl/>
              </w:rPr>
              <w:t>18.6</w:t>
            </w:r>
          </w:p>
        </w:tc>
        <w:tc>
          <w:tcPr>
            <w:tcW w:w="1080" w:type="dxa"/>
            <w:tcBorders>
              <w:bottom w:val="nil"/>
            </w:tcBorders>
          </w:tcPr>
          <w:p w:rsidR="003865AC" w:rsidRDefault="003865AC">
            <w:pPr>
              <w:spacing w:before="0" w:after="0"/>
              <w:jc w:val="center"/>
              <w:rPr>
                <w:rFonts w:hint="cs"/>
                <w:rtl/>
              </w:rPr>
            </w:pPr>
            <w:r>
              <w:rPr>
                <w:rFonts w:hint="cs"/>
                <w:rtl/>
              </w:rPr>
              <w:t>28.0</w:t>
            </w:r>
          </w:p>
        </w:tc>
        <w:tc>
          <w:tcPr>
            <w:tcW w:w="1080" w:type="dxa"/>
            <w:tcBorders>
              <w:bottom w:val="nil"/>
            </w:tcBorders>
          </w:tcPr>
          <w:p w:rsidR="003865AC" w:rsidRDefault="003865AC">
            <w:pPr>
              <w:spacing w:before="0" w:after="0"/>
              <w:jc w:val="center"/>
              <w:rPr>
                <w:rFonts w:hint="cs"/>
                <w:rtl/>
              </w:rPr>
            </w:pPr>
            <w:r>
              <w:rPr>
                <w:rFonts w:hint="cs"/>
                <w:rtl/>
              </w:rPr>
              <w:t>27.3</w:t>
            </w:r>
          </w:p>
        </w:tc>
        <w:tc>
          <w:tcPr>
            <w:tcW w:w="1080" w:type="dxa"/>
            <w:tcBorders>
              <w:bottom w:val="nil"/>
            </w:tcBorders>
          </w:tcPr>
          <w:p w:rsidR="003865AC" w:rsidRDefault="003865AC">
            <w:pPr>
              <w:spacing w:before="0" w:after="0"/>
              <w:jc w:val="center"/>
              <w:rPr>
                <w:rFonts w:hint="cs"/>
                <w:rtl/>
              </w:rPr>
            </w:pPr>
            <w:r>
              <w:rPr>
                <w:rFonts w:hint="cs"/>
                <w:rtl/>
              </w:rPr>
              <w:t>25.6</w:t>
            </w:r>
          </w:p>
        </w:tc>
        <w:tc>
          <w:tcPr>
            <w:tcW w:w="1080" w:type="dxa"/>
            <w:tcBorders>
              <w:bottom w:val="nil"/>
            </w:tcBorders>
          </w:tcPr>
          <w:p w:rsidR="003865AC" w:rsidRDefault="003865AC">
            <w:pPr>
              <w:spacing w:before="0" w:after="0"/>
              <w:jc w:val="center"/>
              <w:rPr>
                <w:rFonts w:hint="cs"/>
                <w:rtl/>
              </w:rPr>
            </w:pPr>
            <w:r>
              <w:rPr>
                <w:rFonts w:hint="cs"/>
                <w:rtl/>
              </w:rPr>
              <w:t>29.1</w:t>
            </w:r>
          </w:p>
        </w:tc>
        <w:tc>
          <w:tcPr>
            <w:tcW w:w="1080" w:type="dxa"/>
            <w:tcBorders>
              <w:bottom w:val="nil"/>
            </w:tcBorders>
          </w:tcPr>
          <w:p w:rsidR="003865AC" w:rsidRDefault="003865AC">
            <w:pPr>
              <w:spacing w:before="0" w:after="0"/>
              <w:jc w:val="center"/>
              <w:rPr>
                <w:rFonts w:hint="cs"/>
                <w:rtl/>
              </w:rPr>
            </w:pPr>
            <w:r>
              <w:rPr>
                <w:rFonts w:hint="cs"/>
                <w:rtl/>
              </w:rPr>
              <w:t>29.1</w:t>
            </w:r>
          </w:p>
        </w:tc>
        <w:tc>
          <w:tcPr>
            <w:tcW w:w="1204" w:type="dxa"/>
            <w:tcBorders>
              <w:bottom w:val="nil"/>
            </w:tcBorders>
          </w:tcPr>
          <w:p w:rsidR="003865AC" w:rsidRDefault="003865AC">
            <w:pPr>
              <w:spacing w:before="0" w:after="0"/>
              <w:jc w:val="center"/>
              <w:rPr>
                <w:rFonts w:hint="cs"/>
                <w:rtl/>
              </w:rPr>
            </w:pPr>
            <w:r>
              <w:rPr>
                <w:rFonts w:hint="cs"/>
                <w:rtl/>
              </w:rPr>
              <w:t>27.1</w:t>
            </w:r>
          </w:p>
        </w:tc>
        <w:tc>
          <w:tcPr>
            <w:tcW w:w="1064" w:type="dxa"/>
            <w:tcBorders>
              <w:bottom w:val="nil"/>
            </w:tcBorders>
          </w:tcPr>
          <w:p w:rsidR="003865AC" w:rsidRDefault="003865AC">
            <w:pPr>
              <w:spacing w:before="0" w:after="0"/>
              <w:jc w:val="center"/>
              <w:rPr>
                <w:rFonts w:hint="cs"/>
                <w:rtl/>
              </w:rPr>
            </w:pPr>
            <w:r>
              <w:rPr>
                <w:rFonts w:hint="cs"/>
                <w:rtl/>
              </w:rPr>
              <w:t>29.3</w:t>
            </w:r>
          </w:p>
        </w:tc>
      </w:tr>
      <w:tr w:rsidR="003865AC" w:rsidTr="003865AC">
        <w:tblPrEx>
          <w:tblCellMar>
            <w:top w:w="0" w:type="dxa"/>
            <w:bottom w:w="0" w:type="dxa"/>
          </w:tblCellMar>
        </w:tblPrEx>
        <w:tc>
          <w:tcPr>
            <w:tcW w:w="822" w:type="dxa"/>
            <w:tcBorders>
              <w:top w:val="nil"/>
              <w:bottom w:val="single" w:sz="4" w:space="0" w:color="auto"/>
            </w:tcBorders>
          </w:tcPr>
          <w:p w:rsidR="003865AC" w:rsidRDefault="003865AC">
            <w:pPr>
              <w:spacing w:before="0" w:after="0"/>
              <w:jc w:val="both"/>
              <w:rPr>
                <w:rFonts w:hint="cs"/>
                <w:rtl/>
              </w:rPr>
            </w:pPr>
            <w:r>
              <w:rPr>
                <w:rFonts w:hint="cs"/>
                <w:rtl/>
              </w:rPr>
              <w:t>الريف</w:t>
            </w:r>
          </w:p>
        </w:tc>
        <w:tc>
          <w:tcPr>
            <w:tcW w:w="1080" w:type="dxa"/>
            <w:tcBorders>
              <w:top w:val="nil"/>
              <w:bottom w:val="single" w:sz="4" w:space="0" w:color="auto"/>
            </w:tcBorders>
          </w:tcPr>
          <w:p w:rsidR="003865AC" w:rsidRDefault="003865AC">
            <w:pPr>
              <w:spacing w:before="0" w:after="0"/>
              <w:jc w:val="center"/>
              <w:rPr>
                <w:rFonts w:hint="cs"/>
                <w:rtl/>
              </w:rPr>
            </w:pPr>
            <w:r>
              <w:rPr>
                <w:rFonts w:hint="cs"/>
                <w:rtl/>
              </w:rPr>
              <w:t>10.4</w:t>
            </w:r>
          </w:p>
        </w:tc>
        <w:tc>
          <w:tcPr>
            <w:tcW w:w="1080" w:type="dxa"/>
            <w:tcBorders>
              <w:top w:val="nil"/>
              <w:bottom w:val="single" w:sz="4" w:space="0" w:color="auto"/>
            </w:tcBorders>
          </w:tcPr>
          <w:p w:rsidR="003865AC" w:rsidRDefault="003865AC">
            <w:pPr>
              <w:spacing w:before="0" w:after="0"/>
              <w:jc w:val="center"/>
              <w:rPr>
                <w:rFonts w:hint="cs"/>
                <w:rtl/>
              </w:rPr>
            </w:pPr>
            <w:r>
              <w:rPr>
                <w:rFonts w:hint="cs"/>
                <w:rtl/>
              </w:rPr>
              <w:t>20.6</w:t>
            </w:r>
          </w:p>
        </w:tc>
        <w:tc>
          <w:tcPr>
            <w:tcW w:w="1080" w:type="dxa"/>
            <w:tcBorders>
              <w:top w:val="nil"/>
              <w:bottom w:val="single" w:sz="4" w:space="0" w:color="auto"/>
            </w:tcBorders>
          </w:tcPr>
          <w:p w:rsidR="003865AC" w:rsidRDefault="003865AC">
            <w:pPr>
              <w:spacing w:before="0" w:after="0"/>
              <w:jc w:val="center"/>
              <w:rPr>
                <w:rFonts w:hint="cs"/>
                <w:rtl/>
              </w:rPr>
            </w:pPr>
            <w:r>
              <w:rPr>
                <w:rFonts w:hint="cs"/>
                <w:rtl/>
              </w:rPr>
              <w:t>17.0</w:t>
            </w:r>
          </w:p>
        </w:tc>
        <w:tc>
          <w:tcPr>
            <w:tcW w:w="1080" w:type="dxa"/>
            <w:tcBorders>
              <w:top w:val="nil"/>
              <w:bottom w:val="single" w:sz="4" w:space="0" w:color="auto"/>
            </w:tcBorders>
          </w:tcPr>
          <w:p w:rsidR="003865AC" w:rsidRDefault="003865AC">
            <w:pPr>
              <w:spacing w:before="0" w:after="0"/>
              <w:jc w:val="center"/>
              <w:rPr>
                <w:rFonts w:hint="cs"/>
                <w:rtl/>
              </w:rPr>
            </w:pPr>
            <w:r>
              <w:rPr>
                <w:rFonts w:hint="cs"/>
                <w:rtl/>
              </w:rPr>
              <w:t>18.4</w:t>
            </w:r>
          </w:p>
        </w:tc>
        <w:tc>
          <w:tcPr>
            <w:tcW w:w="1080" w:type="dxa"/>
            <w:tcBorders>
              <w:top w:val="nil"/>
              <w:bottom w:val="single" w:sz="4" w:space="0" w:color="auto"/>
            </w:tcBorders>
          </w:tcPr>
          <w:p w:rsidR="003865AC" w:rsidRDefault="003865AC">
            <w:pPr>
              <w:spacing w:before="0" w:after="0"/>
              <w:jc w:val="center"/>
              <w:rPr>
                <w:rFonts w:hint="cs"/>
                <w:rtl/>
              </w:rPr>
            </w:pPr>
            <w:r>
              <w:rPr>
                <w:rFonts w:hint="cs"/>
                <w:rtl/>
              </w:rPr>
              <w:t>15.5</w:t>
            </w:r>
          </w:p>
        </w:tc>
        <w:tc>
          <w:tcPr>
            <w:tcW w:w="1080" w:type="dxa"/>
            <w:tcBorders>
              <w:top w:val="nil"/>
              <w:bottom w:val="single" w:sz="4" w:space="0" w:color="auto"/>
            </w:tcBorders>
          </w:tcPr>
          <w:p w:rsidR="003865AC" w:rsidRDefault="003865AC">
            <w:pPr>
              <w:spacing w:before="0" w:after="0"/>
              <w:jc w:val="center"/>
              <w:rPr>
                <w:rFonts w:hint="cs"/>
                <w:rtl/>
              </w:rPr>
            </w:pPr>
            <w:r>
              <w:rPr>
                <w:rFonts w:hint="cs"/>
                <w:rtl/>
              </w:rPr>
              <w:t>15.7</w:t>
            </w:r>
          </w:p>
        </w:tc>
        <w:tc>
          <w:tcPr>
            <w:tcW w:w="1204" w:type="dxa"/>
            <w:tcBorders>
              <w:top w:val="nil"/>
              <w:bottom w:val="single" w:sz="4" w:space="0" w:color="auto"/>
            </w:tcBorders>
          </w:tcPr>
          <w:p w:rsidR="003865AC" w:rsidRDefault="003865AC">
            <w:pPr>
              <w:spacing w:before="0" w:after="0"/>
              <w:jc w:val="center"/>
              <w:rPr>
                <w:rFonts w:hint="cs"/>
                <w:rtl/>
              </w:rPr>
            </w:pPr>
            <w:r>
              <w:rPr>
                <w:rFonts w:hint="cs"/>
                <w:rtl/>
              </w:rPr>
              <w:t>18.4</w:t>
            </w:r>
          </w:p>
        </w:tc>
        <w:tc>
          <w:tcPr>
            <w:tcW w:w="1064" w:type="dxa"/>
            <w:tcBorders>
              <w:top w:val="nil"/>
              <w:bottom w:val="single" w:sz="4" w:space="0" w:color="auto"/>
            </w:tcBorders>
          </w:tcPr>
          <w:p w:rsidR="003865AC" w:rsidRDefault="003865AC">
            <w:pPr>
              <w:spacing w:before="0" w:after="0"/>
              <w:jc w:val="center"/>
              <w:rPr>
                <w:rFonts w:hint="cs"/>
                <w:rtl/>
              </w:rPr>
            </w:pPr>
            <w:r>
              <w:rPr>
                <w:rFonts w:hint="cs"/>
                <w:rtl/>
              </w:rPr>
              <w:t>18.1</w:t>
            </w:r>
          </w:p>
        </w:tc>
      </w:tr>
      <w:tr w:rsidR="003865AC" w:rsidTr="003865AC">
        <w:tblPrEx>
          <w:tblCellMar>
            <w:top w:w="0" w:type="dxa"/>
            <w:bottom w:w="0" w:type="dxa"/>
          </w:tblCellMar>
        </w:tblPrEx>
        <w:trPr>
          <w:cantSplit/>
        </w:trPr>
        <w:tc>
          <w:tcPr>
            <w:tcW w:w="9570" w:type="dxa"/>
            <w:gridSpan w:val="9"/>
            <w:tcBorders>
              <w:top w:val="single" w:sz="4" w:space="0" w:color="auto"/>
              <w:bottom w:val="single" w:sz="4" w:space="0" w:color="auto"/>
            </w:tcBorders>
          </w:tcPr>
          <w:p w:rsidR="00000000" w:rsidRDefault="003865AC">
            <w:pPr>
              <w:spacing w:before="0" w:after="0"/>
              <w:jc w:val="center"/>
              <w:rPr>
                <w:rFonts w:hint="cs"/>
              </w:rPr>
            </w:pPr>
            <w:r>
              <w:rPr>
                <w:rFonts w:hint="cs"/>
                <w:rtl/>
              </w:rPr>
              <w:t>بالنسبة إلى 40 في المائة من متوسط الاستهلاك</w:t>
            </w:r>
          </w:p>
        </w:tc>
      </w:tr>
      <w:tr w:rsidR="003865AC" w:rsidTr="003865AC">
        <w:tblPrEx>
          <w:tblCellMar>
            <w:top w:w="0" w:type="dxa"/>
            <w:bottom w:w="0" w:type="dxa"/>
          </w:tblCellMar>
        </w:tblPrEx>
        <w:tc>
          <w:tcPr>
            <w:tcW w:w="822" w:type="dxa"/>
            <w:tcBorders>
              <w:top w:val="single" w:sz="4" w:space="0" w:color="auto"/>
              <w:bottom w:val="nil"/>
            </w:tcBorders>
          </w:tcPr>
          <w:p w:rsidR="003865AC" w:rsidRDefault="003865AC">
            <w:pPr>
              <w:spacing w:before="0" w:after="0"/>
              <w:jc w:val="both"/>
              <w:rPr>
                <w:rFonts w:hint="cs"/>
                <w:rtl/>
              </w:rPr>
            </w:pPr>
            <w:r>
              <w:rPr>
                <w:rFonts w:hint="cs"/>
                <w:rtl/>
              </w:rPr>
              <w:t>المدن</w:t>
            </w:r>
          </w:p>
        </w:tc>
        <w:tc>
          <w:tcPr>
            <w:tcW w:w="1080" w:type="dxa"/>
            <w:tcBorders>
              <w:top w:val="single" w:sz="4" w:space="0" w:color="auto"/>
              <w:bottom w:val="nil"/>
            </w:tcBorders>
          </w:tcPr>
          <w:p w:rsidR="003865AC" w:rsidRDefault="003865AC">
            <w:pPr>
              <w:spacing w:before="0" w:after="0"/>
              <w:jc w:val="center"/>
              <w:rPr>
                <w:rFonts w:hint="cs"/>
                <w:rtl/>
              </w:rPr>
            </w:pPr>
            <w:r>
              <w:rPr>
                <w:rFonts w:hint="cs"/>
                <w:rtl/>
              </w:rPr>
              <w:t>7.8</w:t>
            </w:r>
          </w:p>
        </w:tc>
        <w:tc>
          <w:tcPr>
            <w:tcW w:w="1080" w:type="dxa"/>
            <w:tcBorders>
              <w:top w:val="single" w:sz="4" w:space="0" w:color="auto"/>
              <w:bottom w:val="nil"/>
            </w:tcBorders>
          </w:tcPr>
          <w:p w:rsidR="003865AC" w:rsidRDefault="003865AC">
            <w:pPr>
              <w:spacing w:before="0" w:after="0"/>
              <w:jc w:val="center"/>
              <w:rPr>
                <w:rFonts w:hint="cs"/>
                <w:rtl/>
              </w:rPr>
            </w:pPr>
            <w:r>
              <w:rPr>
                <w:rFonts w:hint="cs"/>
                <w:rtl/>
              </w:rPr>
              <w:t>12.3</w:t>
            </w:r>
          </w:p>
        </w:tc>
        <w:tc>
          <w:tcPr>
            <w:tcW w:w="1080" w:type="dxa"/>
            <w:tcBorders>
              <w:top w:val="single" w:sz="4" w:space="0" w:color="auto"/>
              <w:bottom w:val="nil"/>
            </w:tcBorders>
          </w:tcPr>
          <w:p w:rsidR="003865AC" w:rsidRDefault="003865AC">
            <w:pPr>
              <w:spacing w:before="0" w:after="0"/>
              <w:jc w:val="center"/>
              <w:rPr>
                <w:rFonts w:hint="cs"/>
                <w:rtl/>
              </w:rPr>
            </w:pPr>
            <w:r>
              <w:rPr>
                <w:rFonts w:hint="cs"/>
                <w:rtl/>
              </w:rPr>
              <w:t>13.1</w:t>
            </w:r>
          </w:p>
        </w:tc>
        <w:tc>
          <w:tcPr>
            <w:tcW w:w="1080" w:type="dxa"/>
            <w:tcBorders>
              <w:top w:val="single" w:sz="4" w:space="0" w:color="auto"/>
              <w:bottom w:val="nil"/>
            </w:tcBorders>
          </w:tcPr>
          <w:p w:rsidR="003865AC" w:rsidRDefault="003865AC">
            <w:pPr>
              <w:spacing w:before="0" w:after="0"/>
              <w:jc w:val="center"/>
              <w:rPr>
                <w:rFonts w:hint="cs"/>
                <w:rtl/>
              </w:rPr>
            </w:pPr>
            <w:r>
              <w:rPr>
                <w:rFonts w:hint="cs"/>
                <w:rtl/>
              </w:rPr>
              <w:t>12.8</w:t>
            </w:r>
          </w:p>
        </w:tc>
        <w:tc>
          <w:tcPr>
            <w:tcW w:w="1080" w:type="dxa"/>
            <w:tcBorders>
              <w:top w:val="single" w:sz="4" w:space="0" w:color="auto"/>
              <w:bottom w:val="nil"/>
            </w:tcBorders>
          </w:tcPr>
          <w:p w:rsidR="003865AC" w:rsidRDefault="003865AC">
            <w:pPr>
              <w:spacing w:before="0" w:after="0"/>
              <w:jc w:val="center"/>
              <w:rPr>
                <w:rFonts w:hint="cs"/>
                <w:rtl/>
              </w:rPr>
            </w:pPr>
            <w:r>
              <w:rPr>
                <w:rFonts w:hint="cs"/>
                <w:rtl/>
              </w:rPr>
              <w:t>12.1</w:t>
            </w:r>
          </w:p>
        </w:tc>
        <w:tc>
          <w:tcPr>
            <w:tcW w:w="1080" w:type="dxa"/>
            <w:tcBorders>
              <w:top w:val="single" w:sz="4" w:space="0" w:color="auto"/>
              <w:bottom w:val="nil"/>
            </w:tcBorders>
          </w:tcPr>
          <w:p w:rsidR="003865AC" w:rsidRDefault="003865AC">
            <w:pPr>
              <w:spacing w:before="0" w:after="0"/>
              <w:jc w:val="center"/>
              <w:rPr>
                <w:rFonts w:hint="cs"/>
                <w:rtl/>
              </w:rPr>
            </w:pPr>
            <w:r>
              <w:rPr>
                <w:rFonts w:hint="cs"/>
                <w:rtl/>
              </w:rPr>
              <w:t>13.4</w:t>
            </w:r>
          </w:p>
        </w:tc>
        <w:tc>
          <w:tcPr>
            <w:tcW w:w="1204" w:type="dxa"/>
            <w:tcBorders>
              <w:top w:val="single" w:sz="4" w:space="0" w:color="auto"/>
              <w:bottom w:val="nil"/>
            </w:tcBorders>
          </w:tcPr>
          <w:p w:rsidR="003865AC" w:rsidRDefault="003865AC">
            <w:pPr>
              <w:spacing w:before="0" w:after="0"/>
              <w:jc w:val="center"/>
              <w:rPr>
                <w:rFonts w:hint="cs"/>
                <w:rtl/>
              </w:rPr>
            </w:pPr>
            <w:r>
              <w:rPr>
                <w:rFonts w:hint="cs"/>
                <w:rtl/>
              </w:rPr>
              <w:t>11.4</w:t>
            </w:r>
          </w:p>
        </w:tc>
        <w:tc>
          <w:tcPr>
            <w:tcW w:w="1064" w:type="dxa"/>
            <w:tcBorders>
              <w:top w:val="single" w:sz="4" w:space="0" w:color="auto"/>
              <w:bottom w:val="nil"/>
            </w:tcBorders>
          </w:tcPr>
          <w:p w:rsidR="003865AC" w:rsidRDefault="003865AC">
            <w:pPr>
              <w:spacing w:before="0" w:after="0"/>
              <w:jc w:val="center"/>
              <w:rPr>
                <w:rFonts w:hint="cs"/>
                <w:rtl/>
              </w:rPr>
            </w:pPr>
            <w:r>
              <w:rPr>
                <w:rFonts w:hint="cs"/>
                <w:rtl/>
              </w:rPr>
              <w:t>11.3</w:t>
            </w:r>
          </w:p>
        </w:tc>
      </w:tr>
      <w:tr w:rsidR="003865AC" w:rsidTr="003865AC">
        <w:tblPrEx>
          <w:tblCellMar>
            <w:top w:w="0" w:type="dxa"/>
            <w:bottom w:w="0" w:type="dxa"/>
          </w:tblCellMar>
        </w:tblPrEx>
        <w:tc>
          <w:tcPr>
            <w:tcW w:w="822" w:type="dxa"/>
            <w:tcBorders>
              <w:top w:val="nil"/>
            </w:tcBorders>
          </w:tcPr>
          <w:p w:rsidR="003865AC" w:rsidRDefault="003865AC">
            <w:pPr>
              <w:spacing w:before="0" w:after="0"/>
              <w:jc w:val="both"/>
              <w:rPr>
                <w:rFonts w:hint="cs"/>
                <w:rtl/>
              </w:rPr>
            </w:pPr>
            <w:r>
              <w:rPr>
                <w:rFonts w:hint="cs"/>
                <w:rtl/>
              </w:rPr>
              <w:t>الريف</w:t>
            </w:r>
          </w:p>
        </w:tc>
        <w:tc>
          <w:tcPr>
            <w:tcW w:w="1080" w:type="dxa"/>
            <w:tcBorders>
              <w:top w:val="nil"/>
            </w:tcBorders>
          </w:tcPr>
          <w:p w:rsidR="003865AC" w:rsidRDefault="003865AC">
            <w:pPr>
              <w:spacing w:before="0" w:after="0"/>
              <w:jc w:val="center"/>
              <w:rPr>
                <w:rFonts w:hint="cs"/>
                <w:rtl/>
              </w:rPr>
            </w:pPr>
            <w:r>
              <w:rPr>
                <w:rFonts w:hint="cs"/>
                <w:rtl/>
              </w:rPr>
              <w:t>6.3</w:t>
            </w:r>
          </w:p>
        </w:tc>
        <w:tc>
          <w:tcPr>
            <w:tcW w:w="1080" w:type="dxa"/>
            <w:tcBorders>
              <w:top w:val="nil"/>
            </w:tcBorders>
          </w:tcPr>
          <w:p w:rsidR="003865AC" w:rsidRDefault="003865AC">
            <w:pPr>
              <w:spacing w:before="0" w:after="0"/>
              <w:jc w:val="center"/>
              <w:rPr>
                <w:rFonts w:hint="cs"/>
                <w:rtl/>
              </w:rPr>
            </w:pPr>
            <w:r>
              <w:rPr>
                <w:rFonts w:hint="cs"/>
                <w:rtl/>
              </w:rPr>
              <w:t>8.9</w:t>
            </w:r>
          </w:p>
        </w:tc>
        <w:tc>
          <w:tcPr>
            <w:tcW w:w="1080" w:type="dxa"/>
            <w:tcBorders>
              <w:top w:val="nil"/>
            </w:tcBorders>
          </w:tcPr>
          <w:p w:rsidR="003865AC" w:rsidRDefault="003865AC">
            <w:pPr>
              <w:spacing w:before="0" w:after="0"/>
              <w:jc w:val="center"/>
              <w:rPr>
                <w:rFonts w:hint="cs"/>
                <w:rtl/>
              </w:rPr>
            </w:pPr>
            <w:r>
              <w:rPr>
                <w:rFonts w:hint="cs"/>
                <w:rtl/>
              </w:rPr>
              <w:t>6.8</w:t>
            </w:r>
          </w:p>
        </w:tc>
        <w:tc>
          <w:tcPr>
            <w:tcW w:w="1080" w:type="dxa"/>
            <w:tcBorders>
              <w:top w:val="nil"/>
            </w:tcBorders>
          </w:tcPr>
          <w:p w:rsidR="003865AC" w:rsidRDefault="003865AC">
            <w:pPr>
              <w:spacing w:before="0" w:after="0"/>
              <w:jc w:val="center"/>
              <w:rPr>
                <w:rFonts w:hint="cs"/>
                <w:rtl/>
              </w:rPr>
            </w:pPr>
            <w:r>
              <w:rPr>
                <w:rFonts w:hint="cs"/>
                <w:rtl/>
              </w:rPr>
              <w:t>8.9</w:t>
            </w:r>
          </w:p>
        </w:tc>
        <w:tc>
          <w:tcPr>
            <w:tcW w:w="1080" w:type="dxa"/>
            <w:tcBorders>
              <w:top w:val="nil"/>
            </w:tcBorders>
          </w:tcPr>
          <w:p w:rsidR="003865AC" w:rsidRDefault="003865AC">
            <w:pPr>
              <w:spacing w:before="0" w:after="0"/>
              <w:jc w:val="center"/>
              <w:rPr>
                <w:rFonts w:hint="cs"/>
                <w:rtl/>
              </w:rPr>
            </w:pPr>
            <w:r>
              <w:rPr>
                <w:rFonts w:hint="cs"/>
                <w:rtl/>
              </w:rPr>
              <w:t>7.5</w:t>
            </w:r>
          </w:p>
        </w:tc>
        <w:tc>
          <w:tcPr>
            <w:tcW w:w="1080" w:type="dxa"/>
            <w:tcBorders>
              <w:top w:val="nil"/>
            </w:tcBorders>
          </w:tcPr>
          <w:p w:rsidR="003865AC" w:rsidRDefault="003865AC">
            <w:pPr>
              <w:spacing w:before="0" w:after="0"/>
              <w:jc w:val="center"/>
              <w:rPr>
                <w:rFonts w:hint="cs"/>
                <w:rtl/>
              </w:rPr>
            </w:pPr>
            <w:r>
              <w:rPr>
                <w:rFonts w:hint="cs"/>
                <w:rtl/>
              </w:rPr>
              <w:t>6.4</w:t>
            </w:r>
          </w:p>
        </w:tc>
        <w:tc>
          <w:tcPr>
            <w:tcW w:w="1204" w:type="dxa"/>
            <w:tcBorders>
              <w:top w:val="nil"/>
            </w:tcBorders>
          </w:tcPr>
          <w:p w:rsidR="003865AC" w:rsidRDefault="003865AC">
            <w:pPr>
              <w:spacing w:before="0" w:after="0"/>
              <w:jc w:val="center"/>
              <w:rPr>
                <w:rFonts w:hint="cs"/>
                <w:rtl/>
              </w:rPr>
            </w:pPr>
            <w:r>
              <w:rPr>
                <w:rFonts w:hint="cs"/>
                <w:rtl/>
              </w:rPr>
              <w:t>8.7</w:t>
            </w:r>
          </w:p>
        </w:tc>
        <w:tc>
          <w:tcPr>
            <w:tcW w:w="1064" w:type="dxa"/>
            <w:tcBorders>
              <w:top w:val="nil"/>
            </w:tcBorders>
          </w:tcPr>
          <w:p w:rsidR="003865AC" w:rsidRDefault="003865AC">
            <w:pPr>
              <w:spacing w:before="0" w:after="0"/>
              <w:jc w:val="center"/>
              <w:rPr>
                <w:rFonts w:hint="cs"/>
                <w:rtl/>
              </w:rPr>
            </w:pPr>
            <w:r>
              <w:rPr>
                <w:rFonts w:hint="cs"/>
                <w:rtl/>
              </w:rPr>
              <w:t>8.7</w:t>
            </w:r>
          </w:p>
        </w:tc>
      </w:tr>
    </w:tbl>
    <w:p w:rsidR="00000000" w:rsidRDefault="003865AC">
      <w:pPr>
        <w:jc w:val="center"/>
        <w:rPr>
          <w:b/>
          <w:bCs/>
          <w:rtl/>
        </w:rPr>
      </w:pPr>
    </w:p>
    <w:p w:rsidR="00000000" w:rsidRDefault="003865AC">
      <w:pPr>
        <w:jc w:val="center"/>
        <w:rPr>
          <w:rFonts w:hint="cs"/>
          <w:b/>
          <w:bCs/>
          <w:rtl/>
        </w:rPr>
      </w:pPr>
      <w:r>
        <w:rPr>
          <w:b/>
          <w:bCs/>
          <w:rtl/>
        </w:rPr>
        <w:br w:type="page"/>
      </w:r>
      <w:r>
        <w:rPr>
          <w:rFonts w:hint="cs"/>
          <w:b/>
          <w:bCs/>
          <w:rtl/>
        </w:rPr>
        <w:t>الجدول 3</w:t>
      </w:r>
    </w:p>
    <w:p w:rsidR="00000000" w:rsidRDefault="003865AC">
      <w:pPr>
        <w:jc w:val="center"/>
        <w:rPr>
          <w:rFonts w:hint="cs"/>
          <w:i/>
          <w:iCs/>
          <w:rtl/>
        </w:rPr>
      </w:pPr>
      <w:r>
        <w:rPr>
          <w:rFonts w:hint="cs"/>
          <w:i/>
          <w:iCs/>
          <w:rtl/>
        </w:rPr>
        <w:t>مدى الفقر في المناطق الحضرية والريفية (نسبة مئوية)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1080"/>
        <w:gridCol w:w="1080"/>
        <w:gridCol w:w="1080"/>
        <w:gridCol w:w="1080"/>
        <w:gridCol w:w="1080"/>
        <w:gridCol w:w="1080"/>
        <w:gridCol w:w="1204"/>
        <w:gridCol w:w="1064"/>
      </w:tblGrid>
      <w:tr w:rsidR="003865AC" w:rsidTr="003865AC">
        <w:tblPrEx>
          <w:tblCellMar>
            <w:top w:w="0" w:type="dxa"/>
            <w:bottom w:w="0" w:type="dxa"/>
          </w:tblCellMar>
        </w:tblPrEx>
        <w:trPr>
          <w:cantSplit/>
        </w:trPr>
        <w:tc>
          <w:tcPr>
            <w:tcW w:w="822" w:type="dxa"/>
            <w:vMerge w:val="restart"/>
          </w:tcPr>
          <w:p w:rsidR="003865AC" w:rsidRDefault="003865AC">
            <w:pPr>
              <w:spacing w:before="0" w:after="0"/>
              <w:jc w:val="both"/>
              <w:rPr>
                <w:szCs w:val="28"/>
              </w:rPr>
            </w:pPr>
          </w:p>
        </w:tc>
        <w:tc>
          <w:tcPr>
            <w:tcW w:w="4320" w:type="dxa"/>
            <w:gridSpan w:val="4"/>
          </w:tcPr>
          <w:p w:rsidR="003865AC" w:rsidRDefault="003865AC">
            <w:pPr>
              <w:spacing w:before="0" w:after="0"/>
              <w:jc w:val="center"/>
              <w:rPr>
                <w:rFonts w:hint="cs"/>
                <w:b/>
                <w:bCs/>
                <w:szCs w:val="28"/>
              </w:rPr>
            </w:pPr>
            <w:r>
              <w:rPr>
                <w:rFonts w:hint="cs"/>
                <w:b/>
                <w:bCs/>
                <w:szCs w:val="28"/>
                <w:rtl/>
              </w:rPr>
              <w:t>1998</w:t>
            </w:r>
          </w:p>
        </w:tc>
        <w:tc>
          <w:tcPr>
            <w:tcW w:w="4428" w:type="dxa"/>
            <w:gridSpan w:val="4"/>
          </w:tcPr>
          <w:p w:rsidR="003865AC" w:rsidRDefault="003865AC">
            <w:pPr>
              <w:spacing w:before="0" w:after="0"/>
              <w:jc w:val="center"/>
              <w:rPr>
                <w:rFonts w:hint="cs"/>
                <w:b/>
                <w:bCs/>
                <w:szCs w:val="28"/>
              </w:rPr>
            </w:pPr>
            <w:r>
              <w:rPr>
                <w:rFonts w:hint="cs"/>
                <w:b/>
                <w:bCs/>
                <w:szCs w:val="28"/>
                <w:rtl/>
              </w:rPr>
              <w:t>1999</w:t>
            </w:r>
          </w:p>
        </w:tc>
      </w:tr>
      <w:tr w:rsidR="003865AC" w:rsidTr="003865AC">
        <w:tblPrEx>
          <w:tblCellMar>
            <w:top w:w="0" w:type="dxa"/>
            <w:bottom w:w="0" w:type="dxa"/>
          </w:tblCellMar>
        </w:tblPrEx>
        <w:trPr>
          <w:cantSplit/>
        </w:trPr>
        <w:tc>
          <w:tcPr>
            <w:tcW w:w="822" w:type="dxa"/>
            <w:vMerge/>
          </w:tcPr>
          <w:p w:rsidR="003865AC" w:rsidRDefault="003865AC">
            <w:pPr>
              <w:spacing w:before="0" w:after="0"/>
              <w:jc w:val="both"/>
              <w:rPr>
                <w:rFonts w:hint="cs"/>
                <w:b/>
                <w:bCs/>
                <w:szCs w:val="28"/>
              </w:rPr>
            </w:pPr>
          </w:p>
        </w:tc>
        <w:tc>
          <w:tcPr>
            <w:tcW w:w="1080" w:type="dxa"/>
          </w:tcPr>
          <w:p w:rsidR="003865AC" w:rsidRDefault="003865AC">
            <w:pPr>
              <w:spacing w:before="0" w:after="0"/>
              <w:jc w:val="both"/>
              <w:rPr>
                <w:rFonts w:hint="cs"/>
                <w:b/>
                <w:bCs/>
                <w:sz w:val="24"/>
                <w:szCs w:val="24"/>
              </w:rPr>
            </w:pPr>
            <w:r>
              <w:rPr>
                <w:rFonts w:hint="cs"/>
                <w:b/>
                <w:bCs/>
                <w:sz w:val="24"/>
                <w:szCs w:val="24"/>
                <w:rtl/>
              </w:rPr>
              <w:t>الربع الأول</w:t>
            </w:r>
          </w:p>
        </w:tc>
        <w:tc>
          <w:tcPr>
            <w:tcW w:w="1080" w:type="dxa"/>
          </w:tcPr>
          <w:p w:rsidR="003865AC" w:rsidRDefault="003865AC">
            <w:pPr>
              <w:spacing w:before="0" w:after="0"/>
              <w:jc w:val="both"/>
              <w:rPr>
                <w:rFonts w:hint="cs"/>
                <w:b/>
                <w:bCs/>
                <w:sz w:val="24"/>
                <w:szCs w:val="24"/>
              </w:rPr>
            </w:pPr>
            <w:r>
              <w:rPr>
                <w:rFonts w:hint="cs"/>
                <w:b/>
                <w:bCs/>
                <w:sz w:val="24"/>
                <w:szCs w:val="24"/>
                <w:rtl/>
              </w:rPr>
              <w:t>الربع الثاني</w:t>
            </w:r>
          </w:p>
        </w:tc>
        <w:tc>
          <w:tcPr>
            <w:tcW w:w="1080" w:type="dxa"/>
          </w:tcPr>
          <w:p w:rsidR="003865AC" w:rsidRDefault="003865AC">
            <w:pPr>
              <w:spacing w:before="0" w:after="0"/>
              <w:jc w:val="both"/>
              <w:rPr>
                <w:rFonts w:hint="cs"/>
                <w:b/>
                <w:bCs/>
                <w:sz w:val="24"/>
                <w:szCs w:val="24"/>
              </w:rPr>
            </w:pPr>
            <w:r>
              <w:rPr>
                <w:rFonts w:hint="cs"/>
                <w:b/>
                <w:bCs/>
                <w:sz w:val="24"/>
                <w:szCs w:val="24"/>
                <w:rtl/>
              </w:rPr>
              <w:t>الربع الثالث</w:t>
            </w:r>
          </w:p>
        </w:tc>
        <w:tc>
          <w:tcPr>
            <w:tcW w:w="1080" w:type="dxa"/>
          </w:tcPr>
          <w:p w:rsidR="003865AC" w:rsidRDefault="003865AC">
            <w:pPr>
              <w:spacing w:before="0" w:after="0"/>
              <w:jc w:val="both"/>
              <w:rPr>
                <w:rFonts w:hint="cs"/>
                <w:b/>
                <w:bCs/>
                <w:sz w:val="24"/>
                <w:szCs w:val="24"/>
              </w:rPr>
            </w:pPr>
            <w:r>
              <w:rPr>
                <w:rFonts w:hint="cs"/>
                <w:b/>
                <w:bCs/>
                <w:sz w:val="24"/>
                <w:szCs w:val="24"/>
                <w:rtl/>
              </w:rPr>
              <w:t>الربع الرابع</w:t>
            </w:r>
          </w:p>
        </w:tc>
        <w:tc>
          <w:tcPr>
            <w:tcW w:w="1080" w:type="dxa"/>
          </w:tcPr>
          <w:p w:rsidR="003865AC" w:rsidRDefault="003865AC">
            <w:pPr>
              <w:spacing w:before="0" w:after="0"/>
              <w:jc w:val="both"/>
              <w:rPr>
                <w:rFonts w:hint="cs"/>
                <w:b/>
                <w:bCs/>
                <w:sz w:val="24"/>
                <w:szCs w:val="24"/>
              </w:rPr>
            </w:pPr>
            <w:r>
              <w:rPr>
                <w:rFonts w:hint="cs"/>
                <w:b/>
                <w:bCs/>
                <w:sz w:val="24"/>
                <w:szCs w:val="24"/>
                <w:rtl/>
              </w:rPr>
              <w:t>الربع الأول</w:t>
            </w:r>
          </w:p>
        </w:tc>
        <w:tc>
          <w:tcPr>
            <w:tcW w:w="1080" w:type="dxa"/>
          </w:tcPr>
          <w:p w:rsidR="003865AC" w:rsidRDefault="003865AC">
            <w:pPr>
              <w:spacing w:before="0" w:after="0"/>
              <w:jc w:val="both"/>
              <w:rPr>
                <w:rFonts w:hint="cs"/>
                <w:b/>
                <w:bCs/>
                <w:sz w:val="24"/>
                <w:szCs w:val="24"/>
              </w:rPr>
            </w:pPr>
            <w:r>
              <w:rPr>
                <w:rFonts w:hint="cs"/>
                <w:b/>
                <w:bCs/>
                <w:sz w:val="24"/>
                <w:szCs w:val="24"/>
                <w:rtl/>
              </w:rPr>
              <w:t>الربع الثاني</w:t>
            </w:r>
          </w:p>
        </w:tc>
        <w:tc>
          <w:tcPr>
            <w:tcW w:w="1204" w:type="dxa"/>
          </w:tcPr>
          <w:p w:rsidR="003865AC" w:rsidRDefault="003865AC">
            <w:pPr>
              <w:spacing w:before="0" w:after="0"/>
              <w:jc w:val="both"/>
              <w:rPr>
                <w:rFonts w:hint="cs"/>
                <w:b/>
                <w:bCs/>
                <w:sz w:val="24"/>
                <w:szCs w:val="24"/>
              </w:rPr>
            </w:pPr>
            <w:r>
              <w:rPr>
                <w:rFonts w:hint="cs"/>
                <w:b/>
                <w:bCs/>
                <w:sz w:val="24"/>
                <w:szCs w:val="24"/>
                <w:rtl/>
              </w:rPr>
              <w:t>الربع الثالث</w:t>
            </w:r>
          </w:p>
        </w:tc>
        <w:tc>
          <w:tcPr>
            <w:tcW w:w="1064" w:type="dxa"/>
          </w:tcPr>
          <w:p w:rsidR="003865AC" w:rsidRDefault="003865AC">
            <w:pPr>
              <w:spacing w:before="0" w:after="0"/>
              <w:jc w:val="both"/>
              <w:rPr>
                <w:rFonts w:hint="cs"/>
                <w:b/>
                <w:bCs/>
                <w:sz w:val="24"/>
                <w:szCs w:val="24"/>
              </w:rPr>
            </w:pPr>
            <w:r>
              <w:rPr>
                <w:rFonts w:hint="cs"/>
                <w:b/>
                <w:bCs/>
                <w:sz w:val="24"/>
                <w:szCs w:val="24"/>
                <w:rtl/>
              </w:rPr>
              <w:t>الربع الرابع</w:t>
            </w:r>
          </w:p>
        </w:tc>
      </w:tr>
      <w:tr w:rsidR="003865AC" w:rsidTr="003865AC">
        <w:tblPrEx>
          <w:tblCellMar>
            <w:top w:w="0" w:type="dxa"/>
            <w:bottom w:w="0" w:type="dxa"/>
          </w:tblCellMar>
        </w:tblPrEx>
        <w:trPr>
          <w:cantSplit/>
        </w:trPr>
        <w:tc>
          <w:tcPr>
            <w:tcW w:w="9570" w:type="dxa"/>
            <w:gridSpan w:val="9"/>
            <w:tcBorders>
              <w:bottom w:val="single" w:sz="4" w:space="0" w:color="auto"/>
            </w:tcBorders>
          </w:tcPr>
          <w:p w:rsidR="00000000" w:rsidRDefault="003865AC">
            <w:pPr>
              <w:spacing w:before="0" w:after="0"/>
              <w:jc w:val="center"/>
              <w:rPr>
                <w:rFonts w:hint="cs"/>
                <w:sz w:val="30"/>
              </w:rPr>
            </w:pPr>
            <w:r>
              <w:rPr>
                <w:rFonts w:hint="cs"/>
                <w:sz w:val="30"/>
                <w:rtl/>
              </w:rPr>
              <w:t>بالنسبة إلى مستوى الكفاف</w:t>
            </w:r>
          </w:p>
        </w:tc>
      </w:tr>
      <w:tr w:rsidR="003865AC" w:rsidTr="003865AC">
        <w:tblPrEx>
          <w:tblCellMar>
            <w:top w:w="0" w:type="dxa"/>
            <w:bottom w:w="0" w:type="dxa"/>
          </w:tblCellMar>
        </w:tblPrEx>
        <w:tc>
          <w:tcPr>
            <w:tcW w:w="822" w:type="dxa"/>
            <w:tcBorders>
              <w:bottom w:val="nil"/>
            </w:tcBorders>
          </w:tcPr>
          <w:p w:rsidR="003865AC" w:rsidRDefault="003865AC">
            <w:pPr>
              <w:spacing w:before="0" w:after="0"/>
              <w:jc w:val="both"/>
              <w:rPr>
                <w:rFonts w:hint="cs"/>
              </w:rPr>
            </w:pPr>
            <w:r>
              <w:rPr>
                <w:rFonts w:hint="cs"/>
                <w:rtl/>
              </w:rPr>
              <w:t>المدن</w:t>
            </w:r>
          </w:p>
        </w:tc>
        <w:tc>
          <w:tcPr>
            <w:tcW w:w="1080" w:type="dxa"/>
            <w:tcBorders>
              <w:bottom w:val="nil"/>
            </w:tcBorders>
          </w:tcPr>
          <w:p w:rsidR="003865AC" w:rsidRDefault="003865AC">
            <w:pPr>
              <w:spacing w:before="0" w:after="0"/>
              <w:jc w:val="center"/>
              <w:rPr>
                <w:rFonts w:hint="cs"/>
              </w:rPr>
            </w:pPr>
            <w:r>
              <w:rPr>
                <w:rFonts w:hint="cs"/>
                <w:rtl/>
              </w:rPr>
              <w:t>17.5</w:t>
            </w:r>
          </w:p>
        </w:tc>
        <w:tc>
          <w:tcPr>
            <w:tcW w:w="1080" w:type="dxa"/>
            <w:tcBorders>
              <w:bottom w:val="nil"/>
            </w:tcBorders>
          </w:tcPr>
          <w:p w:rsidR="003865AC" w:rsidRDefault="003865AC">
            <w:pPr>
              <w:spacing w:before="0" w:after="0"/>
              <w:jc w:val="center"/>
              <w:rPr>
                <w:rFonts w:hint="cs"/>
              </w:rPr>
            </w:pPr>
            <w:r>
              <w:rPr>
                <w:rFonts w:hint="cs"/>
                <w:rtl/>
              </w:rPr>
              <w:t>23.0</w:t>
            </w:r>
          </w:p>
        </w:tc>
        <w:tc>
          <w:tcPr>
            <w:tcW w:w="1080" w:type="dxa"/>
            <w:tcBorders>
              <w:bottom w:val="nil"/>
            </w:tcBorders>
          </w:tcPr>
          <w:p w:rsidR="003865AC" w:rsidRDefault="003865AC">
            <w:pPr>
              <w:spacing w:before="0" w:after="0"/>
              <w:jc w:val="center"/>
              <w:rPr>
                <w:rFonts w:hint="cs"/>
              </w:rPr>
            </w:pPr>
            <w:r>
              <w:rPr>
                <w:rFonts w:hint="cs"/>
                <w:rtl/>
              </w:rPr>
              <w:t>22.9</w:t>
            </w:r>
          </w:p>
        </w:tc>
        <w:tc>
          <w:tcPr>
            <w:tcW w:w="1080" w:type="dxa"/>
            <w:tcBorders>
              <w:bottom w:val="nil"/>
            </w:tcBorders>
          </w:tcPr>
          <w:p w:rsidR="003865AC" w:rsidRDefault="003865AC">
            <w:pPr>
              <w:spacing w:before="0" w:after="0"/>
              <w:jc w:val="center"/>
              <w:rPr>
                <w:rFonts w:hint="cs"/>
              </w:rPr>
            </w:pPr>
            <w:r>
              <w:rPr>
                <w:rFonts w:hint="cs"/>
                <w:rtl/>
              </w:rPr>
              <w:t>28.8</w:t>
            </w:r>
          </w:p>
        </w:tc>
        <w:tc>
          <w:tcPr>
            <w:tcW w:w="1080" w:type="dxa"/>
            <w:tcBorders>
              <w:bottom w:val="nil"/>
            </w:tcBorders>
          </w:tcPr>
          <w:p w:rsidR="003865AC" w:rsidRDefault="003865AC">
            <w:pPr>
              <w:spacing w:before="0" w:after="0"/>
              <w:jc w:val="center"/>
              <w:rPr>
                <w:rFonts w:hint="cs"/>
              </w:rPr>
            </w:pPr>
            <w:r>
              <w:rPr>
                <w:rFonts w:hint="cs"/>
                <w:rtl/>
              </w:rPr>
              <w:t>23.0</w:t>
            </w:r>
          </w:p>
        </w:tc>
        <w:tc>
          <w:tcPr>
            <w:tcW w:w="1080" w:type="dxa"/>
            <w:tcBorders>
              <w:bottom w:val="nil"/>
            </w:tcBorders>
          </w:tcPr>
          <w:p w:rsidR="003865AC" w:rsidRDefault="003865AC">
            <w:pPr>
              <w:spacing w:before="0" w:after="0"/>
              <w:jc w:val="center"/>
              <w:rPr>
                <w:rFonts w:hint="cs"/>
              </w:rPr>
            </w:pPr>
            <w:r>
              <w:rPr>
                <w:rFonts w:hint="cs"/>
                <w:rtl/>
              </w:rPr>
              <w:t>29.6</w:t>
            </w:r>
          </w:p>
        </w:tc>
        <w:tc>
          <w:tcPr>
            <w:tcW w:w="1204" w:type="dxa"/>
            <w:tcBorders>
              <w:bottom w:val="nil"/>
            </w:tcBorders>
          </w:tcPr>
          <w:p w:rsidR="003865AC" w:rsidRDefault="003865AC">
            <w:pPr>
              <w:spacing w:before="0" w:after="0"/>
              <w:jc w:val="center"/>
              <w:rPr>
                <w:rFonts w:hint="cs"/>
              </w:rPr>
            </w:pPr>
            <w:r>
              <w:rPr>
                <w:rFonts w:hint="cs"/>
                <w:rtl/>
              </w:rPr>
              <w:t>24.1</w:t>
            </w:r>
          </w:p>
        </w:tc>
        <w:tc>
          <w:tcPr>
            <w:tcW w:w="1064" w:type="dxa"/>
            <w:tcBorders>
              <w:bottom w:val="nil"/>
            </w:tcBorders>
          </w:tcPr>
          <w:p w:rsidR="003865AC" w:rsidRDefault="003865AC">
            <w:pPr>
              <w:spacing w:before="0" w:after="0"/>
              <w:jc w:val="center"/>
              <w:rPr>
                <w:rFonts w:hint="cs"/>
              </w:rPr>
            </w:pPr>
            <w:r>
              <w:rPr>
                <w:rFonts w:hint="cs"/>
                <w:rtl/>
              </w:rPr>
              <w:t>20.7</w:t>
            </w:r>
          </w:p>
        </w:tc>
      </w:tr>
      <w:tr w:rsidR="003865AC" w:rsidTr="003865AC">
        <w:tblPrEx>
          <w:tblCellMar>
            <w:top w:w="0" w:type="dxa"/>
            <w:bottom w:w="0" w:type="dxa"/>
          </w:tblCellMar>
        </w:tblPrEx>
        <w:tc>
          <w:tcPr>
            <w:tcW w:w="822" w:type="dxa"/>
            <w:tcBorders>
              <w:top w:val="nil"/>
            </w:tcBorders>
          </w:tcPr>
          <w:p w:rsidR="003865AC" w:rsidRDefault="003865AC">
            <w:pPr>
              <w:spacing w:before="0" w:after="0"/>
              <w:jc w:val="both"/>
              <w:rPr>
                <w:rFonts w:hint="cs"/>
                <w:rtl/>
              </w:rPr>
            </w:pPr>
            <w:r>
              <w:rPr>
                <w:rFonts w:hint="cs"/>
                <w:rtl/>
              </w:rPr>
              <w:t>الريف</w:t>
            </w:r>
          </w:p>
        </w:tc>
        <w:tc>
          <w:tcPr>
            <w:tcW w:w="1080" w:type="dxa"/>
            <w:tcBorders>
              <w:top w:val="nil"/>
            </w:tcBorders>
          </w:tcPr>
          <w:p w:rsidR="003865AC" w:rsidRDefault="003865AC">
            <w:pPr>
              <w:spacing w:before="0" w:after="0"/>
              <w:jc w:val="center"/>
              <w:rPr>
                <w:rFonts w:hint="cs"/>
                <w:rtl/>
              </w:rPr>
            </w:pPr>
            <w:r>
              <w:rPr>
                <w:rFonts w:hint="cs"/>
                <w:rtl/>
              </w:rPr>
              <w:t>9.4</w:t>
            </w:r>
          </w:p>
        </w:tc>
        <w:tc>
          <w:tcPr>
            <w:tcW w:w="1080" w:type="dxa"/>
            <w:tcBorders>
              <w:top w:val="nil"/>
            </w:tcBorders>
          </w:tcPr>
          <w:p w:rsidR="003865AC" w:rsidRDefault="003865AC">
            <w:pPr>
              <w:spacing w:before="0" w:after="0"/>
              <w:jc w:val="center"/>
              <w:rPr>
                <w:rFonts w:hint="cs"/>
                <w:rtl/>
              </w:rPr>
            </w:pPr>
            <w:r>
              <w:rPr>
                <w:rFonts w:hint="cs"/>
                <w:rtl/>
              </w:rPr>
              <w:t>17.6</w:t>
            </w:r>
          </w:p>
        </w:tc>
        <w:tc>
          <w:tcPr>
            <w:tcW w:w="1080" w:type="dxa"/>
            <w:tcBorders>
              <w:top w:val="nil"/>
            </w:tcBorders>
          </w:tcPr>
          <w:p w:rsidR="003865AC" w:rsidRDefault="003865AC">
            <w:pPr>
              <w:spacing w:before="0" w:after="0"/>
              <w:jc w:val="center"/>
              <w:rPr>
                <w:rFonts w:hint="cs"/>
                <w:rtl/>
              </w:rPr>
            </w:pPr>
            <w:r>
              <w:rPr>
                <w:rFonts w:hint="cs"/>
                <w:rtl/>
              </w:rPr>
              <w:t>15.8</w:t>
            </w:r>
          </w:p>
        </w:tc>
        <w:tc>
          <w:tcPr>
            <w:tcW w:w="1080" w:type="dxa"/>
            <w:tcBorders>
              <w:top w:val="nil"/>
            </w:tcBorders>
          </w:tcPr>
          <w:p w:rsidR="003865AC" w:rsidRDefault="003865AC">
            <w:pPr>
              <w:spacing w:before="0" w:after="0"/>
              <w:jc w:val="center"/>
              <w:rPr>
                <w:rFonts w:hint="cs"/>
                <w:rtl/>
              </w:rPr>
            </w:pPr>
            <w:r>
              <w:rPr>
                <w:rFonts w:hint="cs"/>
                <w:rtl/>
              </w:rPr>
              <w:t>14.5</w:t>
            </w:r>
          </w:p>
        </w:tc>
        <w:tc>
          <w:tcPr>
            <w:tcW w:w="1080" w:type="dxa"/>
            <w:tcBorders>
              <w:top w:val="nil"/>
            </w:tcBorders>
          </w:tcPr>
          <w:p w:rsidR="003865AC" w:rsidRDefault="003865AC">
            <w:pPr>
              <w:spacing w:before="0" w:after="0"/>
              <w:jc w:val="center"/>
              <w:rPr>
                <w:rFonts w:hint="cs"/>
                <w:rtl/>
              </w:rPr>
            </w:pPr>
            <w:r>
              <w:rPr>
                <w:rFonts w:hint="cs"/>
                <w:rtl/>
              </w:rPr>
              <w:t>12.5</w:t>
            </w:r>
          </w:p>
        </w:tc>
        <w:tc>
          <w:tcPr>
            <w:tcW w:w="1080" w:type="dxa"/>
            <w:tcBorders>
              <w:top w:val="nil"/>
            </w:tcBorders>
          </w:tcPr>
          <w:p w:rsidR="003865AC" w:rsidRDefault="003865AC">
            <w:pPr>
              <w:spacing w:before="0" w:after="0"/>
              <w:jc w:val="center"/>
              <w:rPr>
                <w:rFonts w:hint="cs"/>
                <w:rtl/>
              </w:rPr>
            </w:pPr>
            <w:r>
              <w:rPr>
                <w:rFonts w:hint="cs"/>
                <w:rtl/>
              </w:rPr>
              <w:t>18.6</w:t>
            </w:r>
          </w:p>
        </w:tc>
        <w:tc>
          <w:tcPr>
            <w:tcW w:w="1204" w:type="dxa"/>
            <w:tcBorders>
              <w:top w:val="nil"/>
            </w:tcBorders>
          </w:tcPr>
          <w:p w:rsidR="003865AC" w:rsidRDefault="003865AC">
            <w:pPr>
              <w:spacing w:before="0" w:after="0"/>
              <w:jc w:val="center"/>
              <w:rPr>
                <w:rFonts w:hint="cs"/>
                <w:rtl/>
              </w:rPr>
            </w:pPr>
            <w:r>
              <w:rPr>
                <w:rFonts w:hint="cs"/>
                <w:rtl/>
              </w:rPr>
              <w:t>16.7</w:t>
            </w:r>
          </w:p>
        </w:tc>
        <w:tc>
          <w:tcPr>
            <w:tcW w:w="1064" w:type="dxa"/>
            <w:tcBorders>
              <w:top w:val="nil"/>
            </w:tcBorders>
          </w:tcPr>
          <w:p w:rsidR="003865AC" w:rsidRDefault="003865AC">
            <w:pPr>
              <w:spacing w:before="0" w:after="0"/>
              <w:jc w:val="center"/>
              <w:rPr>
                <w:rFonts w:hint="cs"/>
                <w:rtl/>
              </w:rPr>
            </w:pPr>
            <w:r>
              <w:rPr>
                <w:rFonts w:hint="cs"/>
                <w:rtl/>
              </w:rPr>
              <w:t>13.9</w:t>
            </w:r>
          </w:p>
        </w:tc>
      </w:tr>
      <w:tr w:rsidR="003865AC" w:rsidTr="003865AC">
        <w:tblPrEx>
          <w:tblCellMar>
            <w:top w:w="0" w:type="dxa"/>
            <w:bottom w:w="0" w:type="dxa"/>
          </w:tblCellMar>
        </w:tblPrEx>
        <w:trPr>
          <w:cantSplit/>
        </w:trPr>
        <w:tc>
          <w:tcPr>
            <w:tcW w:w="9570" w:type="dxa"/>
            <w:gridSpan w:val="9"/>
            <w:tcBorders>
              <w:bottom w:val="single" w:sz="4" w:space="0" w:color="auto"/>
            </w:tcBorders>
          </w:tcPr>
          <w:p w:rsidR="00000000" w:rsidRDefault="003865AC">
            <w:pPr>
              <w:spacing w:before="0" w:after="0"/>
              <w:jc w:val="center"/>
              <w:rPr>
                <w:rFonts w:hint="cs"/>
              </w:rPr>
            </w:pPr>
            <w:r>
              <w:rPr>
                <w:rFonts w:hint="cs"/>
                <w:rtl/>
              </w:rPr>
              <w:t>بالنسبة إلى 60 في المائة من متوسط ال</w:t>
            </w:r>
            <w:r>
              <w:rPr>
                <w:rFonts w:hint="cs"/>
                <w:rtl/>
              </w:rPr>
              <w:t>استهلاك</w:t>
            </w:r>
          </w:p>
        </w:tc>
      </w:tr>
      <w:tr w:rsidR="003865AC" w:rsidTr="003865AC">
        <w:tblPrEx>
          <w:tblCellMar>
            <w:top w:w="0" w:type="dxa"/>
            <w:bottom w:w="0" w:type="dxa"/>
          </w:tblCellMar>
        </w:tblPrEx>
        <w:tc>
          <w:tcPr>
            <w:tcW w:w="822" w:type="dxa"/>
            <w:tcBorders>
              <w:bottom w:val="nil"/>
            </w:tcBorders>
          </w:tcPr>
          <w:p w:rsidR="003865AC" w:rsidRDefault="003865AC">
            <w:pPr>
              <w:spacing w:before="0" w:after="0"/>
              <w:jc w:val="both"/>
              <w:rPr>
                <w:rFonts w:hint="cs"/>
                <w:rtl/>
              </w:rPr>
            </w:pPr>
            <w:r>
              <w:rPr>
                <w:rFonts w:hint="cs"/>
                <w:rtl/>
              </w:rPr>
              <w:t>المدن</w:t>
            </w:r>
          </w:p>
        </w:tc>
        <w:tc>
          <w:tcPr>
            <w:tcW w:w="1080" w:type="dxa"/>
            <w:tcBorders>
              <w:bottom w:val="nil"/>
            </w:tcBorders>
          </w:tcPr>
          <w:p w:rsidR="003865AC" w:rsidRDefault="003865AC">
            <w:pPr>
              <w:spacing w:before="0" w:after="0"/>
              <w:jc w:val="center"/>
              <w:rPr>
                <w:rFonts w:hint="cs"/>
                <w:rtl/>
              </w:rPr>
            </w:pPr>
            <w:r>
              <w:rPr>
                <w:rFonts w:hint="cs"/>
                <w:rtl/>
              </w:rPr>
              <w:t>6.4</w:t>
            </w:r>
          </w:p>
        </w:tc>
        <w:tc>
          <w:tcPr>
            <w:tcW w:w="1080" w:type="dxa"/>
            <w:tcBorders>
              <w:bottom w:val="nil"/>
            </w:tcBorders>
          </w:tcPr>
          <w:p w:rsidR="003865AC" w:rsidRDefault="003865AC">
            <w:pPr>
              <w:spacing w:before="0" w:after="0"/>
              <w:jc w:val="center"/>
              <w:rPr>
                <w:rFonts w:hint="cs"/>
                <w:rtl/>
              </w:rPr>
            </w:pPr>
            <w:r>
              <w:rPr>
                <w:rFonts w:hint="cs"/>
                <w:rtl/>
              </w:rPr>
              <w:t>9.4</w:t>
            </w:r>
          </w:p>
        </w:tc>
        <w:tc>
          <w:tcPr>
            <w:tcW w:w="1080" w:type="dxa"/>
            <w:tcBorders>
              <w:bottom w:val="nil"/>
            </w:tcBorders>
          </w:tcPr>
          <w:p w:rsidR="003865AC" w:rsidRDefault="003865AC">
            <w:pPr>
              <w:spacing w:before="0" w:after="0"/>
              <w:jc w:val="center"/>
              <w:rPr>
                <w:rFonts w:hint="cs"/>
                <w:rtl/>
              </w:rPr>
            </w:pPr>
            <w:r>
              <w:rPr>
                <w:rFonts w:hint="cs"/>
                <w:rtl/>
              </w:rPr>
              <w:t>9.9</w:t>
            </w:r>
          </w:p>
        </w:tc>
        <w:tc>
          <w:tcPr>
            <w:tcW w:w="1080" w:type="dxa"/>
            <w:tcBorders>
              <w:bottom w:val="nil"/>
            </w:tcBorders>
          </w:tcPr>
          <w:p w:rsidR="003865AC" w:rsidRDefault="003865AC">
            <w:pPr>
              <w:spacing w:before="0" w:after="0"/>
              <w:jc w:val="center"/>
              <w:rPr>
                <w:rFonts w:hint="cs"/>
                <w:rtl/>
              </w:rPr>
            </w:pPr>
            <w:r>
              <w:rPr>
                <w:rFonts w:hint="cs"/>
                <w:rtl/>
              </w:rPr>
              <w:t>8.9</w:t>
            </w:r>
          </w:p>
        </w:tc>
        <w:tc>
          <w:tcPr>
            <w:tcW w:w="1080" w:type="dxa"/>
            <w:tcBorders>
              <w:bottom w:val="nil"/>
            </w:tcBorders>
          </w:tcPr>
          <w:p w:rsidR="003865AC" w:rsidRDefault="003865AC">
            <w:pPr>
              <w:spacing w:before="0" w:after="0"/>
              <w:jc w:val="center"/>
              <w:rPr>
                <w:rFonts w:hint="cs"/>
                <w:rtl/>
              </w:rPr>
            </w:pPr>
            <w:r>
              <w:rPr>
                <w:rFonts w:hint="cs"/>
                <w:rtl/>
              </w:rPr>
              <w:t>9.3</w:t>
            </w:r>
          </w:p>
        </w:tc>
        <w:tc>
          <w:tcPr>
            <w:tcW w:w="1080" w:type="dxa"/>
            <w:tcBorders>
              <w:bottom w:val="nil"/>
            </w:tcBorders>
          </w:tcPr>
          <w:p w:rsidR="003865AC" w:rsidRDefault="003865AC">
            <w:pPr>
              <w:spacing w:before="0" w:after="0"/>
              <w:jc w:val="center"/>
              <w:rPr>
                <w:rFonts w:hint="cs"/>
                <w:rtl/>
              </w:rPr>
            </w:pPr>
            <w:r>
              <w:rPr>
                <w:rFonts w:hint="cs"/>
                <w:rtl/>
              </w:rPr>
              <w:t>9.5</w:t>
            </w:r>
          </w:p>
        </w:tc>
        <w:tc>
          <w:tcPr>
            <w:tcW w:w="1204" w:type="dxa"/>
            <w:tcBorders>
              <w:bottom w:val="nil"/>
            </w:tcBorders>
          </w:tcPr>
          <w:p w:rsidR="003865AC" w:rsidRDefault="003865AC">
            <w:pPr>
              <w:spacing w:before="0" w:after="0"/>
              <w:jc w:val="center"/>
              <w:rPr>
                <w:rFonts w:hint="cs"/>
                <w:rtl/>
              </w:rPr>
            </w:pPr>
            <w:r>
              <w:rPr>
                <w:rFonts w:hint="cs"/>
                <w:rtl/>
              </w:rPr>
              <w:t>8.7</w:t>
            </w:r>
          </w:p>
        </w:tc>
        <w:tc>
          <w:tcPr>
            <w:tcW w:w="1064" w:type="dxa"/>
            <w:tcBorders>
              <w:bottom w:val="nil"/>
            </w:tcBorders>
          </w:tcPr>
          <w:p w:rsidR="003865AC" w:rsidRDefault="003865AC">
            <w:pPr>
              <w:spacing w:before="0" w:after="0"/>
              <w:jc w:val="center"/>
              <w:rPr>
                <w:rFonts w:hint="cs"/>
                <w:rtl/>
              </w:rPr>
            </w:pPr>
            <w:r>
              <w:rPr>
                <w:rFonts w:hint="cs"/>
                <w:rtl/>
              </w:rPr>
              <w:t>9.1</w:t>
            </w:r>
          </w:p>
        </w:tc>
      </w:tr>
      <w:tr w:rsidR="003865AC" w:rsidTr="003865AC">
        <w:tblPrEx>
          <w:tblCellMar>
            <w:top w:w="0" w:type="dxa"/>
            <w:bottom w:w="0" w:type="dxa"/>
          </w:tblCellMar>
        </w:tblPrEx>
        <w:tc>
          <w:tcPr>
            <w:tcW w:w="822" w:type="dxa"/>
            <w:tcBorders>
              <w:top w:val="nil"/>
              <w:bottom w:val="single" w:sz="4" w:space="0" w:color="auto"/>
            </w:tcBorders>
          </w:tcPr>
          <w:p w:rsidR="003865AC" w:rsidRDefault="003865AC">
            <w:pPr>
              <w:spacing w:before="0" w:after="0"/>
              <w:jc w:val="both"/>
              <w:rPr>
                <w:rFonts w:hint="cs"/>
                <w:rtl/>
              </w:rPr>
            </w:pPr>
            <w:r>
              <w:rPr>
                <w:rFonts w:hint="cs"/>
                <w:rtl/>
              </w:rPr>
              <w:t>الريف</w:t>
            </w:r>
          </w:p>
        </w:tc>
        <w:tc>
          <w:tcPr>
            <w:tcW w:w="1080" w:type="dxa"/>
            <w:tcBorders>
              <w:top w:val="nil"/>
              <w:bottom w:val="single" w:sz="4" w:space="0" w:color="auto"/>
            </w:tcBorders>
          </w:tcPr>
          <w:p w:rsidR="003865AC" w:rsidRDefault="003865AC">
            <w:pPr>
              <w:spacing w:before="0" w:after="0"/>
              <w:jc w:val="center"/>
              <w:rPr>
                <w:rFonts w:hint="cs"/>
                <w:rtl/>
              </w:rPr>
            </w:pPr>
            <w:r>
              <w:rPr>
                <w:rFonts w:hint="cs"/>
                <w:rtl/>
              </w:rPr>
              <w:t>4.4</w:t>
            </w:r>
          </w:p>
        </w:tc>
        <w:tc>
          <w:tcPr>
            <w:tcW w:w="1080" w:type="dxa"/>
            <w:tcBorders>
              <w:top w:val="nil"/>
              <w:bottom w:val="single" w:sz="4" w:space="0" w:color="auto"/>
            </w:tcBorders>
          </w:tcPr>
          <w:p w:rsidR="003865AC" w:rsidRDefault="003865AC">
            <w:pPr>
              <w:spacing w:before="0" w:after="0"/>
              <w:jc w:val="center"/>
              <w:rPr>
                <w:rtl/>
              </w:rPr>
            </w:pPr>
            <w:r>
              <w:rPr>
                <w:rFonts w:hint="cs"/>
                <w:rtl/>
              </w:rPr>
              <w:t>6.8</w:t>
            </w:r>
          </w:p>
        </w:tc>
        <w:tc>
          <w:tcPr>
            <w:tcW w:w="1080" w:type="dxa"/>
            <w:tcBorders>
              <w:top w:val="nil"/>
              <w:bottom w:val="single" w:sz="4" w:space="0" w:color="auto"/>
            </w:tcBorders>
          </w:tcPr>
          <w:p w:rsidR="003865AC" w:rsidRDefault="003865AC">
            <w:pPr>
              <w:spacing w:before="0" w:after="0"/>
              <w:jc w:val="center"/>
              <w:rPr>
                <w:rFonts w:hint="cs"/>
                <w:rtl/>
              </w:rPr>
            </w:pPr>
            <w:r>
              <w:rPr>
                <w:rFonts w:hint="cs"/>
                <w:rtl/>
              </w:rPr>
              <w:t>5.5</w:t>
            </w:r>
          </w:p>
        </w:tc>
        <w:tc>
          <w:tcPr>
            <w:tcW w:w="1080" w:type="dxa"/>
            <w:tcBorders>
              <w:top w:val="nil"/>
              <w:bottom w:val="single" w:sz="4" w:space="0" w:color="auto"/>
            </w:tcBorders>
          </w:tcPr>
          <w:p w:rsidR="003865AC" w:rsidRDefault="003865AC">
            <w:pPr>
              <w:spacing w:before="0" w:after="0"/>
              <w:jc w:val="center"/>
              <w:rPr>
                <w:rFonts w:hint="cs"/>
                <w:rtl/>
              </w:rPr>
            </w:pPr>
            <w:r>
              <w:rPr>
                <w:rFonts w:hint="cs"/>
                <w:rtl/>
              </w:rPr>
              <w:t>6.3</w:t>
            </w:r>
          </w:p>
        </w:tc>
        <w:tc>
          <w:tcPr>
            <w:tcW w:w="1080" w:type="dxa"/>
            <w:tcBorders>
              <w:top w:val="nil"/>
              <w:bottom w:val="single" w:sz="4" w:space="0" w:color="auto"/>
            </w:tcBorders>
          </w:tcPr>
          <w:p w:rsidR="003865AC" w:rsidRDefault="003865AC">
            <w:pPr>
              <w:spacing w:before="0" w:after="0"/>
              <w:jc w:val="center"/>
              <w:rPr>
                <w:rFonts w:hint="cs"/>
                <w:rtl/>
              </w:rPr>
            </w:pPr>
            <w:r>
              <w:rPr>
                <w:rFonts w:hint="cs"/>
                <w:rtl/>
              </w:rPr>
              <w:t>5.4</w:t>
            </w:r>
          </w:p>
        </w:tc>
        <w:tc>
          <w:tcPr>
            <w:tcW w:w="1080" w:type="dxa"/>
            <w:tcBorders>
              <w:top w:val="nil"/>
              <w:bottom w:val="single" w:sz="4" w:space="0" w:color="auto"/>
            </w:tcBorders>
          </w:tcPr>
          <w:p w:rsidR="003865AC" w:rsidRDefault="003865AC">
            <w:pPr>
              <w:spacing w:before="0" w:after="0"/>
              <w:jc w:val="center"/>
              <w:rPr>
                <w:rFonts w:hint="cs"/>
                <w:rtl/>
              </w:rPr>
            </w:pPr>
            <w:r>
              <w:rPr>
                <w:rFonts w:hint="cs"/>
                <w:rtl/>
              </w:rPr>
              <w:t>5.2</w:t>
            </w:r>
          </w:p>
        </w:tc>
        <w:tc>
          <w:tcPr>
            <w:tcW w:w="1204" w:type="dxa"/>
            <w:tcBorders>
              <w:top w:val="nil"/>
              <w:bottom w:val="single" w:sz="4" w:space="0" w:color="auto"/>
            </w:tcBorders>
          </w:tcPr>
          <w:p w:rsidR="003865AC" w:rsidRDefault="003865AC">
            <w:pPr>
              <w:spacing w:before="0" w:after="0"/>
              <w:jc w:val="center"/>
              <w:rPr>
                <w:rFonts w:hint="cs"/>
                <w:rtl/>
              </w:rPr>
            </w:pPr>
            <w:r>
              <w:rPr>
                <w:rFonts w:hint="cs"/>
                <w:rtl/>
              </w:rPr>
              <w:t>6.3</w:t>
            </w:r>
          </w:p>
        </w:tc>
        <w:tc>
          <w:tcPr>
            <w:tcW w:w="1064" w:type="dxa"/>
            <w:tcBorders>
              <w:top w:val="nil"/>
              <w:bottom w:val="single" w:sz="4" w:space="0" w:color="auto"/>
            </w:tcBorders>
          </w:tcPr>
          <w:p w:rsidR="003865AC" w:rsidRDefault="003865AC">
            <w:pPr>
              <w:spacing w:before="0" w:after="0"/>
              <w:jc w:val="center"/>
              <w:rPr>
                <w:rFonts w:hint="cs"/>
                <w:rtl/>
              </w:rPr>
            </w:pPr>
            <w:r>
              <w:rPr>
                <w:rFonts w:hint="cs"/>
                <w:rtl/>
              </w:rPr>
              <w:t>6.4</w:t>
            </w:r>
          </w:p>
        </w:tc>
      </w:tr>
      <w:tr w:rsidR="003865AC" w:rsidTr="003865AC">
        <w:tblPrEx>
          <w:tblCellMar>
            <w:top w:w="0" w:type="dxa"/>
            <w:bottom w:w="0" w:type="dxa"/>
          </w:tblCellMar>
        </w:tblPrEx>
        <w:trPr>
          <w:cantSplit/>
        </w:trPr>
        <w:tc>
          <w:tcPr>
            <w:tcW w:w="9570" w:type="dxa"/>
            <w:gridSpan w:val="9"/>
            <w:tcBorders>
              <w:top w:val="single" w:sz="4" w:space="0" w:color="auto"/>
              <w:bottom w:val="single" w:sz="4" w:space="0" w:color="auto"/>
            </w:tcBorders>
          </w:tcPr>
          <w:p w:rsidR="00000000" w:rsidRDefault="003865AC">
            <w:pPr>
              <w:spacing w:before="0" w:after="0"/>
              <w:jc w:val="center"/>
              <w:rPr>
                <w:rFonts w:hint="cs"/>
              </w:rPr>
            </w:pPr>
            <w:r>
              <w:rPr>
                <w:rFonts w:hint="cs"/>
                <w:rtl/>
              </w:rPr>
              <w:t>بالنسبة إلى 40 في المائة من متوسط الاستهلاك</w:t>
            </w:r>
          </w:p>
        </w:tc>
      </w:tr>
      <w:tr w:rsidR="003865AC" w:rsidTr="003865AC">
        <w:tblPrEx>
          <w:tblCellMar>
            <w:top w:w="0" w:type="dxa"/>
            <w:bottom w:w="0" w:type="dxa"/>
          </w:tblCellMar>
        </w:tblPrEx>
        <w:tc>
          <w:tcPr>
            <w:tcW w:w="822" w:type="dxa"/>
            <w:tcBorders>
              <w:top w:val="single" w:sz="4" w:space="0" w:color="auto"/>
              <w:bottom w:val="nil"/>
            </w:tcBorders>
          </w:tcPr>
          <w:p w:rsidR="003865AC" w:rsidRDefault="003865AC">
            <w:pPr>
              <w:spacing w:before="0" w:after="0"/>
              <w:jc w:val="both"/>
              <w:rPr>
                <w:rFonts w:hint="cs"/>
                <w:rtl/>
              </w:rPr>
            </w:pPr>
            <w:r>
              <w:rPr>
                <w:rFonts w:hint="cs"/>
                <w:rtl/>
              </w:rPr>
              <w:t>المدن</w:t>
            </w:r>
          </w:p>
        </w:tc>
        <w:tc>
          <w:tcPr>
            <w:tcW w:w="1080" w:type="dxa"/>
            <w:tcBorders>
              <w:top w:val="single" w:sz="4" w:space="0" w:color="auto"/>
              <w:bottom w:val="nil"/>
            </w:tcBorders>
          </w:tcPr>
          <w:p w:rsidR="003865AC" w:rsidRDefault="003865AC">
            <w:pPr>
              <w:spacing w:before="0" w:after="0"/>
              <w:jc w:val="center"/>
              <w:rPr>
                <w:rFonts w:hint="cs"/>
                <w:rtl/>
              </w:rPr>
            </w:pPr>
            <w:r>
              <w:rPr>
                <w:rFonts w:hint="cs"/>
                <w:rtl/>
              </w:rPr>
              <w:t>3.1</w:t>
            </w:r>
          </w:p>
        </w:tc>
        <w:tc>
          <w:tcPr>
            <w:tcW w:w="1080" w:type="dxa"/>
            <w:tcBorders>
              <w:top w:val="single" w:sz="4" w:space="0" w:color="auto"/>
              <w:bottom w:val="nil"/>
            </w:tcBorders>
          </w:tcPr>
          <w:p w:rsidR="003865AC" w:rsidRDefault="003865AC">
            <w:pPr>
              <w:spacing w:before="0" w:after="0"/>
              <w:jc w:val="center"/>
              <w:rPr>
                <w:rFonts w:hint="cs"/>
                <w:rtl/>
              </w:rPr>
            </w:pPr>
            <w:r>
              <w:rPr>
                <w:rFonts w:hint="cs"/>
                <w:rtl/>
              </w:rPr>
              <w:t>4.0</w:t>
            </w:r>
          </w:p>
        </w:tc>
        <w:tc>
          <w:tcPr>
            <w:tcW w:w="1080" w:type="dxa"/>
            <w:tcBorders>
              <w:top w:val="single" w:sz="4" w:space="0" w:color="auto"/>
              <w:bottom w:val="nil"/>
            </w:tcBorders>
          </w:tcPr>
          <w:p w:rsidR="003865AC" w:rsidRDefault="003865AC">
            <w:pPr>
              <w:spacing w:before="0" w:after="0"/>
              <w:jc w:val="center"/>
              <w:rPr>
                <w:rFonts w:hint="cs"/>
                <w:rtl/>
              </w:rPr>
            </w:pPr>
            <w:r>
              <w:rPr>
                <w:rFonts w:hint="cs"/>
                <w:rtl/>
              </w:rPr>
              <w:t>4.7</w:t>
            </w:r>
          </w:p>
        </w:tc>
        <w:tc>
          <w:tcPr>
            <w:tcW w:w="1080" w:type="dxa"/>
            <w:tcBorders>
              <w:top w:val="single" w:sz="4" w:space="0" w:color="auto"/>
              <w:bottom w:val="nil"/>
            </w:tcBorders>
          </w:tcPr>
          <w:p w:rsidR="003865AC" w:rsidRDefault="003865AC">
            <w:pPr>
              <w:spacing w:before="0" w:after="0"/>
              <w:jc w:val="center"/>
              <w:rPr>
                <w:rFonts w:hint="cs"/>
                <w:rtl/>
              </w:rPr>
            </w:pPr>
            <w:r>
              <w:rPr>
                <w:rFonts w:hint="cs"/>
                <w:rtl/>
              </w:rPr>
              <w:t>3.7</w:t>
            </w:r>
          </w:p>
        </w:tc>
        <w:tc>
          <w:tcPr>
            <w:tcW w:w="1080" w:type="dxa"/>
            <w:tcBorders>
              <w:top w:val="single" w:sz="4" w:space="0" w:color="auto"/>
              <w:bottom w:val="nil"/>
            </w:tcBorders>
          </w:tcPr>
          <w:p w:rsidR="003865AC" w:rsidRDefault="003865AC">
            <w:pPr>
              <w:spacing w:before="0" w:after="0"/>
              <w:jc w:val="center"/>
              <w:rPr>
                <w:rFonts w:hint="cs"/>
                <w:rtl/>
              </w:rPr>
            </w:pPr>
            <w:r>
              <w:rPr>
                <w:rFonts w:hint="cs"/>
                <w:rtl/>
              </w:rPr>
              <w:t>3.9</w:t>
            </w:r>
          </w:p>
        </w:tc>
        <w:tc>
          <w:tcPr>
            <w:tcW w:w="1080" w:type="dxa"/>
            <w:tcBorders>
              <w:top w:val="single" w:sz="4" w:space="0" w:color="auto"/>
              <w:bottom w:val="nil"/>
            </w:tcBorders>
          </w:tcPr>
          <w:p w:rsidR="003865AC" w:rsidRDefault="003865AC">
            <w:pPr>
              <w:spacing w:before="0" w:after="0"/>
              <w:jc w:val="center"/>
              <w:rPr>
                <w:rFonts w:hint="cs"/>
                <w:rtl/>
              </w:rPr>
            </w:pPr>
            <w:r>
              <w:rPr>
                <w:rFonts w:hint="cs"/>
                <w:rtl/>
              </w:rPr>
              <w:t>3.9</w:t>
            </w:r>
          </w:p>
        </w:tc>
        <w:tc>
          <w:tcPr>
            <w:tcW w:w="1204" w:type="dxa"/>
            <w:tcBorders>
              <w:top w:val="single" w:sz="4" w:space="0" w:color="auto"/>
              <w:bottom w:val="nil"/>
            </w:tcBorders>
          </w:tcPr>
          <w:p w:rsidR="003865AC" w:rsidRDefault="003865AC">
            <w:pPr>
              <w:spacing w:before="0" w:after="0"/>
              <w:jc w:val="center"/>
              <w:rPr>
                <w:rFonts w:hint="cs"/>
                <w:rtl/>
              </w:rPr>
            </w:pPr>
            <w:r>
              <w:rPr>
                <w:rFonts w:hint="cs"/>
                <w:rtl/>
              </w:rPr>
              <w:t>3.6</w:t>
            </w:r>
          </w:p>
        </w:tc>
        <w:tc>
          <w:tcPr>
            <w:tcW w:w="1064" w:type="dxa"/>
            <w:tcBorders>
              <w:top w:val="single" w:sz="4" w:space="0" w:color="auto"/>
              <w:bottom w:val="nil"/>
            </w:tcBorders>
          </w:tcPr>
          <w:p w:rsidR="003865AC" w:rsidRDefault="003865AC">
            <w:pPr>
              <w:spacing w:before="0" w:after="0"/>
              <w:jc w:val="center"/>
              <w:rPr>
                <w:rFonts w:hint="cs"/>
                <w:rtl/>
              </w:rPr>
            </w:pPr>
            <w:r>
              <w:rPr>
                <w:rFonts w:hint="cs"/>
                <w:rtl/>
              </w:rPr>
              <w:t>3.5</w:t>
            </w:r>
          </w:p>
        </w:tc>
      </w:tr>
      <w:tr w:rsidR="003865AC" w:rsidTr="003865AC">
        <w:tblPrEx>
          <w:tblCellMar>
            <w:top w:w="0" w:type="dxa"/>
            <w:bottom w:w="0" w:type="dxa"/>
          </w:tblCellMar>
        </w:tblPrEx>
        <w:tc>
          <w:tcPr>
            <w:tcW w:w="822" w:type="dxa"/>
            <w:tcBorders>
              <w:top w:val="nil"/>
            </w:tcBorders>
          </w:tcPr>
          <w:p w:rsidR="003865AC" w:rsidRDefault="003865AC">
            <w:pPr>
              <w:spacing w:before="0" w:after="0"/>
              <w:jc w:val="both"/>
              <w:rPr>
                <w:rFonts w:hint="cs"/>
                <w:rtl/>
              </w:rPr>
            </w:pPr>
            <w:r>
              <w:rPr>
                <w:rFonts w:hint="cs"/>
                <w:rtl/>
              </w:rPr>
              <w:t>الريف</w:t>
            </w:r>
          </w:p>
        </w:tc>
        <w:tc>
          <w:tcPr>
            <w:tcW w:w="1080" w:type="dxa"/>
            <w:tcBorders>
              <w:top w:val="nil"/>
            </w:tcBorders>
          </w:tcPr>
          <w:p w:rsidR="003865AC" w:rsidRDefault="003865AC">
            <w:pPr>
              <w:spacing w:before="0" w:after="0"/>
              <w:jc w:val="center"/>
              <w:rPr>
                <w:rFonts w:hint="cs"/>
                <w:rtl/>
              </w:rPr>
            </w:pPr>
            <w:r>
              <w:rPr>
                <w:rFonts w:hint="cs"/>
                <w:rtl/>
              </w:rPr>
              <w:t>2.5</w:t>
            </w:r>
          </w:p>
        </w:tc>
        <w:tc>
          <w:tcPr>
            <w:tcW w:w="1080" w:type="dxa"/>
            <w:tcBorders>
              <w:top w:val="nil"/>
            </w:tcBorders>
          </w:tcPr>
          <w:p w:rsidR="003865AC" w:rsidRDefault="003865AC">
            <w:pPr>
              <w:spacing w:before="0" w:after="0"/>
              <w:jc w:val="center"/>
              <w:rPr>
                <w:rFonts w:hint="cs"/>
                <w:rtl/>
              </w:rPr>
            </w:pPr>
            <w:r>
              <w:rPr>
                <w:rFonts w:hint="cs"/>
                <w:rtl/>
              </w:rPr>
              <w:t>2.8</w:t>
            </w:r>
          </w:p>
        </w:tc>
        <w:tc>
          <w:tcPr>
            <w:tcW w:w="1080" w:type="dxa"/>
            <w:tcBorders>
              <w:top w:val="nil"/>
            </w:tcBorders>
          </w:tcPr>
          <w:p w:rsidR="003865AC" w:rsidRDefault="003865AC">
            <w:pPr>
              <w:spacing w:before="0" w:after="0"/>
              <w:jc w:val="center"/>
              <w:rPr>
                <w:rFonts w:hint="cs"/>
                <w:rtl/>
              </w:rPr>
            </w:pPr>
            <w:r>
              <w:rPr>
                <w:rFonts w:hint="cs"/>
                <w:rtl/>
              </w:rPr>
              <w:t>2.3</w:t>
            </w:r>
          </w:p>
        </w:tc>
        <w:tc>
          <w:tcPr>
            <w:tcW w:w="1080" w:type="dxa"/>
            <w:tcBorders>
              <w:top w:val="nil"/>
            </w:tcBorders>
          </w:tcPr>
          <w:p w:rsidR="003865AC" w:rsidRDefault="003865AC">
            <w:pPr>
              <w:spacing w:before="0" w:after="0"/>
              <w:jc w:val="center"/>
              <w:rPr>
                <w:rFonts w:hint="cs"/>
                <w:rtl/>
              </w:rPr>
            </w:pPr>
            <w:r>
              <w:rPr>
                <w:rFonts w:hint="cs"/>
                <w:rtl/>
              </w:rPr>
              <w:t>2.9</w:t>
            </w:r>
          </w:p>
        </w:tc>
        <w:tc>
          <w:tcPr>
            <w:tcW w:w="1080" w:type="dxa"/>
            <w:tcBorders>
              <w:top w:val="nil"/>
            </w:tcBorders>
          </w:tcPr>
          <w:p w:rsidR="003865AC" w:rsidRDefault="003865AC">
            <w:pPr>
              <w:spacing w:before="0" w:after="0"/>
              <w:jc w:val="center"/>
              <w:rPr>
                <w:rFonts w:hint="cs"/>
                <w:rtl/>
              </w:rPr>
            </w:pPr>
            <w:r>
              <w:rPr>
                <w:rFonts w:hint="cs"/>
                <w:rtl/>
              </w:rPr>
              <w:t>2.6</w:t>
            </w:r>
          </w:p>
        </w:tc>
        <w:tc>
          <w:tcPr>
            <w:tcW w:w="1080" w:type="dxa"/>
            <w:tcBorders>
              <w:top w:val="nil"/>
            </w:tcBorders>
          </w:tcPr>
          <w:p w:rsidR="003865AC" w:rsidRDefault="003865AC">
            <w:pPr>
              <w:spacing w:before="0" w:after="0"/>
              <w:jc w:val="center"/>
              <w:rPr>
                <w:rFonts w:hint="cs"/>
                <w:rtl/>
              </w:rPr>
            </w:pPr>
            <w:r>
              <w:rPr>
                <w:rFonts w:hint="cs"/>
                <w:rtl/>
              </w:rPr>
              <w:t>2.3</w:t>
            </w:r>
          </w:p>
        </w:tc>
        <w:tc>
          <w:tcPr>
            <w:tcW w:w="1204" w:type="dxa"/>
            <w:tcBorders>
              <w:top w:val="nil"/>
            </w:tcBorders>
          </w:tcPr>
          <w:p w:rsidR="003865AC" w:rsidRDefault="003865AC">
            <w:pPr>
              <w:spacing w:before="0" w:after="0"/>
              <w:jc w:val="center"/>
              <w:rPr>
                <w:rFonts w:hint="cs"/>
                <w:rtl/>
              </w:rPr>
            </w:pPr>
            <w:r>
              <w:rPr>
                <w:rFonts w:hint="cs"/>
                <w:rtl/>
              </w:rPr>
              <w:t>2.7</w:t>
            </w:r>
          </w:p>
        </w:tc>
        <w:tc>
          <w:tcPr>
            <w:tcW w:w="1064" w:type="dxa"/>
            <w:tcBorders>
              <w:top w:val="nil"/>
            </w:tcBorders>
          </w:tcPr>
          <w:p w:rsidR="003865AC" w:rsidRDefault="003865AC">
            <w:pPr>
              <w:spacing w:before="0" w:after="0"/>
              <w:jc w:val="center"/>
              <w:rPr>
                <w:rFonts w:hint="cs"/>
                <w:rtl/>
              </w:rPr>
            </w:pPr>
            <w:r>
              <w:rPr>
                <w:rFonts w:hint="cs"/>
                <w:rtl/>
              </w:rPr>
              <w:t>2.8</w:t>
            </w:r>
          </w:p>
        </w:tc>
      </w:tr>
    </w:tbl>
    <w:p w:rsidR="00000000" w:rsidRDefault="003865AC">
      <w:pPr>
        <w:jc w:val="center"/>
        <w:rPr>
          <w:rFonts w:hint="cs"/>
          <w:b/>
          <w:bCs/>
          <w:rtl/>
        </w:rPr>
      </w:pPr>
      <w:r>
        <w:rPr>
          <w:rFonts w:hint="cs"/>
          <w:b/>
          <w:bCs/>
          <w:rtl/>
        </w:rPr>
        <w:t>الجدول 4</w:t>
      </w:r>
    </w:p>
    <w:p w:rsidR="00000000" w:rsidRDefault="003865AC">
      <w:pPr>
        <w:jc w:val="center"/>
        <w:rPr>
          <w:rFonts w:hint="cs"/>
          <w:i/>
          <w:iCs/>
          <w:rtl/>
        </w:rPr>
      </w:pPr>
      <w:r>
        <w:rPr>
          <w:rFonts w:hint="cs"/>
          <w:i/>
          <w:iCs/>
          <w:rtl/>
        </w:rPr>
        <w:t>مُعامل جيني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1980"/>
        <w:gridCol w:w="1983"/>
        <w:gridCol w:w="1595"/>
        <w:gridCol w:w="1595"/>
        <w:gridCol w:w="1595"/>
      </w:tblGrid>
      <w:tr w:rsidR="003865AC" w:rsidTr="003865AC">
        <w:tblPrEx>
          <w:tblCellMar>
            <w:top w:w="0" w:type="dxa"/>
            <w:bottom w:w="0" w:type="dxa"/>
          </w:tblCellMar>
        </w:tblPrEx>
        <w:tc>
          <w:tcPr>
            <w:tcW w:w="822" w:type="dxa"/>
            <w:tcBorders>
              <w:bottom w:val="single" w:sz="4" w:space="0" w:color="auto"/>
            </w:tcBorders>
          </w:tcPr>
          <w:p w:rsidR="003865AC" w:rsidRDefault="003865AC">
            <w:pPr>
              <w:spacing w:before="0" w:after="0"/>
              <w:jc w:val="both"/>
              <w:rPr>
                <w:rStyle w:val="FootnoteReference"/>
                <w:rFonts w:hint="cs"/>
                <w:bCs w:val="0"/>
                <w:vertAlign w:val="baseline"/>
              </w:rPr>
            </w:pPr>
          </w:p>
        </w:tc>
        <w:tc>
          <w:tcPr>
            <w:tcW w:w="1980" w:type="dxa"/>
            <w:tcBorders>
              <w:bottom w:val="single" w:sz="4" w:space="0" w:color="auto"/>
            </w:tcBorders>
          </w:tcPr>
          <w:p w:rsidR="003865AC" w:rsidRDefault="003865AC">
            <w:pPr>
              <w:spacing w:before="0" w:after="0"/>
              <w:jc w:val="center"/>
              <w:rPr>
                <w:rStyle w:val="FootnoteReference"/>
                <w:rFonts w:hint="cs"/>
                <w:b/>
                <w:sz w:val="30"/>
                <w:szCs w:val="30"/>
                <w:vertAlign w:val="baseline"/>
              </w:rPr>
            </w:pPr>
            <w:r>
              <w:rPr>
                <w:rFonts w:hint="cs"/>
                <w:b/>
                <w:bCs/>
                <w:sz w:val="30"/>
                <w:rtl/>
              </w:rPr>
              <w:t>حسب الدخل النقدي</w:t>
            </w:r>
          </w:p>
        </w:tc>
        <w:tc>
          <w:tcPr>
            <w:tcW w:w="1983" w:type="dxa"/>
            <w:tcBorders>
              <w:bottom w:val="single" w:sz="4" w:space="0" w:color="auto"/>
            </w:tcBorders>
          </w:tcPr>
          <w:p w:rsidR="003865AC" w:rsidRDefault="003865AC">
            <w:pPr>
              <w:spacing w:before="0" w:after="0"/>
              <w:jc w:val="center"/>
              <w:rPr>
                <w:rStyle w:val="FootnoteReference"/>
                <w:rFonts w:hint="cs"/>
                <w:b/>
                <w:bCs w:val="0"/>
                <w:sz w:val="30"/>
                <w:szCs w:val="30"/>
                <w:vertAlign w:val="baseline"/>
              </w:rPr>
            </w:pPr>
            <w:r>
              <w:rPr>
                <w:rFonts w:hint="cs"/>
                <w:b/>
                <w:bCs/>
                <w:sz w:val="30"/>
                <w:rtl/>
              </w:rPr>
              <w:t>حسب مجموع الدخل</w:t>
            </w:r>
          </w:p>
        </w:tc>
        <w:tc>
          <w:tcPr>
            <w:tcW w:w="1595" w:type="dxa"/>
            <w:tcBorders>
              <w:bottom w:val="single" w:sz="4" w:space="0" w:color="auto"/>
            </w:tcBorders>
          </w:tcPr>
          <w:p w:rsidR="003865AC" w:rsidRDefault="003865AC">
            <w:pPr>
              <w:spacing w:before="0" w:after="0"/>
              <w:jc w:val="center"/>
              <w:rPr>
                <w:rStyle w:val="FootnoteReference"/>
                <w:rFonts w:hint="cs"/>
                <w:b/>
                <w:bCs w:val="0"/>
                <w:sz w:val="30"/>
                <w:szCs w:val="30"/>
                <w:vertAlign w:val="baseline"/>
              </w:rPr>
            </w:pPr>
            <w:r>
              <w:rPr>
                <w:rFonts w:hint="cs"/>
                <w:b/>
                <w:bCs/>
                <w:sz w:val="30"/>
                <w:rtl/>
              </w:rPr>
              <w:t>حسب الإنفاق النقدي</w:t>
            </w:r>
          </w:p>
        </w:tc>
        <w:tc>
          <w:tcPr>
            <w:tcW w:w="1595" w:type="dxa"/>
            <w:tcBorders>
              <w:bottom w:val="single" w:sz="4" w:space="0" w:color="auto"/>
            </w:tcBorders>
          </w:tcPr>
          <w:p w:rsidR="003865AC" w:rsidRDefault="003865AC">
            <w:pPr>
              <w:spacing w:before="0" w:after="0"/>
              <w:jc w:val="center"/>
              <w:rPr>
                <w:rStyle w:val="FootnoteReference"/>
                <w:rFonts w:hint="cs"/>
                <w:b/>
                <w:bCs w:val="0"/>
                <w:sz w:val="30"/>
                <w:szCs w:val="30"/>
                <w:vertAlign w:val="baseline"/>
              </w:rPr>
            </w:pPr>
            <w:r>
              <w:rPr>
                <w:rFonts w:hint="cs"/>
                <w:b/>
                <w:bCs/>
                <w:sz w:val="30"/>
                <w:rtl/>
              </w:rPr>
              <w:t>حسب مجموع الإنفاق</w:t>
            </w:r>
          </w:p>
        </w:tc>
        <w:tc>
          <w:tcPr>
            <w:tcW w:w="1595" w:type="dxa"/>
            <w:tcBorders>
              <w:bottom w:val="single" w:sz="4" w:space="0" w:color="auto"/>
            </w:tcBorders>
          </w:tcPr>
          <w:p w:rsidR="003865AC" w:rsidRDefault="003865AC">
            <w:pPr>
              <w:spacing w:before="0" w:after="0"/>
              <w:jc w:val="center"/>
              <w:rPr>
                <w:rStyle w:val="FootnoteReference"/>
                <w:rFonts w:hint="cs"/>
                <w:b/>
                <w:bCs w:val="0"/>
                <w:sz w:val="30"/>
                <w:szCs w:val="30"/>
                <w:vertAlign w:val="baseline"/>
              </w:rPr>
            </w:pPr>
            <w:r>
              <w:rPr>
                <w:rFonts w:hint="cs"/>
                <w:b/>
                <w:bCs/>
                <w:sz w:val="30"/>
                <w:rtl/>
              </w:rPr>
              <w:t>حسب مجموع الاستهلاك</w:t>
            </w:r>
          </w:p>
        </w:tc>
      </w:tr>
      <w:tr w:rsidR="003865AC" w:rsidTr="003865AC">
        <w:tblPrEx>
          <w:tblCellMar>
            <w:top w:w="0" w:type="dxa"/>
            <w:bottom w:w="0" w:type="dxa"/>
          </w:tblCellMar>
        </w:tblPrEx>
        <w:tc>
          <w:tcPr>
            <w:tcW w:w="822" w:type="dxa"/>
            <w:tcBorders>
              <w:bottom w:val="nil"/>
            </w:tcBorders>
          </w:tcPr>
          <w:p w:rsidR="003865AC" w:rsidRDefault="003865AC">
            <w:pPr>
              <w:spacing w:before="0" w:after="0"/>
              <w:jc w:val="both"/>
              <w:rPr>
                <w:rStyle w:val="FootnoteReference"/>
                <w:rFonts w:hint="cs"/>
                <w:b/>
                <w:vertAlign w:val="baseline"/>
              </w:rPr>
            </w:pPr>
            <w:r>
              <w:rPr>
                <w:rFonts w:hint="cs"/>
                <w:b/>
                <w:rtl/>
              </w:rPr>
              <w:t>1997</w:t>
            </w:r>
          </w:p>
        </w:tc>
        <w:tc>
          <w:tcPr>
            <w:tcW w:w="1980" w:type="dxa"/>
            <w:tcBorders>
              <w:bottom w:val="nil"/>
            </w:tcBorders>
          </w:tcPr>
          <w:p w:rsidR="003865AC" w:rsidRDefault="003865AC">
            <w:pPr>
              <w:spacing w:before="0" w:after="0"/>
              <w:jc w:val="center"/>
              <w:rPr>
                <w:rStyle w:val="FootnoteReference"/>
                <w:b/>
                <w:vertAlign w:val="baseline"/>
              </w:rPr>
            </w:pPr>
            <w:r>
              <w:rPr>
                <w:rFonts w:hint="cs"/>
                <w:b/>
                <w:rtl/>
              </w:rPr>
              <w:t>0.55</w:t>
            </w:r>
          </w:p>
        </w:tc>
        <w:tc>
          <w:tcPr>
            <w:tcW w:w="1983" w:type="dxa"/>
            <w:tcBorders>
              <w:bottom w:val="nil"/>
            </w:tcBorders>
          </w:tcPr>
          <w:p w:rsidR="003865AC" w:rsidRDefault="003865AC">
            <w:pPr>
              <w:spacing w:before="0" w:after="0"/>
              <w:jc w:val="center"/>
              <w:rPr>
                <w:rStyle w:val="FootnoteReference"/>
                <w:rFonts w:hint="cs"/>
                <w:b/>
                <w:vertAlign w:val="baseline"/>
              </w:rPr>
            </w:pPr>
            <w:r>
              <w:rPr>
                <w:rFonts w:hint="cs"/>
                <w:b/>
                <w:rtl/>
              </w:rPr>
              <w:t>0.52</w:t>
            </w:r>
          </w:p>
        </w:tc>
        <w:tc>
          <w:tcPr>
            <w:tcW w:w="1595" w:type="dxa"/>
            <w:tcBorders>
              <w:bottom w:val="nil"/>
            </w:tcBorders>
          </w:tcPr>
          <w:p w:rsidR="003865AC" w:rsidRDefault="003865AC">
            <w:pPr>
              <w:spacing w:before="0" w:after="0"/>
              <w:jc w:val="center"/>
              <w:rPr>
                <w:rStyle w:val="FootnoteReference"/>
                <w:rFonts w:hint="cs"/>
                <w:b/>
                <w:vertAlign w:val="baseline"/>
              </w:rPr>
            </w:pPr>
            <w:r>
              <w:rPr>
                <w:rFonts w:hint="cs"/>
                <w:b/>
                <w:rtl/>
              </w:rPr>
              <w:t>0.46</w:t>
            </w:r>
          </w:p>
        </w:tc>
        <w:tc>
          <w:tcPr>
            <w:tcW w:w="1595" w:type="dxa"/>
            <w:tcBorders>
              <w:bottom w:val="nil"/>
            </w:tcBorders>
          </w:tcPr>
          <w:p w:rsidR="003865AC" w:rsidRDefault="003865AC">
            <w:pPr>
              <w:spacing w:before="0" w:after="0"/>
              <w:jc w:val="center"/>
              <w:rPr>
                <w:rStyle w:val="FootnoteReference"/>
                <w:rFonts w:hint="cs"/>
                <w:b/>
                <w:vertAlign w:val="baseline"/>
              </w:rPr>
            </w:pPr>
            <w:r>
              <w:rPr>
                <w:rFonts w:hint="cs"/>
                <w:b/>
                <w:rtl/>
              </w:rPr>
              <w:t>0.44</w:t>
            </w:r>
          </w:p>
        </w:tc>
        <w:tc>
          <w:tcPr>
            <w:tcW w:w="1595" w:type="dxa"/>
            <w:tcBorders>
              <w:bottom w:val="nil"/>
            </w:tcBorders>
          </w:tcPr>
          <w:p w:rsidR="003865AC" w:rsidRDefault="003865AC">
            <w:pPr>
              <w:spacing w:before="0" w:after="0"/>
              <w:jc w:val="center"/>
              <w:rPr>
                <w:rStyle w:val="FootnoteReference"/>
                <w:rFonts w:hint="cs"/>
                <w:b/>
                <w:vertAlign w:val="baseline"/>
              </w:rPr>
            </w:pPr>
            <w:r>
              <w:rPr>
                <w:rFonts w:hint="cs"/>
                <w:b/>
                <w:rtl/>
              </w:rPr>
              <w:t>0.39</w:t>
            </w:r>
          </w:p>
        </w:tc>
      </w:tr>
      <w:tr w:rsidR="003865AC" w:rsidTr="003865AC">
        <w:tblPrEx>
          <w:tblCellMar>
            <w:top w:w="0" w:type="dxa"/>
            <w:bottom w:w="0" w:type="dxa"/>
          </w:tblCellMar>
        </w:tblPrEx>
        <w:tc>
          <w:tcPr>
            <w:tcW w:w="822" w:type="dxa"/>
            <w:tcBorders>
              <w:top w:val="nil"/>
              <w:bottom w:val="nil"/>
            </w:tcBorders>
          </w:tcPr>
          <w:p w:rsidR="003865AC" w:rsidRDefault="003865AC">
            <w:pPr>
              <w:spacing w:before="0" w:after="0"/>
              <w:jc w:val="both"/>
              <w:rPr>
                <w:rStyle w:val="FootnoteReference"/>
                <w:rFonts w:hint="cs"/>
                <w:b/>
                <w:vertAlign w:val="baseline"/>
              </w:rPr>
            </w:pPr>
            <w:r>
              <w:rPr>
                <w:rFonts w:hint="cs"/>
                <w:b/>
                <w:rtl/>
              </w:rPr>
              <w:t>1998</w:t>
            </w:r>
          </w:p>
        </w:tc>
        <w:tc>
          <w:tcPr>
            <w:tcW w:w="1980" w:type="dxa"/>
            <w:tcBorders>
              <w:top w:val="nil"/>
              <w:bottom w:val="nil"/>
            </w:tcBorders>
          </w:tcPr>
          <w:p w:rsidR="003865AC" w:rsidRDefault="003865AC">
            <w:pPr>
              <w:spacing w:before="0" w:after="0"/>
              <w:jc w:val="center"/>
              <w:rPr>
                <w:rStyle w:val="FootnoteReference"/>
                <w:rFonts w:hint="cs"/>
                <w:b/>
                <w:vertAlign w:val="baseline"/>
              </w:rPr>
            </w:pPr>
            <w:r>
              <w:rPr>
                <w:rFonts w:hint="cs"/>
                <w:b/>
                <w:rtl/>
              </w:rPr>
              <w:t>0.54</w:t>
            </w:r>
          </w:p>
        </w:tc>
        <w:tc>
          <w:tcPr>
            <w:tcW w:w="1983" w:type="dxa"/>
            <w:tcBorders>
              <w:top w:val="nil"/>
              <w:bottom w:val="nil"/>
            </w:tcBorders>
          </w:tcPr>
          <w:p w:rsidR="003865AC" w:rsidRDefault="003865AC">
            <w:pPr>
              <w:spacing w:before="0" w:after="0"/>
              <w:jc w:val="center"/>
              <w:rPr>
                <w:rStyle w:val="FootnoteReference"/>
                <w:rFonts w:hint="cs"/>
                <w:b/>
                <w:vertAlign w:val="baseline"/>
              </w:rPr>
            </w:pPr>
            <w:r>
              <w:rPr>
                <w:rFonts w:hint="cs"/>
                <w:b/>
                <w:rtl/>
              </w:rPr>
              <w:t>0.50</w:t>
            </w:r>
          </w:p>
        </w:tc>
        <w:tc>
          <w:tcPr>
            <w:tcW w:w="1595" w:type="dxa"/>
            <w:tcBorders>
              <w:top w:val="nil"/>
              <w:bottom w:val="nil"/>
            </w:tcBorders>
          </w:tcPr>
          <w:p w:rsidR="003865AC" w:rsidRDefault="003865AC">
            <w:pPr>
              <w:spacing w:before="0" w:after="0"/>
              <w:jc w:val="center"/>
              <w:rPr>
                <w:rStyle w:val="FootnoteReference"/>
                <w:rFonts w:hint="cs"/>
                <w:b/>
                <w:vertAlign w:val="baseline"/>
              </w:rPr>
            </w:pPr>
            <w:r>
              <w:rPr>
                <w:rFonts w:hint="cs"/>
                <w:b/>
                <w:rtl/>
              </w:rPr>
              <w:t>0.46</w:t>
            </w:r>
          </w:p>
        </w:tc>
        <w:tc>
          <w:tcPr>
            <w:tcW w:w="1595" w:type="dxa"/>
            <w:tcBorders>
              <w:top w:val="nil"/>
              <w:bottom w:val="nil"/>
            </w:tcBorders>
          </w:tcPr>
          <w:p w:rsidR="003865AC" w:rsidRDefault="003865AC">
            <w:pPr>
              <w:spacing w:before="0" w:after="0"/>
              <w:jc w:val="center"/>
              <w:rPr>
                <w:rStyle w:val="FootnoteReference"/>
                <w:rFonts w:hint="cs"/>
                <w:b/>
                <w:vertAlign w:val="baseline"/>
              </w:rPr>
            </w:pPr>
            <w:r>
              <w:rPr>
                <w:rFonts w:hint="cs"/>
                <w:b/>
                <w:rtl/>
              </w:rPr>
              <w:t>0.43</w:t>
            </w:r>
          </w:p>
        </w:tc>
        <w:tc>
          <w:tcPr>
            <w:tcW w:w="1595" w:type="dxa"/>
            <w:tcBorders>
              <w:top w:val="nil"/>
              <w:bottom w:val="nil"/>
            </w:tcBorders>
          </w:tcPr>
          <w:p w:rsidR="003865AC" w:rsidRDefault="003865AC">
            <w:pPr>
              <w:spacing w:before="0" w:after="0"/>
              <w:jc w:val="center"/>
              <w:rPr>
                <w:rStyle w:val="FootnoteReference"/>
                <w:rFonts w:hint="cs"/>
                <w:b/>
                <w:vertAlign w:val="baseline"/>
              </w:rPr>
            </w:pPr>
            <w:r>
              <w:rPr>
                <w:rFonts w:hint="cs"/>
                <w:b/>
                <w:rtl/>
              </w:rPr>
              <w:t>0.39</w:t>
            </w:r>
          </w:p>
        </w:tc>
      </w:tr>
      <w:tr w:rsidR="003865AC" w:rsidTr="003865AC">
        <w:tblPrEx>
          <w:tblCellMar>
            <w:top w:w="0" w:type="dxa"/>
            <w:bottom w:w="0" w:type="dxa"/>
          </w:tblCellMar>
        </w:tblPrEx>
        <w:tc>
          <w:tcPr>
            <w:tcW w:w="822" w:type="dxa"/>
            <w:tcBorders>
              <w:top w:val="nil"/>
              <w:bottom w:val="single" w:sz="4" w:space="0" w:color="auto"/>
            </w:tcBorders>
          </w:tcPr>
          <w:p w:rsidR="003865AC" w:rsidRDefault="003865AC">
            <w:pPr>
              <w:spacing w:before="0" w:after="0"/>
              <w:jc w:val="both"/>
              <w:rPr>
                <w:rStyle w:val="FootnoteReference"/>
                <w:rFonts w:hint="cs"/>
                <w:b/>
                <w:vertAlign w:val="baseline"/>
              </w:rPr>
            </w:pPr>
            <w:r>
              <w:rPr>
                <w:rFonts w:hint="cs"/>
                <w:b/>
                <w:rtl/>
              </w:rPr>
              <w:t>1999</w:t>
            </w:r>
          </w:p>
        </w:tc>
        <w:tc>
          <w:tcPr>
            <w:tcW w:w="1980" w:type="dxa"/>
            <w:tcBorders>
              <w:top w:val="nil"/>
              <w:bottom w:val="single" w:sz="4" w:space="0" w:color="auto"/>
            </w:tcBorders>
          </w:tcPr>
          <w:p w:rsidR="003865AC" w:rsidRDefault="003865AC">
            <w:pPr>
              <w:spacing w:before="0" w:after="0"/>
              <w:jc w:val="center"/>
              <w:rPr>
                <w:rStyle w:val="FootnoteReference"/>
                <w:rFonts w:hint="cs"/>
                <w:b/>
                <w:vertAlign w:val="baseline"/>
              </w:rPr>
            </w:pPr>
            <w:r>
              <w:rPr>
                <w:rFonts w:hint="cs"/>
                <w:b/>
                <w:rtl/>
              </w:rPr>
              <w:t>0.58</w:t>
            </w:r>
          </w:p>
        </w:tc>
        <w:tc>
          <w:tcPr>
            <w:tcW w:w="1983" w:type="dxa"/>
            <w:tcBorders>
              <w:top w:val="nil"/>
              <w:bottom w:val="single" w:sz="4" w:space="0" w:color="auto"/>
            </w:tcBorders>
          </w:tcPr>
          <w:p w:rsidR="003865AC" w:rsidRDefault="003865AC">
            <w:pPr>
              <w:spacing w:before="0" w:after="0"/>
              <w:jc w:val="center"/>
              <w:rPr>
                <w:rStyle w:val="FootnoteReference"/>
                <w:rFonts w:hint="cs"/>
                <w:b/>
                <w:vertAlign w:val="baseline"/>
              </w:rPr>
            </w:pPr>
            <w:r>
              <w:rPr>
                <w:rFonts w:hint="cs"/>
                <w:b/>
                <w:rtl/>
              </w:rPr>
              <w:t>0.52</w:t>
            </w:r>
          </w:p>
        </w:tc>
        <w:tc>
          <w:tcPr>
            <w:tcW w:w="1595" w:type="dxa"/>
            <w:tcBorders>
              <w:top w:val="nil"/>
              <w:bottom w:val="single" w:sz="4" w:space="0" w:color="auto"/>
            </w:tcBorders>
          </w:tcPr>
          <w:p w:rsidR="003865AC" w:rsidRDefault="003865AC">
            <w:pPr>
              <w:spacing w:before="0" w:after="0"/>
              <w:jc w:val="center"/>
              <w:rPr>
                <w:rStyle w:val="FootnoteReference"/>
                <w:rFonts w:hint="cs"/>
                <w:b/>
                <w:vertAlign w:val="baseline"/>
              </w:rPr>
            </w:pPr>
            <w:r>
              <w:rPr>
                <w:rFonts w:hint="cs"/>
                <w:b/>
                <w:rtl/>
              </w:rPr>
              <w:t>0.45</w:t>
            </w:r>
          </w:p>
        </w:tc>
        <w:tc>
          <w:tcPr>
            <w:tcW w:w="1595" w:type="dxa"/>
            <w:tcBorders>
              <w:top w:val="nil"/>
              <w:bottom w:val="single" w:sz="4" w:space="0" w:color="auto"/>
            </w:tcBorders>
          </w:tcPr>
          <w:p w:rsidR="003865AC" w:rsidRDefault="003865AC">
            <w:pPr>
              <w:spacing w:before="0" w:after="0"/>
              <w:jc w:val="center"/>
              <w:rPr>
                <w:rStyle w:val="FootnoteReference"/>
                <w:rFonts w:hint="cs"/>
                <w:b/>
                <w:vertAlign w:val="baseline"/>
              </w:rPr>
            </w:pPr>
            <w:r>
              <w:rPr>
                <w:rFonts w:hint="cs"/>
                <w:b/>
                <w:rtl/>
              </w:rPr>
              <w:t>0.43</w:t>
            </w:r>
          </w:p>
        </w:tc>
        <w:tc>
          <w:tcPr>
            <w:tcW w:w="1595" w:type="dxa"/>
            <w:tcBorders>
              <w:top w:val="nil"/>
              <w:bottom w:val="single" w:sz="4" w:space="0" w:color="auto"/>
            </w:tcBorders>
          </w:tcPr>
          <w:p w:rsidR="003865AC" w:rsidRDefault="003865AC">
            <w:pPr>
              <w:spacing w:before="0" w:after="0"/>
              <w:jc w:val="center"/>
              <w:rPr>
                <w:rStyle w:val="FootnoteReference"/>
                <w:rFonts w:hint="cs"/>
                <w:b/>
                <w:vertAlign w:val="baseline"/>
              </w:rPr>
            </w:pPr>
            <w:r>
              <w:rPr>
                <w:rFonts w:hint="cs"/>
                <w:b/>
                <w:rtl/>
              </w:rPr>
              <w:t>0.39</w:t>
            </w:r>
          </w:p>
        </w:tc>
      </w:tr>
    </w:tbl>
    <w:p w:rsidR="00000000" w:rsidRDefault="003865AC">
      <w:pPr>
        <w:jc w:val="center"/>
        <w:rPr>
          <w:rFonts w:hint="cs"/>
          <w:b/>
          <w:bCs/>
          <w:rtl/>
        </w:rPr>
      </w:pPr>
      <w:r>
        <w:rPr>
          <w:rFonts w:hint="cs"/>
          <w:b/>
          <w:bCs/>
          <w:rtl/>
        </w:rPr>
        <w:t>قائمة بالوثائق المرفقة</w:t>
      </w:r>
    </w:p>
    <w:p w:rsidR="00000000" w:rsidRDefault="003865AC">
      <w:pPr>
        <w:jc w:val="both"/>
        <w:rPr>
          <w:rFonts w:hint="cs"/>
          <w:rtl/>
        </w:rPr>
      </w:pPr>
      <w:r>
        <w:rPr>
          <w:rFonts w:hint="cs"/>
          <w:rtl/>
        </w:rPr>
        <w:t>1-</w:t>
      </w:r>
      <w:r>
        <w:rPr>
          <w:rFonts w:hint="cs"/>
          <w:rtl/>
        </w:rPr>
        <w:tab/>
        <w:t>نص مؤقت للبرنامج الوطني للحد من الفقر وتحقيق النمو الاقتصادي (باللغة ا</w:t>
      </w:r>
      <w:r>
        <w:rPr>
          <w:rFonts w:hint="cs"/>
          <w:rtl/>
        </w:rPr>
        <w:t>لإنكليزية).</w:t>
      </w:r>
    </w:p>
    <w:p w:rsidR="00000000" w:rsidRDefault="003865AC">
      <w:pPr>
        <w:jc w:val="both"/>
        <w:rPr>
          <w:rFonts w:hint="cs"/>
          <w:rtl/>
        </w:rPr>
      </w:pPr>
      <w:r>
        <w:rPr>
          <w:rFonts w:hint="cs"/>
          <w:rtl/>
        </w:rPr>
        <w:t>2-</w:t>
      </w:r>
      <w:r>
        <w:rPr>
          <w:rFonts w:hint="cs"/>
          <w:rtl/>
        </w:rPr>
        <w:tab/>
        <w:t>خلاصة إحصائية عن وضع الرجال والنساء في جورجيا، 1999 (باللغة الإنكليزية).</w:t>
      </w:r>
    </w:p>
    <w:p w:rsidR="00000000" w:rsidRDefault="003865AC">
      <w:pPr>
        <w:jc w:val="cente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65AC">
    <w:pPr>
      <w:pStyle w:val="Footer"/>
      <w:bidi w:val="0"/>
      <w:jc w:val="right"/>
      <w:rPr>
        <w:rtl/>
        <w:lang w:eastAsia="en-US"/>
      </w:rPr>
    </w:pPr>
    <w:r>
      <w:rPr>
        <w:szCs w:val="22"/>
        <w:lang w:eastAsia="en-US"/>
      </w:rPr>
      <w:t xml:space="preserve">(A)     GE.01-44073     </w:t>
    </w:r>
    <w:r>
      <w:rPr>
        <w:szCs w:val="22"/>
        <w:lang w:eastAsia="en-US"/>
      </w:rPr>
      <w:t>041201    201201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3865AC" w:rsidTr="003865AC">
      <w:tblPrEx>
        <w:tblCellMar>
          <w:top w:w="0" w:type="dxa"/>
          <w:bottom w:w="0" w:type="dxa"/>
        </w:tblCellMar>
      </w:tblPrEx>
      <w:tc>
        <w:tcPr>
          <w:tcW w:w="1934" w:type="dxa"/>
        </w:tcPr>
        <w:p w:rsidR="00000000" w:rsidRDefault="003865AC">
          <w:pPr>
            <w:pStyle w:val="Header"/>
            <w:bidi w:val="0"/>
            <w:rPr>
              <w:lang w:val="fr-CH"/>
            </w:rPr>
          </w:pPr>
          <w:r>
            <w:rPr>
              <w:lang w:val="fr-CH"/>
            </w:rPr>
            <w:t>E/1990/6/Add.31</w:t>
          </w:r>
        </w:p>
        <w:p w:rsidR="00000000" w:rsidRDefault="003865AC">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70</w:t>
          </w:r>
          <w:r>
            <w:fldChar w:fldCharType="end"/>
          </w:r>
        </w:p>
      </w:tc>
    </w:tr>
  </w:tbl>
  <w:p w:rsidR="00000000" w:rsidRDefault="003865AC">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65AC">
    <w:pPr>
      <w:pStyle w:val="Header"/>
      <w:bidi w:val="0"/>
      <w:rPr>
        <w:lang w:val="fr-CH"/>
      </w:rPr>
    </w:pPr>
    <w:r>
      <w:rPr>
        <w:lang w:val="fr-CH"/>
      </w:rPr>
      <w:t>E/1990/6/Add.31</w:t>
    </w:r>
  </w:p>
  <w:p w:rsidR="00000000" w:rsidRDefault="003865AC">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69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65AC">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3865AC">
    <w:pPr>
      <w:pBdr>
        <w:bottom w:val="single" w:sz="6" w:space="1" w:color="auto"/>
      </w:pBdr>
      <w:bidi w:val="0"/>
      <w:spacing w:before="0" w:after="0"/>
      <w:rPr>
        <w:rFonts w:cs="Times New Roman"/>
        <w:szCs w:val="22"/>
        <w:lang w:eastAsia="en-US"/>
      </w:rPr>
    </w:pPr>
  </w:p>
  <w:p w:rsidR="00000000" w:rsidRDefault="003865AC">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3865AC">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3865AC">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3865AC">
    <w:pPr>
      <w:pStyle w:val="Header"/>
      <w:bidi w:val="0"/>
      <w:rPr>
        <w:szCs w:val="22"/>
        <w:lang w:eastAsia="en-US"/>
      </w:rPr>
    </w:pPr>
  </w:p>
  <w:p w:rsidR="00000000" w:rsidRDefault="003865AC">
    <w:pPr>
      <w:pStyle w:val="Header"/>
      <w:bidi w:val="0"/>
      <w:rPr>
        <w:szCs w:val="22"/>
        <w:lang w:eastAsia="en-US"/>
      </w:rPr>
    </w:pPr>
  </w:p>
  <w:p w:rsidR="00000000" w:rsidRDefault="003865AC">
    <w:pPr>
      <w:pStyle w:val="Header"/>
      <w:bidi w:val="0"/>
      <w:rPr>
        <w:szCs w:val="22"/>
        <w:lang w:eastAsia="en-US"/>
      </w:rPr>
    </w:pPr>
  </w:p>
  <w:p w:rsidR="00000000" w:rsidRDefault="003865AC">
    <w:pPr>
      <w:pStyle w:val="Header"/>
      <w:bidi w:val="0"/>
      <w:rPr>
        <w:szCs w:val="22"/>
        <w:lang w:eastAsia="en-US"/>
      </w:rPr>
    </w:pPr>
  </w:p>
  <w:p w:rsidR="00000000" w:rsidRDefault="003865AC">
    <w:pPr>
      <w:pStyle w:val="Header"/>
      <w:bidi w:val="0"/>
      <w:rPr>
        <w:rtl/>
        <w:lang w:eastAsia="en-US"/>
      </w:rPr>
    </w:pPr>
  </w:p>
  <w:p w:rsidR="00000000" w:rsidRDefault="003865AC">
    <w:pPr>
      <w:pStyle w:val="Header"/>
      <w:bidi w:val="0"/>
      <w:rPr>
        <w:rtl/>
        <w:lang w:eastAsia="en-US"/>
      </w:rPr>
    </w:pPr>
  </w:p>
  <w:p w:rsidR="00000000" w:rsidRDefault="003865AC">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053D356B"/>
    <w:multiLevelType w:val="hybridMultilevel"/>
    <w:tmpl w:val="20142744"/>
    <w:lvl w:ilvl="0" w:tplc="04090001">
      <w:start w:val="1"/>
      <w:numFmt w:val="bullet"/>
      <w:lvlText w:val=""/>
      <w:lvlJc w:val="left"/>
      <w:pPr>
        <w:tabs>
          <w:tab w:val="num" w:pos="1988"/>
        </w:tabs>
        <w:ind w:left="1988" w:right="1988" w:hanging="360"/>
      </w:pPr>
      <w:rPr>
        <w:rFonts w:ascii="Symbol" w:hAnsi="Symbol" w:hint="default"/>
      </w:rPr>
    </w:lvl>
    <w:lvl w:ilvl="1" w:tplc="04010003" w:tentative="1">
      <w:start w:val="1"/>
      <w:numFmt w:val="bullet"/>
      <w:lvlText w:val="o"/>
      <w:lvlJc w:val="left"/>
      <w:pPr>
        <w:tabs>
          <w:tab w:val="num" w:pos="2074"/>
        </w:tabs>
        <w:ind w:left="2074" w:right="2074" w:hanging="360"/>
      </w:pPr>
      <w:rPr>
        <w:rFonts w:ascii="Courier New" w:hAnsi="Courier New" w:hint="default"/>
      </w:rPr>
    </w:lvl>
    <w:lvl w:ilvl="2" w:tplc="04010005" w:tentative="1">
      <w:start w:val="1"/>
      <w:numFmt w:val="bullet"/>
      <w:lvlText w:val=""/>
      <w:lvlJc w:val="left"/>
      <w:pPr>
        <w:tabs>
          <w:tab w:val="num" w:pos="2794"/>
        </w:tabs>
        <w:ind w:left="2794" w:right="2794" w:hanging="360"/>
      </w:pPr>
      <w:rPr>
        <w:rFonts w:ascii="Wingdings" w:hAnsi="Wingdings" w:hint="default"/>
      </w:rPr>
    </w:lvl>
    <w:lvl w:ilvl="3" w:tplc="04010001" w:tentative="1">
      <w:start w:val="1"/>
      <w:numFmt w:val="bullet"/>
      <w:lvlText w:val=""/>
      <w:lvlJc w:val="left"/>
      <w:pPr>
        <w:tabs>
          <w:tab w:val="num" w:pos="3514"/>
        </w:tabs>
        <w:ind w:left="3514" w:right="3514" w:hanging="360"/>
      </w:pPr>
      <w:rPr>
        <w:rFonts w:ascii="Symbol" w:hAnsi="Symbol" w:hint="default"/>
      </w:rPr>
    </w:lvl>
    <w:lvl w:ilvl="4" w:tplc="04010003" w:tentative="1">
      <w:start w:val="1"/>
      <w:numFmt w:val="bullet"/>
      <w:lvlText w:val="o"/>
      <w:lvlJc w:val="left"/>
      <w:pPr>
        <w:tabs>
          <w:tab w:val="num" w:pos="4234"/>
        </w:tabs>
        <w:ind w:left="4234" w:right="4234" w:hanging="360"/>
      </w:pPr>
      <w:rPr>
        <w:rFonts w:ascii="Courier New" w:hAnsi="Courier New" w:hint="default"/>
      </w:rPr>
    </w:lvl>
    <w:lvl w:ilvl="5" w:tplc="04010005" w:tentative="1">
      <w:start w:val="1"/>
      <w:numFmt w:val="bullet"/>
      <w:lvlText w:val=""/>
      <w:lvlJc w:val="left"/>
      <w:pPr>
        <w:tabs>
          <w:tab w:val="num" w:pos="4954"/>
        </w:tabs>
        <w:ind w:left="4954" w:right="4954" w:hanging="360"/>
      </w:pPr>
      <w:rPr>
        <w:rFonts w:ascii="Wingdings" w:hAnsi="Wingdings" w:hint="default"/>
      </w:rPr>
    </w:lvl>
    <w:lvl w:ilvl="6" w:tplc="04010001" w:tentative="1">
      <w:start w:val="1"/>
      <w:numFmt w:val="bullet"/>
      <w:lvlText w:val=""/>
      <w:lvlJc w:val="left"/>
      <w:pPr>
        <w:tabs>
          <w:tab w:val="num" w:pos="5674"/>
        </w:tabs>
        <w:ind w:left="5674" w:right="5674" w:hanging="360"/>
      </w:pPr>
      <w:rPr>
        <w:rFonts w:ascii="Symbol" w:hAnsi="Symbol" w:hint="default"/>
      </w:rPr>
    </w:lvl>
    <w:lvl w:ilvl="7" w:tplc="04010003" w:tentative="1">
      <w:start w:val="1"/>
      <w:numFmt w:val="bullet"/>
      <w:lvlText w:val="o"/>
      <w:lvlJc w:val="left"/>
      <w:pPr>
        <w:tabs>
          <w:tab w:val="num" w:pos="6394"/>
        </w:tabs>
        <w:ind w:left="6394" w:right="6394" w:hanging="360"/>
      </w:pPr>
      <w:rPr>
        <w:rFonts w:ascii="Courier New" w:hAnsi="Courier New" w:hint="default"/>
      </w:rPr>
    </w:lvl>
    <w:lvl w:ilvl="8" w:tplc="04010005" w:tentative="1">
      <w:start w:val="1"/>
      <w:numFmt w:val="bullet"/>
      <w:lvlText w:val=""/>
      <w:lvlJc w:val="left"/>
      <w:pPr>
        <w:tabs>
          <w:tab w:val="num" w:pos="7114"/>
        </w:tabs>
        <w:ind w:left="7114" w:right="7114" w:hanging="360"/>
      </w:pPr>
      <w:rPr>
        <w:rFonts w:ascii="Wingdings" w:hAnsi="Wingdings" w:hint="default"/>
      </w:rPr>
    </w:lvl>
  </w:abstractNum>
  <w:abstractNum w:abstractNumId="6">
    <w:nsid w:val="10FE0370"/>
    <w:multiLevelType w:val="hybridMultilevel"/>
    <w:tmpl w:val="D20A5B3C"/>
    <w:lvl w:ilvl="0" w:tplc="DC20747C">
      <w:start w:val="112"/>
      <w:numFmt w:val="decimal"/>
      <w:lvlText w:val="%1-"/>
      <w:lvlJc w:val="left"/>
      <w:pPr>
        <w:tabs>
          <w:tab w:val="num" w:pos="722"/>
        </w:tabs>
        <w:ind w:left="722" w:right="722" w:hanging="780"/>
      </w:pPr>
      <w:rPr>
        <w:rFonts w:hint="default"/>
      </w:rPr>
    </w:lvl>
    <w:lvl w:ilvl="1" w:tplc="04090001">
      <w:start w:val="1"/>
      <w:numFmt w:val="bullet"/>
      <w:lvlText w:val=""/>
      <w:lvlJc w:val="left"/>
      <w:pPr>
        <w:tabs>
          <w:tab w:val="num" w:pos="1022"/>
        </w:tabs>
        <w:ind w:left="1022" w:right="1022" w:hanging="360"/>
      </w:pPr>
      <w:rPr>
        <w:rFonts w:ascii="Symbol" w:hAnsi="Symbol" w:hint="default"/>
      </w:rPr>
    </w:lvl>
    <w:lvl w:ilvl="2" w:tplc="0409001B" w:tentative="1">
      <w:start w:val="1"/>
      <w:numFmt w:val="lowerRoman"/>
      <w:lvlText w:val="%3."/>
      <w:lvlJc w:val="right"/>
      <w:pPr>
        <w:tabs>
          <w:tab w:val="num" w:pos="1742"/>
        </w:tabs>
        <w:ind w:left="1742" w:right="1742" w:hanging="180"/>
      </w:pPr>
    </w:lvl>
    <w:lvl w:ilvl="3" w:tplc="0409000F" w:tentative="1">
      <w:start w:val="1"/>
      <w:numFmt w:val="decimal"/>
      <w:lvlText w:val="%4."/>
      <w:lvlJc w:val="left"/>
      <w:pPr>
        <w:tabs>
          <w:tab w:val="num" w:pos="2462"/>
        </w:tabs>
        <w:ind w:left="2462" w:right="2462" w:hanging="360"/>
      </w:pPr>
    </w:lvl>
    <w:lvl w:ilvl="4" w:tplc="04090019" w:tentative="1">
      <w:start w:val="1"/>
      <w:numFmt w:val="lowerLetter"/>
      <w:lvlText w:val="%5."/>
      <w:lvlJc w:val="left"/>
      <w:pPr>
        <w:tabs>
          <w:tab w:val="num" w:pos="3182"/>
        </w:tabs>
        <w:ind w:left="3182" w:right="3182" w:hanging="360"/>
      </w:pPr>
    </w:lvl>
    <w:lvl w:ilvl="5" w:tplc="0409001B" w:tentative="1">
      <w:start w:val="1"/>
      <w:numFmt w:val="lowerRoman"/>
      <w:lvlText w:val="%6."/>
      <w:lvlJc w:val="right"/>
      <w:pPr>
        <w:tabs>
          <w:tab w:val="num" w:pos="3902"/>
        </w:tabs>
        <w:ind w:left="3902" w:right="3902" w:hanging="180"/>
      </w:pPr>
    </w:lvl>
    <w:lvl w:ilvl="6" w:tplc="0409000F" w:tentative="1">
      <w:start w:val="1"/>
      <w:numFmt w:val="decimal"/>
      <w:lvlText w:val="%7."/>
      <w:lvlJc w:val="left"/>
      <w:pPr>
        <w:tabs>
          <w:tab w:val="num" w:pos="4622"/>
        </w:tabs>
        <w:ind w:left="4622" w:right="4622" w:hanging="360"/>
      </w:pPr>
    </w:lvl>
    <w:lvl w:ilvl="7" w:tplc="04090019" w:tentative="1">
      <w:start w:val="1"/>
      <w:numFmt w:val="lowerLetter"/>
      <w:lvlText w:val="%8."/>
      <w:lvlJc w:val="left"/>
      <w:pPr>
        <w:tabs>
          <w:tab w:val="num" w:pos="5342"/>
        </w:tabs>
        <w:ind w:left="5342" w:right="5342" w:hanging="360"/>
      </w:pPr>
    </w:lvl>
    <w:lvl w:ilvl="8" w:tplc="0409001B" w:tentative="1">
      <w:start w:val="1"/>
      <w:numFmt w:val="lowerRoman"/>
      <w:lvlText w:val="%9."/>
      <w:lvlJc w:val="right"/>
      <w:pPr>
        <w:tabs>
          <w:tab w:val="num" w:pos="6062"/>
        </w:tabs>
        <w:ind w:left="6062" w:right="6062" w:hanging="180"/>
      </w:pPr>
    </w:lvl>
  </w:abstractNum>
  <w:abstractNum w:abstractNumId="7">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28F02C66"/>
    <w:multiLevelType w:val="hybridMultilevel"/>
    <w:tmpl w:val="222E9218"/>
    <w:lvl w:ilvl="0" w:tplc="04090001">
      <w:start w:val="1"/>
      <w:numFmt w:val="bullet"/>
      <w:lvlText w:val=""/>
      <w:lvlJc w:val="left"/>
      <w:pPr>
        <w:tabs>
          <w:tab w:val="num" w:pos="1988"/>
        </w:tabs>
        <w:ind w:left="1988" w:right="1988" w:hanging="360"/>
      </w:pPr>
      <w:rPr>
        <w:rFonts w:ascii="Symbol" w:hAnsi="Symbol" w:hint="default"/>
      </w:rPr>
    </w:lvl>
    <w:lvl w:ilvl="1" w:tplc="04010003" w:tentative="1">
      <w:start w:val="1"/>
      <w:numFmt w:val="bullet"/>
      <w:lvlText w:val="o"/>
      <w:lvlJc w:val="left"/>
      <w:pPr>
        <w:tabs>
          <w:tab w:val="num" w:pos="2074"/>
        </w:tabs>
        <w:ind w:left="2074" w:right="2074" w:hanging="360"/>
      </w:pPr>
      <w:rPr>
        <w:rFonts w:ascii="Courier New" w:hAnsi="Courier New" w:hint="default"/>
      </w:rPr>
    </w:lvl>
    <w:lvl w:ilvl="2" w:tplc="04010005" w:tentative="1">
      <w:start w:val="1"/>
      <w:numFmt w:val="bullet"/>
      <w:lvlText w:val=""/>
      <w:lvlJc w:val="left"/>
      <w:pPr>
        <w:tabs>
          <w:tab w:val="num" w:pos="2794"/>
        </w:tabs>
        <w:ind w:left="2794" w:right="2794" w:hanging="360"/>
      </w:pPr>
      <w:rPr>
        <w:rFonts w:ascii="Wingdings" w:hAnsi="Wingdings" w:hint="default"/>
      </w:rPr>
    </w:lvl>
    <w:lvl w:ilvl="3" w:tplc="04010001" w:tentative="1">
      <w:start w:val="1"/>
      <w:numFmt w:val="bullet"/>
      <w:lvlText w:val=""/>
      <w:lvlJc w:val="left"/>
      <w:pPr>
        <w:tabs>
          <w:tab w:val="num" w:pos="3514"/>
        </w:tabs>
        <w:ind w:left="3514" w:right="3514" w:hanging="360"/>
      </w:pPr>
      <w:rPr>
        <w:rFonts w:ascii="Symbol" w:hAnsi="Symbol" w:hint="default"/>
      </w:rPr>
    </w:lvl>
    <w:lvl w:ilvl="4" w:tplc="04010003" w:tentative="1">
      <w:start w:val="1"/>
      <w:numFmt w:val="bullet"/>
      <w:lvlText w:val="o"/>
      <w:lvlJc w:val="left"/>
      <w:pPr>
        <w:tabs>
          <w:tab w:val="num" w:pos="4234"/>
        </w:tabs>
        <w:ind w:left="4234" w:right="4234" w:hanging="360"/>
      </w:pPr>
      <w:rPr>
        <w:rFonts w:ascii="Courier New" w:hAnsi="Courier New" w:hint="default"/>
      </w:rPr>
    </w:lvl>
    <w:lvl w:ilvl="5" w:tplc="04010005" w:tentative="1">
      <w:start w:val="1"/>
      <w:numFmt w:val="bullet"/>
      <w:lvlText w:val=""/>
      <w:lvlJc w:val="left"/>
      <w:pPr>
        <w:tabs>
          <w:tab w:val="num" w:pos="4954"/>
        </w:tabs>
        <w:ind w:left="4954" w:right="4954" w:hanging="360"/>
      </w:pPr>
      <w:rPr>
        <w:rFonts w:ascii="Wingdings" w:hAnsi="Wingdings" w:hint="default"/>
      </w:rPr>
    </w:lvl>
    <w:lvl w:ilvl="6" w:tplc="04010001" w:tentative="1">
      <w:start w:val="1"/>
      <w:numFmt w:val="bullet"/>
      <w:lvlText w:val=""/>
      <w:lvlJc w:val="left"/>
      <w:pPr>
        <w:tabs>
          <w:tab w:val="num" w:pos="5674"/>
        </w:tabs>
        <w:ind w:left="5674" w:right="5674" w:hanging="360"/>
      </w:pPr>
      <w:rPr>
        <w:rFonts w:ascii="Symbol" w:hAnsi="Symbol" w:hint="default"/>
      </w:rPr>
    </w:lvl>
    <w:lvl w:ilvl="7" w:tplc="04010003" w:tentative="1">
      <w:start w:val="1"/>
      <w:numFmt w:val="bullet"/>
      <w:lvlText w:val="o"/>
      <w:lvlJc w:val="left"/>
      <w:pPr>
        <w:tabs>
          <w:tab w:val="num" w:pos="6394"/>
        </w:tabs>
        <w:ind w:left="6394" w:right="6394" w:hanging="360"/>
      </w:pPr>
      <w:rPr>
        <w:rFonts w:ascii="Courier New" w:hAnsi="Courier New" w:hint="default"/>
      </w:rPr>
    </w:lvl>
    <w:lvl w:ilvl="8" w:tplc="04010005" w:tentative="1">
      <w:start w:val="1"/>
      <w:numFmt w:val="bullet"/>
      <w:lvlText w:val=""/>
      <w:lvlJc w:val="left"/>
      <w:pPr>
        <w:tabs>
          <w:tab w:val="num" w:pos="7114"/>
        </w:tabs>
        <w:ind w:left="7114" w:right="7114" w:hanging="360"/>
      </w:pPr>
      <w:rPr>
        <w:rFonts w:ascii="Wingdings" w:hAnsi="Wingdings" w:hint="default"/>
      </w:rPr>
    </w:lvl>
  </w:abstractNum>
  <w:abstractNum w:abstractNumId="9">
    <w:nsid w:val="2CE20A86"/>
    <w:multiLevelType w:val="hybridMultilevel"/>
    <w:tmpl w:val="B55AE058"/>
    <w:lvl w:ilvl="0" w:tplc="04090001">
      <w:start w:val="1"/>
      <w:numFmt w:val="bullet"/>
      <w:lvlText w:val=""/>
      <w:lvlJc w:val="left"/>
      <w:pPr>
        <w:tabs>
          <w:tab w:val="num" w:pos="1988"/>
        </w:tabs>
        <w:ind w:left="1988" w:right="1988" w:hanging="360"/>
      </w:pPr>
      <w:rPr>
        <w:rFonts w:ascii="Symbol" w:hAnsi="Symbol" w:hint="default"/>
      </w:rPr>
    </w:lvl>
    <w:lvl w:ilvl="1" w:tplc="04010003" w:tentative="1">
      <w:start w:val="1"/>
      <w:numFmt w:val="bullet"/>
      <w:lvlText w:val="o"/>
      <w:lvlJc w:val="left"/>
      <w:pPr>
        <w:tabs>
          <w:tab w:val="num" w:pos="2074"/>
        </w:tabs>
        <w:ind w:left="2074" w:right="2074" w:hanging="360"/>
      </w:pPr>
      <w:rPr>
        <w:rFonts w:ascii="Courier New" w:hAnsi="Courier New" w:hint="default"/>
      </w:rPr>
    </w:lvl>
    <w:lvl w:ilvl="2" w:tplc="04010005" w:tentative="1">
      <w:start w:val="1"/>
      <w:numFmt w:val="bullet"/>
      <w:lvlText w:val=""/>
      <w:lvlJc w:val="left"/>
      <w:pPr>
        <w:tabs>
          <w:tab w:val="num" w:pos="2794"/>
        </w:tabs>
        <w:ind w:left="2794" w:right="2794" w:hanging="360"/>
      </w:pPr>
      <w:rPr>
        <w:rFonts w:ascii="Wingdings" w:hAnsi="Wingdings" w:hint="default"/>
      </w:rPr>
    </w:lvl>
    <w:lvl w:ilvl="3" w:tplc="04010001" w:tentative="1">
      <w:start w:val="1"/>
      <w:numFmt w:val="bullet"/>
      <w:lvlText w:val=""/>
      <w:lvlJc w:val="left"/>
      <w:pPr>
        <w:tabs>
          <w:tab w:val="num" w:pos="3514"/>
        </w:tabs>
        <w:ind w:left="3514" w:right="3514" w:hanging="360"/>
      </w:pPr>
      <w:rPr>
        <w:rFonts w:ascii="Symbol" w:hAnsi="Symbol" w:hint="default"/>
      </w:rPr>
    </w:lvl>
    <w:lvl w:ilvl="4" w:tplc="04010003" w:tentative="1">
      <w:start w:val="1"/>
      <w:numFmt w:val="bullet"/>
      <w:lvlText w:val="o"/>
      <w:lvlJc w:val="left"/>
      <w:pPr>
        <w:tabs>
          <w:tab w:val="num" w:pos="4234"/>
        </w:tabs>
        <w:ind w:left="4234" w:right="4234" w:hanging="360"/>
      </w:pPr>
      <w:rPr>
        <w:rFonts w:ascii="Courier New" w:hAnsi="Courier New" w:hint="default"/>
      </w:rPr>
    </w:lvl>
    <w:lvl w:ilvl="5" w:tplc="04010005" w:tentative="1">
      <w:start w:val="1"/>
      <w:numFmt w:val="bullet"/>
      <w:lvlText w:val=""/>
      <w:lvlJc w:val="left"/>
      <w:pPr>
        <w:tabs>
          <w:tab w:val="num" w:pos="4954"/>
        </w:tabs>
        <w:ind w:left="4954" w:right="4954" w:hanging="360"/>
      </w:pPr>
      <w:rPr>
        <w:rFonts w:ascii="Wingdings" w:hAnsi="Wingdings" w:hint="default"/>
      </w:rPr>
    </w:lvl>
    <w:lvl w:ilvl="6" w:tplc="04010001" w:tentative="1">
      <w:start w:val="1"/>
      <w:numFmt w:val="bullet"/>
      <w:lvlText w:val=""/>
      <w:lvlJc w:val="left"/>
      <w:pPr>
        <w:tabs>
          <w:tab w:val="num" w:pos="5674"/>
        </w:tabs>
        <w:ind w:left="5674" w:right="5674" w:hanging="360"/>
      </w:pPr>
      <w:rPr>
        <w:rFonts w:ascii="Symbol" w:hAnsi="Symbol" w:hint="default"/>
      </w:rPr>
    </w:lvl>
    <w:lvl w:ilvl="7" w:tplc="04010003" w:tentative="1">
      <w:start w:val="1"/>
      <w:numFmt w:val="bullet"/>
      <w:lvlText w:val="o"/>
      <w:lvlJc w:val="left"/>
      <w:pPr>
        <w:tabs>
          <w:tab w:val="num" w:pos="6394"/>
        </w:tabs>
        <w:ind w:left="6394" w:right="6394" w:hanging="360"/>
      </w:pPr>
      <w:rPr>
        <w:rFonts w:ascii="Courier New" w:hAnsi="Courier New" w:hint="default"/>
      </w:rPr>
    </w:lvl>
    <w:lvl w:ilvl="8" w:tplc="04010005" w:tentative="1">
      <w:start w:val="1"/>
      <w:numFmt w:val="bullet"/>
      <w:lvlText w:val=""/>
      <w:lvlJc w:val="left"/>
      <w:pPr>
        <w:tabs>
          <w:tab w:val="num" w:pos="7114"/>
        </w:tabs>
        <w:ind w:left="7114" w:right="7114" w:hanging="360"/>
      </w:pPr>
      <w:rPr>
        <w:rFonts w:ascii="Wingdings" w:hAnsi="Wingdings" w:hint="default"/>
      </w:rPr>
    </w:lvl>
  </w:abstractNum>
  <w:abstractNum w:abstractNumId="10">
    <w:nsid w:val="30BD7BB8"/>
    <w:multiLevelType w:val="hybridMultilevel"/>
    <w:tmpl w:val="0CB61D60"/>
    <w:lvl w:ilvl="0" w:tplc="04090001">
      <w:start w:val="1"/>
      <w:numFmt w:val="bullet"/>
      <w:lvlText w:val=""/>
      <w:lvlJc w:val="left"/>
      <w:pPr>
        <w:tabs>
          <w:tab w:val="num" w:pos="1455"/>
        </w:tabs>
        <w:ind w:left="1455" w:right="1455" w:hanging="360"/>
      </w:pPr>
      <w:rPr>
        <w:rFonts w:ascii="Symbol" w:hAnsi="Symbol" w:hint="default"/>
      </w:rPr>
    </w:lvl>
    <w:lvl w:ilvl="1" w:tplc="04090003" w:tentative="1">
      <w:start w:val="1"/>
      <w:numFmt w:val="bullet"/>
      <w:lvlText w:val="o"/>
      <w:lvlJc w:val="left"/>
      <w:pPr>
        <w:tabs>
          <w:tab w:val="num" w:pos="2175"/>
        </w:tabs>
        <w:ind w:left="2175" w:right="2175" w:hanging="360"/>
      </w:pPr>
      <w:rPr>
        <w:rFonts w:ascii="Courier New" w:hAnsi="Courier New" w:cs="Courier New" w:hint="default"/>
      </w:rPr>
    </w:lvl>
    <w:lvl w:ilvl="2" w:tplc="04090005" w:tentative="1">
      <w:start w:val="1"/>
      <w:numFmt w:val="bullet"/>
      <w:lvlText w:val=""/>
      <w:lvlJc w:val="left"/>
      <w:pPr>
        <w:tabs>
          <w:tab w:val="num" w:pos="2895"/>
        </w:tabs>
        <w:ind w:left="2895" w:right="2895" w:hanging="360"/>
      </w:pPr>
      <w:rPr>
        <w:rFonts w:ascii="Wingdings" w:hAnsi="Wingdings" w:hint="default"/>
      </w:rPr>
    </w:lvl>
    <w:lvl w:ilvl="3" w:tplc="04090001" w:tentative="1">
      <w:start w:val="1"/>
      <w:numFmt w:val="bullet"/>
      <w:lvlText w:val=""/>
      <w:lvlJc w:val="left"/>
      <w:pPr>
        <w:tabs>
          <w:tab w:val="num" w:pos="3615"/>
        </w:tabs>
        <w:ind w:left="3615" w:right="3615" w:hanging="360"/>
      </w:pPr>
      <w:rPr>
        <w:rFonts w:ascii="Symbol" w:hAnsi="Symbol" w:hint="default"/>
      </w:rPr>
    </w:lvl>
    <w:lvl w:ilvl="4" w:tplc="04090003" w:tentative="1">
      <w:start w:val="1"/>
      <w:numFmt w:val="bullet"/>
      <w:lvlText w:val="o"/>
      <w:lvlJc w:val="left"/>
      <w:pPr>
        <w:tabs>
          <w:tab w:val="num" w:pos="4335"/>
        </w:tabs>
        <w:ind w:left="4335" w:right="4335" w:hanging="360"/>
      </w:pPr>
      <w:rPr>
        <w:rFonts w:ascii="Courier New" w:hAnsi="Courier New" w:cs="Courier New" w:hint="default"/>
      </w:rPr>
    </w:lvl>
    <w:lvl w:ilvl="5" w:tplc="04090005" w:tentative="1">
      <w:start w:val="1"/>
      <w:numFmt w:val="bullet"/>
      <w:lvlText w:val=""/>
      <w:lvlJc w:val="left"/>
      <w:pPr>
        <w:tabs>
          <w:tab w:val="num" w:pos="5055"/>
        </w:tabs>
        <w:ind w:left="5055" w:right="5055" w:hanging="360"/>
      </w:pPr>
      <w:rPr>
        <w:rFonts w:ascii="Wingdings" w:hAnsi="Wingdings" w:hint="default"/>
      </w:rPr>
    </w:lvl>
    <w:lvl w:ilvl="6" w:tplc="04090001" w:tentative="1">
      <w:start w:val="1"/>
      <w:numFmt w:val="bullet"/>
      <w:lvlText w:val=""/>
      <w:lvlJc w:val="left"/>
      <w:pPr>
        <w:tabs>
          <w:tab w:val="num" w:pos="5775"/>
        </w:tabs>
        <w:ind w:left="5775" w:right="5775" w:hanging="360"/>
      </w:pPr>
      <w:rPr>
        <w:rFonts w:ascii="Symbol" w:hAnsi="Symbol" w:hint="default"/>
      </w:rPr>
    </w:lvl>
    <w:lvl w:ilvl="7" w:tplc="04090003" w:tentative="1">
      <w:start w:val="1"/>
      <w:numFmt w:val="bullet"/>
      <w:lvlText w:val="o"/>
      <w:lvlJc w:val="left"/>
      <w:pPr>
        <w:tabs>
          <w:tab w:val="num" w:pos="6495"/>
        </w:tabs>
        <w:ind w:left="6495" w:right="6495" w:hanging="360"/>
      </w:pPr>
      <w:rPr>
        <w:rFonts w:ascii="Courier New" w:hAnsi="Courier New" w:cs="Courier New" w:hint="default"/>
      </w:rPr>
    </w:lvl>
    <w:lvl w:ilvl="8" w:tplc="04090005" w:tentative="1">
      <w:start w:val="1"/>
      <w:numFmt w:val="bullet"/>
      <w:lvlText w:val=""/>
      <w:lvlJc w:val="left"/>
      <w:pPr>
        <w:tabs>
          <w:tab w:val="num" w:pos="7215"/>
        </w:tabs>
        <w:ind w:left="7215" w:right="7215" w:hanging="360"/>
      </w:pPr>
      <w:rPr>
        <w:rFonts w:ascii="Wingdings" w:hAnsi="Wingdings" w:hint="default"/>
      </w:rPr>
    </w:lvl>
  </w:abstractNum>
  <w:abstractNum w:abstractNumId="11">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38030E75"/>
    <w:multiLevelType w:val="hybridMultilevel"/>
    <w:tmpl w:val="A6E6448C"/>
    <w:lvl w:ilvl="0" w:tplc="04090001">
      <w:start w:val="1"/>
      <w:numFmt w:val="bullet"/>
      <w:lvlText w:val=""/>
      <w:lvlJc w:val="left"/>
      <w:pPr>
        <w:tabs>
          <w:tab w:val="num" w:pos="1354"/>
        </w:tabs>
        <w:ind w:left="1354" w:right="1354" w:hanging="360"/>
      </w:pPr>
      <w:rPr>
        <w:rFonts w:ascii="Symbol" w:hAnsi="Symbol" w:hint="default"/>
      </w:rPr>
    </w:lvl>
    <w:lvl w:ilvl="1" w:tplc="04090003" w:tentative="1">
      <w:start w:val="1"/>
      <w:numFmt w:val="bullet"/>
      <w:lvlText w:val="o"/>
      <w:lvlJc w:val="left"/>
      <w:pPr>
        <w:tabs>
          <w:tab w:val="num" w:pos="2074"/>
        </w:tabs>
        <w:ind w:left="2074" w:right="2074" w:hanging="360"/>
      </w:pPr>
      <w:rPr>
        <w:rFonts w:ascii="Courier New" w:hAnsi="Courier New" w:cs="Courier New" w:hint="default"/>
      </w:rPr>
    </w:lvl>
    <w:lvl w:ilvl="2" w:tplc="04090005" w:tentative="1">
      <w:start w:val="1"/>
      <w:numFmt w:val="bullet"/>
      <w:lvlText w:val=""/>
      <w:lvlJc w:val="left"/>
      <w:pPr>
        <w:tabs>
          <w:tab w:val="num" w:pos="2794"/>
        </w:tabs>
        <w:ind w:left="2794" w:right="2794" w:hanging="360"/>
      </w:pPr>
      <w:rPr>
        <w:rFonts w:ascii="Wingdings" w:hAnsi="Wingdings" w:hint="default"/>
      </w:rPr>
    </w:lvl>
    <w:lvl w:ilvl="3" w:tplc="04090001" w:tentative="1">
      <w:start w:val="1"/>
      <w:numFmt w:val="bullet"/>
      <w:lvlText w:val=""/>
      <w:lvlJc w:val="left"/>
      <w:pPr>
        <w:tabs>
          <w:tab w:val="num" w:pos="3514"/>
        </w:tabs>
        <w:ind w:left="3514" w:right="3514" w:hanging="360"/>
      </w:pPr>
      <w:rPr>
        <w:rFonts w:ascii="Symbol" w:hAnsi="Symbol" w:hint="default"/>
      </w:rPr>
    </w:lvl>
    <w:lvl w:ilvl="4" w:tplc="04090003" w:tentative="1">
      <w:start w:val="1"/>
      <w:numFmt w:val="bullet"/>
      <w:lvlText w:val="o"/>
      <w:lvlJc w:val="left"/>
      <w:pPr>
        <w:tabs>
          <w:tab w:val="num" w:pos="4234"/>
        </w:tabs>
        <w:ind w:left="4234" w:right="4234" w:hanging="360"/>
      </w:pPr>
      <w:rPr>
        <w:rFonts w:ascii="Courier New" w:hAnsi="Courier New" w:cs="Courier New" w:hint="default"/>
      </w:rPr>
    </w:lvl>
    <w:lvl w:ilvl="5" w:tplc="04090005" w:tentative="1">
      <w:start w:val="1"/>
      <w:numFmt w:val="bullet"/>
      <w:lvlText w:val=""/>
      <w:lvlJc w:val="left"/>
      <w:pPr>
        <w:tabs>
          <w:tab w:val="num" w:pos="4954"/>
        </w:tabs>
        <w:ind w:left="4954" w:right="4954" w:hanging="360"/>
      </w:pPr>
      <w:rPr>
        <w:rFonts w:ascii="Wingdings" w:hAnsi="Wingdings" w:hint="default"/>
      </w:rPr>
    </w:lvl>
    <w:lvl w:ilvl="6" w:tplc="04090001" w:tentative="1">
      <w:start w:val="1"/>
      <w:numFmt w:val="bullet"/>
      <w:lvlText w:val=""/>
      <w:lvlJc w:val="left"/>
      <w:pPr>
        <w:tabs>
          <w:tab w:val="num" w:pos="5674"/>
        </w:tabs>
        <w:ind w:left="5674" w:right="5674" w:hanging="360"/>
      </w:pPr>
      <w:rPr>
        <w:rFonts w:ascii="Symbol" w:hAnsi="Symbol" w:hint="default"/>
      </w:rPr>
    </w:lvl>
    <w:lvl w:ilvl="7" w:tplc="04090003" w:tentative="1">
      <w:start w:val="1"/>
      <w:numFmt w:val="bullet"/>
      <w:lvlText w:val="o"/>
      <w:lvlJc w:val="left"/>
      <w:pPr>
        <w:tabs>
          <w:tab w:val="num" w:pos="6394"/>
        </w:tabs>
        <w:ind w:left="6394" w:right="6394" w:hanging="360"/>
      </w:pPr>
      <w:rPr>
        <w:rFonts w:ascii="Courier New" w:hAnsi="Courier New" w:cs="Courier New" w:hint="default"/>
      </w:rPr>
    </w:lvl>
    <w:lvl w:ilvl="8" w:tplc="04090005" w:tentative="1">
      <w:start w:val="1"/>
      <w:numFmt w:val="bullet"/>
      <w:lvlText w:val=""/>
      <w:lvlJc w:val="left"/>
      <w:pPr>
        <w:tabs>
          <w:tab w:val="num" w:pos="7114"/>
        </w:tabs>
        <w:ind w:left="7114" w:right="7114" w:hanging="360"/>
      </w:pPr>
      <w:rPr>
        <w:rFonts w:ascii="Wingdings" w:hAnsi="Wingdings" w:hint="default"/>
      </w:rPr>
    </w:lvl>
  </w:abstractNum>
  <w:abstractNum w:abstractNumId="13">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39996992"/>
    <w:multiLevelType w:val="hybridMultilevel"/>
    <w:tmpl w:val="56402E72"/>
    <w:lvl w:ilvl="0" w:tplc="04090001">
      <w:start w:val="1"/>
      <w:numFmt w:val="bullet"/>
      <w:lvlText w:val=""/>
      <w:lvlJc w:val="left"/>
      <w:pPr>
        <w:tabs>
          <w:tab w:val="num" w:pos="1605"/>
        </w:tabs>
        <w:ind w:left="1605" w:right="1605" w:hanging="360"/>
      </w:pPr>
      <w:rPr>
        <w:rFonts w:ascii="Symbol" w:hAnsi="Symbol" w:hint="default"/>
      </w:rPr>
    </w:lvl>
    <w:lvl w:ilvl="1" w:tplc="04090003" w:tentative="1">
      <w:start w:val="1"/>
      <w:numFmt w:val="bullet"/>
      <w:lvlText w:val="o"/>
      <w:lvlJc w:val="left"/>
      <w:pPr>
        <w:tabs>
          <w:tab w:val="num" w:pos="2325"/>
        </w:tabs>
        <w:ind w:left="2325" w:right="2325" w:hanging="360"/>
      </w:pPr>
      <w:rPr>
        <w:rFonts w:ascii="Courier New" w:hAnsi="Courier New" w:cs="Courier New" w:hint="default"/>
      </w:rPr>
    </w:lvl>
    <w:lvl w:ilvl="2" w:tplc="04090005" w:tentative="1">
      <w:start w:val="1"/>
      <w:numFmt w:val="bullet"/>
      <w:lvlText w:val=""/>
      <w:lvlJc w:val="left"/>
      <w:pPr>
        <w:tabs>
          <w:tab w:val="num" w:pos="3045"/>
        </w:tabs>
        <w:ind w:left="3045" w:right="3045" w:hanging="360"/>
      </w:pPr>
      <w:rPr>
        <w:rFonts w:ascii="Wingdings" w:hAnsi="Wingdings" w:hint="default"/>
      </w:rPr>
    </w:lvl>
    <w:lvl w:ilvl="3" w:tplc="04090001" w:tentative="1">
      <w:start w:val="1"/>
      <w:numFmt w:val="bullet"/>
      <w:lvlText w:val=""/>
      <w:lvlJc w:val="left"/>
      <w:pPr>
        <w:tabs>
          <w:tab w:val="num" w:pos="3765"/>
        </w:tabs>
        <w:ind w:left="3765" w:right="3765" w:hanging="360"/>
      </w:pPr>
      <w:rPr>
        <w:rFonts w:ascii="Symbol" w:hAnsi="Symbol" w:hint="default"/>
      </w:rPr>
    </w:lvl>
    <w:lvl w:ilvl="4" w:tplc="04090003" w:tentative="1">
      <w:start w:val="1"/>
      <w:numFmt w:val="bullet"/>
      <w:lvlText w:val="o"/>
      <w:lvlJc w:val="left"/>
      <w:pPr>
        <w:tabs>
          <w:tab w:val="num" w:pos="4485"/>
        </w:tabs>
        <w:ind w:left="4485" w:right="4485" w:hanging="360"/>
      </w:pPr>
      <w:rPr>
        <w:rFonts w:ascii="Courier New" w:hAnsi="Courier New" w:cs="Courier New" w:hint="default"/>
      </w:rPr>
    </w:lvl>
    <w:lvl w:ilvl="5" w:tplc="04090005" w:tentative="1">
      <w:start w:val="1"/>
      <w:numFmt w:val="bullet"/>
      <w:lvlText w:val=""/>
      <w:lvlJc w:val="left"/>
      <w:pPr>
        <w:tabs>
          <w:tab w:val="num" w:pos="5205"/>
        </w:tabs>
        <w:ind w:left="5205" w:right="5205" w:hanging="360"/>
      </w:pPr>
      <w:rPr>
        <w:rFonts w:ascii="Wingdings" w:hAnsi="Wingdings" w:hint="default"/>
      </w:rPr>
    </w:lvl>
    <w:lvl w:ilvl="6" w:tplc="04090001" w:tentative="1">
      <w:start w:val="1"/>
      <w:numFmt w:val="bullet"/>
      <w:lvlText w:val=""/>
      <w:lvlJc w:val="left"/>
      <w:pPr>
        <w:tabs>
          <w:tab w:val="num" w:pos="5925"/>
        </w:tabs>
        <w:ind w:left="5925" w:right="5925" w:hanging="360"/>
      </w:pPr>
      <w:rPr>
        <w:rFonts w:ascii="Symbol" w:hAnsi="Symbol" w:hint="default"/>
      </w:rPr>
    </w:lvl>
    <w:lvl w:ilvl="7" w:tplc="04090003" w:tentative="1">
      <w:start w:val="1"/>
      <w:numFmt w:val="bullet"/>
      <w:lvlText w:val="o"/>
      <w:lvlJc w:val="left"/>
      <w:pPr>
        <w:tabs>
          <w:tab w:val="num" w:pos="6645"/>
        </w:tabs>
        <w:ind w:left="6645" w:right="6645" w:hanging="360"/>
      </w:pPr>
      <w:rPr>
        <w:rFonts w:ascii="Courier New" w:hAnsi="Courier New" w:cs="Courier New" w:hint="default"/>
      </w:rPr>
    </w:lvl>
    <w:lvl w:ilvl="8" w:tplc="04090005" w:tentative="1">
      <w:start w:val="1"/>
      <w:numFmt w:val="bullet"/>
      <w:lvlText w:val=""/>
      <w:lvlJc w:val="left"/>
      <w:pPr>
        <w:tabs>
          <w:tab w:val="num" w:pos="7365"/>
        </w:tabs>
        <w:ind w:left="7365" w:right="7365" w:hanging="360"/>
      </w:pPr>
      <w:rPr>
        <w:rFonts w:ascii="Wingdings" w:hAnsi="Wingdings" w:hint="default"/>
      </w:rPr>
    </w:lvl>
  </w:abstractNum>
  <w:abstractNum w:abstractNumId="15">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56AD0495"/>
    <w:multiLevelType w:val="hybridMultilevel"/>
    <w:tmpl w:val="045C80A8"/>
    <w:lvl w:ilvl="0" w:tplc="04090001">
      <w:start w:val="1"/>
      <w:numFmt w:val="bullet"/>
      <w:lvlText w:val=""/>
      <w:lvlJc w:val="left"/>
      <w:pPr>
        <w:tabs>
          <w:tab w:val="num" w:pos="2059"/>
        </w:tabs>
        <w:ind w:left="2059" w:right="2059" w:hanging="360"/>
      </w:pPr>
      <w:rPr>
        <w:rFonts w:ascii="Symbol" w:hAnsi="Symbol" w:hint="default"/>
      </w:rPr>
    </w:lvl>
    <w:lvl w:ilvl="1" w:tplc="04010003" w:tentative="1">
      <w:start w:val="1"/>
      <w:numFmt w:val="bullet"/>
      <w:lvlText w:val="o"/>
      <w:lvlJc w:val="left"/>
      <w:pPr>
        <w:tabs>
          <w:tab w:val="num" w:pos="2145"/>
        </w:tabs>
        <w:ind w:left="2145" w:right="2145" w:hanging="360"/>
      </w:pPr>
      <w:rPr>
        <w:rFonts w:ascii="Courier New" w:hAnsi="Courier New" w:hint="default"/>
      </w:rPr>
    </w:lvl>
    <w:lvl w:ilvl="2" w:tplc="04010005" w:tentative="1">
      <w:start w:val="1"/>
      <w:numFmt w:val="bullet"/>
      <w:lvlText w:val=""/>
      <w:lvlJc w:val="left"/>
      <w:pPr>
        <w:tabs>
          <w:tab w:val="num" w:pos="2865"/>
        </w:tabs>
        <w:ind w:left="2865" w:right="2865" w:hanging="360"/>
      </w:pPr>
      <w:rPr>
        <w:rFonts w:ascii="Wingdings" w:hAnsi="Wingdings" w:hint="default"/>
      </w:rPr>
    </w:lvl>
    <w:lvl w:ilvl="3" w:tplc="04010001" w:tentative="1">
      <w:start w:val="1"/>
      <w:numFmt w:val="bullet"/>
      <w:lvlText w:val=""/>
      <w:lvlJc w:val="left"/>
      <w:pPr>
        <w:tabs>
          <w:tab w:val="num" w:pos="3585"/>
        </w:tabs>
        <w:ind w:left="3585" w:right="3585" w:hanging="360"/>
      </w:pPr>
      <w:rPr>
        <w:rFonts w:ascii="Symbol" w:hAnsi="Symbol" w:hint="default"/>
      </w:rPr>
    </w:lvl>
    <w:lvl w:ilvl="4" w:tplc="04010003" w:tentative="1">
      <w:start w:val="1"/>
      <w:numFmt w:val="bullet"/>
      <w:lvlText w:val="o"/>
      <w:lvlJc w:val="left"/>
      <w:pPr>
        <w:tabs>
          <w:tab w:val="num" w:pos="4305"/>
        </w:tabs>
        <w:ind w:left="4305" w:right="4305" w:hanging="360"/>
      </w:pPr>
      <w:rPr>
        <w:rFonts w:ascii="Courier New" w:hAnsi="Courier New" w:hint="default"/>
      </w:rPr>
    </w:lvl>
    <w:lvl w:ilvl="5" w:tplc="04010005" w:tentative="1">
      <w:start w:val="1"/>
      <w:numFmt w:val="bullet"/>
      <w:lvlText w:val=""/>
      <w:lvlJc w:val="left"/>
      <w:pPr>
        <w:tabs>
          <w:tab w:val="num" w:pos="5025"/>
        </w:tabs>
        <w:ind w:left="5025" w:right="5025" w:hanging="360"/>
      </w:pPr>
      <w:rPr>
        <w:rFonts w:ascii="Wingdings" w:hAnsi="Wingdings" w:hint="default"/>
      </w:rPr>
    </w:lvl>
    <w:lvl w:ilvl="6" w:tplc="04010001" w:tentative="1">
      <w:start w:val="1"/>
      <w:numFmt w:val="bullet"/>
      <w:lvlText w:val=""/>
      <w:lvlJc w:val="left"/>
      <w:pPr>
        <w:tabs>
          <w:tab w:val="num" w:pos="5745"/>
        </w:tabs>
        <w:ind w:left="5745" w:right="5745" w:hanging="360"/>
      </w:pPr>
      <w:rPr>
        <w:rFonts w:ascii="Symbol" w:hAnsi="Symbol" w:hint="default"/>
      </w:rPr>
    </w:lvl>
    <w:lvl w:ilvl="7" w:tplc="04010003" w:tentative="1">
      <w:start w:val="1"/>
      <w:numFmt w:val="bullet"/>
      <w:lvlText w:val="o"/>
      <w:lvlJc w:val="left"/>
      <w:pPr>
        <w:tabs>
          <w:tab w:val="num" w:pos="6465"/>
        </w:tabs>
        <w:ind w:left="6465" w:right="6465" w:hanging="360"/>
      </w:pPr>
      <w:rPr>
        <w:rFonts w:ascii="Courier New" w:hAnsi="Courier New" w:hint="default"/>
      </w:rPr>
    </w:lvl>
    <w:lvl w:ilvl="8" w:tplc="04010005" w:tentative="1">
      <w:start w:val="1"/>
      <w:numFmt w:val="bullet"/>
      <w:lvlText w:val=""/>
      <w:lvlJc w:val="left"/>
      <w:pPr>
        <w:tabs>
          <w:tab w:val="num" w:pos="7185"/>
        </w:tabs>
        <w:ind w:left="7185" w:right="7185" w:hanging="360"/>
      </w:pPr>
      <w:rPr>
        <w:rFonts w:ascii="Wingdings" w:hAnsi="Wingdings" w:hint="default"/>
      </w:rPr>
    </w:lvl>
  </w:abstractNum>
  <w:abstractNum w:abstractNumId="19">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7"/>
  </w:num>
  <w:num w:numId="5">
    <w:abstractNumId w:val="20"/>
  </w:num>
  <w:num w:numId="6">
    <w:abstractNumId w:val="21"/>
  </w:num>
  <w:num w:numId="7">
    <w:abstractNumId w:val="4"/>
  </w:num>
  <w:num w:numId="8">
    <w:abstractNumId w:val="4"/>
  </w:num>
  <w:num w:numId="9">
    <w:abstractNumId w:val="4"/>
  </w:num>
  <w:num w:numId="10">
    <w:abstractNumId w:val="17"/>
  </w:num>
  <w:num w:numId="11">
    <w:abstractNumId w:val="17"/>
  </w:num>
  <w:num w:numId="12">
    <w:abstractNumId w:val="17"/>
  </w:num>
  <w:num w:numId="13">
    <w:abstractNumId w:val="17"/>
  </w:num>
  <w:num w:numId="14">
    <w:abstractNumId w:val="17"/>
  </w:num>
  <w:num w:numId="15">
    <w:abstractNumId w:val="17"/>
  </w:num>
  <w:num w:numId="16">
    <w:abstractNumId w:val="17"/>
  </w:num>
  <w:num w:numId="17">
    <w:abstractNumId w:val="17"/>
  </w:num>
  <w:num w:numId="18">
    <w:abstractNumId w:val="17"/>
  </w:num>
  <w:num w:numId="19">
    <w:abstractNumId w:val="17"/>
  </w:num>
  <w:num w:numId="20">
    <w:abstractNumId w:val="17"/>
  </w:num>
  <w:num w:numId="21">
    <w:abstractNumId w:val="17"/>
  </w:num>
  <w:num w:numId="22">
    <w:abstractNumId w:val="17"/>
  </w:num>
  <w:num w:numId="23">
    <w:abstractNumId w:val="17"/>
  </w:num>
  <w:num w:numId="24">
    <w:abstractNumId w:val="17"/>
  </w:num>
  <w:num w:numId="25">
    <w:abstractNumId w:val="17"/>
  </w:num>
  <w:num w:numId="26">
    <w:abstractNumId w:val="17"/>
  </w:num>
  <w:num w:numId="27">
    <w:abstractNumId w:val="17"/>
  </w:num>
  <w:num w:numId="28">
    <w:abstractNumId w:val="17"/>
  </w:num>
  <w:num w:numId="29">
    <w:abstractNumId w:val="17"/>
  </w:num>
  <w:num w:numId="30">
    <w:abstractNumId w:val="17"/>
  </w:num>
  <w:num w:numId="31">
    <w:abstractNumId w:val="17"/>
  </w:num>
  <w:num w:numId="32">
    <w:abstractNumId w:val="17"/>
  </w:num>
  <w:num w:numId="33">
    <w:abstractNumId w:val="17"/>
  </w:num>
  <w:num w:numId="34">
    <w:abstractNumId w:val="15"/>
  </w:num>
  <w:num w:numId="35">
    <w:abstractNumId w:val="15"/>
  </w:num>
  <w:num w:numId="36">
    <w:abstractNumId w:val="15"/>
  </w:num>
  <w:num w:numId="37">
    <w:abstractNumId w:val="15"/>
  </w:num>
  <w:num w:numId="38">
    <w:abstractNumId w:val="15"/>
  </w:num>
  <w:num w:numId="39">
    <w:abstractNumId w:val="15"/>
  </w:num>
  <w:num w:numId="40">
    <w:abstractNumId w:val="15"/>
  </w:num>
  <w:num w:numId="41">
    <w:abstractNumId w:val="15"/>
  </w:num>
  <w:num w:numId="42">
    <w:abstractNumId w:val="15"/>
  </w:num>
  <w:num w:numId="43">
    <w:abstractNumId w:val="15"/>
  </w:num>
  <w:num w:numId="44">
    <w:abstractNumId w:val="15"/>
  </w:num>
  <w:num w:numId="45">
    <w:abstractNumId w:val="15"/>
  </w:num>
  <w:num w:numId="46">
    <w:abstractNumId w:val="15"/>
  </w:num>
  <w:num w:numId="47">
    <w:abstractNumId w:val="15"/>
  </w:num>
  <w:num w:numId="48">
    <w:abstractNumId w:val="15"/>
  </w:num>
  <w:num w:numId="49">
    <w:abstractNumId w:val="3"/>
  </w:num>
  <w:num w:numId="50">
    <w:abstractNumId w:val="3"/>
  </w:num>
  <w:num w:numId="51">
    <w:abstractNumId w:val="3"/>
  </w:num>
  <w:num w:numId="52">
    <w:abstractNumId w:val="15"/>
  </w:num>
  <w:num w:numId="53">
    <w:abstractNumId w:val="15"/>
  </w:num>
  <w:num w:numId="54">
    <w:abstractNumId w:val="13"/>
  </w:num>
  <w:num w:numId="55">
    <w:abstractNumId w:val="19"/>
  </w:num>
  <w:num w:numId="56">
    <w:abstractNumId w:val="19"/>
  </w:num>
  <w:num w:numId="57">
    <w:abstractNumId w:val="19"/>
  </w:num>
  <w:num w:numId="58">
    <w:abstractNumId w:val="3"/>
  </w:num>
  <w:num w:numId="59">
    <w:abstractNumId w:val="11"/>
  </w:num>
  <w:num w:numId="60">
    <w:abstractNumId w:val="11"/>
  </w:num>
  <w:num w:numId="61">
    <w:abstractNumId w:val="16"/>
  </w:num>
  <w:num w:numId="62">
    <w:abstractNumId w:val="16"/>
  </w:num>
  <w:num w:numId="63">
    <w:abstractNumId w:val="16"/>
  </w:num>
  <w:num w:numId="64">
    <w:abstractNumId w:val="19"/>
  </w:num>
  <w:num w:numId="65">
    <w:abstractNumId w:val="14"/>
  </w:num>
  <w:num w:numId="66">
    <w:abstractNumId w:val="6"/>
  </w:num>
  <w:num w:numId="67">
    <w:abstractNumId w:val="10"/>
  </w:num>
  <w:num w:numId="68">
    <w:abstractNumId w:val="12"/>
  </w:num>
  <w:num w:numId="69">
    <w:abstractNumId w:val="9"/>
  </w:num>
  <w:num w:numId="70">
    <w:abstractNumId w:val="5"/>
  </w:num>
  <w:num w:numId="71">
    <w:abstractNumId w:val="18"/>
  </w:num>
  <w:num w:numId="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1">
    <w:name w:val="نمط1"/>
    <w:basedOn w:val="Normal"/>
    <w:pPr>
      <w:jc w:val="both"/>
    </w:pPr>
    <w:rPr>
      <w:sz w:val="28"/>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16938</Words>
  <Characters>96548</Characters>
  <Application>Microsoft Office Word</Application>
  <DocSecurity>4</DocSecurity>
  <Lines>804</Lines>
  <Paragraphs>193</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118567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مروان</dc:creator>
  <cp:keywords/>
  <dc:description/>
  <cp:lastModifiedBy>TPS</cp:lastModifiedBy>
  <cp:revision>2</cp:revision>
  <cp:lastPrinted>2001-12-20T11:45:00Z</cp:lastPrinted>
  <dcterms:created xsi:type="dcterms:W3CDTF">2001-12-21T08:00:00Z</dcterms:created>
  <dcterms:modified xsi:type="dcterms:W3CDTF">2001-12-21T08:00:00Z</dcterms:modified>
</cp:coreProperties>
</file>