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  <w:vAlign w:val="center"/>
          </w:tcPr>
          <w:p w:rsidR="00000000" w:rsidRDefault="00000000">
            <w:pPr>
              <w:pStyle w:val="Heading8"/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1.45pt;margin-top:641.75pt;width:113.4pt;height:14.4pt;z-index:1;mso-position-horizontal:absolute;mso-position-horizontal-relative:margin;mso-position-vertical:absolute;mso-position-vertical-relative:text" o:allowincell="f" filled="f" stroked="f">
                  <v:textbox style="mso-next-textbox:#_x0000_s1026" inset="0,0,0,0">
                    <w:txbxContent>
                      <w:p w:rsidR="00000000" w:rsidRDefault="00000000">
                        <w:pPr>
                          <w:rPr>
                            <w:sz w:val="23"/>
                            <w:lang w:val="en-US"/>
                          </w:rPr>
                        </w:pPr>
                        <w:r>
                          <w:rPr>
                            <w:sz w:val="23"/>
                            <w:lang w:val="en-US"/>
                          </w:rPr>
                          <w:t>GE.99-</w:t>
                        </w:r>
                        <w:r>
                          <w:rPr>
                            <w:sz w:val="23"/>
                            <w:lang w:val="en-US"/>
                          </w:rPr>
                          <w:fldChar w:fldCharType="begin"/>
                        </w:r>
                        <w:r>
                          <w:rPr>
                            <w:sz w:val="23"/>
                            <w:lang w:val="en-US"/>
                          </w:rPr>
                          <w:instrText xml:space="preserve"> FILLIN  "Введите номер документа" \* MERGEFORMAT </w:instrText>
                        </w:r>
                        <w:r>
                          <w:rPr>
                            <w:sz w:val="23"/>
                            <w:lang w:val="en-US"/>
                          </w:rPr>
                          <w:fldChar w:fldCharType="separate"/>
                        </w:r>
                        <w:r>
                          <w:rPr>
                            <w:sz w:val="23"/>
                            <w:lang w:val="en-US"/>
                          </w:rPr>
                          <w:t>45535</w:t>
                        </w:r>
                        <w:r>
                          <w:rPr>
                            <w:sz w:val="23"/>
                            <w:lang w:val="en-US"/>
                          </w:rPr>
                          <w:fldChar w:fldCharType="end"/>
                        </w:r>
                        <w:r>
                          <w:rPr>
                            <w:sz w:val="23"/>
                            <w:lang w:val="en-US"/>
                          </w:rPr>
                          <w:t xml:space="preserve">   (R)</w:t>
                        </w:r>
                      </w:p>
                    </w:txbxContent>
                  </v:textbox>
                  <w10:wrap anchorx="margin"/>
                  <w10:anchorlock/>
                </v:shape>
              </w:pict>
            </w:r>
            <w: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9"/>
              </w:rPr>
            </w:pPr>
            <w:r>
              <w:rPr>
                <w:b/>
                <w:sz w:val="29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3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  <w:vAlign w:val="center"/>
          </w:tcPr>
          <w:p w:rsidR="00000000" w:rsidRDefault="00000000">
            <w:pPr>
              <w:pStyle w:val="Heading7"/>
              <w:rPr>
                <w:sz w:val="69"/>
              </w:rPr>
            </w:pPr>
            <w:r>
              <w:rPr>
                <w:sz w:val="69"/>
              </w:rP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3"/>
        </w:rPr>
      </w:pPr>
    </w:p>
    <w:tbl>
      <w:tblPr>
        <w:tblW w:w="0" w:type="auto"/>
        <w:tblInd w:w="2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8"/>
              </w:rPr>
            </w:pPr>
            <w:r>
              <w:rPr>
                <w:sz w:val="23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19"/>
              </w:rPr>
            </w:pPr>
            <w:r>
              <w:rPr>
                <w:vanish/>
                <w:sz w:val="19"/>
              </w:rPr>
              <w:fldChar w:fldCharType="begin"/>
            </w:r>
            <w:r>
              <w:rPr>
                <w:vanish/>
                <w:sz w:val="19"/>
              </w:rPr>
              <w:instrText>SEQ _endnote  \* ARABIC</w:instrText>
            </w:r>
            <w:r>
              <w:rPr>
                <w:vanish/>
                <w:sz w:val="19"/>
              </w:rPr>
              <w:fldChar w:fldCharType="separate"/>
            </w:r>
            <w:r>
              <w:rPr>
                <w:noProof/>
                <w:vanish/>
                <w:sz w:val="19"/>
              </w:rPr>
              <w:t>1</w:t>
            </w:r>
            <w:r>
              <w:rPr>
                <w:vanish/>
                <w:sz w:val="19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3"/>
              </w:rPr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29"/>
              </w:rPr>
            </w:pPr>
            <w:r>
              <w:rPr>
                <w:b/>
                <w:sz w:val="29"/>
              </w:rPr>
              <w:t>Конвенция против пыток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29"/>
              </w:rPr>
            </w:pPr>
            <w:r>
              <w:rPr>
                <w:b/>
                <w:sz w:val="29"/>
              </w:rPr>
              <w:t>и других жестоких, бесчеловечных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29"/>
              </w:rPr>
            </w:pPr>
            <w:r>
              <w:rPr>
                <w:b/>
                <w:sz w:val="29"/>
              </w:rPr>
              <w:t>или унижающих достоинство видов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sz w:val="23"/>
              </w:rPr>
            </w:pPr>
            <w:r>
              <w:rPr>
                <w:b/>
                <w:sz w:val="29"/>
              </w:rPr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1"/>
              </w:rPr>
            </w:pPr>
            <w:r>
              <w:rPr>
                <w:sz w:val="21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1"/>
              </w:rPr>
            </w:pPr>
            <w:r>
              <w:rPr>
                <w:sz w:val="21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1"/>
              </w:rPr>
              <w:instrText xml:space="preserve"> FORMDROPDOWN </w:instrText>
            </w:r>
            <w:r>
              <w:rPr>
                <w:sz w:val="21"/>
              </w:rPr>
            </w:r>
            <w:r>
              <w:rPr>
                <w:sz w:val="21"/>
              </w:rPr>
              <w:fldChar w:fldCharType="end"/>
            </w:r>
            <w:bookmarkEnd w:id="0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1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1"/>
              </w:rPr>
            </w:pPr>
            <w:r>
              <w:rPr>
                <w:sz w:val="21"/>
              </w:rPr>
              <w:fldChar w:fldCharType="begin"/>
            </w:r>
            <w:r>
              <w:rPr>
                <w:sz w:val="21"/>
              </w:rPr>
              <w:instrText xml:space="preserve"> FILLIN "Символ документа" \* MERGEFORMAT </w:instrText>
            </w:r>
            <w:r>
              <w:rPr>
                <w:sz w:val="21"/>
              </w:rPr>
              <w:fldChar w:fldCharType="separate"/>
            </w:r>
            <w:r>
              <w:rPr>
                <w:sz w:val="21"/>
              </w:rPr>
              <w:t>CAT/C/SR.395</w:t>
            </w:r>
            <w:r>
              <w:rPr>
                <w:sz w:val="21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1"/>
              </w:rPr>
            </w:pPr>
            <w:r>
              <w:rPr>
                <w:sz w:val="21"/>
              </w:rPr>
              <w:fldChar w:fldCharType="begin"/>
            </w:r>
            <w:r>
              <w:rPr>
                <w:sz w:val="21"/>
              </w:rPr>
              <w:instrText xml:space="preserve"> FILLIN "Дата документа" \* MERGEFORMAT </w:instrText>
            </w:r>
            <w:r>
              <w:rPr>
                <w:sz w:val="21"/>
              </w:rPr>
              <w:fldChar w:fldCharType="separate"/>
            </w:r>
            <w:r>
              <w:rPr>
                <w:sz w:val="21"/>
              </w:rPr>
              <w:t>15 November 1999</w:t>
            </w:r>
            <w:r>
              <w:rPr>
                <w:sz w:val="21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1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1"/>
              </w:rPr>
            </w:pPr>
            <w:r>
              <w:rPr>
                <w:sz w:val="21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1"/>
              </w:rPr>
            </w:pPr>
            <w:r>
              <w:rPr>
                <w:sz w:val="21"/>
              </w:rPr>
              <w:t xml:space="preserve">Original:  </w:t>
            </w:r>
            <w:r>
              <w:rPr>
                <w:sz w:val="21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3"/>
            <w:r>
              <w:rPr>
                <w:sz w:val="21"/>
              </w:rPr>
              <w:instrText xml:space="preserve"> FORMDROPDOWN </w:instrText>
            </w:r>
            <w:r>
              <w:rPr>
                <w:sz w:val="21"/>
              </w:rPr>
            </w:r>
            <w:r>
              <w:rPr>
                <w:sz w:val="21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1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sz w:val="23"/>
          <w:lang w:val="en-US"/>
        </w:rPr>
      </w:pPr>
    </w:p>
    <w:p w:rsidR="00000000" w:rsidRDefault="00000000">
      <w:pPr>
        <w:spacing w:line="240" w:lineRule="auto"/>
        <w:jc w:val="center"/>
        <w:rPr>
          <w:lang w:val="en-US"/>
        </w:rPr>
      </w:pPr>
      <w:r>
        <w:t>КОМИТЕТ ПРОТИВ ПЫТОК</w:t>
      </w:r>
    </w:p>
    <w:p w:rsidR="00000000" w:rsidRDefault="00000000">
      <w:pPr>
        <w:spacing w:line="240" w:lineRule="auto"/>
        <w:jc w:val="center"/>
        <w:rPr>
          <w:lang w:val="en-US"/>
        </w:rPr>
      </w:pPr>
    </w:p>
    <w:p w:rsidR="00000000" w:rsidRDefault="00000000">
      <w:pPr>
        <w:spacing w:line="240" w:lineRule="auto"/>
        <w:jc w:val="center"/>
        <w:rPr>
          <w:lang w:val="en-US"/>
        </w:rPr>
      </w:pPr>
      <w:r>
        <w:t>Двадцать третья сессия</w:t>
      </w:r>
    </w:p>
    <w:p w:rsidR="00000000" w:rsidRDefault="00000000">
      <w:pPr>
        <w:spacing w:line="240" w:lineRule="auto"/>
        <w:jc w:val="center"/>
        <w:rPr>
          <w:lang w:val="en-US"/>
        </w:rPr>
      </w:pPr>
    </w:p>
    <w:p w:rsidR="00000000" w:rsidRDefault="00000000">
      <w:pPr>
        <w:spacing w:line="240" w:lineRule="auto"/>
        <w:jc w:val="center"/>
      </w:pPr>
      <w:r>
        <w:t>КРАТКИЙ ОТЧЕТ О ПЕРВОЙ (ОТКРЫТОЙ)* ЧАСТИ 395-го ЗАСЕДАНИЯ,</w:t>
      </w:r>
    </w:p>
    <w:p w:rsidR="00000000" w:rsidRDefault="00000000">
      <w:pPr>
        <w:spacing w:line="240" w:lineRule="auto"/>
        <w:jc w:val="center"/>
        <w:rPr>
          <w:lang w:val="en-US"/>
        </w:rPr>
      </w:pPr>
    </w:p>
    <w:p w:rsidR="00000000" w:rsidRDefault="00000000">
      <w:pPr>
        <w:spacing w:line="240" w:lineRule="auto"/>
        <w:jc w:val="center"/>
      </w:pPr>
      <w:r>
        <w:t>состоявшегося во Дворце Наций в Женеве,</w:t>
      </w:r>
    </w:p>
    <w:p w:rsidR="00000000" w:rsidRDefault="00000000">
      <w:pPr>
        <w:spacing w:line="240" w:lineRule="auto"/>
        <w:jc w:val="center"/>
      </w:pPr>
      <w:r>
        <w:t>в среду, 10 ноября 1999 года, в 10 час. 00 мин.</w:t>
      </w:r>
    </w:p>
    <w:p w:rsidR="00000000" w:rsidRDefault="00000000">
      <w:pPr>
        <w:spacing w:line="240" w:lineRule="auto"/>
        <w:jc w:val="center"/>
        <w:rPr>
          <w:u w:val="single"/>
          <w:lang w:val="en-US"/>
        </w:rPr>
      </w:pPr>
    </w:p>
    <w:p w:rsidR="00000000" w:rsidRDefault="00000000">
      <w:pPr>
        <w:spacing w:line="240" w:lineRule="auto"/>
        <w:jc w:val="center"/>
      </w:pPr>
      <w:r>
        <w:rPr>
          <w:u w:val="single"/>
        </w:rPr>
        <w:t>Председатель</w:t>
      </w:r>
      <w:r>
        <w:t>:  г-н БЁРНС</w:t>
      </w:r>
    </w:p>
    <w:p w:rsidR="00000000" w:rsidRDefault="00000000">
      <w:pPr>
        <w:spacing w:line="240" w:lineRule="auto"/>
        <w:jc w:val="center"/>
        <w:rPr>
          <w:lang w:val="en-US"/>
        </w:rPr>
      </w:pPr>
    </w:p>
    <w:p w:rsidR="00000000" w:rsidRDefault="00000000">
      <w:pPr>
        <w:spacing w:line="240" w:lineRule="auto"/>
        <w:jc w:val="center"/>
        <w:rPr>
          <w:lang w:val="en-US"/>
        </w:rPr>
      </w:pPr>
      <w:r>
        <w:t>СОДЕРЖАНИЕ</w:t>
      </w:r>
    </w:p>
    <w:p w:rsidR="00000000" w:rsidRDefault="00000000">
      <w:pPr>
        <w:spacing w:line="240" w:lineRule="auto"/>
        <w:jc w:val="center"/>
        <w:rPr>
          <w:lang w:val="en-US"/>
        </w:rPr>
      </w:pPr>
    </w:p>
    <w:p w:rsidR="00000000" w:rsidRDefault="00000000">
      <w:pPr>
        <w:spacing w:line="240" w:lineRule="auto"/>
      </w:pPr>
      <w:r>
        <w:t>РАССМОТРЕНИЕ ДОКЛАДОВ, ПРЕДСТАВЛЕННЫХ ГОСУДАРСТВАМИ-УЧАСТНИКАМИ В СООТВЕТСТВИИ СО СТАТЬЕЙ 19 КОНВЕНЦИИ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spacing w:line="240" w:lineRule="auto"/>
        <w:rPr>
          <w:u w:val="single"/>
        </w:rPr>
      </w:pPr>
      <w:r>
        <w:tab/>
      </w:r>
      <w:r>
        <w:rPr>
          <w:u w:val="single"/>
        </w:rPr>
        <w:t>Второй периодический доклад Австрии</w:t>
      </w:r>
    </w:p>
    <w:p w:rsidR="00000000" w:rsidRDefault="00000000">
      <w:pPr>
        <w:spacing w:line="240" w:lineRule="auto"/>
        <w:rPr>
          <w:sz w:val="21"/>
          <w:u w:val="single"/>
        </w:rPr>
      </w:pPr>
    </w:p>
    <w:p w:rsidR="00000000" w:rsidRDefault="00000000">
      <w:pPr>
        <w:pStyle w:val="EndnoteText"/>
        <w:rPr>
          <w:sz w:val="21"/>
        </w:rPr>
      </w:pPr>
      <w:r>
        <w:rPr>
          <w:sz w:val="21"/>
        </w:rPr>
        <w:t>________________________</w:t>
      </w:r>
    </w:p>
    <w:p w:rsidR="00000000" w:rsidRDefault="00000000">
      <w:pPr>
        <w:spacing w:line="216" w:lineRule="auto"/>
        <w:rPr>
          <w:sz w:val="21"/>
        </w:rPr>
      </w:pPr>
    </w:p>
    <w:p w:rsidR="00000000" w:rsidRDefault="00000000">
      <w:pPr>
        <w:pStyle w:val="FootnoteText"/>
        <w:spacing w:line="216" w:lineRule="auto"/>
        <w:rPr>
          <w:sz w:val="20"/>
          <w:lang w:val="en-US"/>
        </w:rPr>
      </w:pPr>
      <w:r>
        <w:rPr>
          <w:sz w:val="20"/>
        </w:rPr>
        <w:tab/>
        <w:t>*</w:t>
      </w:r>
      <w:r>
        <w:rPr>
          <w:sz w:val="20"/>
        </w:rPr>
        <w:tab/>
        <w:t xml:space="preserve">Краткий отчет о второй (закрытой) части заседания содержится в документе </w:t>
      </w:r>
      <w:r>
        <w:rPr>
          <w:sz w:val="20"/>
          <w:lang w:val="en-US"/>
        </w:rPr>
        <w:t>CAT/C/SR.395/Add.1.</w:t>
      </w:r>
    </w:p>
    <w:p w:rsidR="00000000" w:rsidRDefault="00000000">
      <w:pPr>
        <w:pStyle w:val="FootnoteText"/>
        <w:spacing w:line="216" w:lineRule="auto"/>
        <w:rPr>
          <w:sz w:val="20"/>
          <w:lang w:val="en-US"/>
        </w:rPr>
      </w:pPr>
    </w:p>
    <w:p w:rsidR="00000000" w:rsidRDefault="00000000">
      <w:pPr>
        <w:tabs>
          <w:tab w:val="left" w:pos="0"/>
          <w:tab w:val="left" w:pos="6520"/>
        </w:tabs>
        <w:suppressAutoHyphens/>
        <w:spacing w:line="216" w:lineRule="auto"/>
        <w:rPr>
          <w:sz w:val="20"/>
        </w:rPr>
      </w:pPr>
      <w:r>
        <w:rPr>
          <w:sz w:val="20"/>
        </w:rPr>
        <w:t>________________________________________________________________________________________</w:t>
      </w:r>
    </w:p>
    <w:p w:rsidR="00000000" w:rsidRDefault="00000000">
      <w:pPr>
        <w:tabs>
          <w:tab w:val="left" w:pos="0"/>
          <w:tab w:val="left" w:pos="6520"/>
        </w:tabs>
        <w:suppressAutoHyphens/>
        <w:spacing w:line="216" w:lineRule="auto"/>
        <w:rPr>
          <w:sz w:val="20"/>
        </w:rPr>
      </w:pPr>
    </w:p>
    <w:p w:rsidR="00000000" w:rsidRDefault="00000000">
      <w:pPr>
        <w:tabs>
          <w:tab w:val="left" w:pos="0"/>
          <w:tab w:val="left" w:pos="6520"/>
        </w:tabs>
        <w:suppressAutoHyphens/>
        <w:spacing w:line="216" w:lineRule="auto"/>
        <w:rPr>
          <w:sz w:val="20"/>
        </w:rPr>
      </w:pPr>
      <w:r>
        <w:rPr>
          <w:sz w:val="20"/>
        </w:rPr>
        <w:tab/>
        <w:t>В настоящий отчет могут вноситься поправки.</w:t>
      </w:r>
    </w:p>
    <w:p w:rsidR="00000000" w:rsidRDefault="00000000">
      <w:pPr>
        <w:tabs>
          <w:tab w:val="left" w:pos="0"/>
          <w:tab w:val="left" w:pos="6520"/>
        </w:tabs>
        <w:suppressAutoHyphens/>
        <w:spacing w:line="216" w:lineRule="auto"/>
        <w:rPr>
          <w:sz w:val="20"/>
        </w:rPr>
      </w:pPr>
      <w:r>
        <w:rPr>
          <w:sz w:val="20"/>
        </w:rP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sz w:val="20"/>
          <w:u w:val="single"/>
        </w:rPr>
        <w:t>в</w:t>
      </w:r>
      <w:r>
        <w:rPr>
          <w:sz w:val="20"/>
          <w:u w:val="single"/>
          <w:lang w:val="en-US"/>
        </w:rPr>
        <w:t> </w:t>
      </w:r>
      <w:r>
        <w:rPr>
          <w:sz w:val="20"/>
          <w:u w:val="single"/>
        </w:rPr>
        <w:t>течение одной недели с момента выпуска настоящего документа</w:t>
      </w:r>
      <w:r>
        <w:rPr>
          <w:sz w:val="20"/>
        </w:rPr>
        <w:t xml:space="preserve"> в</w:t>
      </w:r>
      <w:r>
        <w:rPr>
          <w:sz w:val="20"/>
          <w:lang w:val="en-US"/>
        </w:rPr>
        <w:t xml:space="preserve"> </w:t>
      </w:r>
      <w:r>
        <w:rPr>
          <w:sz w:val="20"/>
        </w:rPr>
        <w:t>Секцию редактирования официальных отчетов, комната Е. 4108, Дворец Наций, Женева.</w:t>
      </w:r>
    </w:p>
    <w:p w:rsidR="00000000" w:rsidRDefault="00000000">
      <w:pPr>
        <w:pStyle w:val="BodyText"/>
        <w:spacing w:line="216" w:lineRule="auto"/>
      </w:pPr>
      <w:r>
        <w:rPr>
          <w:sz w:val="20"/>
        </w:rPr>
        <w:tab/>
        <w:t>Любые поправки к отчетам об открытых заседаниях настоящей сессии Комитета будут сведены в единое исправление, которое будет издано вскоре после окончания сессии.</w:t>
      </w:r>
    </w:p>
    <w:p w:rsidR="00000000" w:rsidRDefault="00000000">
      <w:pPr>
        <w:jc w:val="center"/>
      </w:pPr>
      <w:r>
        <w:rPr>
          <w:sz w:val="23"/>
          <w:u w:val="single"/>
        </w:rPr>
        <w:br w:type="page"/>
      </w:r>
      <w:r>
        <w:rPr>
          <w:u w:val="single"/>
        </w:rPr>
        <w:t>Заседание начинается в 10 час. 05 мин</w:t>
      </w:r>
      <w:r>
        <w:t>.</w:t>
      </w:r>
    </w:p>
    <w:p w:rsidR="00000000" w:rsidRDefault="00000000"/>
    <w:p w:rsidR="00000000" w:rsidRDefault="00000000">
      <w:r>
        <w:t>РАССМОТРЕНИЕ ДОКЛАДОВ, ПРЕДСТАВЛЕННЫХ ГОСУДАРСТВАМИ-УЧАСТНИКАМИ В СООТВЕТСТВИИ СО СТАТЬЕЙ 19 КОНВЕНЦИИ (Пункт 4 повестки дня)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pStyle w:val="EndnoteText"/>
        <w:spacing w:line="288" w:lineRule="auto"/>
      </w:pPr>
    </w:p>
    <w:p w:rsidR="00000000" w:rsidRDefault="00000000">
      <w:pPr>
        <w:rPr>
          <w:lang w:val="en-US"/>
        </w:rPr>
      </w:pPr>
      <w:r>
        <w:tab/>
      </w:r>
      <w:r>
        <w:rPr>
          <w:u w:val="single"/>
        </w:rPr>
        <w:t>Второй периодический доклад Австрии</w:t>
      </w:r>
      <w:r>
        <w:t xml:space="preserve"> (</w:t>
      </w:r>
      <w:r>
        <w:rPr>
          <w:lang w:val="en-US"/>
        </w:rPr>
        <w:t>CAT/C/17/Add.21)</w:t>
      </w:r>
    </w:p>
    <w:p w:rsidR="00000000" w:rsidRDefault="00000000">
      <w:pPr>
        <w:rPr>
          <w:lang w:val="en-US"/>
        </w:rPr>
      </w:pPr>
    </w:p>
    <w:p w:rsidR="00000000" w:rsidRDefault="00000000">
      <w:r>
        <w:t>1.</w:t>
      </w:r>
      <w:r>
        <w:tab/>
      </w:r>
      <w:r>
        <w:rPr>
          <w:u w:val="single"/>
        </w:rPr>
        <w:t>По приглашению Председателя члены делегации Австрии занимают места за столом Комитета</w:t>
      </w:r>
      <w:r>
        <w:t>.</w:t>
      </w:r>
    </w:p>
    <w:p w:rsidR="00000000" w:rsidRDefault="00000000"/>
    <w:p w:rsidR="00000000" w:rsidRDefault="00000000">
      <w:r>
        <w:t>2.</w:t>
      </w:r>
      <w:r>
        <w:tab/>
      </w:r>
      <w:r>
        <w:rPr>
          <w:u w:val="single"/>
        </w:rPr>
        <w:t>ПРЕДСЕДАТЕЛЬ</w:t>
      </w:r>
      <w:r>
        <w:t xml:space="preserve"> предлагает делегации Австрии представить свой первоначальный доклад.</w:t>
      </w:r>
    </w:p>
    <w:p w:rsidR="00000000" w:rsidRDefault="00000000"/>
    <w:p w:rsidR="00000000" w:rsidRDefault="00000000">
      <w:pPr>
        <w:rPr>
          <w:lang w:val="en-US"/>
        </w:rPr>
      </w:pPr>
      <w:r>
        <w:t>3.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КРЕЙД</w:t>
      </w:r>
      <w:r>
        <w:t xml:space="preserve"> (Австрия) говорит о том, что искоренение всех форм пыток и другого жестокого, бесчеловечного или унижающего достоинство обращения или наказания является одним из ключевых обязательств международного сообщества в сфере прав человека.  Австрия приветствует и поддерживает идущий процесс ратификации Конвенции.  Представив свой первоначальный доклад в 1988 году, правительство его страны рассматривает настоящий доклад, содержащийся в документе </w:t>
      </w:r>
      <w:r>
        <w:rPr>
          <w:lang w:val="en-US"/>
        </w:rPr>
        <w:t>CAT/C/17/Add.21, в качестве сводного варианта второго и третьего периодических докладов.  Оно выражает сожаление в связи с задержкой в их представлении и в полной мере берет на себя обязательства улучшить свои механизмы представления докладов в будущем для того, чтобы обеспечить непрерывный диалог с Комитетом, в ходе которого будут рассматриваться последние тенденции.</w:t>
      </w:r>
    </w:p>
    <w:p w:rsidR="00000000" w:rsidRDefault="00000000">
      <w:pPr>
        <w:rPr>
          <w:lang w:val="en-US"/>
        </w:rPr>
      </w:pPr>
    </w:p>
    <w:p w:rsidR="00000000" w:rsidRDefault="00000000">
      <w:r>
        <w:t>4.</w:t>
      </w:r>
      <w:r>
        <w:tab/>
        <w:t>В докладе основное внимание обращается на правовые акты, которые имеют далеко идущие последствия для правового статуса всех лиц, проживающих в Австрии, а именно:  Закон о службе безопасности 1991 года, Кодекс профессиональных обязанностей, включенный в Постановление об основных принципах деятельности в 1993 году, Закон об изменении уголовного судопроизводства 1993 года, Закон о подаче жалоб на нарушение основных прав 1993 года, Закон об иностранцах 1997 года и Закон об убежище 1997 года.  В нем также содержится информация, касающаяся отбора и подготовки сотрудников полиции, процедур медицинского обследования, используемых медицинскими работниками и деятельности Европейского комитета по предупреждению пыток (КПП) применительно к Австрии.</w:t>
      </w:r>
    </w:p>
    <w:p w:rsidR="00000000" w:rsidRDefault="00000000"/>
    <w:p w:rsidR="00000000" w:rsidRDefault="00000000">
      <w:r>
        <w:t>5.</w:t>
      </w:r>
      <w:r>
        <w:tab/>
        <w:t>Он хотел бы обратить внимание Комитета на ряд недавних событий, имеющих отношение к проводимому им обсуждению.  Во</w:t>
      </w:r>
      <w:r>
        <w:noBreakHyphen/>
        <w:t>первых, федеральное министерство внутренних дел создало Консультативный совет по правам человека с целью контроля за деятельностью служб безопасности в том, что касается соблюдения прав человека.  Совет уполномочен давать рекомендации федеральному министерству внутренних дел и может посещать места содержания под стражей.  Совет действует на независимой основе и в его состав входят представители неправительственных организаций.  Во</w:t>
      </w:r>
      <w:r>
        <w:noBreakHyphen/>
        <w:t>вторых, после представления своего второго периодического доклада Австрия активизировала свои усилия в области подготовки сотрудников полиции с исполнительными функциями.  В</w:t>
      </w:r>
      <w:r>
        <w:noBreakHyphen/>
        <w:t>третьих, в сентябре 1999 года делегация КПП посетила Австрию с двенадцатидневным визитом, в ходе которого она встретилась с представителями федеральных министерств юстиции, внутренних дел, труда, здравоохранения и социальных дел, Председателем Консультативного совета по правам человека и омбудсменом, а также посетила полицейские участки, тюрьмы, пенитенциарные и психиатрические учреждения.  Доклад КПП по Австрии появится в 2000 году.</w:t>
      </w:r>
    </w:p>
    <w:p w:rsidR="00000000" w:rsidRDefault="00000000"/>
    <w:p w:rsidR="00000000" w:rsidRDefault="00000000">
      <w:r>
        <w:t>6.</w:t>
      </w:r>
      <w:r>
        <w:tab/>
        <w:t>Усилия, прилагавшиеся правительством в последние годы, привели к значительным улучшениям.</w:t>
      </w:r>
      <w:r>
        <w:rPr>
          <w:lang w:val="en-US"/>
        </w:rPr>
        <w:t xml:space="preserve">  </w:t>
      </w:r>
      <w:r>
        <w:t>Вместе с тем оно полностью сознает наличие недостатков с точки зрения интеграции Конвенции в законодательство и ее выполнения.  Целый ряд предыдущих рекомендаций Комитета был учтен в новом законодательстве, принятом в 90</w:t>
      </w:r>
      <w:r>
        <w:noBreakHyphen/>
        <w:t>е годы, однако некоторые вопросы, поднятые Комитетом и другими органами, такими, как КПП, продолжают изучаться.  Оратор выражает убеждение в том, что будут найдены такие решения, которые смогут в наиболее полной мере удовлетворить общую обеспокоенность.  Выводы и заключения, сделанные Комитетом на его нынешней сессии, будут тщательно изучены на предмет их осуществимости с целью их скорейшего выполнения.</w:t>
      </w:r>
    </w:p>
    <w:p w:rsidR="00000000" w:rsidRDefault="00000000"/>
    <w:p w:rsidR="00000000" w:rsidRDefault="00000000">
      <w:pPr>
        <w:rPr>
          <w:lang w:val="en-US"/>
        </w:rPr>
      </w:pPr>
      <w:r>
        <w:t>7.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СОРЕНСЕН</w:t>
      </w:r>
      <w:r>
        <w:t xml:space="preserve"> (Докладчик по стране) говорит, что Комитет принимает к сведению сожаление делегации по поводу задержки в представлении второго и третьего периодических докладов Австрии, подлежавших представлению соответственно в 1992 и 1996 годах.  Сам Комитет также сожалеет о том, что представленный ему в настоящее время сводный доклад не соответствует разработанным им принципам представления докладов.  Уже только это затрудняет его оценку и обсуждение.  К другим вызывающим затруднения факторам относится то, что в докладе не проводится связь между описываемым в нем новым законодательством и конкретными статьями Конвенции, и то, что во время представления первоначального доклада Комитет в силу своей неопытности не дал четких заключений и рекомендаций.  Поскольку, таким образом, отправная точка для обсуждения представленного с опозданием второго доклада далека от оптимальной, оратор хотел бы начать обсуждение с прояснения вопросов, которые остались нерешенными десять лет назад во время рассмотрения первоначального доклада, содержащегося в документе </w:t>
      </w:r>
      <w:r>
        <w:rPr>
          <w:lang w:val="en-US"/>
        </w:rPr>
        <w:t>CAT/C/5/Add.10.</w:t>
      </w:r>
    </w:p>
    <w:p w:rsidR="00000000" w:rsidRDefault="00000000">
      <w:pPr>
        <w:rPr>
          <w:lang w:val="en-US"/>
        </w:rPr>
      </w:pPr>
    </w:p>
    <w:p w:rsidR="00000000" w:rsidRDefault="00000000">
      <w:r>
        <w:t>8.</w:t>
      </w:r>
      <w:r>
        <w:tab/>
        <w:t>Во</w:t>
      </w:r>
      <w:r>
        <w:noBreakHyphen/>
        <w:t>первых, в части</w:t>
      </w:r>
      <w:r>
        <w:rPr>
          <w:lang w:val="en-US"/>
        </w:rPr>
        <w:t> I</w:t>
      </w:r>
      <w:r>
        <w:t xml:space="preserve"> первоначального доклада заявляется, что в Австрии прямо применяются как Европейская конвенция о правах человека, так и Конвенция против пыток.  Однако указывается, что первая облечена в форму "конституционного закона" в то время как вторая определена как имеющая силу "закона".  Какие практические последствия имеют такие различия?</w:t>
      </w:r>
    </w:p>
    <w:p w:rsidR="00000000" w:rsidRDefault="00000000"/>
    <w:p w:rsidR="00000000" w:rsidRDefault="00000000">
      <w:r>
        <w:t>9.</w:t>
      </w:r>
      <w:r>
        <w:tab/>
        <w:t>Часть </w:t>
      </w:r>
      <w:r>
        <w:rPr>
          <w:lang w:val="en-US"/>
        </w:rPr>
        <w:t>II</w:t>
      </w:r>
      <w:r>
        <w:t xml:space="preserve"> первоначального доклада гласит:  "В пункте 1 [статьи 1 Конвенции против пыток] содержится определение пытки, а в пункте 2 – положение, гласящее, что данная статья не наносит ущерба каким –либо правовым нормам.  Так как Конвенция</w:t>
      </w:r>
      <w:r>
        <w:rPr>
          <w:lang w:val="en-US"/>
        </w:rPr>
        <w:t xml:space="preserve"> </w:t>
      </w:r>
      <w:r>
        <w:t>против пыток является автоматически применяемым законом и, следовательно, статья 1 включена в австрийское национальное законодательство, не было необходимости принимать какие</w:t>
      </w:r>
      <w:r>
        <w:noBreakHyphen/>
        <w:t>либо меры для ее практического осуществления".  Вместе с тем в отношении статьи 2 Конвенции в части </w:t>
      </w:r>
      <w:r>
        <w:rPr>
          <w:lang w:val="en-US"/>
        </w:rPr>
        <w:t>II</w:t>
      </w:r>
      <w:r>
        <w:t xml:space="preserve"> первоначального доклада также указывается следующее:  "… следует прежде всего подчеркнуть, что в соответствии со статьей </w:t>
      </w:r>
      <w:r>
        <w:rPr>
          <w:lang w:val="en-US"/>
        </w:rPr>
        <w:t>3</w:t>
      </w:r>
      <w:r>
        <w:t xml:space="preserve"> Европейской конвенции о правах человека запрещение пыток имеет силу конституционного закона".  Как может быть, чтобы пытки представляли собой лишь определение в соответствии с одним международно</w:t>
      </w:r>
      <w:r>
        <w:noBreakHyphen/>
        <w:t>правовым актом и преступление в соответствии с другим?</w:t>
      </w:r>
    </w:p>
    <w:p w:rsidR="00000000" w:rsidRDefault="00000000"/>
    <w:p w:rsidR="00000000" w:rsidRDefault="00000000">
      <w:r>
        <w:t>10.</w:t>
      </w:r>
      <w:r>
        <w:tab/>
        <w:t>В части </w:t>
      </w:r>
      <w:r>
        <w:rPr>
          <w:lang w:val="en-US"/>
        </w:rPr>
        <w:t>II</w:t>
      </w:r>
      <w:r>
        <w:t xml:space="preserve"> первоначального доклада также указывается, что определенные в статье </w:t>
      </w:r>
      <w:r>
        <w:rPr>
          <w:lang w:val="en-US"/>
        </w:rPr>
        <w:t>4</w:t>
      </w:r>
      <w:r>
        <w:t xml:space="preserve"> Конвенции обязательства были учтены в статье 312 Уголовного кодекса Австрии.  Вместе с тем из воспроизведенного в докладе текста видно, что данная статья не содержит никаких конкретных ссылок на любой из четырех элементов, имеющих решающее значение для определение пытки, приводимого в статье 1, а именно:  причинение сильной боли или страдания, физического или нравственного, умышленность таких действий и тот факт, что такие действия совершаются с конкретной целью и государственным должностным лицом.  Таким образом, как представляется, в Уголовном кодексе отсутствует конкретное определение пытки, особенно с точки зрения такого его ключевого элемента, как наличие умысла, что необходимо для того, чтобы сделать Уголовный кодекс в полной мере применимым в таких случаях.</w:t>
      </w:r>
    </w:p>
    <w:p w:rsidR="00000000" w:rsidRDefault="00000000"/>
    <w:p w:rsidR="00000000" w:rsidRDefault="00000000">
      <w:r>
        <w:t>11.</w:t>
      </w:r>
      <w:r>
        <w:tab/>
        <w:t>Упомянутые расхождения, вероятно, делают положение в данной области в высшей степени запутанным для австрийской полиции (особенно пограничной), прокуроров и судей.  В Конвенции имеется определение пытки, которое отличается от того определения, на основании которого пытки запрещаются в соответствии с Европейской конвенцией, и эти два международно-правовых акта по</w:t>
      </w:r>
      <w:r>
        <w:noBreakHyphen/>
        <w:t>прежнему имеют различный статус.  Кроме того, во внутреннем Уголовном кодексе содержится определение пытки, которое не соответствует определению пытки, изложенному в Конвенции против пыток.  Комитет придерживается мнения, что государства</w:t>
      </w:r>
      <w:r>
        <w:rPr>
          <w:lang w:val="en-US"/>
        </w:rPr>
        <w:t>-</w:t>
      </w:r>
      <w:r>
        <w:t>участники не выполняют свои обязательства в соответствии со статьей 4 Конвенции в том случае, если они не обеспечивают того, чтобы в их внутреннем законодательстве характер пытки четко определялся как уголовное преступление.</w:t>
      </w:r>
    </w:p>
    <w:p w:rsidR="00000000" w:rsidRDefault="00000000"/>
    <w:p w:rsidR="00000000" w:rsidRDefault="00000000">
      <w:pPr>
        <w:numPr>
          <w:ilvl w:val="0"/>
          <w:numId w:val="2"/>
        </w:numPr>
        <w:ind w:left="0" w:firstLine="0"/>
      </w:pPr>
      <w:r>
        <w:t>В связи со статьей 5 в первоначальном докладе приводится целый ряд статей Конвенции и Уголовного кодекса Австрии в подтверждение того, что в Австрии существует универсальная юрисдикция.  Вместе с тем, хотя, возможно, это и действительно так в других областях, весьма сложно определить, как она может применяться к пыткам, поскольку их концепция не определена в местном законодательстве.  Последним и наиболее наглядным примером является хорошо известное дело Ивсата Ибрагима Эльндури, уроженца Ирака.  Когда он в августе 1999 года посетил Австрию, власти этой страны, безусловно, не выполнили своего обязательства в соответствии со статьей 6 Конвенции, предусматривающей, что "любое государство</w:t>
      </w:r>
      <w:r>
        <w:noBreakHyphen/>
        <w:t>участник, на территории которого находится лицо, подозреваемое в совершении любого из преступлений, указанных в статье 4 [т.е. пытки], заключает его под стражу или принимает другие юридические меры, обеспечивающие его присутствие".  В данном случае, как представляется, неясность внутреннего законодательства, о которой говорилось выше, не позволила принять эффективные меры.</w:t>
      </w:r>
    </w:p>
    <w:p w:rsidR="00000000" w:rsidRDefault="00000000">
      <w:pPr>
        <w:tabs>
          <w:tab w:val="clear" w:pos="567"/>
        </w:tabs>
      </w:pPr>
    </w:p>
    <w:p w:rsidR="00000000" w:rsidRDefault="00000000">
      <w:pPr>
        <w:numPr>
          <w:ilvl w:val="0"/>
          <w:numId w:val="2"/>
        </w:numPr>
        <w:ind w:left="0" w:firstLine="0"/>
      </w:pPr>
      <w:r>
        <w:t>Его первый вопрос в отношении второго периодического доклада (CAT/C/17/Add.21) касается Закона о службе безопасности (Sicherheitspolizeigesetz, ЗПГ), который описывается в разделе I.  Насколько он понял, данный раздел касается статей 11, 12 и 16 Конвенции.  Комитет приветствовал принятие данного Закона и согласен с делегацией в том, что это представляет собой значительный шаг вперед.  Вместе с тем он обеспокоен тем, что из</w:t>
      </w:r>
      <w:r>
        <w:noBreakHyphen/>
        <w:t>за допущенного пропуска в тексте доклада следует, что данный Закон касается лишь физической, а не психологической неприкосновенности людей в ходе вмешательства полиции.  Это вдвойне прискорбно, поскольку психологические аспекты сложнее определять и доказывать, и в любом случае самоочевидно то, что данный закон касается физических аспектов.</w:t>
      </w:r>
    </w:p>
    <w:p w:rsidR="00000000" w:rsidRDefault="00000000">
      <w:pPr>
        <w:tabs>
          <w:tab w:val="clear" w:pos="567"/>
        </w:tabs>
      </w:pPr>
    </w:p>
    <w:p w:rsidR="00000000" w:rsidRDefault="00000000">
      <w:pPr>
        <w:numPr>
          <w:ilvl w:val="0"/>
          <w:numId w:val="2"/>
        </w:numPr>
        <w:ind w:left="0" w:firstLine="0"/>
      </w:pPr>
      <w:r>
        <w:t xml:space="preserve">Комитет приветствует принятие руководящих принципов в области вмешательства органов государственной безопасности, однако обеспокоен тем обстоятельством, что в докладе четко не указывается, пользуются ли лица, оказавшиеся в полиции, своими правами в соответствии с руководящими принципами автоматически или они обязаны обращаться с соответствующей просьбой.  В этой связи в соответствующих руководящих принципах Европейского комитета по предупреждению пыток предусматривается, что задержанное лицо имеет право проинформировать третью сторону о своем задержании.  Он хотел бы знать, на каком этапе задержания такое право предоставляется в Австрии, возможны ли исключения из этого права и кто несет в этой связи ответственность, как долго может находиться задержанное лицо в подобных условиях и имеет ли оно право на подачу жалобы, и, наконец, регистрируются ли соответствующие обстоятельства. </w:t>
      </w:r>
    </w:p>
    <w:p w:rsidR="00000000" w:rsidRDefault="00000000">
      <w:pPr>
        <w:tabs>
          <w:tab w:val="clear" w:pos="567"/>
        </w:tabs>
      </w:pPr>
    </w:p>
    <w:p w:rsidR="00000000" w:rsidRDefault="00000000">
      <w:pPr>
        <w:numPr>
          <w:ilvl w:val="0"/>
          <w:numId w:val="2"/>
        </w:numPr>
        <w:ind w:left="0" w:firstLine="0"/>
      </w:pPr>
      <w:r>
        <w:t>Он приветствует тот факт, что любое лицо, пострадавшее от действий полиции в Австрии, имеет право на получение медицинской помощи и юридической защиты.  Всегда ли разрешается задержанным лицам выбирать адвоката по своему усмотрению и могут ли они временно лишаться доступа к адвокату?  Если да, то в соответствии с чьим решением и на какой срок?  Неизменно ли соблюдается практика, когда лица, проводящие допрос, начинают его только после появления адвоката?  И, наконец, он спрашивает делегацию о том, не могла бы она привести какие</w:t>
      </w:r>
      <w:r>
        <w:noBreakHyphen/>
        <w:t>либо статистические данные, подтверждающие ее заявление о том, что принятие Закона о службе безопасности является большим шагом вперед на практике.</w:t>
      </w:r>
    </w:p>
    <w:p w:rsidR="00000000" w:rsidRDefault="00000000">
      <w:pPr>
        <w:tabs>
          <w:tab w:val="clear" w:pos="567"/>
        </w:tabs>
      </w:pPr>
    </w:p>
    <w:p w:rsidR="00000000" w:rsidRDefault="00000000">
      <w:pPr>
        <w:numPr>
          <w:ilvl w:val="0"/>
          <w:numId w:val="2"/>
        </w:numPr>
        <w:ind w:left="0" w:firstLine="0"/>
      </w:pPr>
      <w:r>
        <w:t>Переходя к разделу II, оратор отмечает, что новые положения, введенные в действие в соответствии с Законом о внесении поправок в Уголовно</w:t>
      </w:r>
      <w:r>
        <w:noBreakHyphen/>
        <w:t>процессуальный кодекс предусматривают принятие решений о продлении срока предварительного заключения через определенные промежутки времени.  Имеется ли предельный срок для такого содержания под стражей, принимается ли решение о помещении под стражу и продление срока предварительного заключения одним и тем же судьей и, что даже более важно, является ли этот судья тем же судьей, который впоследствии выносит приговор?  Он также хотел бы знать, может ли в соответствии с этим же Законом судья выдавать ордер на содержание в одиночном заключении.  Если да, то выполнение каких условий для этого требуется и насколько эффективно идет процесс пересмотра?</w:t>
      </w:r>
    </w:p>
    <w:p w:rsidR="00000000" w:rsidRDefault="00000000">
      <w:pPr>
        <w:tabs>
          <w:tab w:val="clear" w:pos="567"/>
        </w:tabs>
      </w:pPr>
    </w:p>
    <w:p w:rsidR="00000000" w:rsidRDefault="00000000">
      <w:pPr>
        <w:numPr>
          <w:ilvl w:val="0"/>
          <w:numId w:val="2"/>
        </w:numPr>
        <w:ind w:left="0" w:firstLine="0"/>
      </w:pPr>
      <w:r>
        <w:t>В пункте 22 доклада, раздел I, упоминается представленный в парламент Австрии доклад о положении в области безопасности;  действительно ли "отчетным годом" является 1996 год?  Согласно сообщенной информации, за этот годичный период было зарегистрировано 715 жалоб на жестокое обращение со стороны сотрудников полиции и вынесено 8 обвинительных приговоров;  это означает, что коэффициент вынесения обвинительных приговоров составляет 0,1%, что является довольно низким показателем.  Комитет хотел бы более подробно ознакомиться с информацией как о правонарушениях, так и об обвинительных приговорах.  Поскольку вынесено всего несколько обвинительных приговоров, то, вероятно, можно было бы процитировать все из них.  Классифицируются ли дисциплинарные наказания отдельно или они включаются в приговор, и насколько серьезными они являются?</w:t>
      </w:r>
    </w:p>
    <w:p w:rsidR="00000000" w:rsidRDefault="00000000">
      <w:pPr>
        <w:tabs>
          <w:tab w:val="clear" w:pos="567"/>
        </w:tabs>
      </w:pPr>
    </w:p>
    <w:p w:rsidR="00000000" w:rsidRDefault="00000000">
      <w:pPr>
        <w:numPr>
          <w:ilvl w:val="0"/>
          <w:numId w:val="2"/>
        </w:numPr>
        <w:ind w:left="0" w:firstLine="0"/>
      </w:pPr>
      <w:r>
        <w:t>В пунктах 31 и 35 раздела III говорится о Законе об убежище 1997 года и лицах, принимающих решения относительно предоставления убежища, в пункте 35 речь идет о "Независимом федеральном трибунале по вопросам предоставления убежища", в то время как в пункте 31 лишь упоминается "компетентный орган, обладающий необходимым опытом в данной области".  Он хотел бы знать, как отбираются лица, принимающие такие решения, и как правительство обеспечивает, чтобы они обладали достаточными сведениями о просителях убежища?  Это особенно актуально с точки зрения отношения к жертвам пыток и понимания их поведения.  Многие проблемы, которые возникают в связи со статьей 3 Конвенции, на его взгляд, обусловливаются тем, что лица, отвечающие за принятие таких решений, не обладают достаточными знаниями и опытом в том, что касается жертв пыток и их поведения.  Какие меры принимает правительство для того, чтобы они обладали столь важными знаниями?</w:t>
      </w:r>
    </w:p>
    <w:p w:rsidR="00000000" w:rsidRDefault="00000000">
      <w:pPr>
        <w:tabs>
          <w:tab w:val="clear" w:pos="567"/>
        </w:tabs>
      </w:pPr>
    </w:p>
    <w:p w:rsidR="00000000" w:rsidRDefault="00000000">
      <w:pPr>
        <w:numPr>
          <w:ilvl w:val="0"/>
          <w:numId w:val="2"/>
        </w:numPr>
        <w:ind w:left="0" w:firstLine="0"/>
      </w:pPr>
      <w:r>
        <w:t>Комитет приветствует факт признания в пунктах 32 и 33 неприемлемости возвращения лиц, которые рискуют подвергнуться пыткам, даже в том случае, если они являются террористами или уголовными преступниками.  Вместе с тем в пункте 34, в котором говорится о подаче заявления в Европейский суд, не упоминается Комитет против пыток, который, безусловно, является более компетентным, чем Европейский суд, в вопросах, конкретно касающихся угрозы применения пыток.</w:t>
      </w:r>
    </w:p>
    <w:p w:rsidR="00000000" w:rsidRDefault="00000000">
      <w:pPr>
        <w:tabs>
          <w:tab w:val="clear" w:pos="567"/>
        </w:tabs>
      </w:pPr>
    </w:p>
    <w:p w:rsidR="00000000" w:rsidRDefault="00000000">
      <w:pPr>
        <w:numPr>
          <w:ilvl w:val="0"/>
          <w:numId w:val="2"/>
        </w:numPr>
        <w:ind w:left="0" w:firstLine="0"/>
      </w:pPr>
      <w:r>
        <w:t>Он интересуется тем, могут ли не совершившие никаких уголовных преступлений просители убежища или беженцы помещаться в тюрьму или под стражу в полиции не в тех случаях, когда они ожидают своей высылки, а тогда, когда они попадают на территорию страны без документов или отказываются сообщить данные о своей личности.  В таких случаях единственным "преступлением" является несообщение данных о своей личности.  Очевидно, что в Австрии существуют центры для приема беженцев;  однако может ли теоретически случиться так, что такие люди будут направлены в тюрьмы или под стражу в полицейские участки?  Данный вопрос является весьма важным для понимания понятия "убежище", которое является весьма проблематичным во всем мире и, особенно в рамках Европейского союза.  Общественное мнение играет очень важную роль, и если люди видят, что просителей убежища отправляют в тюрьму, то они делают ложные выводы:  это является своего рода сигналом населению, что просители убежища приравниваются к уголовным преступникам.</w:t>
      </w:r>
    </w:p>
    <w:p w:rsidR="00000000" w:rsidRDefault="00000000">
      <w:pPr>
        <w:tabs>
          <w:tab w:val="clear" w:pos="567"/>
        </w:tabs>
      </w:pPr>
    </w:p>
    <w:p w:rsidR="00000000" w:rsidRDefault="00000000">
      <w:pPr>
        <w:numPr>
          <w:ilvl w:val="0"/>
          <w:numId w:val="2"/>
        </w:numPr>
        <w:ind w:left="0" w:firstLine="0"/>
      </w:pPr>
      <w:r>
        <w:t>Соответствующая подготовка сотрудников полиции является весьма важным вопросом, и Комитет удовлетворен тем, что Австрия обеспечивает такую подготовку;  вместе с тем статья 10 Конвенции гласит, что:  "Каждое государство</w:t>
      </w:r>
      <w:r>
        <w:noBreakHyphen/>
        <w:t>участник обеспечивает, чтобы учебные материалы и информация относительно запрещения пыток в полной мере включались в программы подготовки персонала правоприменительных органов, гражданского или военного медицинского персонала, государственных должностных лиц и других лиц, которые могут иметь отношение к содержанию под стражей и допросам лиц, подвергнутых любой форме ареста, задержания или тюремного заключения, или обращения с ними".  В данной статье содержится четкое требование:  государству</w:t>
      </w:r>
      <w:r>
        <w:noBreakHyphen/>
        <w:t>участнику предлагается обеспечить, чтобы информация и учебные материалы в полной мере включались в программу подготовки.  Такая подготовка имеет важное значение, поскольку не все жертвы пыток ведут себя одинаково.</w:t>
      </w:r>
    </w:p>
    <w:p w:rsidR="00000000" w:rsidRDefault="00000000">
      <w:pPr>
        <w:tabs>
          <w:tab w:val="clear" w:pos="567"/>
        </w:tabs>
      </w:pPr>
    </w:p>
    <w:p w:rsidR="00000000" w:rsidRDefault="00000000">
      <w:r>
        <w:t>22.</w:t>
      </w:r>
      <w:r>
        <w:tab/>
        <w:t>Он приветствовал начало использования медицинского протокола, который включает в себя подробное описание состояния здоровья, замечания и выводы.  Он также благодарит Австрию за то, что на протяжении многих лет она постоянно делает пожертвования в Добровольный фонд.  Уважение к жертвам пыток, о котором свидетельствует такая поддержка, является столь же желательным, как и сама по себе финансовая помощь.  Получение возмещения является одним из основных компонентов такого уважения.  Статья 14 гласит, что каждое государство</w:t>
      </w:r>
      <w:r>
        <w:noBreakHyphen/>
        <w:t>участник обеспечивает, чтобы жертва пыток получала возмещение и компенсацию, включая средства для возможно более полной реабилитации.  Возмещение имеет первостепенную важность, поскольку признание государством того, что решение государства или действие государственных должностных лиц является ошибочным, свидетельствует о полном уважении государства по отношению к ставшему жертвой лицу и его правам.  Генеральная Ассамблея постановила 10 декабря 1997 года, что 26 июня (дата учреждения Комитета) должно стать днем памяти жертв пыток во всем мире;  оратор рекомендует государственным органам объединить свои усилия с НПО для того, чтобы отметить этот день и, таким образом, еще раз продемонстрировать свое уважение по отношению к жертвам пыток.</w:t>
      </w:r>
    </w:p>
    <w:p w:rsidR="00000000" w:rsidRDefault="00000000"/>
    <w:p w:rsidR="00000000" w:rsidRDefault="00000000">
      <w:r>
        <w:t>23.</w:t>
      </w:r>
      <w:r>
        <w:tab/>
      </w:r>
      <w:r>
        <w:rPr>
          <w:u w:val="single"/>
        </w:rPr>
        <w:t>Г-н ЯКОВЛЕВ</w:t>
      </w:r>
      <w:r>
        <w:t xml:space="preserve"> (заместитель Докладчика по стране) поддерживает данную его коллегой высокую оценку позиции австрийского правительства по отношению к положениям Конвенции.  Вместе с тем у Комитета имеется ряд поводов для обеспокоенности.  Во</w:t>
      </w:r>
      <w:r>
        <w:noBreakHyphen/>
        <w:t>первых, соответствует ли предъявляемым требованиям действующее законодательство, в частности Уголовно</w:t>
      </w:r>
      <w:r>
        <w:noBreakHyphen/>
        <w:t>процессуальный кодекс.  Другим поводом для беспокойства является применение такого законодательства на практике и отношение к этому, а также поведение сотрудников правоприменительных органов.  Третьим поводом для беспокойства является психологическая обстановка, создавшаяся вокруг этнических меньшинств, и такие вопросы, как использование расистских высказываний и т.д.</w:t>
      </w:r>
    </w:p>
    <w:p w:rsidR="00000000" w:rsidRDefault="00000000"/>
    <w:p w:rsidR="00000000" w:rsidRDefault="00000000">
      <w:r>
        <w:t>24.</w:t>
      </w:r>
      <w:r>
        <w:tab/>
        <w:t>Что касается присутствия адвоката на предварительных этапах задержания, то Комитет был проинформирован о том, что в Уголовно</w:t>
      </w:r>
      <w:r>
        <w:noBreakHyphen/>
        <w:t>процессуальный кодекс в этой связи были внесены изменения.  Вместе с тем по</w:t>
      </w:r>
      <w:r>
        <w:noBreakHyphen/>
        <w:t>прежнему не ясно, имеют ли лица, помещенные под стражу в полиции, право на доступ к адвокату сразу же с момента своего задержания.  Он был бы благодарен за предоставление информации, проясняющей положение в данной области, поскольку первые этапы содержания под стражей являются наиболее опасными, и именно на этих этапах наиболее велика вероятность злоупотреблений.  Имеют ли место случаи, когда какое</w:t>
      </w:r>
      <w:r>
        <w:noBreakHyphen/>
        <w:t>либо содержащееся под стражей лицо может оказываться без связи с внешним миром и, таким образом, лишаться возможности консультироваться с адвокатом и просить о врачебной помощи?</w:t>
      </w:r>
    </w:p>
    <w:p w:rsidR="00000000" w:rsidRDefault="00000000"/>
    <w:p w:rsidR="00000000" w:rsidRDefault="00000000">
      <w:r>
        <w:t>25.</w:t>
      </w:r>
      <w:r>
        <w:tab/>
        <w:t>Неприемлемость признаний, полученных под угрозой применения пыток или в результате применения физического насилия, по</w:t>
      </w:r>
      <w:r>
        <w:noBreakHyphen/>
        <w:t>прежнему является одним из проблематичных вопросов.  Имеется ли какой</w:t>
      </w:r>
      <w:r>
        <w:noBreakHyphen/>
        <w:t xml:space="preserve">либо закон или четкое правило, устанавливающее, что доказательства, полученные под физическим или психологическим давлением или другими незаконными способами, должны исключаться из материалов дела, не могут приниматься в суде и не могут являться основанием для принятия любого судебного решения?  Другим вопросом в этом отношении являются случаи первого признания, когда сотрудники полиции угрожают взятым под стражу лицам избиением в том случае, если они не признаются.  Поступило несколько заявлений о таких случаях, и он хотел бы знать, обращается ли на них должное внимание и подвергаются ли они тщательному расследованию.  Если законодательство о неприемлемости таких признаний является четким и применяется на практике, то это было бы эффективным препятствием на пути подобного рода физических злоупотреблений или психологического давления с целью получения признания. </w:t>
      </w:r>
    </w:p>
    <w:p w:rsidR="00000000" w:rsidRDefault="00000000"/>
    <w:p w:rsidR="00000000" w:rsidRDefault="00000000">
      <w:r>
        <w:t>26.</w:t>
      </w:r>
      <w:r>
        <w:tab/>
        <w:t>Какова на практике реакция государства</w:t>
      </w:r>
      <w:r>
        <w:noBreakHyphen/>
        <w:t>участника на заявления о случаях злоупотреблений?  Становятся ли такие заявления объектом открытого и оперативного расследования, или злоупотребления остаются безнаказанными?  В нескольких случаях сообщалось о том, что лица, пытавшиеся подать жалобу, сталкивались со встречными исками со стороны полиции, в которых последняя заявляла, что такие лица оказывали сопротивление во время ареста, или обвиняла их в диффамации.  Действительно, иногда могут возникать ситуации, когда полиции требуется применять силу для проведения ареста, и преступники действительно могут оказывать сопротивление, однако, насколько такая система является открытой для объективного анализа положения в данной области?  Имеется ли эффективный и беспристрастный механизм, на основе которого могли бы приниматься решения к таким делам?  Или управление полиции рассматривает их исключительно собственными силами?</w:t>
      </w:r>
    </w:p>
    <w:p w:rsidR="00000000" w:rsidRDefault="00000000"/>
    <w:p w:rsidR="00000000" w:rsidRDefault="00000000">
      <w:r>
        <w:t>27.</w:t>
      </w:r>
      <w:r>
        <w:tab/>
        <w:t>Комитет обеспокоен возникновением сложных ситуаций, некоторые из которых обернулись трагической смертью.  Среди материалов, представленных Комитетом по правам человека, имеется информация о молодом мужчине, которому заклеили рот клейкой лентой, в результате чего он задохнулся; расследование данного дела ведется, но его результаты еще не известны.  Эти случаи, которые, безусловно, известны делегации Австрии, связаны с ситуацией, когда простой надзор за соблюдением руководящих принципов поведения сотрудников полиции мог бы обеспечить необходимые гарантии.  Комитету было сообщено о том, что действуют четкие правила, запрещающие сотрудникам полиции использовать кляпы из</w:t>
      </w:r>
      <w:r>
        <w:noBreakHyphen/>
        <w:t>за возникающей в этой связи опасности, однако некоторые полицейские по</w:t>
      </w:r>
      <w:r>
        <w:noBreakHyphen/>
        <w:t>прежнему не знают о существовании такого запрета или, по крайней мере, продолжают использовать кляпы, что иногда ведет к серьезным последствиям.</w:t>
      </w:r>
    </w:p>
    <w:p w:rsidR="00000000" w:rsidRDefault="00000000"/>
    <w:p w:rsidR="00000000" w:rsidRDefault="00000000">
      <w:r>
        <w:t>28.</w:t>
      </w:r>
      <w:r>
        <w:tab/>
        <w:t>Несмотря на сохраняющуюся обеспокоенность, он считает, что правительство Австрии готово к введению улучшений, и выражает надежду, что плодотворный диалог делегации этой страны с Комитетом окажется полезным с точки зрения последующего введения в действие дополнительных гарантий в отношении предупреждения жестоких и бесчеловечных видов обращения и наказания.</w:t>
      </w:r>
    </w:p>
    <w:p w:rsidR="00000000" w:rsidRDefault="00000000"/>
    <w:p w:rsidR="00000000" w:rsidRDefault="00000000">
      <w:r>
        <w:t>29.</w:t>
      </w:r>
      <w:r>
        <w:tab/>
      </w:r>
      <w:r>
        <w:rPr>
          <w:u w:val="single"/>
        </w:rPr>
        <w:t>Г-н КАМАРА</w:t>
      </w:r>
      <w:r>
        <w:t xml:space="preserve"> благодарит делегацию Австрии за ее доклад и представленную дополнительную информацию.  Его первый вопрос касается информации, содержащейся в документе, который был распространен организацией "Международная амнистия" (октябрь 1999 года).  В нем перечислен ряд случаев жестокого обращения, в том числе и смерти гражданина Нигерии Маркуса Омофумы, который во время его высылки из Австрии задохнулся и умер.  Ведется расследование данного события, которое произошло в мае 1999 года, однако спустя шесть месяцев по</w:t>
      </w:r>
      <w:r>
        <w:noBreakHyphen/>
        <w:t>прежнему нет никаких результатов.  Он обращает внимание правительства на статью 12 Конвенции, которая обязывает государства-участники обеспечивать быстрое и беспристрастное расследование, когда имеются достаточные основания полагать, что была применена пытка.  Кроме того, поскольку жертвой стал иностранный гражданин, могут иметься основания говорить о том, что причиной пытки стала дискриминация согласно статье 1 Конвенции.  Какие меры принимает правительство для обеспечения того, чтобы обеспечить неповторение таких случаев, нарушающих статью 1 Конвенции?  Была ли выплачена или планируется к выплате компенсация семье скончавшегося лица в соответствии со статьей 12 Конвенции?</w:t>
      </w:r>
    </w:p>
    <w:p w:rsidR="00000000" w:rsidRDefault="00000000"/>
    <w:p w:rsidR="00000000" w:rsidRDefault="00000000">
      <w:r>
        <w:t>30.</w:t>
      </w:r>
      <w:r>
        <w:tab/>
      </w:r>
      <w:r>
        <w:rPr>
          <w:u w:val="single"/>
        </w:rPr>
        <w:t>Г-н ЭЛЬ-МАСРИ</w:t>
      </w:r>
      <w:r>
        <w:t xml:space="preserve"> указывает делегации на пункт 30 доклада, в котором говорится, что высылка или принудительное возвращение иностранцев не допускается и что "единственным исключением из этого правила являются случаи, когда государственный орган по вопросам предоставления убежища уже принял решение о приемлемости высылки".  Он интересуется, что происходит в случае изменения обстановки в родной стране просителя убежища или в той стране, куда его предполагается выслать?  Будут ли в этом случае действовать другие исключения?  Например, если происшедший государственный переворот или смена власти создают потенциальную угрозу для положения просителя убежища, будет ли пересмотрено решение о его высылке или в силе останется прежнее решение?</w:t>
      </w:r>
    </w:p>
    <w:p w:rsidR="00000000" w:rsidRDefault="00000000"/>
    <w:p w:rsidR="00000000" w:rsidRDefault="00000000">
      <w:r>
        <w:t>31.</w:t>
      </w:r>
      <w:r>
        <w:tab/>
        <w:t xml:space="preserve">В пункте 34 доклада говорится, что принудительное возвращение "не допускается, если Европейская комиссия по правам человека или Европейский суд по правам человека приняли в его отношении промежуточное решение".  В этой связи нет никакого упоминания о Комитете против пыток Организации Объединенных Наций; какова будет позиция страны в том случае, если Комитет обратится с просьбой о принятии промежуточного решения? </w:t>
      </w:r>
    </w:p>
    <w:p w:rsidR="00000000" w:rsidRDefault="00000000">
      <w:pPr>
        <w:rPr>
          <w:lang w:val="en-US"/>
        </w:rPr>
      </w:pPr>
    </w:p>
    <w:p w:rsidR="00000000" w:rsidRDefault="00000000">
      <w:r>
        <w:t>32.</w:t>
      </w:r>
      <w:r>
        <w:tab/>
        <w:t>Он присоединяется к замечаниям, сделанным его коллегой в отношении смерти гражданина Нигерии Маркуса Омофумы.  Этот случай вызывает особое беспокойство, поскольку он не является единственным, происшедшим с гражданами Нигерии;  ранее также имел место случай, когда одна нигерийская женщина задохнулась во время ее перевозки в Бельгию для депортации.  Один из сотрудников полиции, имевших отношение к случаю с г-ном  Омофумой, указал в суде, что все сотрудники его департамента были поставлены в известность относительно практики использования кляпов.  В свете данного происшествия он интересуется, соблюдается ли в Австрии Кодекс поведения должностных лиц по поддержанию правопорядка, принятый Генеральной Ассамблеей в декабре 1979 года?</w:t>
      </w:r>
    </w:p>
    <w:p w:rsidR="00000000" w:rsidRDefault="00000000"/>
    <w:p w:rsidR="00000000" w:rsidRDefault="00000000">
      <w:r>
        <w:t>33.</w:t>
      </w:r>
      <w:r>
        <w:tab/>
        <w:t>И наконец, согласно статье 14 Конвенции жертва имеет право на получение возмещения и компенсации, а в случае смерти жертвы право на компенсацию предоставляется ее иждивенцам.  Приняло ли правительство Австрии какие</w:t>
      </w:r>
      <w:r>
        <w:noBreakHyphen/>
        <w:t>либо меры для выплаты компенсации в случае г</w:t>
      </w:r>
      <w:r>
        <w:noBreakHyphen/>
        <w:t>на Омофумы и других аналогичных случаях, когда имели место смертные исходы в результате высылки или применения пыток?</w:t>
      </w:r>
    </w:p>
    <w:p w:rsidR="00000000" w:rsidRDefault="00000000"/>
    <w:p w:rsidR="00000000" w:rsidRDefault="00000000">
      <w:r>
        <w:t>34.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МАВРОММАТИС</w:t>
      </w:r>
      <w:r>
        <w:t xml:space="preserve"> говорит о том, что Докладчик не затронул ряд вопросов.  Он приветствует доклад делегации Австрии, представленную ею дополнительную информацию и особенно ее общее отношение к Комитету против пыток.  Он просит вкратце описать процедуры, которые применяются в том случае, если какое-либо лицо подает жалобу на жестокое обращение с ним или применение пыток к нему во время нахождения под стражей в полиции.  Является ли проведение судебного расследования в данном случае автоматическим или все ограничивается лишь полицейским расследованием?  Как обеспечивается независимость расследования?  Он читал доклады Европейского комитета по предупреждению пыток и выводы Комитета по правам человека, а также документ организации "Международная амнистия" и хотел бы напомнить слова посла о том, что работа по искоренению пыток не прекратится до тех пор, пока она не будет полностью завершена.  Тем не менее, безусловно, необходимы более эффективные меры для искоренения пыток и предотвращения нарушений статьи 16 (жестокое обращение).  Эти доклады указывают скорее на отдельные случаи злоупотреблений, чем на систематическую практику применения пыток, однако в этой области по</w:t>
      </w:r>
      <w:r>
        <w:noBreakHyphen/>
        <w:t>прежнему возможны улучшения, особенно с точки зрения применения действующих кодексов и законодательства.  Он  интересуется, был ли переведен на английский язык текст Закона об иностранцах 1997 года и Закона об убежище 1997 года, и если да, то мог бы Комитет получить экземпляры его перевода?</w:t>
      </w:r>
    </w:p>
    <w:p w:rsidR="00000000" w:rsidRDefault="00000000"/>
    <w:p w:rsidR="00000000" w:rsidRDefault="00000000">
      <w:r>
        <w:t>35.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ГОНСАЛЕС ПОБЛЕТЕ</w:t>
      </w:r>
      <w:r>
        <w:t xml:space="preserve"> говорит о том, что у него есть несколько кратких замечаний.  Что касается комментариев в пункте 24 доклада относительно необходимости принимать решение о продлении срока предварительного заключения через определенные промежутки времени, то он интересуется, может ли такое решение быть обжаловано посредством подачи апелляционной жалобы в суд вышестоящей инстанции.  Что касается пункта 25, то он говорит, что когда Комитет по правам человека рассматривал доклад Австрии в прошлый раз, было отмечено, что заключенные лишены возможности доступа к адвокату до истечения 72-часового периода заключения, если они арестованы за пределами юрисдикции суда, выдавшего ордер на арест.  По его мнению, законодательство должно гарантировать, чтобы такие лица могли вступать в контакт с адвокатом в течение этого периода времени.  Возвращаясь к пункту 15, в котором говорится, что любое лицо должно иметь возможность запросить и получить информацию о своих правах, он отмечает, что принятие таких мер должно быть автоматическим, поскольку заключенные обычно не знают о своем праве на получение такой информации и вообще не осведомлены о своих правах.  В пункте 16 указывается, что допрашиваемым лицам, по возможности, должны разрешать сидеть, однако, безусловно, им должны разрешать это делать постоянно:  принуждение заключенных стоять в течение многих часов является хорошо известной практикой, представляющей собой психологическую пытку, так же как и лишение их возможности спать в ходе проведения допросов, о чем в докладе ничего не говорится.  Он просит делегацию Австрии прояснить эти вопросы.</w:t>
      </w:r>
    </w:p>
    <w:p w:rsidR="00000000" w:rsidRDefault="00000000"/>
    <w:p w:rsidR="00000000" w:rsidRDefault="00000000">
      <w:r>
        <w:t>36.</w:t>
      </w:r>
      <w:r>
        <w:tab/>
        <w:t>После своего посещения Австрии в 1990 году Европейский комитет по предупреждению пыток (КПП) сделал заключение.  О наличии серьезной угрозы жестокого обращения с заключенными, находящимися под стражей в полиции, вывод, который он снова подтвердил после своего следующего визита в эту страну в 1994 году.  Оратор просит делегацию Австрии представить в этой связи свои комментарии.</w:t>
      </w:r>
    </w:p>
    <w:p w:rsidR="00000000" w:rsidRDefault="00000000"/>
    <w:p w:rsidR="00000000" w:rsidRDefault="00000000">
      <w:r>
        <w:t>37.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ЮЙ Мэнцзя</w:t>
      </w:r>
      <w:r>
        <w:t xml:space="preserve"> говорит о том, что, как и другие члены Комитета, он хотел бы получить дополнительную информацию по конкретным случаям, указанным НПО и Специальным докладчиком по вопросу о пытках.</w:t>
      </w:r>
    </w:p>
    <w:p w:rsidR="00000000" w:rsidRDefault="00000000"/>
    <w:p w:rsidR="00000000" w:rsidRDefault="00000000">
      <w:r>
        <w:t>38.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СИЛЬВА ЭНРИКЕШ ГАШПАР</w:t>
      </w:r>
      <w:r>
        <w:t>, касаясь пункта 21, спрашивает, могут ли отдельные лица подавать жалобы в Независимый административный суд на действия, которые, по мнению полиции, являются законными, однако которые, тем не менее, фактически представляют собой жестокое обращение.  Ведет ли подача жалобы в Независимый административный суд или другие органы власти к принятию дисциплинарных мер или началу уголовного расследования?</w:t>
      </w:r>
    </w:p>
    <w:p w:rsidR="00000000" w:rsidRDefault="00000000"/>
    <w:p w:rsidR="00000000" w:rsidRDefault="00000000">
      <w:r>
        <w:t>39.</w:t>
      </w:r>
      <w:r>
        <w:tab/>
      </w:r>
      <w:r>
        <w:rPr>
          <w:u w:val="single"/>
        </w:rPr>
        <w:t>ПРЕДСЕДАТЕЛЬ</w:t>
      </w:r>
      <w:r>
        <w:t>, выступая в качестве члена Комитета, говорит, что он не совсем понимает, как применяется на практике требование постоянно носить с собой паспорт.  Обязано ли каждое лицо, находящееся в Австрии, всегда носить с собой удостоверение личности, или это требование касается лишь неграждан?  Может ли приехавший в Австрию иностранец быть арестован за то, что у него нет с собой паспорта?  Если да, то чем объясняется такая политика?  Трагический случай нигерийца, чья просьба о предоставлении убежища была отклонена, возможно, отражает скорее безразличие и небрежность, чем умышленное поведение.</w:t>
      </w:r>
    </w:p>
    <w:p w:rsidR="00000000" w:rsidRDefault="00000000"/>
    <w:p w:rsidR="00000000" w:rsidRDefault="00000000">
      <w:r>
        <w:t>40.</w:t>
      </w:r>
      <w:r>
        <w:tab/>
        <w:t>Что касается других случаев, описанных в документе организации "Международная амнистия", опубликованном в октябре 1999 года, то в них есть ряд общих черт.  Все они касаются иностранцев, которые являются выходцами либо из Африки, либо из Азии – угрожающий знак, указывающий на то, что полиция вполне может проявлять повышенный интерес к отдельным лицам не с учетом обстоятельств каждой конкретной ситуации, а на основе определенного внешнего вида этих лиц.  Кроме того, во всех этих случаях полиция использовала требование иметь при себе паспорт в качестве повода для проведения расследования, результатом которого становились столкновение, арест и последующие события.  Является ли это общей практикой?  Использует ли полиция данный метод расследования даже в тех случаях, когда для этого нет обоснованных причин?  Он согласен с г</w:t>
      </w:r>
      <w:r>
        <w:noBreakHyphen/>
        <w:t>ном Яковлевым в том, что касается использования полицией встречных исков о диффамации в тех случаях, когда подаются жалобы на жестокое обращение со стороны полиции.  Обычной практикой, вопрос о которой Комитет поднимал в прошлом в ходе диалога с другими странами, является практика, когда в случае подачи жалоб на жестокое обращение со стороны полиции, сотрудники полиции немедленно подают встречную жалобу на диффамацию, что, безусловно, является одним из способов воспрепятствовать расследованию фактов жестокого обращения.  В случае, касающемся трех граждан Китая (они были арестованы лишь на том основании, что у одного из трех не было при себе паспорта), они были взяты под стражу и на следующий день освобождены без предъявления им обвинений; и лишь после того, когда они подали в официальном порядке жалобу на жестокое обращение с ними, против них был выдвинут иск о диффамации, и впоследствии они были обвинены в оказании сопротивления при задержании.  Почему такие обвинения не были предъявлены им до их освобождения?</w:t>
      </w:r>
    </w:p>
    <w:p w:rsidR="00000000" w:rsidRDefault="00000000"/>
    <w:p w:rsidR="00000000" w:rsidRDefault="00000000">
      <w:r>
        <w:t>41.</w:t>
      </w:r>
      <w:r>
        <w:tab/>
        <w:t>Все вышесказанное указывает на то, что в некоторых структурах полицейских сил, возможно, сформировалась культура непреднамеренного насилия, и он хотел бы получить заверения в том, что австрийские власти самым внимательным образом относятся к этим случаям и принимают меры для обеспечения того, чтобы сотрудники полиции проходили надлежащую подготовку в области обращения с иностранцами.</w:t>
      </w:r>
    </w:p>
    <w:p w:rsidR="00000000" w:rsidRDefault="00000000"/>
    <w:p w:rsidR="00000000" w:rsidRDefault="00000000">
      <w:pPr>
        <w:jc w:val="center"/>
      </w:pPr>
      <w:r>
        <w:rPr>
          <w:u w:val="single"/>
        </w:rPr>
        <w:t>Открытая часть заседания закрывается в 11 час. 25 мин</w:t>
      </w:r>
      <w:r>
        <w:t>.</w:t>
      </w:r>
    </w:p>
    <w:p w:rsidR="00000000" w:rsidRDefault="00000000">
      <w:pPr>
        <w:rPr>
          <w:lang w:val="en-US"/>
        </w:rPr>
      </w:pPr>
    </w:p>
    <w:sectPr w:rsidR="00000000">
      <w:headerReference w:type="even" r:id="rId8"/>
      <w:headerReference w:type="default" r:id="rId9"/>
      <w:headerReference w:type="first" r:id="rId10"/>
      <w:endnotePr>
        <w:numFmt w:val="decimal"/>
      </w:endnotePr>
      <w:pgSz w:w="11906" w:h="16838" w:code="9"/>
      <w:pgMar w:top="1134" w:right="851" w:bottom="3402" w:left="1701" w:header="1134" w:footer="1134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0" w:lineRule="exact"/>
        <w:rPr>
          <w:sz w:val="23"/>
        </w:rPr>
      </w:pPr>
    </w:p>
  </w:endnote>
  <w:endnote w:type="continuationSeparator" w:id="0">
    <w:p w:rsidR="00000000" w:rsidRDefault="00000000">
      <w:pPr>
        <w:rPr>
          <w:sz w:val="23"/>
        </w:rPr>
      </w:pPr>
      <w:r>
        <w:rPr>
          <w:sz w:val="23"/>
        </w:rPr>
        <w:t xml:space="preserve"> </w:t>
      </w:r>
    </w:p>
  </w:endnote>
  <w:endnote w:type="continuationNotice" w:id="1">
    <w:p w:rsidR="00000000" w:rsidRDefault="00000000">
      <w:pPr>
        <w:rPr>
          <w:sz w:val="23"/>
        </w:rPr>
      </w:pPr>
      <w:r>
        <w:rPr>
          <w:sz w:val="23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rPr>
          <w:sz w:val="23"/>
        </w:rPr>
      </w:pPr>
      <w:r>
        <w:rPr>
          <w:sz w:val="23"/>
        </w:rP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CAT/C/SR.395</w:t>
    </w:r>
  </w:p>
  <w:p w:rsidR="00000000" w:rsidRDefault="00000000">
    <w:pPr>
      <w:pStyle w:val="Header"/>
      <w:rPr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</w:p>
  <w:p w:rsidR="00000000" w:rsidRDefault="00000000">
    <w:pPr>
      <w:pStyle w:val="OOH"/>
      <w:rPr>
        <w:rStyle w:val="PageNumber"/>
        <w:lang w:val="en-US"/>
      </w:rPr>
    </w:pPr>
  </w:p>
  <w:p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ind w:left="7371"/>
      <w:rPr>
        <w:lang w:val="en-US"/>
      </w:rPr>
    </w:pPr>
    <w:r>
      <w:rPr>
        <w:lang w:val="en-US"/>
      </w:rPr>
      <w:t>CAT/C/SR.395</w:t>
    </w:r>
  </w:p>
  <w:p w:rsidR="00000000" w:rsidRDefault="00000000">
    <w:pPr>
      <w:pStyle w:val="Header"/>
      <w:ind w:left="7371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:rsidR="00000000" w:rsidRDefault="00000000">
    <w:pPr>
      <w:pStyle w:val="Header"/>
      <w:ind w:left="7371"/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05105"/>
    <w:multiLevelType w:val="singleLevel"/>
    <w:tmpl w:val="C0AE8AC2"/>
    <w:lvl w:ilvl="0">
      <w:start w:val="1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">
    <w:nsid w:val="3B323CF0"/>
    <w:multiLevelType w:val="singleLevel"/>
    <w:tmpl w:val="2BBE72A4"/>
    <w:lvl w:ilvl="0">
      <w:start w:val="2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567"/>
  <w:hyphenationZone w:val="950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  <w:endnote w:id="1"/>
  </w:endnotePr>
  <w:compat>
    <w:noTabHangInd/>
    <w:noColumnBalance/>
    <w:suppressTopSpacingWP/>
    <w:usePrinterMetrics/>
    <w:wrapTrailSpace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OOH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right" w:pos="4740"/>
      </w:tabs>
      <w:suppressAutoHyphens/>
      <w:spacing w:line="216" w:lineRule="auto"/>
      <w:jc w:val="right"/>
      <w:outlineLvl w:val="6"/>
    </w:pPr>
    <w:rPr>
      <w:b/>
      <w:sz w:val="72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</w:tabs>
      <w:suppressAutoHyphens/>
      <w:spacing w:line="216" w:lineRule="auto"/>
      <w:outlineLvl w:val="7"/>
    </w:pPr>
    <w:rPr>
      <w:b/>
      <w:sz w:val="29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b/>
      <w:dstrike w:val="0"/>
      <w:color w:val="auto"/>
      <w:sz w:val="24"/>
      <w:vertAlign w:val="superscript"/>
    </w:r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OOH">
    <w:name w:val="Обычный.OOH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ru-RU"/>
    </w:rPr>
  </w:style>
  <w:style w:type="paragraph" w:styleId="BodyText">
    <w:name w:val="Body Text"/>
    <w:basedOn w:val="Normal"/>
    <w:semiHidden/>
    <w:pPr>
      <w:spacing w:line="240" w:lineRule="auto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PS_ACR\RUS\DATA\COMMON\MACRO\Templat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4528</Words>
  <Characters>28985</Characters>
  <Application>Microsoft Office Word</Application>
  <DocSecurity>4</DocSecurity>
  <Lines>527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45535</vt:lpstr>
    </vt:vector>
  </TitlesOfParts>
  <Company> </Company>
  <LinksUpToDate>false</LinksUpToDate>
  <CharactersWithSpaces>34871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9945535</dc:title>
  <dc:subject>НЕХОДА</dc:subject>
  <dc:creator>Золотухина</dc:creator>
  <cp:keywords/>
  <dc:description/>
  <cp:lastModifiedBy>Золотухина</cp:lastModifiedBy>
  <cp:revision>2</cp:revision>
  <cp:lastPrinted>1999-12-15T09:23:00Z</cp:lastPrinted>
  <dcterms:created xsi:type="dcterms:W3CDTF">1999-12-15T09:26:00Z</dcterms:created>
  <dcterms:modified xsi:type="dcterms:W3CDTF">1999-12-15T09:26:00Z</dcterms:modified>
</cp:coreProperties>
</file>