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189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139"/>
        <w:rPr>
          <w:lang w:val="es-ES_tradnl"/>
        </w:rPr>
      </w:pPr>
      <w:r>
        <w:rPr>
          <w:lang w:val="es-ES_tradnl"/>
        </w:rPr>
        <w:t>Distr.</w:t>
      </w:r>
      <w:r>
        <w:rPr>
          <w:lang w:val="es-ES_tradnl"/>
        </w:rPr>
        <w:br/>
        <w:t>GENERAL</w:t>
      </w:r>
    </w:p>
    <w:p w:rsidR="00000000" w:rsidRDefault="00000000">
      <w:pPr>
        <w:spacing w:after="240"/>
        <w:ind w:left="7139"/>
      </w:pPr>
      <w:r>
        <w:t>CRC/C/SEN/2</w:t>
      </w:r>
      <w:r>
        <w:br/>
        <w:t>20 de febrero de 2006</w:t>
      </w:r>
    </w:p>
    <w:p w:rsidR="00000000" w:rsidRDefault="00000000">
      <w:pPr>
        <w:spacing w:after="600"/>
        <w:ind w:left="7139"/>
      </w:pPr>
      <w:r>
        <w:t>ESPAÑOL</w:t>
      </w:r>
      <w:r>
        <w:br/>
        <w:t>Original:  FRANCÉS</w:t>
      </w:r>
    </w:p>
    <w:p w:rsidR="00000000" w:rsidRDefault="00000000">
      <w:pPr>
        <w:spacing w:after="1080"/>
      </w:pPr>
      <w:r>
        <w:t>COMITÉ DE LOS DERECHOS DEL NIÑO</w:t>
      </w:r>
    </w:p>
    <w:p w:rsidR="00000000" w:rsidRDefault="00000000">
      <w:pPr>
        <w:spacing w:after="360"/>
        <w:jc w:val="center"/>
        <w:rPr>
          <w:b/>
          <w:bCs/>
        </w:rPr>
      </w:pPr>
      <w:r>
        <w:rPr>
          <w:b/>
          <w:bCs/>
        </w:rPr>
        <w:t xml:space="preserve">EXAMEN DE LOS INFORMES PRESENTADOS POR LOS ESTADOS </w:t>
      </w:r>
      <w:r>
        <w:rPr>
          <w:b/>
          <w:bCs/>
        </w:rPr>
        <w:br/>
        <w:t>PARTES CON ARREGLO AL ARTÍCULO 44 DE LA CONVENCIÓN</w:t>
      </w:r>
    </w:p>
    <w:p w:rsidR="00000000" w:rsidRDefault="00000000">
      <w:pPr>
        <w:spacing w:after="480"/>
        <w:jc w:val="center"/>
        <w:rPr>
          <w:b/>
          <w:bCs/>
        </w:rPr>
      </w:pPr>
      <w:r>
        <w:rPr>
          <w:b/>
          <w:bCs/>
        </w:rPr>
        <w:t xml:space="preserve">Segundo informe periódico que los Estados Partes </w:t>
      </w:r>
      <w:r>
        <w:rPr>
          <w:b/>
          <w:bCs/>
        </w:rPr>
        <w:br/>
        <w:t>debían presentar en 1999</w:t>
      </w:r>
    </w:p>
    <w:p w:rsidR="00000000" w:rsidRDefault="00000000">
      <w:pPr>
        <w:spacing w:after="240"/>
        <w:jc w:val="center"/>
        <w:rPr>
          <w:b/>
          <w:bCs/>
        </w:rPr>
      </w:pPr>
      <w:r>
        <w:rPr>
          <w:b/>
          <w:bCs/>
        </w:rPr>
        <w:t>SENEGAL</w:t>
      </w:r>
      <w:r>
        <w:rPr>
          <w:rStyle w:val="FootnoteReference"/>
        </w:rPr>
        <w:footnoteReference w:customMarkFollows="1" w:id="1"/>
        <w:t>*</w:t>
      </w:r>
      <w:r>
        <w:rPr>
          <w:bCs/>
        </w:rPr>
        <w:t xml:space="preserve"> </w:t>
      </w:r>
      <w:r>
        <w:rPr>
          <w:rStyle w:val="FootnoteReference"/>
          <w:bCs/>
        </w:rPr>
        <w:footnoteReference w:customMarkFollows="1" w:id="2"/>
        <w:t>**</w:t>
      </w:r>
    </w:p>
    <w:p w:rsidR="00000000" w:rsidRDefault="00000000">
      <w:pPr>
        <w:spacing w:after="480"/>
        <w:jc w:val="right"/>
      </w:pPr>
      <w:r>
        <w:t>[10 de febrero de 2006]</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pPr>
      <w:r>
        <w:t>INTRODUCCIÓN GENERAL</w:t>
      </w:r>
      <w:r>
        <w:tab/>
      </w:r>
      <w:r>
        <w:tab/>
        <w:t>1</w:t>
      </w:r>
      <w:r>
        <w:tab/>
        <w:t>-</w:t>
      </w:r>
      <w:r>
        <w:tab/>
        <w:t>20</w:t>
      </w:r>
      <w:r>
        <w:tab/>
        <w:t>3</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pPr>
      <w:r>
        <w:tab/>
        <w:t>I.</w:t>
      </w:r>
      <w:r>
        <w:tab/>
        <w:t xml:space="preserve">MEDIDAS DE APLICACIÓN GENERAL (ARTÍCULOS 4, 42 </w:t>
      </w:r>
      <w:r>
        <w:br/>
      </w:r>
      <w:r>
        <w:tab/>
      </w:r>
      <w:r>
        <w:tab/>
        <w:t>Y 44 DE LA CONVENCIÓN)</w:t>
      </w:r>
      <w:r>
        <w:tab/>
      </w:r>
      <w:r>
        <w:tab/>
        <w:t>21</w:t>
      </w:r>
      <w:r>
        <w:tab/>
        <w:t>-</w:t>
      </w:r>
      <w:r>
        <w:tab/>
        <w:t>163</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DEFINICIÓN DEL NIÑO</w:t>
      </w:r>
      <w:r>
        <w:tab/>
      </w:r>
      <w:r>
        <w:tab/>
        <w:t>164</w:t>
      </w:r>
      <w:r>
        <w:tab/>
        <w:t>-</w:t>
      </w:r>
      <w:r>
        <w:tab/>
        <w:t>167</w:t>
      </w:r>
      <w: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PRINCIPIOS GENERALES</w:t>
      </w:r>
      <w:r>
        <w:tab/>
      </w:r>
      <w:r>
        <w:tab/>
        <w:t>168</w:t>
      </w:r>
      <w:r>
        <w:tab/>
        <w:t>-</w:t>
      </w:r>
      <w:r>
        <w:tab/>
        <w:t>185</w:t>
      </w:r>
      <w: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LIBERTADES Y DERECHOS CIVILES (ARTÍCULOS 7, 8, 13</w:t>
      </w:r>
      <w:r>
        <w:br/>
      </w:r>
      <w:r>
        <w:tab/>
      </w:r>
      <w:r>
        <w:tab/>
        <w:t>A 17 Y 37 (APARTADO a)) DE LA CONVENCIÓN)</w:t>
      </w:r>
      <w:r>
        <w:tab/>
      </w:r>
      <w:r>
        <w:tab/>
        <w:t>186</w:t>
      </w:r>
      <w:r>
        <w:tab/>
        <w:t>-</w:t>
      </w:r>
      <w:r>
        <w:tab/>
        <w:t>201</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t>V.</w:t>
      </w:r>
      <w:r>
        <w:tab/>
        <w:t xml:space="preserve">EL MEDIO FAMILIAR Y LA PROTECCIÓN </w:t>
      </w:r>
      <w:r>
        <w:br/>
      </w:r>
      <w:proofErr w:type="spellStart"/>
      <w:r>
        <w:t>SUSTITUTORIA</w:t>
      </w:r>
      <w:proofErr w:type="spellEnd"/>
      <w:r>
        <w:t xml:space="preserve"> (ARTÍCULOS 5, 18 (PÁRRAFOS 1 Y 2), </w:t>
      </w:r>
      <w:r>
        <w:br/>
        <w:t xml:space="preserve">9, 10, 27 (PÁRRAFO 4),  0, 21, 11, 19, 39 Y 25 DE LA </w:t>
      </w:r>
      <w:r>
        <w:br/>
        <w:t>CONVENCIÓN)</w:t>
      </w:r>
      <w:r>
        <w:tab/>
      </w:r>
      <w:r>
        <w:tab/>
        <w:t>202</w:t>
      </w:r>
      <w:r>
        <w:tab/>
        <w:t>-</w:t>
      </w:r>
      <w:r>
        <w:tab/>
        <w:t>211</w:t>
      </w:r>
      <w: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t>VI.</w:t>
      </w:r>
      <w:r>
        <w:tab/>
        <w:t>SALUD Y BIENESTAR (ARTÍCULO 6 (PÁRRAFO 2), 23, 24,</w:t>
      </w:r>
      <w:r>
        <w:br/>
        <w:t>26 Y 18 (PÁRRAFO 3) DE LA CONVENCIÓN)</w:t>
      </w:r>
      <w:r>
        <w:tab/>
      </w:r>
      <w:r>
        <w:tab/>
        <w:t>212</w:t>
      </w:r>
      <w:r>
        <w:tab/>
        <w:t>-</w:t>
      </w:r>
      <w:r>
        <w:tab/>
        <w:t>255</w:t>
      </w:r>
      <w: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t>VII.</w:t>
      </w:r>
      <w:r>
        <w:tab/>
        <w:t xml:space="preserve">EDUCACIÓN, OCIO, DEPORTES Y ACTIVIDADES </w:t>
      </w:r>
      <w:r>
        <w:br/>
        <w:t xml:space="preserve">CULTURALES (ARTÍCULOS 28, 29 Y 31 DE LA </w:t>
      </w:r>
      <w:r>
        <w:br/>
        <w:t>CONVENCIÓN</w:t>
      </w:r>
      <w:r>
        <w:tab/>
      </w:r>
      <w:r>
        <w:tab/>
        <w:t>256</w:t>
      </w:r>
      <w:r>
        <w:tab/>
        <w:t>-</w:t>
      </w:r>
      <w:r>
        <w:tab/>
        <w:t>303</w:t>
      </w:r>
      <w: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t>VIII.</w:t>
      </w:r>
      <w:r>
        <w:tab/>
        <w:t xml:space="preserve">MEDIDAS ESPECIALES DE PROTECCIÓN DE LA </w:t>
      </w:r>
      <w:r>
        <w:br/>
        <w:t xml:space="preserve">INFANCIA (ARTÍCULOS 22, 30 Y 32 A 40 DE LA </w:t>
      </w:r>
      <w:r>
        <w:br/>
        <w:t>CONVENCIÓN</w:t>
      </w:r>
      <w:r>
        <w:tab/>
      </w:r>
      <w:r>
        <w:tab/>
        <w:t>304</w:t>
      </w:r>
      <w:r>
        <w:tab/>
        <w:t>-</w:t>
      </w:r>
      <w:r>
        <w:tab/>
        <w:t>354</w:t>
      </w:r>
      <w:r>
        <w:tab/>
        <w:t>64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CONCLUSIÓN GENERAL</w:t>
      </w:r>
      <w:r>
        <w:tab/>
      </w:r>
      <w:r>
        <w:tab/>
        <w:t>355</w:t>
      </w:r>
      <w:r>
        <w:tab/>
        <w:t>-</w:t>
      </w:r>
      <w:r>
        <w:tab/>
        <w:t>362</w:t>
      </w:r>
      <w:r>
        <w:tab/>
        <w:t>73</w:t>
      </w:r>
    </w:p>
    <w:p w:rsidR="00000000" w:rsidRDefault="00000000">
      <w:pPr>
        <w:tabs>
          <w:tab w:val="right" w:pos="567"/>
          <w:tab w:val="right" w:leader="dot" w:pos="8363"/>
          <w:tab w:val="right" w:pos="9099"/>
        </w:tabs>
        <w:spacing w:after="240"/>
        <w:ind w:left="601" w:hanging="601"/>
      </w:pPr>
      <w:r>
        <w:rPr>
          <w:i/>
          <w:iCs/>
        </w:rPr>
        <w:t>Anexo</w:t>
      </w:r>
      <w:r>
        <w:tab/>
      </w:r>
      <w:r>
        <w:tab/>
      </w:r>
      <w:r>
        <w:tab/>
        <w:t>74</w:t>
      </w:r>
    </w:p>
    <w:p w:rsidR="00000000" w:rsidRDefault="00000000">
      <w:pPr>
        <w:spacing w:after="240"/>
        <w:jc w:val="center"/>
        <w:rPr>
          <w:b/>
          <w:bCs/>
        </w:rPr>
      </w:pPr>
      <w:r>
        <w:br w:type="page"/>
      </w:r>
      <w:r>
        <w:rPr>
          <w:b/>
          <w:bCs/>
        </w:rPr>
        <w:t>INTRODUCCIÓN GENERAL</w:t>
      </w:r>
    </w:p>
    <w:p w:rsidR="00000000" w:rsidRDefault="00000000">
      <w:pPr>
        <w:spacing w:after="240"/>
      </w:pPr>
      <w:r>
        <w:t>1.</w:t>
      </w:r>
      <w:r>
        <w:tab/>
        <w:t xml:space="preserve">El Gobierno de la República del Senegal, conforme a su tradición de promoción de los derechos humanos, en particular de las capas sociales más </w:t>
      </w:r>
      <w:proofErr w:type="spellStart"/>
      <w:r>
        <w:t>marginalizadas</w:t>
      </w:r>
      <w:proofErr w:type="spellEnd"/>
      <w:r>
        <w:t>, participó en la elaboración de la Convención sobre los Derechos del Niño de las Naciones Unidas desde sus primeros balbuceos, se adhirió sin reservas a ella el 20 de noviembre de 1989 en el período de sesiones de la Asamblea General de las Naciones Unidas consagrada a su adopción y, a través de su Asamblea Nacional, la ratificó el 31 de julio de 1990, es decir, apenas ocho meses después.  Esta diligencia demuestra el empeño decidido que se pone en la protección, el bienestar y el desarrollo integral del niño sin discriminación alguna por raza, etnia, idioma, color, religión, nacimiento, origen social, posición económica de los padres o representantes, etc., según se estipula en el párrafo 2 del artículo 2 de la Convención sobre los Derechos del Niño y en el segundo párrafo del preámbulo de la Carta Africana sobre los Derechos y el Bienestar del Niño.</w:t>
      </w:r>
    </w:p>
    <w:p w:rsidR="00000000" w:rsidRDefault="00000000">
      <w:pPr>
        <w:spacing w:after="240"/>
      </w:pPr>
      <w:r>
        <w:t>2.</w:t>
      </w:r>
      <w:r>
        <w:tab/>
        <w:t>La diligencia en la ratificación de la Convención sobre los Derechos del Niño se desprende claramente de la aceptación por el Estado del Senegal de que la salud moral y económica, pero sobre todo el progreso y el grado de realización de la democracia en un país, se miden también, sin duda alguna, por el desarrollo de los niños (de uno y otro sexo) en su entorno físico, social, educativo, mental, cultural, económico y jurídico.</w:t>
      </w:r>
    </w:p>
    <w:p w:rsidR="00000000" w:rsidRDefault="00000000">
      <w:pPr>
        <w:spacing w:after="240"/>
      </w:pPr>
      <w:r>
        <w:t>3.</w:t>
      </w:r>
      <w:r>
        <w:tab/>
        <w:t>El Senegal evidenció esta actitud desde los primeros momentos del proceso de elaboración de la Convención, puesto que, junto con Argelia, la Argentina y Venezuela, constituyó el primer grupo de países que sostuvo el memorando de Polonia.</w:t>
      </w:r>
    </w:p>
    <w:p w:rsidR="00000000" w:rsidRDefault="00000000">
      <w:pPr>
        <w:spacing w:after="240"/>
      </w:pPr>
      <w:r>
        <w:t>4.</w:t>
      </w:r>
      <w:r>
        <w:tab/>
        <w:t>Durante todo el proceso de elaboración, fue portavoz de los países del tercer mundo y dio pruebas de una asiduidad y una regularidad indefectibles en todas las sesiones de lectura, para conseguir que se tuviese en cuenta el contexto sociocultural en que se aplicaría la Convención.  El penúltimo párrafo del preámbulo de la Convención se aprobó gracias a esta dinámica y sobre la base de una de sus recomendaciones.</w:t>
      </w:r>
    </w:p>
    <w:p w:rsidR="00000000" w:rsidRDefault="00000000">
      <w:pPr>
        <w:spacing w:after="240"/>
      </w:pPr>
      <w:r>
        <w:t>5.</w:t>
      </w:r>
      <w:r>
        <w:tab/>
        <w:t>Reconocer derechos al niño significa establecer las condiciones óptimas para la obtención, el reforzamiento y la perennidad de la democracia y la justicia.  El Parlamento de los Niños creado por el Senegal forma parte de esta voluntad del Gobierno.</w:t>
      </w:r>
    </w:p>
    <w:p w:rsidR="00000000" w:rsidRDefault="00000000">
      <w:pPr>
        <w:spacing w:after="240"/>
      </w:pPr>
      <w:r>
        <w:t>6.</w:t>
      </w:r>
      <w:r>
        <w:tab/>
        <w:t>Quien esté familiarizado con el proceso de ratificación de los instrumentos internacionales, que puede durar fácilmente de uno a tres años, observará que esta rapidez de reacción corresponde a una traducción significativa en actos de la voluntad política del Gobierno de la República del Senegal de garantizar la supervivencia y la protección de los niños y de sus derechos.</w:t>
      </w:r>
    </w:p>
    <w:p w:rsidR="00000000" w:rsidRDefault="00000000">
      <w:pPr>
        <w:spacing w:after="240"/>
      </w:pPr>
      <w:r>
        <w:t>7.</w:t>
      </w:r>
      <w:r>
        <w:tab/>
        <w:t>Después de la entrada en vigor en el Senegal en 1990 de la Convención sobre los Derechos del Niño, el Gobierno de la República, de conformidad con el artículo 44 de la misma, presentó en 1995 al Comité de los Derechos del Niño de las Naciones Unidas un informe circunstanciado en el que se precisaban el grado de aplicación de la Convención en el país y sus puntos fuertes, sus límites y sus restricciones.</w:t>
      </w:r>
    </w:p>
    <w:p w:rsidR="00000000" w:rsidRDefault="00000000">
      <w:pPr>
        <w:spacing w:after="240"/>
      </w:pPr>
      <w:r>
        <w:t>8.</w:t>
      </w:r>
      <w:r>
        <w:tab/>
        <w:t>En 1998, el Gobierno de la República lanzó una amplia concertación en el plano nacional para proceder a la evaluación participativa de la aplicación ulterior de la Convención en el Senegal como resultado de su primer informe.  Este proceso debía conducir a la presentación del segundo informe en 1999.</w:t>
      </w:r>
    </w:p>
    <w:p w:rsidR="00000000" w:rsidRDefault="00000000">
      <w:pPr>
        <w:spacing w:after="240"/>
      </w:pPr>
      <w:r>
        <w:t>9.</w:t>
      </w:r>
      <w:r>
        <w:tab/>
        <w:t>Bajo los auspicios del Ministerio de la Familia, el Desarrollo Social y la Solidaridad Nacional, el trabajo se realizó sistemática y exhaustivamente con un criterio participativo que recabó la movilización consciente de todos los interesados.  El proyecto de informe elaborado se presentó el mismo año 1999, con apoyo del UNICEF, a diferentes interlocutores.</w:t>
      </w:r>
    </w:p>
    <w:p w:rsidR="00000000" w:rsidRDefault="00000000">
      <w:pPr>
        <w:spacing w:after="240"/>
      </w:pPr>
      <w:r>
        <w:t>10.</w:t>
      </w:r>
      <w:r>
        <w:tab/>
        <w:t>Por razones múltiples, diversas y variadas resultantes de contingencias reales, no fue posible transmitir el documento nacido de la concertación y validado al Comité de los Derechos del Niño de las Naciones Unidas.</w:t>
      </w:r>
    </w:p>
    <w:p w:rsidR="00000000" w:rsidRDefault="00000000">
      <w:pPr>
        <w:spacing w:after="240"/>
      </w:pPr>
      <w:r>
        <w:t>11.</w:t>
      </w:r>
      <w:r>
        <w:tab/>
        <w:t>Para cumplir sus obligaciones nacionales e internacionales, incluidas las contraídas ante el Parlamento de los Niños, el Gobierno de la República decidió reactivar, continuar y ultimar en el plazo más breve posible el informe, recogiendo en él todos los hechos acaecidos desde la elaboración del segundo informe periódico del Senegal acerca de la Convención sobre los Derechos del Niño de las Naciones Unidas.  Dicho informe se debía transmitir a la Secretaría de las Naciones Unidas a más tardar en septiembre u octubre de 2003, según la voluntad firme del Gobierno de la República del Senegal, en este caso concreto el Ministerio de la Familia, el Desarrollo Social y la Solidaridad Nacional encargado de la primera infancia.</w:t>
      </w:r>
    </w:p>
    <w:p w:rsidR="00000000" w:rsidRDefault="00000000">
      <w:pPr>
        <w:spacing w:after="240"/>
      </w:pPr>
      <w:r>
        <w:t>12.</w:t>
      </w:r>
      <w:r>
        <w:tab/>
        <w:t xml:space="preserve">Se debe verificar el cumplimiento de esas obligaciones a la luz de la Carta Africana sobre los Derechos y el Bienestar del Niño, las recomendaciones de </w:t>
      </w:r>
      <w:proofErr w:type="spellStart"/>
      <w:r>
        <w:t>Jomtien</w:t>
      </w:r>
      <w:proofErr w:type="spellEnd"/>
      <w:r>
        <w:t xml:space="preserve">, El Cairo, Copenhague, Beijing y Roma, la Reunión Preparatoria Africana de "Beijing + 5" celebrada en </w:t>
      </w:r>
      <w:proofErr w:type="spellStart"/>
      <w:r>
        <w:t>Addis</w:t>
      </w:r>
      <w:proofErr w:type="spellEnd"/>
      <w:r>
        <w:t> Abeba, Beijing + 5 y el Seminario de Lomé sobre la situación de la mujer y el niño en la región de África occidental y central.  Ese cumplimiento se evalúa asimismo desde el punto de vista de las prioridades y recomendaciones de la Cumbre Mundial sobre Desarrollo Social de Copenhague y de la Cumbre del Milenio, reforzadas por el período extraordinario de sesiones sobre la infancia celebrado en Ginebra en 2002 y a las que se adhirió el Gobierno de la República del Senegal.</w:t>
      </w:r>
    </w:p>
    <w:p w:rsidR="00000000" w:rsidRDefault="00000000">
      <w:pPr>
        <w:spacing w:after="240"/>
      </w:pPr>
      <w:r>
        <w:t>13.</w:t>
      </w:r>
      <w:r>
        <w:tab/>
        <w:t>El contexto de la elaboración del segundo informe del Senegal acerca de la Convención sobre los Derechos del Niño estaba también fuertemente influenciado por los profundos cambios que tuvieron lugar en la Cumbre del Estado, todas las posibilidades que ofrece o que debe ofrecer la alternancia política y las innumerables esperanzas que ha suscitado, debido en particular a que la nueva Constitución del Senegal votada por la mayoría de los senegaleses y de las senegalesas en 2001 tiene explícitamente en cuenta la Convención sobre los Derechos del Niño y la Convención sobre la eliminación de todas las formas de discriminación contra la mujer.</w:t>
      </w:r>
    </w:p>
    <w:p w:rsidR="00000000" w:rsidRDefault="00000000">
      <w:pPr>
        <w:spacing w:after="240"/>
      </w:pPr>
      <w:r>
        <w:t>14.</w:t>
      </w:r>
      <w:r>
        <w:tab/>
        <w:t>Además, el Senegal estuvo presente en la Cumbre Mundial de Nueva </w:t>
      </w:r>
      <w:proofErr w:type="spellStart"/>
      <w:r>
        <w:t>York</w:t>
      </w:r>
      <w:proofErr w:type="spellEnd"/>
      <w:r>
        <w:t xml:space="preserve"> en septiembre de 1990, organizó en su territorio la Primera Conferencia </w:t>
      </w:r>
      <w:proofErr w:type="spellStart"/>
      <w:r>
        <w:t>Subregional</w:t>
      </w:r>
      <w:proofErr w:type="spellEnd"/>
      <w:r>
        <w:t xml:space="preserve"> sobre Asistencia a los Niños Africanos en 1992, participó efectivamente en las Conferencias de Estocolmo sobre la Explotación Sexual de la Infancia en 1996, de Pretoria, de </w:t>
      </w:r>
      <w:proofErr w:type="spellStart"/>
      <w:r>
        <w:t>Amsterdam</w:t>
      </w:r>
      <w:proofErr w:type="spellEnd"/>
      <w:r>
        <w:t xml:space="preserve">, de Kampala y de Oslo, así como en el Primer Seminario sobre los Niños Africanos relativo al Trabajo Infantil organizado por la OUA en </w:t>
      </w:r>
      <w:proofErr w:type="spellStart"/>
      <w:r>
        <w:t>Arusa</w:t>
      </w:r>
      <w:proofErr w:type="spellEnd"/>
      <w:r>
        <w:t>, se adhirió a los Protocolos Facultativos de la Convención sobre los Derechos del Niño relativos a la venta de niños, la prostitución infantil y la utilización de niños en la pornografía y a la participación de niños en los conflictos armados, aprobados ambos en Nueva </w:t>
      </w:r>
      <w:proofErr w:type="spellStart"/>
      <w:r>
        <w:t>York</w:t>
      </w:r>
      <w:proofErr w:type="spellEnd"/>
      <w:r>
        <w:t xml:space="preserve"> el 25 de mayo de 2000, y más tarde los ratificó.</w:t>
      </w:r>
    </w:p>
    <w:p w:rsidR="00000000" w:rsidRDefault="00000000">
      <w:pPr>
        <w:spacing w:after="240"/>
      </w:pPr>
      <w:r>
        <w:t>15.</w:t>
      </w:r>
      <w:r>
        <w:tab/>
        <w:t>El Senegal participó también activamente en la Cumbre del Milenio y en el Período Extraordinario de Sesiones sobre la Infancia celebrado en Ginebra en 2002.  Todas estas actividades y todos estos esfuerzos realizados traducen la voluntad del Senegal de conceder atención especial a la protección y la promoción de la infancia.</w:t>
      </w:r>
    </w:p>
    <w:p w:rsidR="00000000" w:rsidRDefault="00000000">
      <w:pPr>
        <w:spacing w:after="240"/>
      </w:pPr>
      <w:r>
        <w:t>16.</w:t>
      </w:r>
      <w:r>
        <w:tab/>
        <w:t>Así, el arsenal constitucional, legislativo, jurídico y reglamentario que protege a la infancia (a niñas y niños por igual) y la comprensión social de sus problemas y derechos constituyen, además de la voluntad decidida de la sociedad civil de promoverlos en el contexto de un entorno internacional comprensivo, una base sólida para la evolución plenamente satisfactoria de niños y adolescentes en el Senegal.</w:t>
      </w:r>
    </w:p>
    <w:p w:rsidR="00000000" w:rsidRDefault="00000000">
      <w:pPr>
        <w:spacing w:after="240"/>
      </w:pPr>
      <w:r>
        <w:t>17.</w:t>
      </w:r>
      <w:r>
        <w:tab/>
        <w:t>La elaboración de este informe periódico destinado al Comité de los Derechos del Niño de las Naciones Unidas se inscribe también directamente en el respeto y el cumplimiento de las obligaciones contraídas por el Gobierno del Senegal en el artículo 44 de la Convención.</w:t>
      </w:r>
    </w:p>
    <w:p w:rsidR="00000000" w:rsidRDefault="00000000">
      <w:pPr>
        <w:spacing w:after="240"/>
      </w:pPr>
      <w:r>
        <w:t>18.</w:t>
      </w:r>
      <w:r>
        <w:tab/>
        <w:t>Las nuevas oportunidades de aplicación de la Convención en el Senegal han abierto pues otras perspectivas.  Las estructuras de concertación de los agentes civiles locales y la movilización de los recursos de las comunidades descentralizadas manifiestan la voluntad de apropiación y ejecución de los programas relacionados con los derechos del niño.  Acaba de surgir un movimiento de las fuerzas vivas para la protección de los niños en situación de riesgo, que reúne a miembros de los sectores público y privado, de instituciones y organismos de desarrollo, de sindicatos de trabajadores y organizaciones patronales y de diversas organizaciones de la sociedad civil y que se ha fijado por misión impulsar y coordinar todas las actividades relacionadas con los derechos del niño.  La participación de grupos femeninos en estas estructuras de concertación y en el seno de sus federaciones ofrece un arraigo popular mayor a esta dinámica.</w:t>
      </w:r>
    </w:p>
    <w:p w:rsidR="00000000" w:rsidRDefault="00000000">
      <w:pPr>
        <w:spacing w:after="480"/>
      </w:pPr>
      <w:r>
        <w:t>20.</w:t>
      </w:r>
      <w:r>
        <w:tab/>
        <w:t>La creación de una Nueva Visión Nacional, inspirada por el enfoque jurídico y defendida por el Ministerio de la Familia, el Desarrollo Social y la Solidaridad Nacional, el UNICEF y la totalidad de los interlocutores y agentes nacionales, es el factor emergente más decisivo que orientará todas las actividades futuras en favor de los niños hacia la traducción de sus derechos en actos.</w:t>
      </w:r>
    </w:p>
    <w:p w:rsidR="00000000" w:rsidRDefault="00000000">
      <w:pPr>
        <w:spacing w:after="240"/>
        <w:ind w:left="336" w:hanging="336"/>
        <w:jc w:val="center"/>
        <w:rPr>
          <w:b/>
          <w:bCs/>
        </w:rPr>
      </w:pPr>
      <w:r>
        <w:rPr>
          <w:b/>
          <w:bCs/>
        </w:rPr>
        <w:t xml:space="preserve">I.  MEDIDAS DE APLICACIÓN GENERAL (ARTÍCULOS 4, 42 </w:t>
      </w:r>
      <w:r>
        <w:rPr>
          <w:b/>
          <w:bCs/>
        </w:rPr>
        <w:br/>
        <w:t>Y 44 DE LA CONVENCIÓN)</w:t>
      </w:r>
    </w:p>
    <w:p w:rsidR="00000000" w:rsidRDefault="00000000">
      <w:pPr>
        <w:spacing w:after="240"/>
      </w:pPr>
      <w:r>
        <w:t>21.</w:t>
      </w:r>
      <w:r>
        <w:tab/>
        <w:t>De conformidad con lo dispuesto en el artículo 44 de la Convención sobre los Derechos del Niño, la finalidad del presente informe es aportar al Comité de los Derechos del Niño de las Naciones Unidas información sobre las medidas legislativas y reglamentarias adoptadas por el Senegal para aplicar y materializar los derechos enunciados en dicha Convención, sobre los progresos realizados desde la presentación del informe inicial en 1995 y sobre las disposiciones sociales tomadas y los dispositivos institucionales e inclusos constitucionales inscritos, creados o aplicados para apoyar su concretización en la marcha del Senegal hacia el progreso.</w:t>
      </w:r>
    </w:p>
    <w:p w:rsidR="00000000" w:rsidRDefault="00000000">
      <w:pPr>
        <w:keepNext/>
        <w:spacing w:after="240"/>
        <w:rPr>
          <w:b/>
          <w:bCs/>
        </w:rPr>
      </w:pPr>
      <w:r>
        <w:rPr>
          <w:b/>
          <w:bCs/>
        </w:rPr>
        <w:t>1.1.</w:t>
      </w:r>
      <w:r>
        <w:rPr>
          <w:b/>
          <w:bCs/>
        </w:rPr>
        <w:tab/>
        <w:t>Proceso de elaboración de los informes 2º, 3º y 4º (Criterio participativo)</w:t>
      </w:r>
    </w:p>
    <w:p w:rsidR="00000000" w:rsidRDefault="00000000">
      <w:pPr>
        <w:spacing w:after="240"/>
      </w:pPr>
      <w:r>
        <w:t>22.</w:t>
      </w:r>
      <w:r>
        <w:tab/>
        <w:t>La elaboración combinada de los informes 2º, 3º y 4º del Senegal se ha efectuado, habida cuenta de ciertas circunstancias excepcionales, en dos etapas presididas en todas sus fases por una amplia concertación entre el conjunto de los diferentes departamentos ministeriales responsables de la aplicación de políticas a favor de los niños en los sectores social, económico y jurídico que repercuten en su supervivencia, desarrollo y protección, las organizaciones no gubernamentales (ONG) y las demás organizaciones de la sociedad civil que participan en la aplicación de la Convención.  Así se cumplen las recomendaciones formuladas en su 26º período de sesiones por el Comité de los Derechos del Niño en relación con la obligación de presentación de informes de los Estados Partes.</w:t>
      </w:r>
    </w:p>
    <w:p w:rsidR="00000000" w:rsidRDefault="00000000">
      <w:pPr>
        <w:spacing w:after="240"/>
        <w:rPr>
          <w:b/>
          <w:bCs/>
        </w:rPr>
      </w:pPr>
      <w:r>
        <w:rPr>
          <w:b/>
          <w:bCs/>
        </w:rPr>
        <w:tab/>
        <w:t>a)</w:t>
      </w:r>
      <w:r>
        <w:rPr>
          <w:b/>
          <w:bCs/>
        </w:rPr>
        <w:tab/>
        <w:t>Primera etapa</w:t>
      </w:r>
    </w:p>
    <w:p w:rsidR="00000000" w:rsidRDefault="00000000">
      <w:pPr>
        <w:spacing w:after="240"/>
      </w:pPr>
      <w:r>
        <w:t>23.</w:t>
      </w:r>
      <w:r>
        <w:tab/>
        <w:t>El Ministerio de la Familia, el Desarrollo Social y la Solidaridad Nacional procedió ante todo a reunir la información pertinente contenida en los informes que presentaron los diferentes Ministerios (Salud, Educación Nacional, Juventud y Deportes, Cultura, Economía, Finanzas y Plan, Justicia, Comunicación e Interior) y diferentes ONG y otras organizaciones de la sociedad civil, como los grupos de promoción de la mujer y las asociaciones de padres de familia, junto con algunas organizaciones internacionales de cooperación, como el UNICEF y el FNUAP.</w:t>
      </w:r>
    </w:p>
    <w:p w:rsidR="00000000" w:rsidRDefault="00000000">
      <w:pPr>
        <w:spacing w:after="240"/>
      </w:pPr>
      <w:r>
        <w:t>24.</w:t>
      </w:r>
      <w:r>
        <w:tab/>
        <w:t>Sobre la base de la información reunida, las perspectivas y la voluntad del Gobierno de la República, se elaboró un anteproyecto de informe, que se sometió para la formulación de observaciones, críticas, sugerencias y adiciones a un amplio abanico de organizaciones interesadas y activas en todos los sectores que comprenden una acción en favor de los niños (Estados, organizaciones internacionales no gubernamentales, ONG, grupos de protección de la mujer y asociaciones nacionales, incluidas las religiosas), y los medios de comunicación.  Ello se efectuó en una consulta nacional organizada en diciembre de 1998 por el Ministerio de la Familia, el Desarrollo Social y la Solidaridad Nacional, con el apoyo metodológico, logístico y financiero del UNICEF.</w:t>
      </w:r>
    </w:p>
    <w:p w:rsidR="00000000" w:rsidRDefault="00000000">
      <w:pPr>
        <w:spacing w:after="240"/>
      </w:pPr>
      <w:r>
        <w:t>25.</w:t>
      </w:r>
      <w:r>
        <w:tab/>
        <w:t>Después de esta concertación nacional, los protagonistas siguieron reuniéndose en torno a esa problemática durante todo el año 1999, más precisamente de enero a noviembre.</w:t>
      </w:r>
    </w:p>
    <w:p w:rsidR="00000000" w:rsidRDefault="00000000">
      <w:pPr>
        <w:spacing w:after="240"/>
      </w:pPr>
      <w:r>
        <w:t>26.</w:t>
      </w:r>
      <w:r>
        <w:tab/>
        <w:t>Un Comité Consultivo elegido y creado por los participantes recogió la quintaesencia de todas las reuniones en un proyecto de informe, que fue sometido a una segunda consulta nacional para su validación.  Seguidamente, un comité de redacción restringido ultimó en diciembre de 1999 el informe, que quedó listo para su presentación al Comité de los Derechos del Niño de las Naciones Unidas.</w:t>
      </w:r>
    </w:p>
    <w:p w:rsidR="00000000" w:rsidRDefault="00000000">
      <w:pPr>
        <w:spacing w:after="240"/>
        <w:rPr>
          <w:b/>
          <w:bCs/>
        </w:rPr>
      </w:pPr>
      <w:r>
        <w:rPr>
          <w:b/>
          <w:bCs/>
        </w:rPr>
        <w:tab/>
        <w:t>b)</w:t>
      </w:r>
      <w:r>
        <w:rPr>
          <w:b/>
          <w:bCs/>
        </w:rPr>
        <w:tab/>
        <w:t>Segunda etapa</w:t>
      </w:r>
    </w:p>
    <w:p w:rsidR="00000000" w:rsidRDefault="00000000">
      <w:pPr>
        <w:spacing w:after="240"/>
      </w:pPr>
      <w:r>
        <w:t>27.</w:t>
      </w:r>
      <w:r>
        <w:tab/>
        <w:t xml:space="preserve">Como, por numerosas razones, no se presentó este informe al Comité de los Derechos del Niño, el Ministro de la Familia, el Desarrollo Social y la Solidaridad Nacional encomendó a una Comisión presidida por el Director de la Primera Infancia y los Derechos del Niño que </w:t>
      </w:r>
      <w:proofErr w:type="spellStart"/>
      <w:r>
        <w:t>reactualizase</w:t>
      </w:r>
      <w:proofErr w:type="spellEnd"/>
      <w:r>
        <w:t xml:space="preserve"> los datos e integrase en ellos las novedades y los hechos acaecidos desde entonces.</w:t>
      </w:r>
    </w:p>
    <w:p w:rsidR="00000000" w:rsidRDefault="00000000">
      <w:pPr>
        <w:spacing w:after="240"/>
      </w:pPr>
      <w:r>
        <w:t>28.</w:t>
      </w:r>
      <w:r>
        <w:tab/>
        <w:t>El UNICEF aportó una vez más todo el apoyo necesario para ultimar y validar esta versión enriquecida por los principales interesados que, por los cauces adecuados, habían participado.</w:t>
      </w:r>
    </w:p>
    <w:p w:rsidR="00000000" w:rsidRDefault="00000000">
      <w:pPr>
        <w:spacing w:after="240"/>
      </w:pPr>
      <w:r>
        <w:t>29.</w:t>
      </w:r>
      <w:r>
        <w:tab/>
        <w:t>La reunión de validación, en la que participaron los principales interlocutores, ofreció una ocasión más para reunir datos que permitieron de nuevo enriquecer notablemente el informe.</w:t>
      </w:r>
    </w:p>
    <w:p w:rsidR="00000000" w:rsidRDefault="00000000">
      <w:pPr>
        <w:spacing w:after="240"/>
      </w:pPr>
      <w:r>
        <w:t>30.</w:t>
      </w:r>
      <w:r>
        <w:tab/>
        <w:t>Una de las principales dificultades, que constituye un límite objetivo al seguimiento de la evolución de la puesta en práctica de los derechos del niño y con la que tropezó la Comisión, es la dispersión de las fuentes y los datos entre diferentes estructuras y la ausencia de documentos analíticos sistemáticos que reúnan todos los elementos pertinentes para una comunicación fiable, actualizada y digna de crédito.</w:t>
      </w:r>
    </w:p>
    <w:p w:rsidR="00000000" w:rsidRDefault="00000000">
      <w:pPr>
        <w:spacing w:after="240"/>
      </w:pPr>
      <w:r>
        <w:t>31.</w:t>
      </w:r>
      <w:r>
        <w:tab/>
        <w:t>De ahí que una de las primeras medidas que ha de tomar el Gobierno de la República del Senegal para facilitar la elaboración de los próximos informes periódicos y dotarse de los medios necesarios para cumplir los plazos requeridos en la Convención debe ser la creación, en la Dirección de la Primera Infancia, de una estructura funcional encargada de reunir, actualizar y proporcionar la información pertinente.</w:t>
      </w:r>
    </w:p>
    <w:p w:rsidR="00000000" w:rsidRDefault="00000000">
      <w:pPr>
        <w:spacing w:after="240"/>
      </w:pPr>
      <w:r>
        <w:t>32.</w:t>
      </w:r>
      <w:r>
        <w:tab/>
        <w:t>El presente informe determina el final de esta segunda etapa y la apertura del procedimiento de presentación del informe periódico del Senegal al Comité de los Derechos del Niño de las Naciones Unidas, que concluirá con la transmisión del documento a dicho Comité.  En el informe se tienen en cuenta todos los hechos decisivos en relación con la plasmación de la orientación en actos, las conclusiones, las medidas prácticas y las recomendaciones de la Convención sobre los Derechos del Niño.</w:t>
      </w:r>
    </w:p>
    <w:p w:rsidR="00000000" w:rsidRDefault="00000000">
      <w:pPr>
        <w:spacing w:after="240"/>
        <w:rPr>
          <w:b/>
          <w:bCs/>
        </w:rPr>
      </w:pPr>
      <w:r>
        <w:rPr>
          <w:b/>
          <w:bCs/>
        </w:rPr>
        <w:t>1.2.</w:t>
      </w:r>
      <w:r>
        <w:rPr>
          <w:b/>
          <w:bCs/>
        </w:rPr>
        <w:tab/>
        <w:t>Principales realizaciones</w:t>
      </w:r>
    </w:p>
    <w:p w:rsidR="00000000" w:rsidRDefault="00000000">
      <w:pPr>
        <w:spacing w:after="240"/>
        <w:rPr>
          <w:b/>
          <w:bCs/>
        </w:rPr>
      </w:pPr>
      <w:r>
        <w:rPr>
          <w:b/>
          <w:bCs/>
        </w:rPr>
        <w:tab/>
        <w:t>a)</w:t>
      </w:r>
      <w:r>
        <w:rPr>
          <w:b/>
          <w:bCs/>
        </w:rPr>
        <w:tab/>
        <w:t>En el plano internacional</w:t>
      </w:r>
    </w:p>
    <w:p w:rsidR="00000000" w:rsidRDefault="00000000">
      <w:pPr>
        <w:spacing w:after="240"/>
      </w:pPr>
      <w:r>
        <w:t>33.</w:t>
      </w:r>
      <w:r>
        <w:tab/>
        <w:t>El Senegal ratificó en 1999 el Convenio Nº 138 de la OIT sobre la edad mínima de admisión al empleo.  Por lo demás, en el nuevo Código del Trabajo promulgado en diciembre de 1997 se había aumentado ya la edad mínima legal para el empleo de 14 años a 15 años.</w:t>
      </w:r>
    </w:p>
    <w:p w:rsidR="00000000" w:rsidRDefault="00000000">
      <w:pPr>
        <w:spacing w:after="240"/>
      </w:pPr>
      <w:r>
        <w:t>34.</w:t>
      </w:r>
      <w:r>
        <w:tab/>
        <w:t>Como se especifica en la introducción, el Senegal ha ratificado también otros instrumentos internacionales que se inscriben en la lógica y la aplicación más completa de la Convención sobre los Derechos del Niño.  Se trata de:</w:t>
      </w:r>
    </w:p>
    <w:p w:rsidR="00000000" w:rsidRDefault="00000000">
      <w:pPr>
        <w:spacing w:after="240"/>
        <w:ind w:left="924" w:hanging="357"/>
      </w:pPr>
      <w:r>
        <w:t>-</w:t>
      </w:r>
      <w:r>
        <w:tab/>
        <w:t>La Convención de Ottawa sobre las minas antipersonal (1998);</w:t>
      </w:r>
    </w:p>
    <w:p w:rsidR="00000000" w:rsidRDefault="00000000">
      <w:pPr>
        <w:spacing w:after="240"/>
        <w:ind w:left="924" w:hanging="357"/>
      </w:pPr>
      <w:r>
        <w:t>-</w:t>
      </w:r>
      <w:r>
        <w:tab/>
        <w:t>La Corte Penal Internacional (1999);</w:t>
      </w:r>
    </w:p>
    <w:p w:rsidR="00000000" w:rsidRDefault="00000000">
      <w:pPr>
        <w:spacing w:after="240"/>
        <w:ind w:left="924" w:hanging="357"/>
      </w:pPr>
      <w:r>
        <w:t>-</w:t>
      </w:r>
      <w:r>
        <w:tab/>
        <w:t>La Convención de La Haya sobre la adopción internacional (1999);</w:t>
      </w:r>
    </w:p>
    <w:p w:rsidR="00000000" w:rsidRDefault="00000000">
      <w:pPr>
        <w:spacing w:after="240"/>
        <w:ind w:left="924" w:hanging="357"/>
      </w:pPr>
      <w:r>
        <w:t>-</w:t>
      </w:r>
      <w:r>
        <w:tab/>
        <w:t>El Convenio Nº 182 de la OIT sobre la prohibición de las peores formas de trabajo infantil (</w:t>
      </w:r>
      <w:proofErr w:type="spellStart"/>
      <w:r>
        <w:t>l999</w:t>
      </w:r>
      <w:proofErr w:type="spellEnd"/>
      <w:r>
        <w:t>);</w:t>
      </w:r>
    </w:p>
    <w:p w:rsidR="00000000" w:rsidRDefault="00000000">
      <w:pPr>
        <w:spacing w:after="240"/>
        <w:ind w:left="924" w:hanging="357"/>
      </w:pPr>
      <w:r>
        <w:t>-</w:t>
      </w:r>
      <w:r>
        <w:tab/>
        <w:t>La legislación senegalesa había recogido, mucho antes de su adopción por la Asamblea General, la parte esencial de las disposiciones contenidas en el Protocolo Facultativo de la Convención sobre los Derechos del Niño relativo a la venta de niños, la prostitución infantil y la utilización de niños en la pornografía.</w:t>
      </w:r>
    </w:p>
    <w:p w:rsidR="00000000" w:rsidRDefault="00000000">
      <w:pPr>
        <w:spacing w:after="240"/>
      </w:pPr>
      <w:r>
        <w:t>35.</w:t>
      </w:r>
      <w:r>
        <w:tab/>
        <w:t>El Senegal ha hecho suyas las recomendaciones de las reuniones internacionales dedicadas a la supervivencia, la protección, el desarrollo y la promoción del niño, entre otras:</w:t>
      </w:r>
    </w:p>
    <w:p w:rsidR="00000000" w:rsidRDefault="00000000">
      <w:pPr>
        <w:spacing w:after="240"/>
        <w:ind w:left="924" w:hanging="357"/>
      </w:pPr>
      <w:r>
        <w:t>-</w:t>
      </w:r>
      <w:r>
        <w:tab/>
        <w:t xml:space="preserve">La Cumbre de </w:t>
      </w:r>
      <w:proofErr w:type="spellStart"/>
      <w:r>
        <w:t>Jomtien</w:t>
      </w:r>
      <w:proofErr w:type="spellEnd"/>
      <w:r>
        <w:t xml:space="preserve"> sobre Educación para Todos;</w:t>
      </w:r>
    </w:p>
    <w:p w:rsidR="00000000" w:rsidRDefault="00000000">
      <w:pPr>
        <w:spacing w:after="240"/>
        <w:ind w:left="924" w:hanging="357"/>
      </w:pPr>
      <w:r>
        <w:t>-</w:t>
      </w:r>
      <w:r>
        <w:tab/>
        <w:t>Las conferencias celebradas en Estocolmo sobre la explotación sexual comercial de los niños en 1996;</w:t>
      </w:r>
    </w:p>
    <w:p w:rsidR="00000000" w:rsidRDefault="00000000">
      <w:pPr>
        <w:spacing w:after="240"/>
        <w:ind w:left="924" w:hanging="357"/>
      </w:pPr>
      <w:r>
        <w:t>-</w:t>
      </w:r>
      <w:r>
        <w:tab/>
        <w:t xml:space="preserve">Las Conferencias de Pretoria, </w:t>
      </w:r>
      <w:proofErr w:type="spellStart"/>
      <w:r>
        <w:t>Amsterdam</w:t>
      </w:r>
      <w:proofErr w:type="spellEnd"/>
      <w:r>
        <w:t>, Kampala y Oslo sobre la protección de los niños en situaciones difíciles;</w:t>
      </w:r>
    </w:p>
    <w:p w:rsidR="00000000" w:rsidRDefault="00000000">
      <w:pPr>
        <w:spacing w:after="240"/>
        <w:ind w:left="924" w:hanging="357"/>
      </w:pPr>
      <w:r>
        <w:t>-</w:t>
      </w:r>
      <w:r>
        <w:tab/>
        <w:t>La Cumbre de El Cairo sobre la población y el desarrollo;</w:t>
      </w:r>
    </w:p>
    <w:p w:rsidR="00000000" w:rsidRDefault="00000000">
      <w:pPr>
        <w:spacing w:after="240"/>
        <w:ind w:left="924" w:hanging="357"/>
      </w:pPr>
      <w:r>
        <w:t>-</w:t>
      </w:r>
      <w:r>
        <w:tab/>
        <w:t>La Cumbre sobre desarrollo social de Copenhague;</w:t>
      </w:r>
    </w:p>
    <w:p w:rsidR="00000000" w:rsidRDefault="00000000">
      <w:pPr>
        <w:spacing w:after="240"/>
        <w:ind w:left="924" w:hanging="357"/>
      </w:pPr>
      <w:r>
        <w:t>-</w:t>
      </w:r>
      <w:r>
        <w:tab/>
        <w:t>La Cumbre de Beijing sobre la mujer y el desarrollo;</w:t>
      </w:r>
    </w:p>
    <w:p w:rsidR="00000000" w:rsidRDefault="00000000">
      <w:pPr>
        <w:spacing w:after="240"/>
        <w:ind w:left="924" w:hanging="357"/>
      </w:pPr>
      <w:r>
        <w:t>-</w:t>
      </w:r>
      <w:r>
        <w:tab/>
        <w:t>La Cumbre mundial de Roma sobre alimentación y nutrición;</w:t>
      </w:r>
    </w:p>
    <w:p w:rsidR="00000000" w:rsidRDefault="00000000">
      <w:pPr>
        <w:spacing w:after="240"/>
        <w:ind w:left="924" w:hanging="357"/>
      </w:pPr>
      <w:r>
        <w:t>-</w:t>
      </w:r>
      <w:r>
        <w:tab/>
        <w:t xml:space="preserve">La reunión preparatoria africana </w:t>
      </w:r>
      <w:proofErr w:type="spellStart"/>
      <w:r>
        <w:t>de"Beijing</w:t>
      </w:r>
      <w:proofErr w:type="spellEnd"/>
      <w:r>
        <w:t xml:space="preserve"> + 5" de </w:t>
      </w:r>
      <w:proofErr w:type="spellStart"/>
      <w:r>
        <w:t>Addis</w:t>
      </w:r>
      <w:proofErr w:type="spellEnd"/>
      <w:r>
        <w:t xml:space="preserve"> Abeba;</w:t>
      </w:r>
    </w:p>
    <w:p w:rsidR="00000000" w:rsidRDefault="00000000">
      <w:pPr>
        <w:spacing w:after="240"/>
        <w:ind w:left="924" w:hanging="357"/>
      </w:pPr>
      <w:r>
        <w:t>-</w:t>
      </w:r>
      <w:r>
        <w:tab/>
        <w:t xml:space="preserve">La Cumbre internacional de Nueva </w:t>
      </w:r>
      <w:proofErr w:type="spellStart"/>
      <w:r>
        <w:t>York</w:t>
      </w:r>
      <w:proofErr w:type="spellEnd"/>
      <w:r>
        <w:t xml:space="preserve"> sobre Beijing + 5;</w:t>
      </w:r>
    </w:p>
    <w:p w:rsidR="00000000" w:rsidRDefault="00000000">
      <w:pPr>
        <w:spacing w:after="240"/>
        <w:ind w:left="924" w:hanging="357"/>
      </w:pPr>
      <w:r>
        <w:t>-</w:t>
      </w:r>
      <w:r>
        <w:tab/>
        <w:t>El seminario de Lomé sobre la situación de la mujer y de los niños en la región de África occidental y central;</w:t>
      </w:r>
    </w:p>
    <w:p w:rsidR="00000000" w:rsidRDefault="00000000">
      <w:pPr>
        <w:spacing w:after="240"/>
        <w:ind w:left="924" w:hanging="357"/>
      </w:pPr>
      <w:r>
        <w:t>-</w:t>
      </w:r>
      <w:r>
        <w:tab/>
        <w:t>La Cumbre del Milenio para el Desarrollo;</w:t>
      </w:r>
    </w:p>
    <w:p w:rsidR="00000000" w:rsidRDefault="00000000">
      <w:pPr>
        <w:spacing w:after="240"/>
        <w:ind w:left="924" w:hanging="357"/>
      </w:pPr>
      <w:r>
        <w:t>-</w:t>
      </w:r>
      <w:r>
        <w:tab/>
        <w:t>El período extraordinario de sesiones del Milenio dedicado a la infancia y celebrado en Ginebra;</w:t>
      </w:r>
    </w:p>
    <w:p w:rsidR="00000000" w:rsidRDefault="00000000">
      <w:pPr>
        <w:spacing w:after="240"/>
        <w:ind w:left="924" w:hanging="357"/>
      </w:pPr>
      <w:r>
        <w:t>-</w:t>
      </w:r>
      <w:r>
        <w:tab/>
        <w:t>El Congreso de Yokohama (diciembre de 2001) contra la explotación sexual comercial de los niños;</w:t>
      </w:r>
    </w:p>
    <w:p w:rsidR="00000000" w:rsidRDefault="00000000">
      <w:pPr>
        <w:spacing w:after="240"/>
        <w:ind w:left="924" w:hanging="357"/>
      </w:pPr>
      <w:r>
        <w:t>-</w:t>
      </w:r>
      <w:r>
        <w:tab/>
        <w:t xml:space="preserve">El primer seminario sobre el niño africano, organizado por la OUA en </w:t>
      </w:r>
      <w:proofErr w:type="spellStart"/>
      <w:r>
        <w:t>Arusha</w:t>
      </w:r>
      <w:proofErr w:type="spellEnd"/>
      <w:r>
        <w:t xml:space="preserve"> y dedicado al trabajo infantil;</w:t>
      </w:r>
    </w:p>
    <w:p w:rsidR="00000000" w:rsidRDefault="00000000">
      <w:pPr>
        <w:spacing w:after="240"/>
        <w:ind w:left="924" w:hanging="357"/>
      </w:pPr>
      <w:r>
        <w:t>-</w:t>
      </w:r>
      <w:r>
        <w:tab/>
        <w:t xml:space="preserve">El foro </w:t>
      </w:r>
      <w:proofErr w:type="spellStart"/>
      <w:r>
        <w:t>arabeafricano</w:t>
      </w:r>
      <w:proofErr w:type="spellEnd"/>
      <w:r>
        <w:t xml:space="preserve"> de Rabat (2002) contra la explotación sexual de los niños, en el curso del cual el Senegal defendió la necesidad de disponer de un mecanismo paritario, mecanismo que se estableció luego;</w:t>
      </w:r>
    </w:p>
    <w:p w:rsidR="00000000" w:rsidRDefault="00000000">
      <w:pPr>
        <w:spacing w:after="240"/>
        <w:ind w:left="924" w:hanging="357"/>
      </w:pPr>
      <w:r>
        <w:t>-</w:t>
      </w:r>
      <w:r>
        <w:tab/>
        <w:t xml:space="preserve">La organización en Dakar en septiembre de 2003 del examen paritario de África occidental sobre la situación de los niños en la </w:t>
      </w:r>
      <w:proofErr w:type="spellStart"/>
      <w:r>
        <w:t>subregión</w:t>
      </w:r>
      <w:proofErr w:type="spellEnd"/>
      <w:r>
        <w:t xml:space="preserve"> y la elaboración de nuevas orientaciones para aplicar las recomendaciones de la Convención sobre los Derechos del Niño.</w:t>
      </w:r>
    </w:p>
    <w:p w:rsidR="00000000" w:rsidRDefault="00000000">
      <w:pPr>
        <w:keepNext/>
        <w:spacing w:after="240"/>
        <w:rPr>
          <w:b/>
          <w:bCs/>
        </w:rPr>
      </w:pPr>
      <w:r>
        <w:rPr>
          <w:b/>
          <w:bCs/>
        </w:rPr>
        <w:tab/>
        <w:t>b)</w:t>
      </w:r>
      <w:r>
        <w:rPr>
          <w:b/>
          <w:bCs/>
        </w:rPr>
        <w:tab/>
        <w:t>En el plano nacional</w:t>
      </w:r>
    </w:p>
    <w:p w:rsidR="00000000" w:rsidRDefault="00000000">
      <w:pPr>
        <w:spacing w:after="240"/>
      </w:pPr>
      <w:r>
        <w:t>36.</w:t>
      </w:r>
      <w:r>
        <w:tab/>
        <w:t>El Senegal ha adoptado diversos textos legales, tomado diversas medidas y llevado a cabo varias actividades que traducen en la práctica los compromisos internacionales en favor de la supervivencia, la protección, el desarrollo y la promoción del niño.</w:t>
      </w:r>
    </w:p>
    <w:p w:rsidR="00000000" w:rsidRDefault="00000000">
      <w:pPr>
        <w:spacing w:after="240"/>
        <w:rPr>
          <w:b/>
          <w:bCs/>
        </w:rPr>
      </w:pPr>
      <w:r>
        <w:tab/>
      </w:r>
      <w:r>
        <w:tab/>
      </w:r>
      <w:r>
        <w:rPr>
          <w:b/>
          <w:bCs/>
        </w:rPr>
        <w:t>b.1.</w:t>
      </w:r>
      <w:r>
        <w:rPr>
          <w:b/>
          <w:bCs/>
        </w:rPr>
        <w:tab/>
        <w:t>Supervivencia del niño</w:t>
      </w:r>
    </w:p>
    <w:p w:rsidR="00000000" w:rsidRDefault="00000000">
      <w:pPr>
        <w:spacing w:after="240"/>
      </w:pPr>
      <w:r>
        <w:t>37.</w:t>
      </w:r>
      <w:r>
        <w:tab/>
        <w:t>El presupuesto de funcionamiento del Ministerio de Salud, que era el 6,5% del presupuesto nacional en 1995, ha pasado a casi el 8,75% en 1999 y se sitúa en más de 9,5% en 2003, lo que supera las normas de la OMS, ya que asume la carga total y gratuita de la vacunación infantil, la protección contra la transmisión entre madre e hijo del VIH/SIDA y una mejor gestión de las enfermedades diarreicas y de la malnutrición de los niños de 0 a 5 años.  Con ello se atiende debidamente la preocupación del Comité de los Derechos del Niño por la proporción insuficiente del PIB atribuida al presupuesto de salud (punto 13 de las observaciones finales del Comité).</w:t>
      </w:r>
    </w:p>
    <w:p w:rsidR="00000000" w:rsidRDefault="00000000">
      <w:pPr>
        <w:spacing w:after="240"/>
      </w:pPr>
      <w:r>
        <w:t>38.</w:t>
      </w:r>
      <w:r>
        <w:tab/>
        <w:t xml:space="preserve">Tras el fin del Proyecto de Nutrición Comunitaria, cuyo objetivo era suplir las carencias nutricionales de los niños, sobre todo de los de 0 a 5 años, se está elaborando un nuevo programa con la participación y la </w:t>
      </w:r>
      <w:proofErr w:type="spellStart"/>
      <w:r>
        <w:t>responsabilización</w:t>
      </w:r>
      <w:proofErr w:type="spellEnd"/>
      <w:r>
        <w:t xml:space="preserve"> mayor de agentes y padres, sobre todo madres.</w:t>
      </w:r>
    </w:p>
    <w:p w:rsidR="00000000" w:rsidRDefault="00000000">
      <w:pPr>
        <w:spacing w:after="240"/>
      </w:pPr>
      <w:r>
        <w:t>39.</w:t>
      </w:r>
      <w:r>
        <w:tab/>
        <w:t>La proporción de consultas prenatales y su continuidad han aumentado asimismo gracias a una mejor cobertura en las infraestructuras sanitarias, lo que explica ciertamente, entre otras cosas, la reducción de la tasa de fecundidad que de 6,7 hijos en 1995, ha pasado en 2004 a menos de 4,8 hijos.</w:t>
      </w:r>
    </w:p>
    <w:p w:rsidR="00000000" w:rsidRDefault="00000000">
      <w:pPr>
        <w:spacing w:after="240"/>
      </w:pPr>
      <w:r>
        <w:t>40.</w:t>
      </w:r>
      <w:r>
        <w:tab/>
        <w:t xml:space="preserve">Las tasas de mortalidad infantil-juvenil e infantil han disminuido con regularidad -pese a un corto período de aumento en zonas </w:t>
      </w:r>
      <w:proofErr w:type="spellStart"/>
      <w:r>
        <w:t>periurbanas</w:t>
      </w:r>
      <w:proofErr w:type="spellEnd"/>
      <w:r>
        <w:t xml:space="preserve"> (1996-1998)- y han pasado respectivamente de 156,2‰ en 1992 a 145,3‰ en 2000-2001 y de 76‰ en 1992 a 70,1‰ en 2000-2001 (véase </w:t>
      </w:r>
      <w:proofErr w:type="spellStart"/>
      <w:r>
        <w:t>ESIS</w:t>
      </w:r>
      <w:proofErr w:type="spellEnd"/>
      <w:r>
        <w:t xml:space="preserve"> 99/2000, encuesta </w:t>
      </w:r>
      <w:proofErr w:type="spellStart"/>
      <w:r>
        <w:t>MICS</w:t>
      </w:r>
      <w:proofErr w:type="spellEnd"/>
      <w:r>
        <w:t xml:space="preserve"> 2000 (Gobierno de la República del Senegal/UNICEF) y la publicación "Normas y Protocolos de los Servicios de Nutrición", agosto de 2001, Ministerio de Salud y Prevención del Senegal).</w:t>
      </w:r>
    </w:p>
    <w:p w:rsidR="00000000" w:rsidRDefault="00000000">
      <w:pPr>
        <w:spacing w:after="240"/>
      </w:pPr>
      <w:r>
        <w:t>41.</w:t>
      </w:r>
      <w:r>
        <w:tab/>
        <w:t xml:space="preserve">Lo mismo sucede con la malnutrición y sus aspectos más nefastos, a saber, la insuficiencia ponderal y la </w:t>
      </w:r>
      <w:proofErr w:type="spellStart"/>
      <w:r>
        <w:t>prevalencia</w:t>
      </w:r>
      <w:proofErr w:type="spellEnd"/>
      <w:r>
        <w:t xml:space="preserve"> del retraso en el crecimiento, que han descendido respectivamente de 20,1% en 1992 a 18,4% en 2000 y de 21,1% en 1992 a 19% en 2000.  En 1996, ambas tasas habían experimentado un aumento espectacular, que culminó en 22,3 y 22,9% respectivamente.</w:t>
      </w:r>
    </w:p>
    <w:p w:rsidR="00000000" w:rsidRDefault="00000000">
      <w:pPr>
        <w:spacing w:after="240"/>
      </w:pPr>
      <w:r>
        <w:t>42.</w:t>
      </w:r>
      <w:r>
        <w:tab/>
        <w:t xml:space="preserve">La lucha contra el paludismo ha dado otro paso adelante con la organización de un </w:t>
      </w:r>
      <w:proofErr w:type="spellStart"/>
      <w:r>
        <w:t>Teletón</w:t>
      </w:r>
      <w:proofErr w:type="spellEnd"/>
      <w:r>
        <w:t xml:space="preserve"> en julio de 2003 por el Ministerio de Salud y Prevención, que permitió movilizar unos 500 millones de francos CFA, además de sensibilizar a la población al paludismo y sus efectos perniciosos, y que repercutió también en las medidas y los reflejos profilácticos para combatir la enfermedad.  El </w:t>
      </w:r>
      <w:proofErr w:type="spellStart"/>
      <w:r>
        <w:t>Teletón</w:t>
      </w:r>
      <w:proofErr w:type="spellEnd"/>
      <w:r>
        <w:t xml:space="preserve"> formará parte en lo sucesivo de las tradiciones y las buenas prácticas que conviene perennizar como contribución inconmensurable a la lucha contra la mortalidad infantil, juvenil, infantil-juvenil y materna.</w:t>
      </w:r>
    </w:p>
    <w:p w:rsidR="00000000" w:rsidRDefault="00000000">
      <w:pPr>
        <w:keepNext/>
        <w:spacing w:after="240"/>
        <w:rPr>
          <w:b/>
          <w:bCs/>
        </w:rPr>
      </w:pPr>
      <w:r>
        <w:tab/>
      </w:r>
      <w:r>
        <w:tab/>
      </w:r>
      <w:r>
        <w:rPr>
          <w:b/>
          <w:bCs/>
        </w:rPr>
        <w:t>b.2.</w:t>
      </w:r>
      <w:r>
        <w:rPr>
          <w:b/>
          <w:bCs/>
        </w:rPr>
        <w:tab/>
        <w:t>Desarrollo del niño</w:t>
      </w:r>
    </w:p>
    <w:p w:rsidR="00000000" w:rsidRDefault="00000000">
      <w:pPr>
        <w:spacing w:after="240"/>
      </w:pPr>
      <w:r>
        <w:t>43.</w:t>
      </w:r>
      <w:r>
        <w:tab/>
        <w:t>Entre 1993 y 1995, la tasa media de escolarización era de 54%, con un 42% de niñas; hoy en día (2003-2004), la tasa es de 69% en el caso de las niñas y la diferencia entre niñas y niños se reduce sensiblemente en la enseñanza primaria y desaparece casi en la enseñanza preescolar.  Todo ello obedece a un esfuerzo sostenido de creación de infraestructura y de sensibilización a la escolarización de las niñas.  Queda así cumplida la recomendación 28 formulada por el Comité de los Derechos del Niño en noviembre de 1995 durante el examen del informe del Senegal sobre la igualdad de oportunidades de las niñas y los niños en el sistema educativo senegalés y entre las zonas rurales y urbanas para el acceso a la educación y el Senegal se propone conseguir la escolarización universal en un plazo de diez años (véanse los datos que se facilitan seguidamente).  La instrucción es gratuita, pero no obligatoria.</w:t>
      </w:r>
    </w:p>
    <w:p w:rsidR="00000000" w:rsidRDefault="00000000">
      <w:pPr>
        <w:spacing w:after="240"/>
      </w:pPr>
      <w:r>
        <w:t>44.</w:t>
      </w:r>
      <w:r>
        <w:tab/>
        <w:t>La tasa de escolarización está en evolución y progreso constantes desde hace más de diez años, pese a un corto período de disminución observado en aquel entonces (1995/97) por los sindicatos de personal docente.  La tasa ha pasado de 54% en 1994 a 61,7% en 1997/98, a 65,5% en 1998/99 y a más del 75,8% en 2002/03, con un 76% en el caso de los niños y un 69% en el caso de las niñas y una cifra prevista de 79% en el año escolar 2003/04, que vendrá acompañada de una disminución de la tasa de repetición de año y de un aumento de la duración de la vida escolar tanto de las niñas como de los niños.  En lo que respecta al desarrollo de la primera infancia mediante la provisión de servicios preescolares, el cuadro y los comentarios que siguen dan una idea suficientemente clara.</w:t>
      </w:r>
    </w:p>
    <w:p w:rsidR="00000000" w:rsidRDefault="00000000">
      <w:pPr>
        <w:keepNext/>
        <w:spacing w:after="200"/>
        <w:jc w:val="center"/>
        <w:rPr>
          <w:b/>
          <w:bCs/>
          <w:sz w:val="20"/>
        </w:rPr>
      </w:pPr>
      <w:r>
        <w:rPr>
          <w:b/>
          <w:bCs/>
          <w:sz w:val="20"/>
        </w:rPr>
        <w:t>Evolución de los establecimientos y el alumnado entre 1997/98 y 2001/02</w:t>
      </w:r>
    </w:p>
    <w:tbl>
      <w:tblPr>
        <w:tblW w:w="0" w:type="auto"/>
        <w:jc w:val="center"/>
        <w:tblLayout w:type="fixed"/>
        <w:tblCellMar>
          <w:left w:w="57" w:type="dxa"/>
          <w:right w:w="57" w:type="dxa"/>
        </w:tblCellMar>
        <w:tblLook w:val="0000" w:firstRow="0" w:lastRow="0" w:firstColumn="0" w:lastColumn="0" w:noHBand="0" w:noVBand="0"/>
      </w:tblPr>
      <w:tblGrid>
        <w:gridCol w:w="2175"/>
        <w:gridCol w:w="840"/>
        <w:gridCol w:w="960"/>
        <w:gridCol w:w="840"/>
        <w:gridCol w:w="720"/>
        <w:gridCol w:w="840"/>
        <w:gridCol w:w="720"/>
        <w:gridCol w:w="840"/>
        <w:gridCol w:w="720"/>
        <w:gridCol w:w="730"/>
      </w:tblGrid>
      <w:tr w:rsidR="00000000">
        <w:trPr>
          <w:cantSplit/>
          <w:jc w:val="center"/>
        </w:trPr>
        <w:tc>
          <w:tcPr>
            <w:tcW w:w="2175" w:type="dxa"/>
            <w:vMerge w:val="restart"/>
            <w:tcBorders>
              <w:top w:val="single" w:sz="4" w:space="0" w:color="auto"/>
              <w:left w:val="single" w:sz="4" w:space="0" w:color="auto"/>
              <w:bottom w:val="single" w:sz="4" w:space="0" w:color="000000"/>
              <w:right w:val="single" w:sz="4" w:space="0" w:color="auto"/>
            </w:tcBorders>
            <w:tcMar>
              <w:top w:w="0" w:type="dxa"/>
              <w:left w:w="15" w:type="dxa"/>
              <w:bottom w:w="0" w:type="dxa"/>
              <w:right w:w="15" w:type="dxa"/>
            </w:tcMar>
            <w:vAlign w:val="center"/>
          </w:tcPr>
          <w:p w:rsidR="00000000" w:rsidRDefault="00000000">
            <w:pPr>
              <w:keepNext/>
              <w:jc w:val="center"/>
              <w:rPr>
                <w:b/>
                <w:bCs/>
                <w:sz w:val="20"/>
              </w:rPr>
            </w:pPr>
            <w:r>
              <w:rPr>
                <w:b/>
                <w:bCs/>
                <w:sz w:val="20"/>
              </w:rPr>
              <w:t>Años</w:t>
            </w:r>
          </w:p>
        </w:tc>
        <w:tc>
          <w:tcPr>
            <w:tcW w:w="2640" w:type="dxa"/>
            <w:gridSpan w:val="3"/>
            <w:tcBorders>
              <w:top w:val="single" w:sz="4" w:space="0" w:color="auto"/>
              <w:left w:val="nil"/>
              <w:bottom w:val="single" w:sz="4" w:space="0" w:color="auto"/>
              <w:right w:val="single" w:sz="4" w:space="0" w:color="000000"/>
            </w:tcBorders>
            <w:tcMar>
              <w:top w:w="15" w:type="dxa"/>
              <w:left w:w="15" w:type="dxa"/>
              <w:bottom w:w="0" w:type="dxa"/>
              <w:right w:w="15" w:type="dxa"/>
            </w:tcMar>
            <w:vAlign w:val="center"/>
          </w:tcPr>
          <w:p w:rsidR="00000000" w:rsidRDefault="00000000">
            <w:pPr>
              <w:keepNext/>
              <w:jc w:val="center"/>
              <w:rPr>
                <w:b/>
                <w:bCs/>
                <w:sz w:val="20"/>
              </w:rPr>
            </w:pPr>
            <w:r>
              <w:rPr>
                <w:b/>
                <w:bCs/>
                <w:sz w:val="20"/>
              </w:rPr>
              <w:t>Establecimientos</w:t>
            </w:r>
          </w:p>
        </w:tc>
        <w:tc>
          <w:tcPr>
            <w:tcW w:w="2280" w:type="dxa"/>
            <w:gridSpan w:val="3"/>
            <w:tcBorders>
              <w:top w:val="single" w:sz="4" w:space="0" w:color="auto"/>
              <w:left w:val="nil"/>
              <w:bottom w:val="single" w:sz="4" w:space="0" w:color="auto"/>
              <w:right w:val="single" w:sz="4" w:space="0" w:color="000000"/>
            </w:tcBorders>
            <w:tcMar>
              <w:top w:w="15" w:type="dxa"/>
              <w:left w:w="15" w:type="dxa"/>
              <w:bottom w:w="0" w:type="dxa"/>
              <w:right w:w="15" w:type="dxa"/>
            </w:tcMar>
            <w:vAlign w:val="center"/>
          </w:tcPr>
          <w:p w:rsidR="00000000" w:rsidRDefault="00000000">
            <w:pPr>
              <w:keepNext/>
              <w:jc w:val="center"/>
              <w:rPr>
                <w:b/>
                <w:bCs/>
                <w:sz w:val="20"/>
              </w:rPr>
            </w:pPr>
            <w:r>
              <w:rPr>
                <w:b/>
                <w:bCs/>
                <w:sz w:val="20"/>
              </w:rPr>
              <w:t>Alumnado en establecimientos públicos</w:t>
            </w:r>
          </w:p>
        </w:tc>
        <w:tc>
          <w:tcPr>
            <w:tcW w:w="2290" w:type="dxa"/>
            <w:gridSpan w:val="3"/>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000000" w:rsidRDefault="00000000">
            <w:pPr>
              <w:keepNext/>
              <w:jc w:val="center"/>
              <w:rPr>
                <w:b/>
                <w:bCs/>
                <w:sz w:val="20"/>
              </w:rPr>
            </w:pPr>
            <w:r>
              <w:rPr>
                <w:b/>
                <w:bCs/>
                <w:sz w:val="20"/>
              </w:rPr>
              <w:t>Alumnado en establecimientos privados</w:t>
            </w:r>
          </w:p>
        </w:tc>
      </w:tr>
      <w:tr w:rsidR="00000000">
        <w:trPr>
          <w:cantSplit/>
          <w:jc w:val="center"/>
        </w:trPr>
        <w:tc>
          <w:tcPr>
            <w:tcW w:w="2175" w:type="dxa"/>
            <w:vMerge/>
            <w:tcBorders>
              <w:top w:val="single" w:sz="4" w:space="0" w:color="auto"/>
              <w:left w:val="single" w:sz="4" w:space="0" w:color="auto"/>
              <w:bottom w:val="single" w:sz="4" w:space="0" w:color="000000"/>
              <w:right w:val="single" w:sz="4" w:space="0" w:color="auto"/>
            </w:tcBorders>
            <w:vAlign w:val="center"/>
          </w:tcPr>
          <w:p w:rsidR="00000000" w:rsidRDefault="00000000">
            <w:pPr>
              <w:widowControl w:val="0"/>
              <w:jc w:val="center"/>
              <w:rPr>
                <w:rFonts w:eastAsia="Arial Unicode MS"/>
                <w:b/>
                <w:bCs/>
                <w:sz w:val="20"/>
              </w:rPr>
            </w:pP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b/>
                <w:bCs/>
                <w:sz w:val="20"/>
              </w:rPr>
            </w:pPr>
            <w:r>
              <w:rPr>
                <w:b/>
                <w:bCs/>
                <w:sz w:val="20"/>
              </w:rPr>
              <w:t>Públicos</w:t>
            </w:r>
          </w:p>
        </w:tc>
        <w:tc>
          <w:tcPr>
            <w:tcW w:w="960" w:type="dxa"/>
            <w:tcBorders>
              <w:top w:val="nil"/>
              <w:left w:val="nil"/>
              <w:bottom w:val="single" w:sz="4" w:space="0" w:color="auto"/>
              <w:right w:val="single" w:sz="4" w:space="0" w:color="auto"/>
            </w:tcBorders>
            <w:vAlign w:val="center"/>
          </w:tcPr>
          <w:p w:rsidR="00000000" w:rsidRDefault="00000000">
            <w:pPr>
              <w:jc w:val="center"/>
              <w:rPr>
                <w:b/>
                <w:bCs/>
                <w:sz w:val="20"/>
              </w:rPr>
            </w:pPr>
            <w:r>
              <w:rPr>
                <w:b/>
                <w:bCs/>
                <w:sz w:val="20"/>
              </w:rPr>
              <w:t>Privados</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b/>
                <w:bCs/>
                <w:sz w:val="20"/>
              </w:rPr>
            </w:pPr>
            <w:r>
              <w:rPr>
                <w:b/>
                <w:bCs/>
                <w:sz w:val="20"/>
              </w:rPr>
              <w:t>Total</w:t>
            </w:r>
          </w:p>
        </w:tc>
        <w:tc>
          <w:tcPr>
            <w:tcW w:w="720"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b/>
                <w:bCs/>
                <w:sz w:val="20"/>
              </w:rPr>
            </w:pPr>
            <w:r>
              <w:rPr>
                <w:b/>
                <w:bCs/>
                <w:sz w:val="20"/>
              </w:rPr>
              <w:t>Niños</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b/>
                <w:bCs/>
                <w:sz w:val="20"/>
              </w:rPr>
            </w:pPr>
            <w:r>
              <w:rPr>
                <w:b/>
                <w:bCs/>
                <w:sz w:val="20"/>
              </w:rPr>
              <w:t>Niñas</w:t>
            </w:r>
          </w:p>
        </w:tc>
        <w:tc>
          <w:tcPr>
            <w:tcW w:w="720"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b/>
                <w:bCs/>
                <w:sz w:val="20"/>
              </w:rPr>
            </w:pPr>
            <w:r>
              <w:rPr>
                <w:b/>
                <w:bCs/>
                <w:sz w:val="20"/>
              </w:rPr>
              <w:t>Total</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b/>
                <w:bCs/>
                <w:sz w:val="20"/>
              </w:rPr>
            </w:pPr>
            <w:r>
              <w:rPr>
                <w:b/>
                <w:bCs/>
                <w:sz w:val="20"/>
              </w:rPr>
              <w:t>Niños</w:t>
            </w:r>
          </w:p>
        </w:tc>
        <w:tc>
          <w:tcPr>
            <w:tcW w:w="720"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b/>
                <w:bCs/>
                <w:sz w:val="20"/>
              </w:rPr>
            </w:pPr>
            <w:r>
              <w:rPr>
                <w:b/>
                <w:bCs/>
                <w:sz w:val="20"/>
              </w:rPr>
              <w:t>Niñas</w:t>
            </w:r>
          </w:p>
        </w:tc>
        <w:tc>
          <w:tcPr>
            <w:tcW w:w="730"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b/>
                <w:bCs/>
                <w:sz w:val="20"/>
              </w:rPr>
            </w:pPr>
            <w:r>
              <w:rPr>
                <w:b/>
                <w:bCs/>
                <w:sz w:val="20"/>
              </w:rPr>
              <w:t>Total</w:t>
            </w:r>
          </w:p>
        </w:tc>
      </w:tr>
      <w:tr w:rsidR="00000000">
        <w:trPr>
          <w:jc w:val="center"/>
        </w:trPr>
        <w:tc>
          <w:tcPr>
            <w:tcW w:w="2175"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widowControl w:val="0"/>
              <w:rPr>
                <w:rFonts w:eastAsia="Arial Unicode MS"/>
                <w:sz w:val="20"/>
              </w:rPr>
            </w:pPr>
            <w:r>
              <w:rPr>
                <w:sz w:val="20"/>
              </w:rPr>
              <w:t>1997/98</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227"/>
              <w:jc w:val="right"/>
              <w:rPr>
                <w:rFonts w:eastAsia="Arial Unicode MS"/>
                <w:sz w:val="20"/>
              </w:rPr>
            </w:pPr>
            <w:r>
              <w:rPr>
                <w:sz w:val="20"/>
              </w:rPr>
              <w:t>77</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jc w:val="center"/>
              <w:rPr>
                <w:rFonts w:eastAsia="Arial Unicode MS"/>
                <w:sz w:val="20"/>
              </w:rPr>
            </w:pPr>
            <w:r>
              <w:rPr>
                <w:sz w:val="20"/>
              </w:rPr>
              <w:t>193</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jc w:val="center"/>
              <w:rPr>
                <w:rFonts w:eastAsia="Arial Unicode MS"/>
                <w:sz w:val="20"/>
              </w:rPr>
            </w:pPr>
            <w:r>
              <w:rPr>
                <w:sz w:val="20"/>
              </w:rPr>
              <w:t>270</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113"/>
              <w:jc w:val="right"/>
              <w:rPr>
                <w:rFonts w:eastAsia="Arial Unicode MS"/>
                <w:sz w:val="20"/>
              </w:rPr>
            </w:pPr>
            <w:r>
              <w:rPr>
                <w:sz w:val="20"/>
              </w:rPr>
              <w:t>3.162</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170"/>
              <w:jc w:val="right"/>
              <w:rPr>
                <w:rFonts w:eastAsia="Arial Unicode MS"/>
                <w:sz w:val="20"/>
              </w:rPr>
            </w:pPr>
            <w:r>
              <w:rPr>
                <w:sz w:val="20"/>
              </w:rPr>
              <w:t>3.214</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113"/>
              <w:jc w:val="right"/>
              <w:rPr>
                <w:rFonts w:eastAsia="Arial Unicode MS"/>
                <w:sz w:val="20"/>
              </w:rPr>
            </w:pPr>
            <w:r>
              <w:rPr>
                <w:sz w:val="20"/>
              </w:rPr>
              <w:t>6.376</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113"/>
              <w:jc w:val="right"/>
              <w:rPr>
                <w:rFonts w:eastAsia="Arial Unicode MS"/>
                <w:sz w:val="20"/>
              </w:rPr>
            </w:pPr>
            <w:r>
              <w:rPr>
                <w:sz w:val="20"/>
              </w:rPr>
              <w:t>6.654</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57"/>
              <w:jc w:val="right"/>
              <w:rPr>
                <w:rFonts w:eastAsia="Arial Unicode MS"/>
                <w:sz w:val="20"/>
              </w:rPr>
            </w:pPr>
            <w:r>
              <w:rPr>
                <w:sz w:val="20"/>
              </w:rPr>
              <w:t>6.850</w:t>
            </w:r>
          </w:p>
        </w:tc>
        <w:tc>
          <w:tcPr>
            <w:tcW w:w="730" w:type="dxa"/>
            <w:tcBorders>
              <w:top w:val="nil"/>
              <w:left w:val="nil"/>
              <w:bottom w:val="single" w:sz="4" w:space="0" w:color="auto"/>
              <w:right w:val="single" w:sz="4" w:space="0" w:color="auto"/>
            </w:tcBorders>
          </w:tcPr>
          <w:p w:rsidR="00000000" w:rsidRDefault="00000000">
            <w:pPr>
              <w:widowControl w:val="0"/>
              <w:ind w:right="28"/>
              <w:jc w:val="right"/>
              <w:rPr>
                <w:rFonts w:eastAsia="Arial Unicode MS"/>
                <w:sz w:val="20"/>
              </w:rPr>
            </w:pPr>
            <w:r>
              <w:rPr>
                <w:sz w:val="20"/>
              </w:rPr>
              <w:t>13.504</w:t>
            </w:r>
          </w:p>
        </w:tc>
      </w:tr>
      <w:tr w:rsidR="00000000">
        <w:trPr>
          <w:jc w:val="center"/>
        </w:trPr>
        <w:tc>
          <w:tcPr>
            <w:tcW w:w="2175"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widowControl w:val="0"/>
              <w:rPr>
                <w:rFonts w:eastAsia="Arial Unicode MS"/>
                <w:sz w:val="20"/>
              </w:rPr>
            </w:pPr>
            <w:r>
              <w:rPr>
                <w:sz w:val="20"/>
              </w:rPr>
              <w:t>1998/99</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227"/>
              <w:jc w:val="right"/>
              <w:rPr>
                <w:rFonts w:eastAsia="Arial Unicode MS"/>
                <w:sz w:val="20"/>
              </w:rPr>
            </w:pPr>
            <w:r>
              <w:rPr>
                <w:sz w:val="20"/>
              </w:rPr>
              <w:t>88</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jc w:val="center"/>
              <w:rPr>
                <w:rFonts w:eastAsia="Arial Unicode MS"/>
                <w:sz w:val="20"/>
              </w:rPr>
            </w:pPr>
            <w:r>
              <w:rPr>
                <w:sz w:val="20"/>
              </w:rPr>
              <w:t>225</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jc w:val="center"/>
              <w:rPr>
                <w:rFonts w:eastAsia="Arial Unicode MS"/>
                <w:sz w:val="20"/>
              </w:rPr>
            </w:pPr>
            <w:r>
              <w:rPr>
                <w:sz w:val="20"/>
              </w:rPr>
              <w:t>313</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113"/>
              <w:jc w:val="right"/>
              <w:rPr>
                <w:rFonts w:eastAsia="Arial Unicode MS"/>
                <w:sz w:val="20"/>
              </w:rPr>
            </w:pPr>
            <w:r>
              <w:rPr>
                <w:sz w:val="20"/>
              </w:rPr>
              <w:t>3.633</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170"/>
              <w:jc w:val="right"/>
              <w:rPr>
                <w:rFonts w:eastAsia="Arial Unicode MS"/>
                <w:sz w:val="20"/>
              </w:rPr>
            </w:pPr>
            <w:r>
              <w:rPr>
                <w:sz w:val="20"/>
              </w:rPr>
              <w:t>3.797</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113"/>
              <w:jc w:val="right"/>
              <w:rPr>
                <w:rFonts w:eastAsia="Arial Unicode MS"/>
                <w:sz w:val="20"/>
              </w:rPr>
            </w:pPr>
            <w:r>
              <w:rPr>
                <w:sz w:val="20"/>
              </w:rPr>
              <w:t>7.430</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113"/>
              <w:jc w:val="right"/>
              <w:rPr>
                <w:rFonts w:eastAsia="Arial Unicode MS"/>
                <w:sz w:val="20"/>
              </w:rPr>
            </w:pPr>
            <w:r>
              <w:rPr>
                <w:sz w:val="20"/>
              </w:rPr>
              <w:t>7.962</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57"/>
              <w:jc w:val="right"/>
              <w:rPr>
                <w:rFonts w:eastAsia="Arial Unicode MS"/>
                <w:sz w:val="20"/>
              </w:rPr>
            </w:pPr>
            <w:r>
              <w:rPr>
                <w:sz w:val="20"/>
              </w:rPr>
              <w:t>8.233</w:t>
            </w:r>
          </w:p>
        </w:tc>
        <w:tc>
          <w:tcPr>
            <w:tcW w:w="730" w:type="dxa"/>
            <w:tcBorders>
              <w:top w:val="nil"/>
              <w:left w:val="nil"/>
              <w:bottom w:val="single" w:sz="4" w:space="0" w:color="auto"/>
              <w:right w:val="single" w:sz="4" w:space="0" w:color="auto"/>
            </w:tcBorders>
          </w:tcPr>
          <w:p w:rsidR="00000000" w:rsidRDefault="00000000">
            <w:pPr>
              <w:widowControl w:val="0"/>
              <w:ind w:right="28"/>
              <w:jc w:val="right"/>
              <w:rPr>
                <w:rFonts w:eastAsia="Arial Unicode MS"/>
                <w:sz w:val="20"/>
              </w:rPr>
            </w:pPr>
            <w:r>
              <w:rPr>
                <w:sz w:val="20"/>
              </w:rPr>
              <w:t>16.195</w:t>
            </w:r>
          </w:p>
        </w:tc>
      </w:tr>
      <w:tr w:rsidR="00000000">
        <w:trPr>
          <w:jc w:val="center"/>
        </w:trPr>
        <w:tc>
          <w:tcPr>
            <w:tcW w:w="2175"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widowControl w:val="0"/>
              <w:rPr>
                <w:rFonts w:eastAsia="Arial Unicode MS"/>
                <w:sz w:val="20"/>
              </w:rPr>
            </w:pPr>
            <w:r>
              <w:rPr>
                <w:sz w:val="20"/>
              </w:rPr>
              <w:t>1999/00</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227"/>
              <w:jc w:val="right"/>
              <w:rPr>
                <w:rFonts w:eastAsia="Arial Unicode MS"/>
                <w:sz w:val="20"/>
              </w:rPr>
            </w:pPr>
            <w:r>
              <w:rPr>
                <w:sz w:val="20"/>
              </w:rPr>
              <w:t>93</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jc w:val="center"/>
              <w:rPr>
                <w:rFonts w:eastAsia="Arial Unicode MS"/>
                <w:sz w:val="20"/>
              </w:rPr>
            </w:pPr>
            <w:r>
              <w:rPr>
                <w:sz w:val="20"/>
              </w:rPr>
              <w:t>263</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jc w:val="center"/>
              <w:rPr>
                <w:rFonts w:eastAsia="Arial Unicode MS"/>
                <w:sz w:val="20"/>
              </w:rPr>
            </w:pPr>
            <w:r>
              <w:rPr>
                <w:sz w:val="20"/>
              </w:rPr>
              <w:t>356</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113"/>
              <w:jc w:val="right"/>
              <w:rPr>
                <w:rFonts w:eastAsia="Arial Unicode MS"/>
                <w:sz w:val="20"/>
              </w:rPr>
            </w:pPr>
            <w:r>
              <w:rPr>
                <w:sz w:val="20"/>
              </w:rPr>
              <w:t>3.827</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170"/>
              <w:jc w:val="right"/>
              <w:rPr>
                <w:rFonts w:eastAsia="Arial Unicode MS"/>
                <w:sz w:val="20"/>
              </w:rPr>
            </w:pPr>
            <w:r>
              <w:rPr>
                <w:sz w:val="20"/>
              </w:rPr>
              <w:t>3.994</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113"/>
              <w:jc w:val="right"/>
              <w:rPr>
                <w:rFonts w:eastAsia="Arial Unicode MS"/>
                <w:sz w:val="20"/>
              </w:rPr>
            </w:pPr>
            <w:r>
              <w:rPr>
                <w:sz w:val="20"/>
              </w:rPr>
              <w:t>7.821</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113"/>
              <w:jc w:val="right"/>
              <w:rPr>
                <w:rFonts w:eastAsia="Arial Unicode MS"/>
                <w:sz w:val="20"/>
              </w:rPr>
            </w:pPr>
            <w:r>
              <w:rPr>
                <w:sz w:val="20"/>
              </w:rPr>
              <w:t>8.631</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57"/>
              <w:jc w:val="right"/>
              <w:rPr>
                <w:rFonts w:eastAsia="Arial Unicode MS"/>
                <w:sz w:val="20"/>
              </w:rPr>
            </w:pPr>
            <w:r>
              <w:rPr>
                <w:sz w:val="20"/>
              </w:rPr>
              <w:t>8.940</w:t>
            </w:r>
          </w:p>
        </w:tc>
        <w:tc>
          <w:tcPr>
            <w:tcW w:w="730" w:type="dxa"/>
            <w:tcBorders>
              <w:top w:val="nil"/>
              <w:left w:val="nil"/>
              <w:bottom w:val="single" w:sz="4" w:space="0" w:color="auto"/>
              <w:right w:val="single" w:sz="4" w:space="0" w:color="auto"/>
            </w:tcBorders>
          </w:tcPr>
          <w:p w:rsidR="00000000" w:rsidRDefault="00000000">
            <w:pPr>
              <w:widowControl w:val="0"/>
              <w:ind w:right="28"/>
              <w:jc w:val="right"/>
              <w:rPr>
                <w:rFonts w:eastAsia="Arial Unicode MS"/>
                <w:sz w:val="20"/>
              </w:rPr>
            </w:pPr>
            <w:r>
              <w:rPr>
                <w:sz w:val="20"/>
              </w:rPr>
              <w:t>17.571</w:t>
            </w:r>
          </w:p>
        </w:tc>
      </w:tr>
      <w:tr w:rsidR="00000000">
        <w:trPr>
          <w:jc w:val="center"/>
        </w:trPr>
        <w:tc>
          <w:tcPr>
            <w:tcW w:w="2175"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widowControl w:val="0"/>
              <w:rPr>
                <w:rFonts w:eastAsia="Arial Unicode MS"/>
                <w:sz w:val="20"/>
              </w:rPr>
            </w:pPr>
            <w:r>
              <w:rPr>
                <w:sz w:val="20"/>
              </w:rPr>
              <w:t>2000/01</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227"/>
              <w:jc w:val="right"/>
              <w:rPr>
                <w:rFonts w:eastAsia="Arial Unicode MS"/>
                <w:sz w:val="20"/>
              </w:rPr>
            </w:pPr>
            <w:r>
              <w:rPr>
                <w:sz w:val="20"/>
              </w:rPr>
              <w:t>87</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jc w:val="center"/>
              <w:rPr>
                <w:rFonts w:eastAsia="Arial Unicode MS"/>
                <w:sz w:val="20"/>
              </w:rPr>
            </w:pPr>
            <w:r>
              <w:rPr>
                <w:sz w:val="20"/>
              </w:rPr>
              <w:t>307</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jc w:val="center"/>
              <w:rPr>
                <w:rFonts w:eastAsia="Arial Unicode MS"/>
                <w:sz w:val="20"/>
              </w:rPr>
            </w:pPr>
            <w:r>
              <w:rPr>
                <w:sz w:val="20"/>
              </w:rPr>
              <w:t>394</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113"/>
              <w:jc w:val="right"/>
              <w:rPr>
                <w:rFonts w:eastAsia="Arial Unicode MS"/>
                <w:sz w:val="20"/>
              </w:rPr>
            </w:pPr>
            <w:r>
              <w:rPr>
                <w:sz w:val="20"/>
              </w:rPr>
              <w:t>3.915</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170"/>
              <w:jc w:val="right"/>
              <w:rPr>
                <w:rFonts w:eastAsia="Arial Unicode MS"/>
                <w:sz w:val="20"/>
              </w:rPr>
            </w:pPr>
            <w:r>
              <w:rPr>
                <w:sz w:val="20"/>
              </w:rPr>
              <w:t>4.510</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113"/>
              <w:jc w:val="right"/>
              <w:rPr>
                <w:rFonts w:eastAsia="Arial Unicode MS"/>
                <w:sz w:val="20"/>
              </w:rPr>
            </w:pPr>
            <w:r>
              <w:rPr>
                <w:sz w:val="20"/>
              </w:rPr>
              <w:t>8.425</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113"/>
              <w:jc w:val="right"/>
              <w:rPr>
                <w:rFonts w:eastAsia="Arial Unicode MS"/>
                <w:sz w:val="20"/>
              </w:rPr>
            </w:pPr>
            <w:r>
              <w:rPr>
                <w:sz w:val="20"/>
              </w:rPr>
              <w:t>11.136</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57"/>
              <w:jc w:val="right"/>
              <w:rPr>
                <w:rFonts w:eastAsia="Arial Unicode MS"/>
                <w:sz w:val="20"/>
              </w:rPr>
            </w:pPr>
            <w:r>
              <w:rPr>
                <w:sz w:val="20"/>
              </w:rPr>
              <w:t>12.089</w:t>
            </w:r>
          </w:p>
        </w:tc>
        <w:tc>
          <w:tcPr>
            <w:tcW w:w="730" w:type="dxa"/>
            <w:tcBorders>
              <w:top w:val="nil"/>
              <w:left w:val="nil"/>
              <w:bottom w:val="single" w:sz="4" w:space="0" w:color="auto"/>
              <w:right w:val="single" w:sz="4" w:space="0" w:color="auto"/>
            </w:tcBorders>
          </w:tcPr>
          <w:p w:rsidR="00000000" w:rsidRDefault="00000000">
            <w:pPr>
              <w:widowControl w:val="0"/>
              <w:ind w:right="28"/>
              <w:jc w:val="right"/>
              <w:rPr>
                <w:rFonts w:eastAsia="Arial Unicode MS"/>
                <w:sz w:val="20"/>
              </w:rPr>
            </w:pPr>
            <w:r>
              <w:rPr>
                <w:sz w:val="20"/>
              </w:rPr>
              <w:t>23.225</w:t>
            </w:r>
          </w:p>
        </w:tc>
      </w:tr>
      <w:tr w:rsidR="00000000">
        <w:trPr>
          <w:jc w:val="center"/>
        </w:trPr>
        <w:tc>
          <w:tcPr>
            <w:tcW w:w="2175"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widowControl w:val="0"/>
              <w:rPr>
                <w:rFonts w:eastAsia="Arial Unicode MS"/>
                <w:sz w:val="20"/>
              </w:rPr>
            </w:pPr>
            <w:r>
              <w:rPr>
                <w:sz w:val="20"/>
              </w:rPr>
              <w:t>2001/02</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227"/>
              <w:jc w:val="right"/>
              <w:rPr>
                <w:rFonts w:eastAsia="Arial Unicode MS"/>
                <w:sz w:val="20"/>
              </w:rPr>
            </w:pPr>
            <w:r>
              <w:rPr>
                <w:sz w:val="20"/>
              </w:rPr>
              <w:t>111</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jc w:val="center"/>
              <w:rPr>
                <w:rFonts w:eastAsia="Arial Unicode MS"/>
                <w:sz w:val="20"/>
              </w:rPr>
            </w:pPr>
            <w:r>
              <w:rPr>
                <w:sz w:val="20"/>
              </w:rPr>
              <w:t>256</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jc w:val="center"/>
              <w:rPr>
                <w:rFonts w:eastAsia="Arial Unicode MS"/>
                <w:sz w:val="20"/>
              </w:rPr>
            </w:pPr>
            <w:r>
              <w:rPr>
                <w:sz w:val="20"/>
              </w:rPr>
              <w:t>367</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113"/>
              <w:jc w:val="right"/>
              <w:rPr>
                <w:rFonts w:eastAsia="Arial Unicode MS"/>
                <w:sz w:val="20"/>
              </w:rPr>
            </w:pPr>
            <w:r>
              <w:rPr>
                <w:sz w:val="20"/>
              </w:rPr>
              <w:t>4.075</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170"/>
              <w:jc w:val="right"/>
              <w:rPr>
                <w:rFonts w:eastAsia="Arial Unicode MS"/>
                <w:sz w:val="20"/>
              </w:rPr>
            </w:pPr>
            <w:r>
              <w:rPr>
                <w:sz w:val="20"/>
              </w:rPr>
              <w:t>4.540</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113"/>
              <w:jc w:val="right"/>
              <w:rPr>
                <w:rFonts w:eastAsia="Arial Unicode MS"/>
                <w:sz w:val="20"/>
              </w:rPr>
            </w:pPr>
            <w:r>
              <w:rPr>
                <w:sz w:val="20"/>
              </w:rPr>
              <w:t>8.615</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113"/>
              <w:jc w:val="right"/>
              <w:rPr>
                <w:rFonts w:eastAsia="Arial Unicode MS"/>
                <w:sz w:val="20"/>
              </w:rPr>
            </w:pPr>
            <w:r>
              <w:rPr>
                <w:sz w:val="20"/>
              </w:rPr>
              <w:t>9.492</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ind w:right="57"/>
              <w:jc w:val="right"/>
              <w:rPr>
                <w:rFonts w:eastAsia="Arial Unicode MS"/>
                <w:sz w:val="20"/>
              </w:rPr>
            </w:pPr>
            <w:r>
              <w:rPr>
                <w:sz w:val="20"/>
              </w:rPr>
              <w:t>10.556</w:t>
            </w:r>
          </w:p>
        </w:tc>
        <w:tc>
          <w:tcPr>
            <w:tcW w:w="730" w:type="dxa"/>
            <w:tcBorders>
              <w:top w:val="nil"/>
              <w:left w:val="nil"/>
              <w:bottom w:val="single" w:sz="4" w:space="0" w:color="auto"/>
              <w:right w:val="single" w:sz="4" w:space="0" w:color="auto"/>
            </w:tcBorders>
          </w:tcPr>
          <w:p w:rsidR="00000000" w:rsidRDefault="00000000">
            <w:pPr>
              <w:widowControl w:val="0"/>
              <w:ind w:right="28"/>
              <w:jc w:val="right"/>
              <w:rPr>
                <w:rFonts w:eastAsia="Arial Unicode MS"/>
                <w:sz w:val="20"/>
              </w:rPr>
            </w:pPr>
            <w:r>
              <w:rPr>
                <w:sz w:val="20"/>
              </w:rPr>
              <w:t>20.048</w:t>
            </w:r>
          </w:p>
        </w:tc>
      </w:tr>
      <w:tr w:rsidR="00000000">
        <w:trPr>
          <w:jc w:val="center"/>
        </w:trPr>
        <w:tc>
          <w:tcPr>
            <w:tcW w:w="2175" w:type="dxa"/>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000000">
            <w:pPr>
              <w:rPr>
                <w:sz w:val="20"/>
              </w:rPr>
            </w:pPr>
            <w:r>
              <w:rPr>
                <w:sz w:val="20"/>
              </w:rPr>
              <w:t>Tasa de crecimiento medio anual (porcentaje)</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bottom"/>
          </w:tcPr>
          <w:p w:rsidR="00000000" w:rsidRDefault="00000000">
            <w:pPr>
              <w:widowControl w:val="0"/>
              <w:ind w:right="227"/>
              <w:jc w:val="right"/>
              <w:rPr>
                <w:rFonts w:eastAsia="Arial Unicode MS"/>
                <w:sz w:val="20"/>
              </w:rPr>
            </w:pPr>
            <w:r>
              <w:rPr>
                <w:sz w:val="20"/>
              </w:rPr>
              <w:t>9,57</w:t>
            </w:r>
          </w:p>
        </w:tc>
        <w:tc>
          <w:tcPr>
            <w:tcW w:w="960" w:type="dxa"/>
            <w:tcBorders>
              <w:top w:val="nil"/>
              <w:left w:val="nil"/>
              <w:bottom w:val="single" w:sz="4" w:space="0" w:color="auto"/>
              <w:right w:val="single" w:sz="4" w:space="0" w:color="auto"/>
            </w:tcBorders>
            <w:tcMar>
              <w:top w:w="15" w:type="dxa"/>
              <w:left w:w="15" w:type="dxa"/>
              <w:bottom w:w="0" w:type="dxa"/>
              <w:right w:w="15" w:type="dxa"/>
            </w:tcMar>
            <w:vAlign w:val="bottom"/>
          </w:tcPr>
          <w:p w:rsidR="00000000" w:rsidRDefault="00000000">
            <w:pPr>
              <w:widowControl w:val="0"/>
              <w:jc w:val="center"/>
              <w:rPr>
                <w:rFonts w:eastAsia="Arial Unicode MS"/>
                <w:sz w:val="20"/>
              </w:rPr>
            </w:pPr>
            <w:r>
              <w:rPr>
                <w:sz w:val="20"/>
              </w:rPr>
              <w:t>7,32</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bottom"/>
          </w:tcPr>
          <w:p w:rsidR="00000000" w:rsidRDefault="00000000">
            <w:pPr>
              <w:widowControl w:val="0"/>
              <w:jc w:val="center"/>
              <w:rPr>
                <w:rFonts w:eastAsia="Arial Unicode MS"/>
                <w:sz w:val="20"/>
              </w:rPr>
            </w:pPr>
            <w:r>
              <w:rPr>
                <w:sz w:val="20"/>
              </w:rPr>
              <w:t>7,98</w:t>
            </w:r>
          </w:p>
        </w:tc>
        <w:tc>
          <w:tcPr>
            <w:tcW w:w="720" w:type="dxa"/>
            <w:tcBorders>
              <w:top w:val="nil"/>
              <w:left w:val="nil"/>
              <w:bottom w:val="single" w:sz="4" w:space="0" w:color="auto"/>
              <w:right w:val="single" w:sz="4" w:space="0" w:color="auto"/>
            </w:tcBorders>
            <w:tcMar>
              <w:top w:w="15" w:type="dxa"/>
              <w:left w:w="15" w:type="dxa"/>
              <w:bottom w:w="0" w:type="dxa"/>
              <w:right w:w="15" w:type="dxa"/>
            </w:tcMar>
            <w:vAlign w:val="bottom"/>
          </w:tcPr>
          <w:p w:rsidR="00000000" w:rsidRDefault="00000000">
            <w:pPr>
              <w:widowControl w:val="0"/>
              <w:ind w:right="113"/>
              <w:jc w:val="right"/>
              <w:rPr>
                <w:rFonts w:eastAsia="Arial Unicode MS"/>
                <w:sz w:val="20"/>
              </w:rPr>
            </w:pPr>
            <w:r>
              <w:rPr>
                <w:sz w:val="20"/>
              </w:rPr>
              <w:t>6,55</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bottom"/>
          </w:tcPr>
          <w:p w:rsidR="00000000" w:rsidRDefault="00000000">
            <w:pPr>
              <w:widowControl w:val="0"/>
              <w:ind w:right="170"/>
              <w:jc w:val="right"/>
              <w:rPr>
                <w:rFonts w:eastAsia="Arial Unicode MS"/>
                <w:sz w:val="20"/>
              </w:rPr>
            </w:pPr>
            <w:r>
              <w:rPr>
                <w:sz w:val="20"/>
              </w:rPr>
              <w:t>9,02</w:t>
            </w:r>
          </w:p>
        </w:tc>
        <w:tc>
          <w:tcPr>
            <w:tcW w:w="720" w:type="dxa"/>
            <w:tcBorders>
              <w:top w:val="nil"/>
              <w:left w:val="nil"/>
              <w:bottom w:val="single" w:sz="4" w:space="0" w:color="auto"/>
              <w:right w:val="single" w:sz="4" w:space="0" w:color="auto"/>
            </w:tcBorders>
            <w:tcMar>
              <w:top w:w="15" w:type="dxa"/>
              <w:left w:w="15" w:type="dxa"/>
              <w:bottom w:w="0" w:type="dxa"/>
              <w:right w:w="15" w:type="dxa"/>
            </w:tcMar>
            <w:vAlign w:val="bottom"/>
          </w:tcPr>
          <w:p w:rsidR="00000000" w:rsidRDefault="00000000">
            <w:pPr>
              <w:widowControl w:val="0"/>
              <w:ind w:right="113"/>
              <w:jc w:val="right"/>
              <w:rPr>
                <w:rFonts w:eastAsia="Arial Unicode MS"/>
                <w:sz w:val="20"/>
              </w:rPr>
            </w:pPr>
            <w:r>
              <w:rPr>
                <w:sz w:val="20"/>
              </w:rPr>
              <w:t>7,81</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bottom"/>
          </w:tcPr>
          <w:p w:rsidR="00000000" w:rsidRDefault="00000000">
            <w:pPr>
              <w:widowControl w:val="0"/>
              <w:tabs>
                <w:tab w:val="decimal" w:pos="465"/>
              </w:tabs>
              <w:ind w:right="113"/>
              <w:jc w:val="right"/>
              <w:rPr>
                <w:rFonts w:eastAsia="Arial Unicode MS"/>
                <w:sz w:val="20"/>
              </w:rPr>
            </w:pPr>
            <w:r>
              <w:rPr>
                <w:sz w:val="20"/>
              </w:rPr>
              <w:t>9,</w:t>
            </w:r>
            <w:r>
              <w:rPr>
                <w:rFonts w:eastAsia="Arial Unicode MS"/>
                <w:sz w:val="20"/>
              </w:rPr>
              <w:t>29</w:t>
            </w:r>
          </w:p>
        </w:tc>
        <w:tc>
          <w:tcPr>
            <w:tcW w:w="720" w:type="dxa"/>
            <w:tcBorders>
              <w:top w:val="nil"/>
              <w:left w:val="nil"/>
              <w:bottom w:val="single" w:sz="4" w:space="0" w:color="auto"/>
              <w:right w:val="single" w:sz="4" w:space="0" w:color="auto"/>
            </w:tcBorders>
            <w:tcMar>
              <w:top w:w="15" w:type="dxa"/>
              <w:left w:w="15" w:type="dxa"/>
              <w:bottom w:w="0" w:type="dxa"/>
              <w:right w:w="15" w:type="dxa"/>
            </w:tcMar>
            <w:vAlign w:val="bottom"/>
          </w:tcPr>
          <w:p w:rsidR="00000000" w:rsidRDefault="00000000">
            <w:pPr>
              <w:widowControl w:val="0"/>
              <w:ind w:right="57"/>
              <w:jc w:val="right"/>
              <w:rPr>
                <w:rFonts w:eastAsia="Arial Unicode MS"/>
                <w:sz w:val="20"/>
              </w:rPr>
            </w:pPr>
            <w:r>
              <w:rPr>
                <w:sz w:val="20"/>
              </w:rPr>
              <w:t>11,42</w:t>
            </w:r>
          </w:p>
        </w:tc>
        <w:tc>
          <w:tcPr>
            <w:tcW w:w="730" w:type="dxa"/>
            <w:tcBorders>
              <w:top w:val="nil"/>
              <w:left w:val="nil"/>
              <w:bottom w:val="single" w:sz="4" w:space="0" w:color="auto"/>
              <w:right w:val="single" w:sz="4" w:space="0" w:color="auto"/>
            </w:tcBorders>
            <w:vAlign w:val="bottom"/>
          </w:tcPr>
          <w:p w:rsidR="00000000" w:rsidRDefault="00000000">
            <w:pPr>
              <w:widowControl w:val="0"/>
              <w:ind w:right="28"/>
              <w:jc w:val="right"/>
              <w:rPr>
                <w:rFonts w:eastAsia="Arial Unicode MS"/>
                <w:sz w:val="20"/>
              </w:rPr>
            </w:pPr>
            <w:r>
              <w:rPr>
                <w:sz w:val="20"/>
              </w:rPr>
              <w:t>10,38</w:t>
            </w:r>
          </w:p>
        </w:tc>
      </w:tr>
    </w:tbl>
    <w:p w:rsidR="00000000" w:rsidRDefault="00000000">
      <w:pPr>
        <w:spacing w:before="200"/>
        <w:rPr>
          <w:sz w:val="20"/>
        </w:rPr>
      </w:pPr>
      <w:r>
        <w:rPr>
          <w:i/>
          <w:iCs/>
          <w:sz w:val="20"/>
        </w:rPr>
        <w:t>Fuente</w:t>
      </w:r>
      <w:r>
        <w:rPr>
          <w:sz w:val="20"/>
        </w:rPr>
        <w:t xml:space="preserve">:  Anuarios de </w:t>
      </w:r>
      <w:proofErr w:type="spellStart"/>
      <w:r>
        <w:rPr>
          <w:sz w:val="20"/>
        </w:rPr>
        <w:t>BSS/DPRE</w:t>
      </w:r>
      <w:proofErr w:type="spellEnd"/>
      <w:r>
        <w:rPr>
          <w:sz w:val="20"/>
        </w:rPr>
        <w:t>, 2003.</w:t>
      </w:r>
    </w:p>
    <w:p w:rsidR="00000000" w:rsidRDefault="00000000">
      <w:pPr>
        <w:spacing w:before="400" w:after="240"/>
      </w:pPr>
      <w:r>
        <w:t>45.</w:t>
      </w:r>
      <w:r>
        <w:tab/>
        <w:t>En el caso de los establecimientos, la tasa de crecimiento medio anual es más importante en el sector público que en el privado.  En lo que respecta al alumnado, la tasa de crecimiento medio anual es superior en el caso de las niñas que en el caso de los niños, tanto en el sector público como en el privado.  Los factores que limitan el acceso a la enseñanza preescolar son:</w:t>
      </w:r>
    </w:p>
    <w:p w:rsidR="00000000" w:rsidRDefault="00000000">
      <w:pPr>
        <w:spacing w:after="240"/>
        <w:ind w:left="924" w:hanging="357"/>
      </w:pPr>
      <w:r>
        <w:t>-</w:t>
      </w:r>
      <w:r>
        <w:tab/>
        <w:t xml:space="preserve">El hecho de que no sea una prioridad para el Estado, que, en el contexto del Plan Decenal de Educación y Formación, se sigue </w:t>
      </w:r>
      <w:proofErr w:type="spellStart"/>
      <w:r>
        <w:t>focalizando</w:t>
      </w:r>
      <w:proofErr w:type="spellEnd"/>
      <w:r>
        <w:t xml:space="preserve"> en la aceleración de la tasa bruta de escolarización en la enseñanza primaria con objeto de alcanzar los objetivos de la educación para todos en 2019;</w:t>
      </w:r>
    </w:p>
    <w:p w:rsidR="00000000" w:rsidRDefault="00000000">
      <w:pPr>
        <w:spacing w:after="240"/>
        <w:ind w:left="924" w:hanging="357"/>
      </w:pPr>
      <w:r>
        <w:t>-</w:t>
      </w:r>
      <w:r>
        <w:tab/>
        <w:t>El carácter lujoso y costoso del modelo actual (un establecimiento preescolar de tres aulas cuesta 15 millones de francos CFA) y su inadaptación a las realidades socioculturales y a la civilización de unas familias profundamente religiosas para las cuales toda educación que se proponga en la primera infancia debe comprender la enseñanza religiosa.</w:t>
      </w:r>
    </w:p>
    <w:p w:rsidR="00000000" w:rsidRDefault="00000000">
      <w:pPr>
        <w:spacing w:after="240"/>
      </w:pPr>
      <w:r>
        <w:t>46.</w:t>
      </w:r>
      <w:r>
        <w:tab/>
        <w:t xml:space="preserve">Así, en la región de Tamba, de las 15 cabañas de primera infancia, sólo 4 funcionan porque no se ha tenido en cuenta esa dimensión sociocultural, según afirmaban los maestros responsables que participaron en el proyecto </w:t>
      </w:r>
      <w:proofErr w:type="spellStart"/>
      <w:r>
        <w:t>COTAMBA</w:t>
      </w:r>
      <w:proofErr w:type="spellEnd"/>
      <w:r>
        <w:t xml:space="preserve"> del mes de julio de 2003 que se llevó a cabo en Tamba en presencia de organismos de las Naciones Unidas, el Consejo Regional y la sociedad civil regional, bajo la presidencia del Representante Residente del PNUD y el Presidente del Consejo Regional:</w:t>
      </w:r>
    </w:p>
    <w:p w:rsidR="00000000" w:rsidRDefault="00000000">
      <w:pPr>
        <w:spacing w:after="240"/>
        <w:ind w:left="924" w:hanging="357"/>
      </w:pPr>
      <w:r>
        <w:t>-</w:t>
      </w:r>
      <w:r>
        <w:tab/>
        <w:t>El número de niños (varones y mujeres) de edad preescolar es muy elevado en relación con las limitadísimas posibilidades de acogida.  Los niños de 0 a 5 años constituyen el 19% de la población senegalesa, es decir casi 2 millones de seres humanos.</w:t>
      </w:r>
    </w:p>
    <w:p w:rsidR="00000000" w:rsidRDefault="00000000">
      <w:pPr>
        <w:spacing w:after="240"/>
      </w:pPr>
      <w:r>
        <w:t>47.</w:t>
      </w:r>
      <w:r>
        <w:tab/>
        <w:t>La terminación de las 28.000 cabañas de primera infancia permitirá hacer frente a todas las necesidades del Ministerio de Educación Nacional en lo que respecta a la frecuentación de establecimientos preescolares y al aumento de la escolarización, teniendo sin embargo siempre en cuenta los aspectos socioculturales.</w:t>
      </w:r>
    </w:p>
    <w:p w:rsidR="00000000" w:rsidRDefault="00000000">
      <w:pPr>
        <w:spacing w:after="240"/>
        <w:rPr>
          <w:b/>
          <w:bCs/>
        </w:rPr>
      </w:pPr>
      <w:r>
        <w:rPr>
          <w:b/>
          <w:bCs/>
        </w:rPr>
        <w:t>Acceso a la enseñanza primaria</w:t>
      </w:r>
    </w:p>
    <w:p w:rsidR="00000000" w:rsidRDefault="00000000">
      <w:pPr>
        <w:spacing w:after="240"/>
        <w:rPr>
          <w:b/>
          <w:bCs/>
          <w:i/>
          <w:iCs/>
        </w:rPr>
      </w:pPr>
      <w:r>
        <w:rPr>
          <w:b/>
          <w:bCs/>
          <w:i/>
          <w:iCs/>
        </w:rPr>
        <w:t>Tasa bruta de admisión en el primer año de enseñanza primaria</w:t>
      </w:r>
    </w:p>
    <w:p w:rsidR="00000000" w:rsidRDefault="00000000">
      <w:pPr>
        <w:spacing w:after="240"/>
        <w:jc w:val="center"/>
        <w:rPr>
          <w:b/>
          <w:bCs/>
        </w:rPr>
      </w:pPr>
      <w:r>
        <w:rPr>
          <w:b/>
          <w:bCs/>
        </w:rPr>
        <w:t>Evolución de la tasa de admisión de 1997/98 a 2002/03</w:t>
      </w:r>
    </w:p>
    <w:tbl>
      <w:tblPr>
        <w:tblW w:w="4974" w:type="pct"/>
        <w:jc w:val="center"/>
        <w:tblCellMar>
          <w:left w:w="0" w:type="dxa"/>
          <w:right w:w="0" w:type="dxa"/>
        </w:tblCellMar>
        <w:tblLook w:val="0000" w:firstRow="0" w:lastRow="0" w:firstColumn="0" w:lastColumn="0" w:noHBand="0" w:noVBand="0"/>
      </w:tblPr>
      <w:tblGrid>
        <w:gridCol w:w="1905"/>
        <w:gridCol w:w="1055"/>
        <w:gridCol w:w="1058"/>
        <w:gridCol w:w="1056"/>
        <w:gridCol w:w="1058"/>
        <w:gridCol w:w="1058"/>
        <w:gridCol w:w="2136"/>
      </w:tblGrid>
      <w:tr w:rsidR="00000000">
        <w:trPr>
          <w:trHeight w:val="20"/>
          <w:jc w:val="center"/>
        </w:trPr>
        <w:tc>
          <w:tcPr>
            <w:tcW w:w="1022"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000000" w:rsidRDefault="00000000">
            <w:pPr>
              <w:jc w:val="center"/>
              <w:rPr>
                <w:b/>
                <w:bCs/>
              </w:rPr>
            </w:pPr>
            <w:r>
              <w:rPr>
                <w:b/>
                <w:bCs/>
              </w:rPr>
              <w:t>Sexo</w:t>
            </w:r>
          </w:p>
        </w:tc>
        <w:tc>
          <w:tcPr>
            <w:tcW w:w="566"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b/>
                <w:bCs/>
              </w:rPr>
            </w:pPr>
            <w:r>
              <w:rPr>
                <w:b/>
                <w:bCs/>
              </w:rPr>
              <w:t>1997/98</w:t>
            </w:r>
          </w:p>
        </w:tc>
        <w:tc>
          <w:tcPr>
            <w:tcW w:w="56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b/>
                <w:bCs/>
              </w:rPr>
            </w:pPr>
            <w:r>
              <w:rPr>
                <w:b/>
                <w:bCs/>
              </w:rPr>
              <w:t>1998/99</w:t>
            </w:r>
          </w:p>
        </w:tc>
        <w:tc>
          <w:tcPr>
            <w:tcW w:w="566"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b/>
                <w:bCs/>
              </w:rPr>
            </w:pPr>
            <w:r>
              <w:rPr>
                <w:b/>
                <w:bCs/>
              </w:rPr>
              <w:t>1999/00</w:t>
            </w:r>
          </w:p>
        </w:tc>
        <w:tc>
          <w:tcPr>
            <w:tcW w:w="56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b/>
                <w:bCs/>
              </w:rPr>
            </w:pPr>
            <w:r>
              <w:rPr>
                <w:b/>
                <w:bCs/>
              </w:rPr>
              <w:t>2000/01</w:t>
            </w:r>
          </w:p>
        </w:tc>
        <w:tc>
          <w:tcPr>
            <w:tcW w:w="567" w:type="pct"/>
            <w:tcBorders>
              <w:top w:val="single" w:sz="4" w:space="0" w:color="auto"/>
              <w:left w:val="nil"/>
              <w:bottom w:val="single" w:sz="4" w:space="0" w:color="auto"/>
              <w:right w:val="single" w:sz="4" w:space="0" w:color="auto"/>
            </w:tcBorders>
            <w:vAlign w:val="center"/>
          </w:tcPr>
          <w:p w:rsidR="00000000" w:rsidRDefault="00000000">
            <w:pPr>
              <w:jc w:val="center"/>
              <w:rPr>
                <w:b/>
                <w:bCs/>
              </w:rPr>
            </w:pPr>
            <w:r>
              <w:rPr>
                <w:b/>
                <w:bCs/>
              </w:rPr>
              <w:t>2001/02</w:t>
            </w:r>
          </w:p>
        </w:tc>
        <w:tc>
          <w:tcPr>
            <w:tcW w:w="114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 xml:space="preserve">Tasa de crecimiento medio anual </w:t>
            </w:r>
            <w:r>
              <w:rPr>
                <w:b/>
                <w:bCs/>
              </w:rPr>
              <w:br/>
              <w:t>(porcentaje)</w:t>
            </w:r>
          </w:p>
        </w:tc>
      </w:tr>
      <w:tr w:rsidR="00000000">
        <w:trPr>
          <w:trHeight w:val="20"/>
          <w:jc w:val="center"/>
        </w:trPr>
        <w:tc>
          <w:tcPr>
            <w:tcW w:w="1022" w:type="pct"/>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r>
              <w:t>Niños y niñas</w:t>
            </w:r>
          </w:p>
        </w:tc>
        <w:tc>
          <w:tcPr>
            <w:tcW w:w="566" w:type="pct"/>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tabs>
                <w:tab w:val="decimal" w:pos="581"/>
              </w:tabs>
              <w:rPr>
                <w:szCs w:val="19"/>
              </w:rPr>
            </w:pPr>
            <w:r>
              <w:rPr>
                <w:szCs w:val="19"/>
              </w:rPr>
              <w:t>57</w:t>
            </w:r>
          </w:p>
        </w:tc>
        <w:tc>
          <w:tcPr>
            <w:tcW w:w="567" w:type="pct"/>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tabs>
                <w:tab w:val="decimal" w:pos="581"/>
              </w:tabs>
              <w:rPr>
                <w:szCs w:val="19"/>
                <w:lang w:val="es-ES_tradnl"/>
              </w:rPr>
            </w:pPr>
            <w:r>
              <w:rPr>
                <w:szCs w:val="19"/>
                <w:lang w:val="es-ES_tradnl"/>
              </w:rPr>
              <w:t>66,9</w:t>
            </w:r>
          </w:p>
        </w:tc>
        <w:tc>
          <w:tcPr>
            <w:tcW w:w="566" w:type="pct"/>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tabs>
                <w:tab w:val="decimal" w:pos="581"/>
              </w:tabs>
              <w:rPr>
                <w:szCs w:val="19"/>
                <w:lang w:val="es-ES_tradnl"/>
              </w:rPr>
            </w:pPr>
            <w:r>
              <w:rPr>
                <w:szCs w:val="19"/>
                <w:lang w:val="es-ES_tradnl"/>
              </w:rPr>
              <w:t>81,7</w:t>
            </w:r>
          </w:p>
        </w:tc>
        <w:tc>
          <w:tcPr>
            <w:tcW w:w="567" w:type="pct"/>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tabs>
                <w:tab w:val="decimal" w:pos="581"/>
              </w:tabs>
              <w:rPr>
                <w:szCs w:val="19"/>
                <w:lang w:val="es-ES_tradnl"/>
              </w:rPr>
            </w:pPr>
            <w:r>
              <w:rPr>
                <w:szCs w:val="19"/>
                <w:lang w:val="es-ES_tradnl"/>
              </w:rPr>
              <w:t>71</w:t>
            </w:r>
          </w:p>
        </w:tc>
        <w:tc>
          <w:tcPr>
            <w:tcW w:w="567" w:type="pct"/>
            <w:tcBorders>
              <w:top w:val="single" w:sz="4" w:space="0" w:color="auto"/>
              <w:left w:val="nil"/>
              <w:bottom w:val="single" w:sz="4" w:space="0" w:color="auto"/>
              <w:right w:val="single" w:sz="4" w:space="0" w:color="auto"/>
            </w:tcBorders>
          </w:tcPr>
          <w:p w:rsidR="00000000" w:rsidRDefault="00000000">
            <w:pPr>
              <w:widowControl w:val="0"/>
              <w:tabs>
                <w:tab w:val="decimal" w:pos="581"/>
              </w:tabs>
              <w:rPr>
                <w:szCs w:val="19"/>
                <w:lang w:val="es-ES_tradnl"/>
              </w:rPr>
            </w:pPr>
            <w:r>
              <w:rPr>
                <w:szCs w:val="19"/>
                <w:lang w:val="es-ES_tradnl"/>
              </w:rPr>
              <w:t>72</w:t>
            </w:r>
          </w:p>
        </w:tc>
        <w:tc>
          <w:tcPr>
            <w:tcW w:w="1145" w:type="pct"/>
            <w:tcBorders>
              <w:top w:val="nil"/>
              <w:left w:val="single" w:sz="4" w:space="0" w:color="auto"/>
              <w:bottom w:val="single" w:sz="4" w:space="0" w:color="auto"/>
              <w:right w:val="single" w:sz="4" w:space="0" w:color="auto"/>
            </w:tcBorders>
          </w:tcPr>
          <w:p w:rsidR="00000000" w:rsidRDefault="00000000">
            <w:pPr>
              <w:widowControl w:val="0"/>
              <w:jc w:val="center"/>
              <w:rPr>
                <w:szCs w:val="19"/>
                <w:lang w:val="es-ES_tradnl"/>
              </w:rPr>
            </w:pPr>
            <w:r>
              <w:rPr>
                <w:szCs w:val="19"/>
                <w:lang w:val="es-ES_tradnl"/>
              </w:rPr>
              <w:t>4,78</w:t>
            </w:r>
          </w:p>
        </w:tc>
      </w:tr>
      <w:tr w:rsidR="00000000">
        <w:trPr>
          <w:trHeight w:val="20"/>
          <w:jc w:val="center"/>
        </w:trPr>
        <w:tc>
          <w:tcPr>
            <w:tcW w:w="1022" w:type="pct"/>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r>
              <w:t>Niños</w:t>
            </w:r>
          </w:p>
        </w:tc>
        <w:tc>
          <w:tcPr>
            <w:tcW w:w="566" w:type="pct"/>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tabs>
                <w:tab w:val="decimal" w:pos="581"/>
              </w:tabs>
              <w:rPr>
                <w:szCs w:val="19"/>
                <w:lang w:val="es-ES_tradnl"/>
              </w:rPr>
            </w:pPr>
            <w:r>
              <w:rPr>
                <w:szCs w:val="19"/>
                <w:lang w:val="es-ES_tradnl"/>
              </w:rPr>
              <w:t>62,4</w:t>
            </w:r>
          </w:p>
        </w:tc>
        <w:tc>
          <w:tcPr>
            <w:tcW w:w="567" w:type="pct"/>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tabs>
                <w:tab w:val="decimal" w:pos="581"/>
              </w:tabs>
              <w:rPr>
                <w:szCs w:val="19"/>
                <w:lang w:val="es-ES_tradnl"/>
              </w:rPr>
            </w:pPr>
            <w:r>
              <w:rPr>
                <w:szCs w:val="19"/>
                <w:lang w:val="es-ES_tradnl"/>
              </w:rPr>
              <w:t>70,3</w:t>
            </w:r>
          </w:p>
        </w:tc>
        <w:tc>
          <w:tcPr>
            <w:tcW w:w="566" w:type="pct"/>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tabs>
                <w:tab w:val="decimal" w:pos="581"/>
              </w:tabs>
              <w:rPr>
                <w:szCs w:val="19"/>
                <w:lang w:val="es-ES_tradnl"/>
              </w:rPr>
            </w:pPr>
            <w:r>
              <w:rPr>
                <w:szCs w:val="19"/>
                <w:lang w:val="es-ES_tradnl"/>
              </w:rPr>
              <w:t>84,6</w:t>
            </w:r>
          </w:p>
        </w:tc>
        <w:tc>
          <w:tcPr>
            <w:tcW w:w="567" w:type="pct"/>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tabs>
                <w:tab w:val="decimal" w:pos="581"/>
              </w:tabs>
              <w:rPr>
                <w:szCs w:val="19"/>
                <w:lang w:val="es-ES_tradnl"/>
              </w:rPr>
            </w:pPr>
            <w:r>
              <w:rPr>
                <w:szCs w:val="19"/>
                <w:lang w:val="es-ES_tradnl"/>
              </w:rPr>
              <w:t>74</w:t>
            </w:r>
          </w:p>
        </w:tc>
        <w:tc>
          <w:tcPr>
            <w:tcW w:w="567" w:type="pct"/>
            <w:tcBorders>
              <w:top w:val="single" w:sz="4" w:space="0" w:color="auto"/>
              <w:left w:val="nil"/>
              <w:bottom w:val="single" w:sz="4" w:space="0" w:color="auto"/>
              <w:right w:val="single" w:sz="4" w:space="0" w:color="auto"/>
            </w:tcBorders>
          </w:tcPr>
          <w:p w:rsidR="00000000" w:rsidRDefault="00000000">
            <w:pPr>
              <w:widowControl w:val="0"/>
              <w:tabs>
                <w:tab w:val="decimal" w:pos="581"/>
              </w:tabs>
              <w:rPr>
                <w:szCs w:val="19"/>
                <w:lang w:val="es-ES_tradnl"/>
              </w:rPr>
            </w:pPr>
            <w:r>
              <w:rPr>
                <w:szCs w:val="19"/>
                <w:lang w:val="es-ES_tradnl"/>
              </w:rPr>
              <w:t>76</w:t>
            </w:r>
          </w:p>
        </w:tc>
        <w:tc>
          <w:tcPr>
            <w:tcW w:w="1145" w:type="pct"/>
            <w:tcBorders>
              <w:top w:val="nil"/>
              <w:left w:val="single" w:sz="4" w:space="0" w:color="auto"/>
              <w:bottom w:val="single" w:sz="4" w:space="0" w:color="auto"/>
              <w:right w:val="single" w:sz="4" w:space="0" w:color="auto"/>
            </w:tcBorders>
          </w:tcPr>
          <w:p w:rsidR="00000000" w:rsidRDefault="00000000">
            <w:pPr>
              <w:widowControl w:val="0"/>
              <w:jc w:val="center"/>
              <w:rPr>
                <w:szCs w:val="19"/>
                <w:lang w:val="es-ES_tradnl"/>
              </w:rPr>
            </w:pPr>
            <w:r>
              <w:rPr>
                <w:szCs w:val="19"/>
                <w:lang w:val="es-ES_tradnl"/>
              </w:rPr>
              <w:t>4,02</w:t>
            </w:r>
          </w:p>
        </w:tc>
      </w:tr>
      <w:tr w:rsidR="00000000">
        <w:trPr>
          <w:trHeight w:val="20"/>
          <w:jc w:val="center"/>
        </w:trPr>
        <w:tc>
          <w:tcPr>
            <w:tcW w:w="1022" w:type="pct"/>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r>
              <w:t>Niñas</w:t>
            </w:r>
          </w:p>
        </w:tc>
        <w:tc>
          <w:tcPr>
            <w:tcW w:w="566" w:type="pct"/>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tabs>
                <w:tab w:val="decimal" w:pos="581"/>
              </w:tabs>
              <w:rPr>
                <w:szCs w:val="19"/>
                <w:lang w:val="es-ES_tradnl"/>
              </w:rPr>
            </w:pPr>
            <w:r>
              <w:rPr>
                <w:szCs w:val="19"/>
                <w:lang w:val="es-ES_tradnl"/>
              </w:rPr>
              <w:t>52,1</w:t>
            </w:r>
          </w:p>
        </w:tc>
        <w:tc>
          <w:tcPr>
            <w:tcW w:w="567" w:type="pct"/>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tabs>
                <w:tab w:val="decimal" w:pos="581"/>
              </w:tabs>
              <w:rPr>
                <w:szCs w:val="19"/>
                <w:lang w:val="es-ES_tradnl"/>
              </w:rPr>
            </w:pPr>
            <w:r>
              <w:rPr>
                <w:szCs w:val="19"/>
                <w:lang w:val="es-ES_tradnl"/>
              </w:rPr>
              <w:t>63,4</w:t>
            </w:r>
          </w:p>
        </w:tc>
        <w:tc>
          <w:tcPr>
            <w:tcW w:w="566" w:type="pct"/>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tabs>
                <w:tab w:val="decimal" w:pos="581"/>
              </w:tabs>
              <w:rPr>
                <w:szCs w:val="19"/>
                <w:lang w:val="es-ES_tradnl"/>
              </w:rPr>
            </w:pPr>
            <w:r>
              <w:rPr>
                <w:szCs w:val="19"/>
                <w:lang w:val="es-ES_tradnl"/>
              </w:rPr>
              <w:t>78,9</w:t>
            </w:r>
          </w:p>
        </w:tc>
        <w:tc>
          <w:tcPr>
            <w:tcW w:w="567" w:type="pct"/>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tabs>
                <w:tab w:val="decimal" w:pos="581"/>
              </w:tabs>
              <w:rPr>
                <w:szCs w:val="19"/>
                <w:lang w:val="es-ES_tradnl"/>
              </w:rPr>
            </w:pPr>
            <w:r>
              <w:rPr>
                <w:szCs w:val="19"/>
                <w:lang w:val="es-ES_tradnl"/>
              </w:rPr>
              <w:t>68</w:t>
            </w:r>
          </w:p>
        </w:tc>
        <w:tc>
          <w:tcPr>
            <w:tcW w:w="567" w:type="pct"/>
            <w:tcBorders>
              <w:top w:val="single" w:sz="4" w:space="0" w:color="auto"/>
              <w:left w:val="nil"/>
              <w:bottom w:val="single" w:sz="4" w:space="0" w:color="auto"/>
              <w:right w:val="single" w:sz="4" w:space="0" w:color="auto"/>
            </w:tcBorders>
          </w:tcPr>
          <w:p w:rsidR="00000000" w:rsidRDefault="00000000">
            <w:pPr>
              <w:widowControl w:val="0"/>
              <w:tabs>
                <w:tab w:val="decimal" w:pos="581"/>
              </w:tabs>
              <w:rPr>
                <w:szCs w:val="19"/>
              </w:rPr>
            </w:pPr>
            <w:r>
              <w:rPr>
                <w:szCs w:val="19"/>
              </w:rPr>
              <w:t>69</w:t>
            </w:r>
          </w:p>
        </w:tc>
        <w:tc>
          <w:tcPr>
            <w:tcW w:w="1145" w:type="pct"/>
            <w:tcBorders>
              <w:top w:val="nil"/>
              <w:left w:val="single" w:sz="4" w:space="0" w:color="auto"/>
              <w:bottom w:val="single" w:sz="4" w:space="0" w:color="auto"/>
              <w:right w:val="single" w:sz="4" w:space="0" w:color="auto"/>
            </w:tcBorders>
          </w:tcPr>
          <w:p w:rsidR="00000000" w:rsidRDefault="00000000">
            <w:pPr>
              <w:widowControl w:val="0"/>
              <w:jc w:val="center"/>
              <w:rPr>
                <w:szCs w:val="19"/>
              </w:rPr>
            </w:pPr>
            <w:r>
              <w:rPr>
                <w:szCs w:val="19"/>
              </w:rPr>
              <w:t>5,78</w:t>
            </w:r>
          </w:p>
        </w:tc>
      </w:tr>
      <w:tr w:rsidR="00000000">
        <w:trPr>
          <w:trHeight w:val="20"/>
          <w:jc w:val="center"/>
        </w:trPr>
        <w:tc>
          <w:tcPr>
            <w:tcW w:w="1022" w:type="pct"/>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r>
              <w:t>Niñas/niños</w:t>
            </w:r>
          </w:p>
        </w:tc>
        <w:tc>
          <w:tcPr>
            <w:tcW w:w="566" w:type="pct"/>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tabs>
                <w:tab w:val="decimal" w:pos="581"/>
              </w:tabs>
              <w:rPr>
                <w:szCs w:val="19"/>
              </w:rPr>
            </w:pPr>
            <w:r>
              <w:rPr>
                <w:szCs w:val="19"/>
              </w:rPr>
              <w:t>0,83</w:t>
            </w:r>
          </w:p>
        </w:tc>
        <w:tc>
          <w:tcPr>
            <w:tcW w:w="567" w:type="pct"/>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tabs>
                <w:tab w:val="decimal" w:pos="581"/>
              </w:tabs>
              <w:rPr>
                <w:szCs w:val="19"/>
              </w:rPr>
            </w:pPr>
            <w:r>
              <w:rPr>
                <w:szCs w:val="19"/>
              </w:rPr>
              <w:t>0,9</w:t>
            </w:r>
          </w:p>
        </w:tc>
        <w:tc>
          <w:tcPr>
            <w:tcW w:w="566" w:type="pct"/>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tabs>
                <w:tab w:val="decimal" w:pos="581"/>
              </w:tabs>
              <w:rPr>
                <w:szCs w:val="19"/>
              </w:rPr>
            </w:pPr>
            <w:r>
              <w:rPr>
                <w:szCs w:val="19"/>
              </w:rPr>
              <w:t>0,93</w:t>
            </w:r>
          </w:p>
        </w:tc>
        <w:tc>
          <w:tcPr>
            <w:tcW w:w="567" w:type="pct"/>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widowControl w:val="0"/>
              <w:tabs>
                <w:tab w:val="decimal" w:pos="581"/>
              </w:tabs>
              <w:rPr>
                <w:szCs w:val="19"/>
              </w:rPr>
            </w:pPr>
            <w:r>
              <w:rPr>
                <w:szCs w:val="19"/>
              </w:rPr>
              <w:t>0,92</w:t>
            </w:r>
          </w:p>
        </w:tc>
        <w:tc>
          <w:tcPr>
            <w:tcW w:w="567" w:type="pct"/>
            <w:tcBorders>
              <w:top w:val="single" w:sz="4" w:space="0" w:color="auto"/>
              <w:left w:val="nil"/>
              <w:bottom w:val="single" w:sz="4" w:space="0" w:color="auto"/>
              <w:right w:val="single" w:sz="4" w:space="0" w:color="auto"/>
            </w:tcBorders>
          </w:tcPr>
          <w:p w:rsidR="00000000" w:rsidRDefault="00000000">
            <w:pPr>
              <w:widowControl w:val="0"/>
              <w:tabs>
                <w:tab w:val="decimal" w:pos="581"/>
              </w:tabs>
              <w:rPr>
                <w:szCs w:val="19"/>
              </w:rPr>
            </w:pPr>
            <w:r>
              <w:rPr>
                <w:szCs w:val="19"/>
              </w:rPr>
              <w:t>0,91</w:t>
            </w:r>
          </w:p>
        </w:tc>
        <w:tc>
          <w:tcPr>
            <w:tcW w:w="1145" w:type="pct"/>
            <w:tcBorders>
              <w:top w:val="nil"/>
              <w:left w:val="single" w:sz="4" w:space="0" w:color="auto"/>
              <w:bottom w:val="single" w:sz="4" w:space="0" w:color="auto"/>
              <w:right w:val="single" w:sz="4" w:space="0" w:color="auto"/>
            </w:tcBorders>
          </w:tcPr>
          <w:p w:rsidR="00000000" w:rsidRDefault="00000000">
            <w:pPr>
              <w:widowControl w:val="0"/>
              <w:jc w:val="center"/>
            </w:pPr>
          </w:p>
        </w:tc>
      </w:tr>
    </w:tbl>
    <w:p w:rsidR="00000000" w:rsidRDefault="00000000">
      <w:pPr>
        <w:spacing w:before="240"/>
      </w:pPr>
      <w:r>
        <w:rPr>
          <w:i/>
          <w:iCs/>
        </w:rPr>
        <w:t>Fuente</w:t>
      </w:r>
      <w:r>
        <w:t xml:space="preserve">:  Anuarios de </w:t>
      </w:r>
      <w:proofErr w:type="spellStart"/>
      <w:r>
        <w:t>BSS/DPRE</w:t>
      </w:r>
      <w:proofErr w:type="spellEnd"/>
      <w:r>
        <w:t>, 2003.</w:t>
      </w:r>
    </w:p>
    <w:p w:rsidR="00000000" w:rsidRDefault="00000000">
      <w:pPr>
        <w:spacing w:before="480" w:after="240"/>
      </w:pPr>
      <w:r>
        <w:t>48.</w:t>
      </w:r>
      <w:r>
        <w:tab/>
        <w:t>La tasa de escolarización pasó de 59,9% en 1996/97 a 61,7% en 1997/98 y a 65,5% en 1998/99.  En 2003 es de 75,8%.  Esta progresión, que es fundamental subrayar, no impide que haya un importante número de niños excluidos.</w:t>
      </w:r>
    </w:p>
    <w:p w:rsidR="00000000" w:rsidRDefault="00000000">
      <w:pPr>
        <w:spacing w:before="240" w:after="240"/>
      </w:pPr>
      <w:r>
        <w:t>49.</w:t>
      </w:r>
      <w:r>
        <w:tab/>
        <w:t xml:space="preserve">Las estadísticas demuestran que apenas algo más del 60% de los niños de edad escolar están escolarizados y que 600.000 niños de 7 a 12 años no estaban integrados en el sistema escolar en 1998/99 y se sumaban a los 615.913 niñas y niños no matriculados en la enseñanza media secundaria (véase UNICEF, 1999, examen de mitad de período - Programa de Cooperación 1997-2001).  El peso de las restricciones tradicionales y </w:t>
      </w:r>
      <w:proofErr w:type="spellStart"/>
      <w:r>
        <w:t>sociorreligiosas</w:t>
      </w:r>
      <w:proofErr w:type="spellEnd"/>
      <w:r>
        <w:t xml:space="preserve"> constituye un obstáculo de talla para la adopción de leyes o medidas que hagan obligatoria la instrucción.</w:t>
      </w:r>
    </w:p>
    <w:p w:rsidR="00000000" w:rsidRDefault="00000000">
      <w:pPr>
        <w:spacing w:after="240"/>
      </w:pPr>
      <w:r>
        <w:t>50.</w:t>
      </w:r>
      <w:r>
        <w:tab/>
        <w:t>La tasa bruta de admisión disminuyó en 2000/01 en relación con 1999/00.  En 2001/02 se observa un aumento de dicha tasa, pero ésta sigue siendo inferior a la registrada en 1999/00.</w:t>
      </w:r>
    </w:p>
    <w:p w:rsidR="00000000" w:rsidRDefault="00000000">
      <w:pPr>
        <w:spacing w:after="240"/>
      </w:pPr>
      <w:r>
        <w:t>51.</w:t>
      </w:r>
      <w:r>
        <w:tab/>
        <w:t>No obstante, conviene señalar y aplaudir el hecho de que la característica más notable de la tasa bruta de admisión en la enseñanza primaria sea la paridad casi alcanzada ya entre los niños y las niñas.</w:t>
      </w:r>
    </w:p>
    <w:p w:rsidR="00000000" w:rsidRDefault="00000000">
      <w:pPr>
        <w:spacing w:after="200"/>
        <w:jc w:val="center"/>
        <w:rPr>
          <w:b/>
          <w:bCs/>
          <w:sz w:val="20"/>
        </w:rPr>
      </w:pPr>
      <w:r>
        <w:rPr>
          <w:b/>
          <w:bCs/>
          <w:sz w:val="20"/>
        </w:rPr>
        <w:t>Evolución de la tasa bruta de admisión de 1997/98 a 2002/03, por región</w:t>
      </w:r>
    </w:p>
    <w:tbl>
      <w:tblPr>
        <w:tblW w:w="49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174"/>
        <w:gridCol w:w="780"/>
        <w:gridCol w:w="780"/>
        <w:gridCol w:w="780"/>
        <w:gridCol w:w="780"/>
        <w:gridCol w:w="779"/>
        <w:gridCol w:w="779"/>
        <w:gridCol w:w="779"/>
        <w:gridCol w:w="779"/>
        <w:gridCol w:w="1887"/>
      </w:tblGrid>
      <w:tr w:rsidR="00000000">
        <w:tblPrEx>
          <w:tblCellMar>
            <w:top w:w="0" w:type="dxa"/>
            <w:bottom w:w="0" w:type="dxa"/>
          </w:tblCellMar>
        </w:tblPrEx>
        <w:trPr>
          <w:jc w:val="center"/>
        </w:trPr>
        <w:tc>
          <w:tcPr>
            <w:tcW w:w="630" w:type="pct"/>
            <w:vAlign w:val="center"/>
          </w:tcPr>
          <w:p w:rsidR="00000000" w:rsidRDefault="00000000">
            <w:pPr>
              <w:widowControl w:val="0"/>
              <w:jc w:val="center"/>
              <w:rPr>
                <w:b/>
                <w:sz w:val="20"/>
              </w:rPr>
            </w:pPr>
            <w:r>
              <w:rPr>
                <w:b/>
                <w:sz w:val="20"/>
              </w:rPr>
              <w:t>Regiones</w:t>
            </w:r>
          </w:p>
        </w:tc>
        <w:tc>
          <w:tcPr>
            <w:tcW w:w="419" w:type="pct"/>
            <w:vAlign w:val="center"/>
          </w:tcPr>
          <w:p w:rsidR="00000000" w:rsidRDefault="00000000">
            <w:pPr>
              <w:widowControl w:val="0"/>
              <w:jc w:val="center"/>
              <w:rPr>
                <w:b/>
                <w:sz w:val="20"/>
              </w:rPr>
            </w:pPr>
            <w:r>
              <w:rPr>
                <w:b/>
                <w:sz w:val="20"/>
              </w:rPr>
              <w:t>1993</w:t>
            </w:r>
          </w:p>
        </w:tc>
        <w:tc>
          <w:tcPr>
            <w:tcW w:w="419" w:type="pct"/>
            <w:vAlign w:val="center"/>
          </w:tcPr>
          <w:p w:rsidR="00000000" w:rsidRDefault="00000000">
            <w:pPr>
              <w:widowControl w:val="0"/>
              <w:jc w:val="center"/>
              <w:rPr>
                <w:b/>
                <w:sz w:val="20"/>
              </w:rPr>
            </w:pPr>
            <w:r>
              <w:rPr>
                <w:b/>
                <w:sz w:val="20"/>
              </w:rPr>
              <w:t>1994</w:t>
            </w:r>
          </w:p>
        </w:tc>
        <w:tc>
          <w:tcPr>
            <w:tcW w:w="419" w:type="pct"/>
            <w:vAlign w:val="center"/>
          </w:tcPr>
          <w:p w:rsidR="00000000" w:rsidRDefault="00000000">
            <w:pPr>
              <w:widowControl w:val="0"/>
              <w:jc w:val="center"/>
              <w:rPr>
                <w:b/>
                <w:sz w:val="20"/>
              </w:rPr>
            </w:pPr>
            <w:r>
              <w:rPr>
                <w:b/>
                <w:sz w:val="20"/>
              </w:rPr>
              <w:t>1997/98</w:t>
            </w:r>
          </w:p>
        </w:tc>
        <w:tc>
          <w:tcPr>
            <w:tcW w:w="419" w:type="pct"/>
            <w:vAlign w:val="center"/>
          </w:tcPr>
          <w:p w:rsidR="00000000" w:rsidRDefault="00000000">
            <w:pPr>
              <w:widowControl w:val="0"/>
              <w:jc w:val="center"/>
              <w:rPr>
                <w:b/>
                <w:sz w:val="20"/>
              </w:rPr>
            </w:pPr>
            <w:r>
              <w:rPr>
                <w:b/>
                <w:sz w:val="20"/>
              </w:rPr>
              <w:t>1998/99</w:t>
            </w:r>
          </w:p>
        </w:tc>
        <w:tc>
          <w:tcPr>
            <w:tcW w:w="419" w:type="pct"/>
            <w:vAlign w:val="center"/>
          </w:tcPr>
          <w:p w:rsidR="00000000" w:rsidRDefault="00000000">
            <w:pPr>
              <w:widowControl w:val="0"/>
              <w:jc w:val="center"/>
              <w:rPr>
                <w:b/>
                <w:sz w:val="20"/>
              </w:rPr>
            </w:pPr>
            <w:r>
              <w:rPr>
                <w:b/>
                <w:sz w:val="20"/>
              </w:rPr>
              <w:t>1999/00</w:t>
            </w:r>
          </w:p>
        </w:tc>
        <w:tc>
          <w:tcPr>
            <w:tcW w:w="419" w:type="pct"/>
            <w:vAlign w:val="center"/>
          </w:tcPr>
          <w:p w:rsidR="00000000" w:rsidRDefault="00000000">
            <w:pPr>
              <w:widowControl w:val="0"/>
              <w:jc w:val="center"/>
              <w:rPr>
                <w:b/>
                <w:sz w:val="20"/>
              </w:rPr>
            </w:pPr>
            <w:r>
              <w:rPr>
                <w:b/>
                <w:sz w:val="20"/>
              </w:rPr>
              <w:t>2000/01</w:t>
            </w:r>
          </w:p>
        </w:tc>
        <w:tc>
          <w:tcPr>
            <w:tcW w:w="419" w:type="pct"/>
            <w:vAlign w:val="center"/>
          </w:tcPr>
          <w:p w:rsidR="00000000" w:rsidRDefault="00000000">
            <w:pPr>
              <w:widowControl w:val="0"/>
              <w:jc w:val="center"/>
              <w:rPr>
                <w:b/>
                <w:sz w:val="20"/>
              </w:rPr>
            </w:pPr>
            <w:r>
              <w:rPr>
                <w:b/>
                <w:sz w:val="20"/>
              </w:rPr>
              <w:t>2001/02</w:t>
            </w:r>
          </w:p>
        </w:tc>
        <w:tc>
          <w:tcPr>
            <w:tcW w:w="419" w:type="pct"/>
            <w:vAlign w:val="center"/>
          </w:tcPr>
          <w:p w:rsidR="00000000" w:rsidRDefault="00000000">
            <w:pPr>
              <w:widowControl w:val="0"/>
              <w:jc w:val="center"/>
              <w:rPr>
                <w:b/>
                <w:sz w:val="20"/>
              </w:rPr>
            </w:pPr>
            <w:r>
              <w:rPr>
                <w:b/>
                <w:sz w:val="20"/>
              </w:rPr>
              <w:t>2002/03</w:t>
            </w:r>
          </w:p>
        </w:tc>
        <w:tc>
          <w:tcPr>
            <w:tcW w:w="1014" w:type="pct"/>
            <w:vAlign w:val="center"/>
          </w:tcPr>
          <w:p w:rsidR="00000000" w:rsidRDefault="00000000">
            <w:pPr>
              <w:widowControl w:val="0"/>
              <w:jc w:val="center"/>
              <w:rPr>
                <w:b/>
                <w:sz w:val="20"/>
              </w:rPr>
            </w:pPr>
            <w:r>
              <w:rPr>
                <w:b/>
                <w:sz w:val="20"/>
              </w:rPr>
              <w:t xml:space="preserve">Tasa de crecimiento medio anual </w:t>
            </w:r>
            <w:r>
              <w:rPr>
                <w:b/>
                <w:sz w:val="20"/>
              </w:rPr>
              <w:br/>
              <w:t>(porcentaje)</w:t>
            </w:r>
          </w:p>
        </w:tc>
      </w:tr>
      <w:tr w:rsidR="00000000">
        <w:tblPrEx>
          <w:tblCellMar>
            <w:top w:w="0" w:type="dxa"/>
            <w:bottom w:w="0" w:type="dxa"/>
          </w:tblCellMar>
        </w:tblPrEx>
        <w:trPr>
          <w:jc w:val="center"/>
        </w:trPr>
        <w:tc>
          <w:tcPr>
            <w:tcW w:w="630" w:type="pct"/>
          </w:tcPr>
          <w:p w:rsidR="00000000" w:rsidRDefault="00000000">
            <w:pPr>
              <w:widowControl w:val="0"/>
              <w:rPr>
                <w:sz w:val="20"/>
                <w:lang w:val="en-US"/>
              </w:rPr>
            </w:pPr>
            <w:r>
              <w:rPr>
                <w:sz w:val="20"/>
                <w:lang w:val="en-US"/>
              </w:rPr>
              <w:t>Dakar</w:t>
            </w:r>
          </w:p>
        </w:tc>
        <w:tc>
          <w:tcPr>
            <w:tcW w:w="419" w:type="pct"/>
          </w:tcPr>
          <w:p w:rsidR="00000000" w:rsidRDefault="00000000">
            <w:pPr>
              <w:widowControl w:val="0"/>
              <w:jc w:val="right"/>
              <w:rPr>
                <w:sz w:val="20"/>
                <w:lang w:val="fr-CA"/>
              </w:rPr>
            </w:pPr>
          </w:p>
        </w:tc>
        <w:tc>
          <w:tcPr>
            <w:tcW w:w="419" w:type="pct"/>
          </w:tcPr>
          <w:p w:rsidR="00000000" w:rsidRDefault="00000000">
            <w:pPr>
              <w:widowControl w:val="0"/>
              <w:jc w:val="right"/>
              <w:rPr>
                <w:sz w:val="20"/>
                <w:lang w:val="fr-CA"/>
              </w:rPr>
            </w:pPr>
          </w:p>
        </w:tc>
        <w:tc>
          <w:tcPr>
            <w:tcW w:w="419" w:type="pct"/>
          </w:tcPr>
          <w:p w:rsidR="00000000" w:rsidRDefault="00000000">
            <w:pPr>
              <w:widowControl w:val="0"/>
              <w:jc w:val="center"/>
              <w:rPr>
                <w:sz w:val="20"/>
                <w:lang w:val="en-US"/>
              </w:rPr>
            </w:pPr>
            <w:r>
              <w:rPr>
                <w:sz w:val="20"/>
                <w:lang w:val="en-US"/>
              </w:rPr>
              <w:t>91,5</w:t>
            </w:r>
          </w:p>
        </w:tc>
        <w:tc>
          <w:tcPr>
            <w:tcW w:w="419" w:type="pct"/>
          </w:tcPr>
          <w:p w:rsidR="00000000" w:rsidRDefault="00000000">
            <w:pPr>
              <w:widowControl w:val="0"/>
              <w:jc w:val="center"/>
              <w:rPr>
                <w:sz w:val="20"/>
                <w:lang w:val="en-US"/>
              </w:rPr>
            </w:pPr>
            <w:r>
              <w:rPr>
                <w:sz w:val="20"/>
                <w:lang w:val="en-US"/>
              </w:rPr>
              <w:t>90,0</w:t>
            </w:r>
          </w:p>
        </w:tc>
        <w:tc>
          <w:tcPr>
            <w:tcW w:w="419" w:type="pct"/>
          </w:tcPr>
          <w:p w:rsidR="00000000" w:rsidRDefault="00000000">
            <w:pPr>
              <w:widowControl w:val="0"/>
              <w:jc w:val="center"/>
              <w:rPr>
                <w:sz w:val="20"/>
                <w:lang w:val="en-US"/>
              </w:rPr>
            </w:pPr>
            <w:r>
              <w:rPr>
                <w:sz w:val="20"/>
                <w:lang w:val="en-US"/>
              </w:rPr>
              <w:t>86,3</w:t>
            </w:r>
          </w:p>
        </w:tc>
        <w:tc>
          <w:tcPr>
            <w:tcW w:w="419" w:type="pct"/>
          </w:tcPr>
          <w:p w:rsidR="00000000" w:rsidRDefault="00000000">
            <w:pPr>
              <w:widowControl w:val="0"/>
              <w:tabs>
                <w:tab w:val="decimal" w:pos="409"/>
              </w:tabs>
              <w:rPr>
                <w:sz w:val="20"/>
                <w:lang w:val="en-US"/>
              </w:rPr>
            </w:pPr>
            <w:r>
              <w:rPr>
                <w:sz w:val="20"/>
                <w:lang w:val="en-US"/>
              </w:rPr>
              <w:t>84,7</w:t>
            </w:r>
          </w:p>
        </w:tc>
        <w:tc>
          <w:tcPr>
            <w:tcW w:w="419" w:type="pct"/>
          </w:tcPr>
          <w:p w:rsidR="00000000" w:rsidRDefault="00000000">
            <w:pPr>
              <w:widowControl w:val="0"/>
              <w:tabs>
                <w:tab w:val="decimal" w:pos="409"/>
              </w:tabs>
              <w:rPr>
                <w:sz w:val="20"/>
                <w:lang w:val="en-US"/>
              </w:rPr>
            </w:pPr>
            <w:r>
              <w:rPr>
                <w:sz w:val="20"/>
                <w:lang w:val="en-US"/>
              </w:rPr>
              <w:t>83,3</w:t>
            </w:r>
          </w:p>
        </w:tc>
        <w:tc>
          <w:tcPr>
            <w:tcW w:w="419" w:type="pct"/>
          </w:tcPr>
          <w:p w:rsidR="00000000" w:rsidRDefault="00000000">
            <w:pPr>
              <w:widowControl w:val="0"/>
              <w:tabs>
                <w:tab w:val="decimal" w:pos="409"/>
              </w:tabs>
              <w:rPr>
                <w:sz w:val="20"/>
                <w:szCs w:val="28"/>
                <w:lang w:val="en-US"/>
              </w:rPr>
            </w:pPr>
            <w:r>
              <w:rPr>
                <w:sz w:val="20"/>
                <w:szCs w:val="28"/>
                <w:lang w:val="en-US"/>
              </w:rPr>
              <w:t>85,2</w:t>
            </w:r>
          </w:p>
        </w:tc>
        <w:tc>
          <w:tcPr>
            <w:tcW w:w="1014" w:type="pct"/>
            <w:vAlign w:val="bottom"/>
          </w:tcPr>
          <w:p w:rsidR="00000000" w:rsidRDefault="00000000">
            <w:pPr>
              <w:widowControl w:val="0"/>
              <w:tabs>
                <w:tab w:val="decimal" w:pos="868"/>
              </w:tabs>
              <w:rPr>
                <w:sz w:val="20"/>
                <w:lang w:val="en-US"/>
              </w:rPr>
            </w:pPr>
            <w:r>
              <w:rPr>
                <w:sz w:val="20"/>
                <w:lang w:val="en-US"/>
              </w:rPr>
              <w:t>-1,9</w:t>
            </w:r>
          </w:p>
        </w:tc>
      </w:tr>
      <w:tr w:rsidR="00000000">
        <w:tblPrEx>
          <w:tblCellMar>
            <w:top w:w="0" w:type="dxa"/>
            <w:bottom w:w="0" w:type="dxa"/>
          </w:tblCellMar>
        </w:tblPrEx>
        <w:trPr>
          <w:jc w:val="center"/>
        </w:trPr>
        <w:tc>
          <w:tcPr>
            <w:tcW w:w="630" w:type="pct"/>
          </w:tcPr>
          <w:p w:rsidR="00000000" w:rsidRDefault="00000000">
            <w:pPr>
              <w:widowControl w:val="0"/>
              <w:rPr>
                <w:sz w:val="20"/>
                <w:lang w:val="en-US"/>
              </w:rPr>
            </w:pPr>
            <w:proofErr w:type="spellStart"/>
            <w:r>
              <w:rPr>
                <w:sz w:val="20"/>
                <w:lang w:val="en-US"/>
              </w:rPr>
              <w:t>Ziguinchor</w:t>
            </w:r>
            <w:proofErr w:type="spellEnd"/>
          </w:p>
        </w:tc>
        <w:tc>
          <w:tcPr>
            <w:tcW w:w="419" w:type="pct"/>
          </w:tcPr>
          <w:p w:rsidR="00000000" w:rsidRDefault="00000000">
            <w:pPr>
              <w:widowControl w:val="0"/>
              <w:jc w:val="right"/>
              <w:rPr>
                <w:sz w:val="20"/>
                <w:lang w:val="en-US"/>
              </w:rPr>
            </w:pPr>
          </w:p>
        </w:tc>
        <w:tc>
          <w:tcPr>
            <w:tcW w:w="419" w:type="pct"/>
          </w:tcPr>
          <w:p w:rsidR="00000000" w:rsidRDefault="00000000">
            <w:pPr>
              <w:widowControl w:val="0"/>
              <w:jc w:val="right"/>
              <w:rPr>
                <w:sz w:val="20"/>
                <w:lang w:val="en-US"/>
              </w:rPr>
            </w:pPr>
          </w:p>
        </w:tc>
        <w:tc>
          <w:tcPr>
            <w:tcW w:w="419" w:type="pct"/>
          </w:tcPr>
          <w:p w:rsidR="00000000" w:rsidRDefault="00000000">
            <w:pPr>
              <w:widowControl w:val="0"/>
              <w:jc w:val="center"/>
              <w:rPr>
                <w:sz w:val="20"/>
                <w:lang w:val="en-US"/>
              </w:rPr>
            </w:pPr>
            <w:r>
              <w:rPr>
                <w:sz w:val="20"/>
                <w:lang w:val="en-US"/>
              </w:rPr>
              <w:t>90,6</w:t>
            </w:r>
          </w:p>
        </w:tc>
        <w:tc>
          <w:tcPr>
            <w:tcW w:w="419" w:type="pct"/>
          </w:tcPr>
          <w:p w:rsidR="00000000" w:rsidRDefault="00000000">
            <w:pPr>
              <w:widowControl w:val="0"/>
              <w:jc w:val="center"/>
              <w:rPr>
                <w:sz w:val="20"/>
                <w:lang w:val="en-US"/>
              </w:rPr>
            </w:pPr>
            <w:r>
              <w:rPr>
                <w:sz w:val="20"/>
                <w:lang w:val="en-US"/>
              </w:rPr>
              <w:t>92,9</w:t>
            </w:r>
          </w:p>
        </w:tc>
        <w:tc>
          <w:tcPr>
            <w:tcW w:w="419" w:type="pct"/>
          </w:tcPr>
          <w:p w:rsidR="00000000" w:rsidRDefault="00000000">
            <w:pPr>
              <w:widowControl w:val="0"/>
              <w:jc w:val="center"/>
              <w:rPr>
                <w:sz w:val="20"/>
                <w:lang w:val="en-US"/>
              </w:rPr>
            </w:pPr>
            <w:r>
              <w:rPr>
                <w:sz w:val="20"/>
                <w:lang w:val="en-US"/>
              </w:rPr>
              <w:t>99,1</w:t>
            </w:r>
          </w:p>
        </w:tc>
        <w:tc>
          <w:tcPr>
            <w:tcW w:w="419" w:type="pct"/>
          </w:tcPr>
          <w:p w:rsidR="00000000" w:rsidRDefault="00000000">
            <w:pPr>
              <w:widowControl w:val="0"/>
              <w:tabs>
                <w:tab w:val="decimal" w:pos="409"/>
              </w:tabs>
              <w:rPr>
                <w:sz w:val="20"/>
                <w:lang w:val="en-US"/>
              </w:rPr>
            </w:pPr>
            <w:r>
              <w:rPr>
                <w:sz w:val="20"/>
                <w:lang w:val="en-US"/>
              </w:rPr>
              <w:t>109,9</w:t>
            </w:r>
          </w:p>
        </w:tc>
        <w:tc>
          <w:tcPr>
            <w:tcW w:w="419" w:type="pct"/>
          </w:tcPr>
          <w:p w:rsidR="00000000" w:rsidRDefault="00000000">
            <w:pPr>
              <w:widowControl w:val="0"/>
              <w:tabs>
                <w:tab w:val="decimal" w:pos="409"/>
              </w:tabs>
              <w:rPr>
                <w:sz w:val="20"/>
                <w:lang w:val="en-US"/>
              </w:rPr>
            </w:pPr>
            <w:r>
              <w:rPr>
                <w:sz w:val="20"/>
                <w:lang w:val="en-US"/>
              </w:rPr>
              <w:t>113,7</w:t>
            </w:r>
          </w:p>
        </w:tc>
        <w:tc>
          <w:tcPr>
            <w:tcW w:w="419" w:type="pct"/>
          </w:tcPr>
          <w:p w:rsidR="00000000" w:rsidRDefault="00000000">
            <w:pPr>
              <w:widowControl w:val="0"/>
              <w:tabs>
                <w:tab w:val="decimal" w:pos="409"/>
              </w:tabs>
              <w:rPr>
                <w:sz w:val="20"/>
                <w:lang w:val="en-US"/>
              </w:rPr>
            </w:pPr>
            <w:r>
              <w:rPr>
                <w:sz w:val="20"/>
                <w:lang w:val="en-US"/>
              </w:rPr>
              <w:t>100</w:t>
            </w:r>
            <w:r>
              <w:rPr>
                <w:sz w:val="20"/>
                <w:szCs w:val="28"/>
                <w:lang w:val="en-US"/>
              </w:rPr>
              <w:t>,9</w:t>
            </w:r>
          </w:p>
        </w:tc>
        <w:tc>
          <w:tcPr>
            <w:tcW w:w="1014" w:type="pct"/>
            <w:vAlign w:val="bottom"/>
          </w:tcPr>
          <w:p w:rsidR="00000000" w:rsidRDefault="00000000">
            <w:pPr>
              <w:widowControl w:val="0"/>
              <w:tabs>
                <w:tab w:val="decimal" w:pos="868"/>
              </w:tabs>
              <w:rPr>
                <w:sz w:val="20"/>
                <w:lang w:val="en-US"/>
              </w:rPr>
            </w:pPr>
            <w:r>
              <w:rPr>
                <w:sz w:val="20"/>
                <w:lang w:val="en-US"/>
              </w:rPr>
              <w:t>4,6</w:t>
            </w:r>
          </w:p>
        </w:tc>
      </w:tr>
      <w:tr w:rsidR="00000000">
        <w:tblPrEx>
          <w:tblCellMar>
            <w:top w:w="0" w:type="dxa"/>
            <w:bottom w:w="0" w:type="dxa"/>
          </w:tblCellMar>
        </w:tblPrEx>
        <w:trPr>
          <w:jc w:val="center"/>
        </w:trPr>
        <w:tc>
          <w:tcPr>
            <w:tcW w:w="630" w:type="pct"/>
          </w:tcPr>
          <w:p w:rsidR="00000000" w:rsidRDefault="00000000">
            <w:pPr>
              <w:widowControl w:val="0"/>
              <w:rPr>
                <w:sz w:val="20"/>
                <w:lang w:val="en-US"/>
              </w:rPr>
            </w:pPr>
            <w:proofErr w:type="spellStart"/>
            <w:r>
              <w:rPr>
                <w:sz w:val="20"/>
                <w:lang w:val="en-US"/>
              </w:rPr>
              <w:t>Diourbel</w:t>
            </w:r>
            <w:proofErr w:type="spellEnd"/>
          </w:p>
        </w:tc>
        <w:tc>
          <w:tcPr>
            <w:tcW w:w="419" w:type="pct"/>
          </w:tcPr>
          <w:p w:rsidR="00000000" w:rsidRDefault="00000000">
            <w:pPr>
              <w:widowControl w:val="0"/>
              <w:jc w:val="right"/>
              <w:rPr>
                <w:sz w:val="20"/>
                <w:lang w:val="en-US"/>
              </w:rPr>
            </w:pPr>
          </w:p>
        </w:tc>
        <w:tc>
          <w:tcPr>
            <w:tcW w:w="419" w:type="pct"/>
          </w:tcPr>
          <w:p w:rsidR="00000000" w:rsidRDefault="00000000">
            <w:pPr>
              <w:widowControl w:val="0"/>
              <w:jc w:val="right"/>
              <w:rPr>
                <w:sz w:val="20"/>
                <w:lang w:val="en-US"/>
              </w:rPr>
            </w:pPr>
          </w:p>
        </w:tc>
        <w:tc>
          <w:tcPr>
            <w:tcW w:w="419" w:type="pct"/>
          </w:tcPr>
          <w:p w:rsidR="00000000" w:rsidRDefault="00000000">
            <w:pPr>
              <w:widowControl w:val="0"/>
              <w:jc w:val="center"/>
              <w:rPr>
                <w:sz w:val="20"/>
                <w:lang w:val="en-US"/>
              </w:rPr>
            </w:pPr>
            <w:r>
              <w:rPr>
                <w:sz w:val="20"/>
                <w:lang w:val="en-US"/>
              </w:rPr>
              <w:t>30,9</w:t>
            </w:r>
          </w:p>
        </w:tc>
        <w:tc>
          <w:tcPr>
            <w:tcW w:w="419" w:type="pct"/>
          </w:tcPr>
          <w:p w:rsidR="00000000" w:rsidRDefault="00000000">
            <w:pPr>
              <w:widowControl w:val="0"/>
              <w:jc w:val="center"/>
              <w:rPr>
                <w:sz w:val="20"/>
                <w:lang w:val="en-US"/>
              </w:rPr>
            </w:pPr>
            <w:r>
              <w:rPr>
                <w:sz w:val="20"/>
                <w:lang w:val="en-US"/>
              </w:rPr>
              <w:t>36,0</w:t>
            </w:r>
          </w:p>
        </w:tc>
        <w:tc>
          <w:tcPr>
            <w:tcW w:w="419" w:type="pct"/>
          </w:tcPr>
          <w:p w:rsidR="00000000" w:rsidRDefault="00000000">
            <w:pPr>
              <w:widowControl w:val="0"/>
              <w:jc w:val="center"/>
              <w:rPr>
                <w:sz w:val="20"/>
                <w:lang w:val="en-US"/>
              </w:rPr>
            </w:pPr>
            <w:r>
              <w:rPr>
                <w:sz w:val="20"/>
                <w:lang w:val="en-US"/>
              </w:rPr>
              <w:t>40,4</w:t>
            </w:r>
          </w:p>
        </w:tc>
        <w:tc>
          <w:tcPr>
            <w:tcW w:w="419" w:type="pct"/>
          </w:tcPr>
          <w:p w:rsidR="00000000" w:rsidRDefault="00000000">
            <w:pPr>
              <w:widowControl w:val="0"/>
              <w:tabs>
                <w:tab w:val="decimal" w:pos="409"/>
              </w:tabs>
              <w:rPr>
                <w:sz w:val="20"/>
                <w:lang w:val="en-US"/>
              </w:rPr>
            </w:pPr>
            <w:r>
              <w:rPr>
                <w:sz w:val="20"/>
                <w:lang w:val="en-US"/>
              </w:rPr>
              <w:t>42,0</w:t>
            </w:r>
          </w:p>
        </w:tc>
        <w:tc>
          <w:tcPr>
            <w:tcW w:w="419" w:type="pct"/>
          </w:tcPr>
          <w:p w:rsidR="00000000" w:rsidRDefault="00000000">
            <w:pPr>
              <w:widowControl w:val="0"/>
              <w:tabs>
                <w:tab w:val="decimal" w:pos="409"/>
              </w:tabs>
              <w:rPr>
                <w:sz w:val="20"/>
                <w:lang w:val="en-US"/>
              </w:rPr>
            </w:pPr>
            <w:r>
              <w:rPr>
                <w:sz w:val="20"/>
                <w:lang w:val="en-US"/>
              </w:rPr>
              <w:t>44,2</w:t>
            </w:r>
          </w:p>
        </w:tc>
        <w:tc>
          <w:tcPr>
            <w:tcW w:w="419" w:type="pct"/>
          </w:tcPr>
          <w:p w:rsidR="00000000" w:rsidRDefault="00000000">
            <w:pPr>
              <w:widowControl w:val="0"/>
              <w:tabs>
                <w:tab w:val="decimal" w:pos="409"/>
              </w:tabs>
              <w:rPr>
                <w:sz w:val="20"/>
                <w:lang w:val="en-US"/>
              </w:rPr>
            </w:pPr>
            <w:r>
              <w:rPr>
                <w:sz w:val="20"/>
                <w:lang w:val="en-US"/>
              </w:rPr>
              <w:t>46</w:t>
            </w:r>
            <w:r>
              <w:rPr>
                <w:sz w:val="20"/>
                <w:szCs w:val="28"/>
                <w:lang w:val="en-US"/>
              </w:rPr>
              <w:t>,8</w:t>
            </w:r>
          </w:p>
        </w:tc>
        <w:tc>
          <w:tcPr>
            <w:tcW w:w="1014" w:type="pct"/>
            <w:vAlign w:val="bottom"/>
          </w:tcPr>
          <w:p w:rsidR="00000000" w:rsidRDefault="00000000">
            <w:pPr>
              <w:widowControl w:val="0"/>
              <w:tabs>
                <w:tab w:val="decimal" w:pos="868"/>
              </w:tabs>
              <w:rPr>
                <w:sz w:val="20"/>
                <w:lang w:val="en-US"/>
              </w:rPr>
            </w:pPr>
            <w:r>
              <w:rPr>
                <w:sz w:val="20"/>
                <w:lang w:val="en-US"/>
              </w:rPr>
              <w:t>7,4</w:t>
            </w:r>
          </w:p>
        </w:tc>
      </w:tr>
      <w:tr w:rsidR="00000000">
        <w:tblPrEx>
          <w:tblCellMar>
            <w:top w:w="0" w:type="dxa"/>
            <w:bottom w:w="0" w:type="dxa"/>
          </w:tblCellMar>
        </w:tblPrEx>
        <w:trPr>
          <w:jc w:val="center"/>
        </w:trPr>
        <w:tc>
          <w:tcPr>
            <w:tcW w:w="630" w:type="pct"/>
          </w:tcPr>
          <w:p w:rsidR="00000000" w:rsidRDefault="00000000">
            <w:pPr>
              <w:widowControl w:val="0"/>
              <w:rPr>
                <w:sz w:val="20"/>
                <w:lang w:val="en-US"/>
              </w:rPr>
            </w:pPr>
            <w:r>
              <w:rPr>
                <w:sz w:val="20"/>
                <w:lang w:val="en-US"/>
              </w:rPr>
              <w:t>St-Louis</w:t>
            </w:r>
          </w:p>
        </w:tc>
        <w:tc>
          <w:tcPr>
            <w:tcW w:w="419" w:type="pct"/>
          </w:tcPr>
          <w:p w:rsidR="00000000" w:rsidRDefault="00000000">
            <w:pPr>
              <w:widowControl w:val="0"/>
              <w:jc w:val="right"/>
              <w:rPr>
                <w:sz w:val="20"/>
                <w:lang w:val="en-US"/>
              </w:rPr>
            </w:pPr>
          </w:p>
        </w:tc>
        <w:tc>
          <w:tcPr>
            <w:tcW w:w="419" w:type="pct"/>
          </w:tcPr>
          <w:p w:rsidR="00000000" w:rsidRDefault="00000000">
            <w:pPr>
              <w:widowControl w:val="0"/>
              <w:jc w:val="right"/>
              <w:rPr>
                <w:sz w:val="20"/>
                <w:lang w:val="en-US"/>
              </w:rPr>
            </w:pPr>
          </w:p>
        </w:tc>
        <w:tc>
          <w:tcPr>
            <w:tcW w:w="419" w:type="pct"/>
          </w:tcPr>
          <w:p w:rsidR="00000000" w:rsidRDefault="00000000">
            <w:pPr>
              <w:widowControl w:val="0"/>
              <w:jc w:val="center"/>
              <w:rPr>
                <w:sz w:val="20"/>
                <w:lang w:val="en-US"/>
              </w:rPr>
            </w:pPr>
            <w:r>
              <w:rPr>
                <w:sz w:val="20"/>
                <w:lang w:val="en-US"/>
              </w:rPr>
              <w:t>64,5</w:t>
            </w:r>
          </w:p>
        </w:tc>
        <w:tc>
          <w:tcPr>
            <w:tcW w:w="419" w:type="pct"/>
          </w:tcPr>
          <w:p w:rsidR="00000000" w:rsidRDefault="00000000">
            <w:pPr>
              <w:widowControl w:val="0"/>
              <w:jc w:val="center"/>
              <w:rPr>
                <w:sz w:val="20"/>
                <w:lang w:val="en-US"/>
              </w:rPr>
            </w:pPr>
            <w:r>
              <w:rPr>
                <w:sz w:val="20"/>
                <w:lang w:val="en-US"/>
              </w:rPr>
              <w:t>66,1</w:t>
            </w:r>
          </w:p>
        </w:tc>
        <w:tc>
          <w:tcPr>
            <w:tcW w:w="419" w:type="pct"/>
          </w:tcPr>
          <w:p w:rsidR="00000000" w:rsidRDefault="00000000">
            <w:pPr>
              <w:widowControl w:val="0"/>
              <w:jc w:val="center"/>
              <w:rPr>
                <w:sz w:val="20"/>
                <w:lang w:val="en-US"/>
              </w:rPr>
            </w:pPr>
            <w:r>
              <w:rPr>
                <w:sz w:val="20"/>
                <w:lang w:val="en-US"/>
              </w:rPr>
              <w:t>75,2</w:t>
            </w:r>
          </w:p>
        </w:tc>
        <w:tc>
          <w:tcPr>
            <w:tcW w:w="419" w:type="pct"/>
          </w:tcPr>
          <w:p w:rsidR="00000000" w:rsidRDefault="00000000">
            <w:pPr>
              <w:widowControl w:val="0"/>
              <w:tabs>
                <w:tab w:val="decimal" w:pos="409"/>
              </w:tabs>
              <w:rPr>
                <w:sz w:val="20"/>
                <w:lang w:val="en-US"/>
              </w:rPr>
            </w:pPr>
            <w:r>
              <w:rPr>
                <w:sz w:val="20"/>
                <w:lang w:val="en-US"/>
              </w:rPr>
              <w:t>74,9</w:t>
            </w:r>
          </w:p>
        </w:tc>
        <w:tc>
          <w:tcPr>
            <w:tcW w:w="419" w:type="pct"/>
          </w:tcPr>
          <w:p w:rsidR="00000000" w:rsidRDefault="00000000">
            <w:pPr>
              <w:widowControl w:val="0"/>
              <w:tabs>
                <w:tab w:val="decimal" w:pos="409"/>
              </w:tabs>
              <w:rPr>
                <w:sz w:val="20"/>
                <w:lang w:val="en-US"/>
              </w:rPr>
            </w:pPr>
            <w:r>
              <w:rPr>
                <w:sz w:val="20"/>
                <w:lang w:val="en-US"/>
              </w:rPr>
              <w:t>80,3</w:t>
            </w:r>
          </w:p>
        </w:tc>
        <w:tc>
          <w:tcPr>
            <w:tcW w:w="419" w:type="pct"/>
          </w:tcPr>
          <w:p w:rsidR="00000000" w:rsidRDefault="00000000">
            <w:pPr>
              <w:widowControl w:val="0"/>
              <w:tabs>
                <w:tab w:val="decimal" w:pos="409"/>
              </w:tabs>
              <w:rPr>
                <w:sz w:val="20"/>
                <w:lang w:val="en-US"/>
              </w:rPr>
            </w:pPr>
            <w:r>
              <w:rPr>
                <w:sz w:val="20"/>
                <w:szCs w:val="28"/>
                <w:lang w:val="en-GB"/>
              </w:rPr>
              <w:t>85,5</w:t>
            </w:r>
          </w:p>
        </w:tc>
        <w:tc>
          <w:tcPr>
            <w:tcW w:w="1014" w:type="pct"/>
            <w:vAlign w:val="bottom"/>
          </w:tcPr>
          <w:p w:rsidR="00000000" w:rsidRDefault="00000000">
            <w:pPr>
              <w:widowControl w:val="0"/>
              <w:tabs>
                <w:tab w:val="decimal" w:pos="868"/>
              </w:tabs>
              <w:rPr>
                <w:sz w:val="20"/>
                <w:lang w:val="en-US"/>
              </w:rPr>
            </w:pPr>
            <w:r>
              <w:rPr>
                <w:sz w:val="20"/>
                <w:lang w:val="en-US"/>
              </w:rPr>
              <w:t>4,5</w:t>
            </w:r>
          </w:p>
        </w:tc>
      </w:tr>
      <w:tr w:rsidR="00000000">
        <w:tblPrEx>
          <w:tblCellMar>
            <w:top w:w="0" w:type="dxa"/>
            <w:bottom w:w="0" w:type="dxa"/>
          </w:tblCellMar>
        </w:tblPrEx>
        <w:trPr>
          <w:jc w:val="center"/>
        </w:trPr>
        <w:tc>
          <w:tcPr>
            <w:tcW w:w="630" w:type="pct"/>
          </w:tcPr>
          <w:p w:rsidR="00000000" w:rsidRDefault="00000000">
            <w:pPr>
              <w:widowControl w:val="0"/>
              <w:rPr>
                <w:sz w:val="20"/>
                <w:lang w:val="en-US"/>
              </w:rPr>
            </w:pPr>
            <w:proofErr w:type="spellStart"/>
            <w:r>
              <w:rPr>
                <w:sz w:val="20"/>
                <w:lang w:val="en-US"/>
              </w:rPr>
              <w:t>Tamba</w:t>
            </w:r>
            <w:proofErr w:type="spellEnd"/>
          </w:p>
        </w:tc>
        <w:tc>
          <w:tcPr>
            <w:tcW w:w="419" w:type="pct"/>
          </w:tcPr>
          <w:p w:rsidR="00000000" w:rsidRDefault="00000000">
            <w:pPr>
              <w:widowControl w:val="0"/>
              <w:jc w:val="right"/>
              <w:rPr>
                <w:sz w:val="20"/>
                <w:lang w:val="en-US"/>
              </w:rPr>
            </w:pPr>
          </w:p>
        </w:tc>
        <w:tc>
          <w:tcPr>
            <w:tcW w:w="419" w:type="pct"/>
          </w:tcPr>
          <w:p w:rsidR="00000000" w:rsidRDefault="00000000">
            <w:pPr>
              <w:widowControl w:val="0"/>
              <w:jc w:val="right"/>
              <w:rPr>
                <w:sz w:val="20"/>
                <w:lang w:val="en-US"/>
              </w:rPr>
            </w:pPr>
          </w:p>
        </w:tc>
        <w:tc>
          <w:tcPr>
            <w:tcW w:w="419" w:type="pct"/>
          </w:tcPr>
          <w:p w:rsidR="00000000" w:rsidRDefault="00000000">
            <w:pPr>
              <w:widowControl w:val="0"/>
              <w:jc w:val="center"/>
              <w:rPr>
                <w:sz w:val="20"/>
                <w:lang w:val="en-US"/>
              </w:rPr>
            </w:pPr>
            <w:r>
              <w:rPr>
                <w:sz w:val="20"/>
                <w:lang w:val="en-US"/>
              </w:rPr>
              <w:t>60,0</w:t>
            </w:r>
          </w:p>
        </w:tc>
        <w:tc>
          <w:tcPr>
            <w:tcW w:w="419" w:type="pct"/>
          </w:tcPr>
          <w:p w:rsidR="00000000" w:rsidRDefault="00000000">
            <w:pPr>
              <w:widowControl w:val="0"/>
              <w:jc w:val="center"/>
              <w:rPr>
                <w:sz w:val="20"/>
                <w:lang w:val="en-US"/>
              </w:rPr>
            </w:pPr>
            <w:r>
              <w:rPr>
                <w:sz w:val="20"/>
                <w:lang w:val="en-US"/>
              </w:rPr>
              <w:t>71,1</w:t>
            </w:r>
          </w:p>
        </w:tc>
        <w:tc>
          <w:tcPr>
            <w:tcW w:w="419" w:type="pct"/>
          </w:tcPr>
          <w:p w:rsidR="00000000" w:rsidRDefault="00000000">
            <w:pPr>
              <w:widowControl w:val="0"/>
              <w:jc w:val="center"/>
              <w:rPr>
                <w:sz w:val="20"/>
                <w:lang w:val="en-US"/>
              </w:rPr>
            </w:pPr>
            <w:r>
              <w:rPr>
                <w:sz w:val="20"/>
                <w:lang w:val="en-US"/>
              </w:rPr>
              <w:t>76,3</w:t>
            </w:r>
          </w:p>
        </w:tc>
        <w:tc>
          <w:tcPr>
            <w:tcW w:w="419" w:type="pct"/>
          </w:tcPr>
          <w:p w:rsidR="00000000" w:rsidRDefault="00000000">
            <w:pPr>
              <w:widowControl w:val="0"/>
              <w:tabs>
                <w:tab w:val="decimal" w:pos="409"/>
              </w:tabs>
              <w:rPr>
                <w:sz w:val="20"/>
                <w:lang w:val="en-US"/>
              </w:rPr>
            </w:pPr>
            <w:r>
              <w:rPr>
                <w:sz w:val="20"/>
                <w:lang w:val="en-US"/>
              </w:rPr>
              <w:t>80,4</w:t>
            </w:r>
          </w:p>
        </w:tc>
        <w:tc>
          <w:tcPr>
            <w:tcW w:w="419" w:type="pct"/>
          </w:tcPr>
          <w:p w:rsidR="00000000" w:rsidRDefault="00000000">
            <w:pPr>
              <w:widowControl w:val="0"/>
              <w:tabs>
                <w:tab w:val="decimal" w:pos="409"/>
              </w:tabs>
              <w:rPr>
                <w:sz w:val="20"/>
                <w:lang w:val="en-US"/>
              </w:rPr>
            </w:pPr>
            <w:r>
              <w:rPr>
                <w:sz w:val="20"/>
                <w:lang w:val="en-US"/>
              </w:rPr>
              <w:t>82,9</w:t>
            </w:r>
          </w:p>
        </w:tc>
        <w:tc>
          <w:tcPr>
            <w:tcW w:w="419" w:type="pct"/>
          </w:tcPr>
          <w:p w:rsidR="00000000" w:rsidRDefault="00000000">
            <w:pPr>
              <w:widowControl w:val="0"/>
              <w:tabs>
                <w:tab w:val="decimal" w:pos="409"/>
              </w:tabs>
              <w:rPr>
                <w:sz w:val="20"/>
                <w:lang w:val="en-US"/>
              </w:rPr>
            </w:pPr>
            <w:r>
              <w:rPr>
                <w:sz w:val="20"/>
                <w:szCs w:val="28"/>
                <w:lang w:val="en-GB"/>
              </w:rPr>
              <w:t>88,3</w:t>
            </w:r>
          </w:p>
        </w:tc>
        <w:tc>
          <w:tcPr>
            <w:tcW w:w="1014" w:type="pct"/>
            <w:vAlign w:val="bottom"/>
          </w:tcPr>
          <w:p w:rsidR="00000000" w:rsidRDefault="00000000">
            <w:pPr>
              <w:widowControl w:val="0"/>
              <w:tabs>
                <w:tab w:val="decimal" w:pos="868"/>
              </w:tabs>
              <w:rPr>
                <w:sz w:val="20"/>
                <w:lang w:val="en-US"/>
              </w:rPr>
            </w:pPr>
            <w:r>
              <w:rPr>
                <w:sz w:val="20"/>
                <w:lang w:val="en-US"/>
              </w:rPr>
              <w:t>6,7</w:t>
            </w:r>
          </w:p>
        </w:tc>
      </w:tr>
      <w:tr w:rsidR="00000000">
        <w:tblPrEx>
          <w:tblCellMar>
            <w:top w:w="0" w:type="dxa"/>
            <w:bottom w:w="0" w:type="dxa"/>
          </w:tblCellMar>
        </w:tblPrEx>
        <w:trPr>
          <w:jc w:val="center"/>
        </w:trPr>
        <w:tc>
          <w:tcPr>
            <w:tcW w:w="630" w:type="pct"/>
          </w:tcPr>
          <w:p w:rsidR="00000000" w:rsidRDefault="00000000">
            <w:pPr>
              <w:widowControl w:val="0"/>
              <w:rPr>
                <w:sz w:val="20"/>
                <w:lang w:val="en-US"/>
              </w:rPr>
            </w:pPr>
            <w:proofErr w:type="spellStart"/>
            <w:r>
              <w:rPr>
                <w:sz w:val="20"/>
                <w:lang w:val="en-US"/>
              </w:rPr>
              <w:t>Kaolack</w:t>
            </w:r>
            <w:proofErr w:type="spellEnd"/>
          </w:p>
        </w:tc>
        <w:tc>
          <w:tcPr>
            <w:tcW w:w="419" w:type="pct"/>
          </w:tcPr>
          <w:p w:rsidR="00000000" w:rsidRDefault="00000000">
            <w:pPr>
              <w:widowControl w:val="0"/>
              <w:jc w:val="right"/>
              <w:rPr>
                <w:sz w:val="20"/>
                <w:lang w:val="en-US"/>
              </w:rPr>
            </w:pPr>
          </w:p>
        </w:tc>
        <w:tc>
          <w:tcPr>
            <w:tcW w:w="419" w:type="pct"/>
          </w:tcPr>
          <w:p w:rsidR="00000000" w:rsidRDefault="00000000">
            <w:pPr>
              <w:widowControl w:val="0"/>
              <w:jc w:val="right"/>
              <w:rPr>
                <w:sz w:val="20"/>
                <w:lang w:val="en-US"/>
              </w:rPr>
            </w:pPr>
          </w:p>
        </w:tc>
        <w:tc>
          <w:tcPr>
            <w:tcW w:w="419" w:type="pct"/>
          </w:tcPr>
          <w:p w:rsidR="00000000" w:rsidRDefault="00000000">
            <w:pPr>
              <w:widowControl w:val="0"/>
              <w:jc w:val="center"/>
              <w:rPr>
                <w:sz w:val="20"/>
                <w:lang w:val="en-US"/>
              </w:rPr>
            </w:pPr>
            <w:r>
              <w:rPr>
                <w:sz w:val="20"/>
                <w:lang w:val="en-US"/>
              </w:rPr>
              <w:t>42,1</w:t>
            </w:r>
          </w:p>
        </w:tc>
        <w:tc>
          <w:tcPr>
            <w:tcW w:w="419" w:type="pct"/>
          </w:tcPr>
          <w:p w:rsidR="00000000" w:rsidRDefault="00000000">
            <w:pPr>
              <w:widowControl w:val="0"/>
              <w:jc w:val="center"/>
              <w:rPr>
                <w:sz w:val="20"/>
                <w:lang w:val="en-US"/>
              </w:rPr>
            </w:pPr>
            <w:r>
              <w:rPr>
                <w:sz w:val="20"/>
                <w:lang w:val="en-US"/>
              </w:rPr>
              <w:t>40,9</w:t>
            </w:r>
          </w:p>
        </w:tc>
        <w:tc>
          <w:tcPr>
            <w:tcW w:w="419" w:type="pct"/>
          </w:tcPr>
          <w:p w:rsidR="00000000" w:rsidRDefault="00000000">
            <w:pPr>
              <w:widowControl w:val="0"/>
              <w:jc w:val="center"/>
              <w:rPr>
                <w:sz w:val="20"/>
                <w:lang w:val="en-US"/>
              </w:rPr>
            </w:pPr>
            <w:r>
              <w:rPr>
                <w:sz w:val="20"/>
                <w:lang w:val="en-US"/>
              </w:rPr>
              <w:t>44,3</w:t>
            </w:r>
          </w:p>
        </w:tc>
        <w:tc>
          <w:tcPr>
            <w:tcW w:w="419" w:type="pct"/>
          </w:tcPr>
          <w:p w:rsidR="00000000" w:rsidRDefault="00000000">
            <w:pPr>
              <w:widowControl w:val="0"/>
              <w:tabs>
                <w:tab w:val="decimal" w:pos="409"/>
              </w:tabs>
              <w:rPr>
                <w:sz w:val="20"/>
                <w:lang w:val="en-US"/>
              </w:rPr>
            </w:pPr>
            <w:r>
              <w:rPr>
                <w:sz w:val="20"/>
                <w:lang w:val="en-US"/>
              </w:rPr>
              <w:t>45,1</w:t>
            </w:r>
          </w:p>
        </w:tc>
        <w:tc>
          <w:tcPr>
            <w:tcW w:w="419" w:type="pct"/>
          </w:tcPr>
          <w:p w:rsidR="00000000" w:rsidRDefault="00000000">
            <w:pPr>
              <w:widowControl w:val="0"/>
              <w:tabs>
                <w:tab w:val="decimal" w:pos="409"/>
              </w:tabs>
              <w:rPr>
                <w:sz w:val="20"/>
                <w:lang w:val="en-US"/>
              </w:rPr>
            </w:pPr>
            <w:r>
              <w:rPr>
                <w:sz w:val="20"/>
                <w:lang w:val="en-US"/>
              </w:rPr>
              <w:t>47,5</w:t>
            </w:r>
          </w:p>
        </w:tc>
        <w:tc>
          <w:tcPr>
            <w:tcW w:w="419" w:type="pct"/>
          </w:tcPr>
          <w:p w:rsidR="00000000" w:rsidRDefault="00000000">
            <w:pPr>
              <w:widowControl w:val="0"/>
              <w:tabs>
                <w:tab w:val="decimal" w:pos="409"/>
              </w:tabs>
              <w:rPr>
                <w:sz w:val="20"/>
                <w:lang w:val="en-US"/>
              </w:rPr>
            </w:pPr>
            <w:r>
              <w:rPr>
                <w:sz w:val="20"/>
                <w:szCs w:val="28"/>
                <w:lang w:val="en-GB"/>
              </w:rPr>
              <w:t>51</w:t>
            </w:r>
            <w:r>
              <w:rPr>
                <w:sz w:val="20"/>
                <w:szCs w:val="28"/>
                <w:lang w:val="en-US"/>
              </w:rPr>
              <w:t>,8</w:t>
            </w:r>
          </w:p>
        </w:tc>
        <w:tc>
          <w:tcPr>
            <w:tcW w:w="1014" w:type="pct"/>
            <w:vAlign w:val="bottom"/>
          </w:tcPr>
          <w:p w:rsidR="00000000" w:rsidRDefault="00000000">
            <w:pPr>
              <w:widowControl w:val="0"/>
              <w:tabs>
                <w:tab w:val="decimal" w:pos="868"/>
              </w:tabs>
              <w:rPr>
                <w:sz w:val="20"/>
                <w:lang w:val="en-US"/>
              </w:rPr>
            </w:pPr>
            <w:r>
              <w:rPr>
                <w:sz w:val="20"/>
                <w:lang w:val="en-US"/>
              </w:rPr>
              <w:t>2,4</w:t>
            </w:r>
          </w:p>
        </w:tc>
      </w:tr>
      <w:tr w:rsidR="00000000">
        <w:tblPrEx>
          <w:tblCellMar>
            <w:top w:w="0" w:type="dxa"/>
            <w:bottom w:w="0" w:type="dxa"/>
          </w:tblCellMar>
        </w:tblPrEx>
        <w:trPr>
          <w:jc w:val="center"/>
        </w:trPr>
        <w:tc>
          <w:tcPr>
            <w:tcW w:w="630" w:type="pct"/>
          </w:tcPr>
          <w:p w:rsidR="00000000" w:rsidRDefault="00000000">
            <w:pPr>
              <w:widowControl w:val="0"/>
              <w:rPr>
                <w:sz w:val="20"/>
                <w:lang w:val="en-US"/>
              </w:rPr>
            </w:pPr>
            <w:proofErr w:type="spellStart"/>
            <w:r>
              <w:rPr>
                <w:sz w:val="20"/>
                <w:lang w:val="en-US"/>
              </w:rPr>
              <w:t>Thiès</w:t>
            </w:r>
            <w:proofErr w:type="spellEnd"/>
          </w:p>
        </w:tc>
        <w:tc>
          <w:tcPr>
            <w:tcW w:w="419" w:type="pct"/>
          </w:tcPr>
          <w:p w:rsidR="00000000" w:rsidRDefault="00000000">
            <w:pPr>
              <w:widowControl w:val="0"/>
              <w:jc w:val="right"/>
              <w:rPr>
                <w:sz w:val="20"/>
                <w:lang w:val="en-US"/>
              </w:rPr>
            </w:pPr>
          </w:p>
        </w:tc>
        <w:tc>
          <w:tcPr>
            <w:tcW w:w="419" w:type="pct"/>
          </w:tcPr>
          <w:p w:rsidR="00000000" w:rsidRDefault="00000000">
            <w:pPr>
              <w:widowControl w:val="0"/>
              <w:jc w:val="right"/>
              <w:rPr>
                <w:sz w:val="20"/>
                <w:lang w:val="en-US"/>
              </w:rPr>
            </w:pPr>
          </w:p>
        </w:tc>
        <w:tc>
          <w:tcPr>
            <w:tcW w:w="419" w:type="pct"/>
          </w:tcPr>
          <w:p w:rsidR="00000000" w:rsidRDefault="00000000">
            <w:pPr>
              <w:widowControl w:val="0"/>
              <w:jc w:val="center"/>
              <w:rPr>
                <w:sz w:val="20"/>
                <w:lang w:val="en-US"/>
              </w:rPr>
            </w:pPr>
            <w:r>
              <w:rPr>
                <w:sz w:val="20"/>
                <w:lang w:val="en-US"/>
              </w:rPr>
              <w:t>59,7</w:t>
            </w:r>
          </w:p>
        </w:tc>
        <w:tc>
          <w:tcPr>
            <w:tcW w:w="419" w:type="pct"/>
          </w:tcPr>
          <w:p w:rsidR="00000000" w:rsidRDefault="00000000">
            <w:pPr>
              <w:widowControl w:val="0"/>
              <w:jc w:val="center"/>
              <w:rPr>
                <w:sz w:val="20"/>
                <w:lang w:val="en-US"/>
              </w:rPr>
            </w:pPr>
            <w:r>
              <w:rPr>
                <w:sz w:val="20"/>
                <w:lang w:val="en-US"/>
              </w:rPr>
              <w:t>68,8</w:t>
            </w:r>
          </w:p>
        </w:tc>
        <w:tc>
          <w:tcPr>
            <w:tcW w:w="419" w:type="pct"/>
          </w:tcPr>
          <w:p w:rsidR="00000000" w:rsidRDefault="00000000">
            <w:pPr>
              <w:widowControl w:val="0"/>
              <w:jc w:val="center"/>
              <w:rPr>
                <w:sz w:val="20"/>
                <w:lang w:val="en-US"/>
              </w:rPr>
            </w:pPr>
            <w:r>
              <w:rPr>
                <w:sz w:val="20"/>
                <w:lang w:val="en-US"/>
              </w:rPr>
              <w:t>69,6</w:t>
            </w:r>
          </w:p>
        </w:tc>
        <w:tc>
          <w:tcPr>
            <w:tcW w:w="419" w:type="pct"/>
          </w:tcPr>
          <w:p w:rsidR="00000000" w:rsidRDefault="00000000">
            <w:pPr>
              <w:widowControl w:val="0"/>
              <w:tabs>
                <w:tab w:val="decimal" w:pos="409"/>
              </w:tabs>
              <w:rPr>
                <w:sz w:val="20"/>
                <w:lang w:val="en-US"/>
              </w:rPr>
            </w:pPr>
            <w:r>
              <w:rPr>
                <w:sz w:val="20"/>
                <w:lang w:val="en-US"/>
              </w:rPr>
              <w:t>72,0</w:t>
            </w:r>
          </w:p>
        </w:tc>
        <w:tc>
          <w:tcPr>
            <w:tcW w:w="419" w:type="pct"/>
          </w:tcPr>
          <w:p w:rsidR="00000000" w:rsidRDefault="00000000">
            <w:pPr>
              <w:widowControl w:val="0"/>
              <w:tabs>
                <w:tab w:val="decimal" w:pos="409"/>
              </w:tabs>
              <w:rPr>
                <w:sz w:val="20"/>
                <w:lang w:val="en-US"/>
              </w:rPr>
            </w:pPr>
            <w:r>
              <w:rPr>
                <w:sz w:val="20"/>
                <w:lang w:val="en-US"/>
              </w:rPr>
              <w:t>75,8</w:t>
            </w:r>
          </w:p>
        </w:tc>
        <w:tc>
          <w:tcPr>
            <w:tcW w:w="419" w:type="pct"/>
          </w:tcPr>
          <w:p w:rsidR="00000000" w:rsidRDefault="00000000">
            <w:pPr>
              <w:widowControl w:val="0"/>
              <w:tabs>
                <w:tab w:val="decimal" w:pos="409"/>
              </w:tabs>
              <w:rPr>
                <w:sz w:val="20"/>
                <w:lang w:val="en-US"/>
              </w:rPr>
            </w:pPr>
            <w:r>
              <w:rPr>
                <w:sz w:val="20"/>
                <w:szCs w:val="28"/>
                <w:lang w:val="en-GB"/>
              </w:rPr>
              <w:t>79</w:t>
            </w:r>
            <w:r>
              <w:rPr>
                <w:sz w:val="20"/>
                <w:szCs w:val="28"/>
                <w:lang w:val="en-US"/>
              </w:rPr>
              <w:t>,3</w:t>
            </w:r>
          </w:p>
        </w:tc>
        <w:tc>
          <w:tcPr>
            <w:tcW w:w="1014" w:type="pct"/>
            <w:vAlign w:val="bottom"/>
          </w:tcPr>
          <w:p w:rsidR="00000000" w:rsidRDefault="00000000">
            <w:pPr>
              <w:widowControl w:val="0"/>
              <w:tabs>
                <w:tab w:val="decimal" w:pos="868"/>
              </w:tabs>
              <w:rPr>
                <w:sz w:val="20"/>
                <w:lang w:val="en-US"/>
              </w:rPr>
            </w:pPr>
            <w:r>
              <w:rPr>
                <w:sz w:val="20"/>
                <w:lang w:val="en-US"/>
              </w:rPr>
              <w:t>4,9</w:t>
            </w:r>
          </w:p>
        </w:tc>
      </w:tr>
      <w:tr w:rsidR="00000000">
        <w:tblPrEx>
          <w:tblCellMar>
            <w:top w:w="0" w:type="dxa"/>
            <w:bottom w:w="0" w:type="dxa"/>
          </w:tblCellMar>
        </w:tblPrEx>
        <w:trPr>
          <w:jc w:val="center"/>
        </w:trPr>
        <w:tc>
          <w:tcPr>
            <w:tcW w:w="630" w:type="pct"/>
          </w:tcPr>
          <w:p w:rsidR="00000000" w:rsidRDefault="00000000">
            <w:pPr>
              <w:widowControl w:val="0"/>
              <w:rPr>
                <w:sz w:val="20"/>
                <w:lang w:val="en-US"/>
              </w:rPr>
            </w:pPr>
            <w:proofErr w:type="spellStart"/>
            <w:r>
              <w:rPr>
                <w:sz w:val="20"/>
                <w:lang w:val="en-US"/>
              </w:rPr>
              <w:t>Louga</w:t>
            </w:r>
            <w:proofErr w:type="spellEnd"/>
          </w:p>
        </w:tc>
        <w:tc>
          <w:tcPr>
            <w:tcW w:w="419" w:type="pct"/>
          </w:tcPr>
          <w:p w:rsidR="00000000" w:rsidRDefault="00000000">
            <w:pPr>
              <w:widowControl w:val="0"/>
              <w:jc w:val="right"/>
              <w:rPr>
                <w:sz w:val="20"/>
                <w:lang w:val="en-US"/>
              </w:rPr>
            </w:pPr>
          </w:p>
        </w:tc>
        <w:tc>
          <w:tcPr>
            <w:tcW w:w="419" w:type="pct"/>
          </w:tcPr>
          <w:p w:rsidR="00000000" w:rsidRDefault="00000000">
            <w:pPr>
              <w:widowControl w:val="0"/>
              <w:jc w:val="right"/>
              <w:rPr>
                <w:sz w:val="20"/>
                <w:lang w:val="en-US"/>
              </w:rPr>
            </w:pPr>
          </w:p>
        </w:tc>
        <w:tc>
          <w:tcPr>
            <w:tcW w:w="419" w:type="pct"/>
          </w:tcPr>
          <w:p w:rsidR="00000000" w:rsidRDefault="00000000">
            <w:pPr>
              <w:widowControl w:val="0"/>
              <w:jc w:val="center"/>
              <w:rPr>
                <w:sz w:val="20"/>
                <w:lang w:val="en-US"/>
              </w:rPr>
            </w:pPr>
            <w:r>
              <w:rPr>
                <w:sz w:val="20"/>
                <w:lang w:val="en-US"/>
              </w:rPr>
              <w:t>46,8</w:t>
            </w:r>
          </w:p>
        </w:tc>
        <w:tc>
          <w:tcPr>
            <w:tcW w:w="419" w:type="pct"/>
          </w:tcPr>
          <w:p w:rsidR="00000000" w:rsidRDefault="00000000">
            <w:pPr>
              <w:widowControl w:val="0"/>
              <w:jc w:val="center"/>
              <w:rPr>
                <w:sz w:val="20"/>
                <w:lang w:val="en-US"/>
              </w:rPr>
            </w:pPr>
            <w:r>
              <w:rPr>
                <w:sz w:val="20"/>
                <w:lang w:val="en-US"/>
              </w:rPr>
              <w:t>51,7</w:t>
            </w:r>
          </w:p>
        </w:tc>
        <w:tc>
          <w:tcPr>
            <w:tcW w:w="419" w:type="pct"/>
          </w:tcPr>
          <w:p w:rsidR="00000000" w:rsidRDefault="00000000">
            <w:pPr>
              <w:widowControl w:val="0"/>
              <w:jc w:val="center"/>
              <w:rPr>
                <w:sz w:val="20"/>
                <w:lang w:val="en-US"/>
              </w:rPr>
            </w:pPr>
            <w:r>
              <w:rPr>
                <w:sz w:val="20"/>
                <w:lang w:val="en-US"/>
              </w:rPr>
              <w:t>55,9</w:t>
            </w:r>
          </w:p>
        </w:tc>
        <w:tc>
          <w:tcPr>
            <w:tcW w:w="419" w:type="pct"/>
          </w:tcPr>
          <w:p w:rsidR="00000000" w:rsidRDefault="00000000">
            <w:pPr>
              <w:widowControl w:val="0"/>
              <w:tabs>
                <w:tab w:val="decimal" w:pos="409"/>
              </w:tabs>
              <w:rPr>
                <w:sz w:val="20"/>
                <w:lang w:val="en-US"/>
              </w:rPr>
            </w:pPr>
            <w:r>
              <w:rPr>
                <w:sz w:val="20"/>
                <w:lang w:val="en-US"/>
              </w:rPr>
              <w:t>59,2</w:t>
            </w:r>
          </w:p>
        </w:tc>
        <w:tc>
          <w:tcPr>
            <w:tcW w:w="419" w:type="pct"/>
          </w:tcPr>
          <w:p w:rsidR="00000000" w:rsidRDefault="00000000">
            <w:pPr>
              <w:widowControl w:val="0"/>
              <w:tabs>
                <w:tab w:val="decimal" w:pos="409"/>
              </w:tabs>
              <w:rPr>
                <w:sz w:val="20"/>
                <w:lang w:val="en-US"/>
              </w:rPr>
            </w:pPr>
            <w:r>
              <w:rPr>
                <w:sz w:val="20"/>
                <w:lang w:val="en-US"/>
              </w:rPr>
              <w:t>59,2</w:t>
            </w:r>
          </w:p>
        </w:tc>
        <w:tc>
          <w:tcPr>
            <w:tcW w:w="419" w:type="pct"/>
          </w:tcPr>
          <w:p w:rsidR="00000000" w:rsidRDefault="00000000">
            <w:pPr>
              <w:widowControl w:val="0"/>
              <w:tabs>
                <w:tab w:val="decimal" w:pos="409"/>
              </w:tabs>
              <w:rPr>
                <w:sz w:val="20"/>
                <w:lang w:val="en-US"/>
              </w:rPr>
            </w:pPr>
            <w:r>
              <w:rPr>
                <w:sz w:val="20"/>
                <w:szCs w:val="28"/>
                <w:lang w:val="en-GB"/>
              </w:rPr>
              <w:t>65,5</w:t>
            </w:r>
          </w:p>
        </w:tc>
        <w:tc>
          <w:tcPr>
            <w:tcW w:w="1014" w:type="pct"/>
            <w:vAlign w:val="bottom"/>
          </w:tcPr>
          <w:p w:rsidR="00000000" w:rsidRDefault="00000000">
            <w:pPr>
              <w:widowControl w:val="0"/>
              <w:tabs>
                <w:tab w:val="decimal" w:pos="868"/>
              </w:tabs>
              <w:rPr>
                <w:sz w:val="20"/>
                <w:lang w:val="en-US"/>
              </w:rPr>
            </w:pPr>
            <w:r>
              <w:rPr>
                <w:sz w:val="20"/>
                <w:lang w:val="en-US"/>
              </w:rPr>
              <w:t>4,8</w:t>
            </w:r>
          </w:p>
        </w:tc>
      </w:tr>
      <w:tr w:rsidR="00000000">
        <w:tblPrEx>
          <w:tblCellMar>
            <w:top w:w="0" w:type="dxa"/>
            <w:bottom w:w="0" w:type="dxa"/>
          </w:tblCellMar>
        </w:tblPrEx>
        <w:trPr>
          <w:jc w:val="center"/>
        </w:trPr>
        <w:tc>
          <w:tcPr>
            <w:tcW w:w="630" w:type="pct"/>
          </w:tcPr>
          <w:p w:rsidR="00000000" w:rsidRDefault="00000000">
            <w:pPr>
              <w:widowControl w:val="0"/>
              <w:rPr>
                <w:sz w:val="20"/>
                <w:lang w:val="en-US"/>
              </w:rPr>
            </w:pPr>
            <w:proofErr w:type="spellStart"/>
            <w:r>
              <w:rPr>
                <w:sz w:val="20"/>
                <w:lang w:val="en-US"/>
              </w:rPr>
              <w:t>Fatick</w:t>
            </w:r>
            <w:proofErr w:type="spellEnd"/>
          </w:p>
        </w:tc>
        <w:tc>
          <w:tcPr>
            <w:tcW w:w="419" w:type="pct"/>
          </w:tcPr>
          <w:p w:rsidR="00000000" w:rsidRDefault="00000000">
            <w:pPr>
              <w:widowControl w:val="0"/>
              <w:jc w:val="right"/>
              <w:rPr>
                <w:sz w:val="20"/>
                <w:lang w:val="en-US"/>
              </w:rPr>
            </w:pPr>
          </w:p>
        </w:tc>
        <w:tc>
          <w:tcPr>
            <w:tcW w:w="419" w:type="pct"/>
          </w:tcPr>
          <w:p w:rsidR="00000000" w:rsidRDefault="00000000">
            <w:pPr>
              <w:widowControl w:val="0"/>
              <w:jc w:val="right"/>
              <w:rPr>
                <w:sz w:val="20"/>
                <w:lang w:val="en-US"/>
              </w:rPr>
            </w:pPr>
          </w:p>
        </w:tc>
        <w:tc>
          <w:tcPr>
            <w:tcW w:w="419" w:type="pct"/>
          </w:tcPr>
          <w:p w:rsidR="00000000" w:rsidRDefault="00000000">
            <w:pPr>
              <w:widowControl w:val="0"/>
              <w:jc w:val="center"/>
              <w:rPr>
                <w:sz w:val="20"/>
                <w:lang w:val="en-US"/>
              </w:rPr>
            </w:pPr>
            <w:r>
              <w:rPr>
                <w:sz w:val="20"/>
                <w:lang w:val="en-US"/>
              </w:rPr>
              <w:t>48,3</w:t>
            </w:r>
          </w:p>
        </w:tc>
        <w:tc>
          <w:tcPr>
            <w:tcW w:w="419" w:type="pct"/>
          </w:tcPr>
          <w:p w:rsidR="00000000" w:rsidRDefault="00000000">
            <w:pPr>
              <w:widowControl w:val="0"/>
              <w:jc w:val="center"/>
              <w:rPr>
                <w:sz w:val="20"/>
                <w:lang w:val="en-US"/>
              </w:rPr>
            </w:pPr>
            <w:r>
              <w:rPr>
                <w:sz w:val="20"/>
                <w:lang w:val="en-US"/>
              </w:rPr>
              <w:t>50,1</w:t>
            </w:r>
          </w:p>
        </w:tc>
        <w:tc>
          <w:tcPr>
            <w:tcW w:w="419" w:type="pct"/>
          </w:tcPr>
          <w:p w:rsidR="00000000" w:rsidRDefault="00000000">
            <w:pPr>
              <w:widowControl w:val="0"/>
              <w:jc w:val="center"/>
              <w:rPr>
                <w:sz w:val="20"/>
                <w:lang w:val="en-US"/>
              </w:rPr>
            </w:pPr>
            <w:r>
              <w:rPr>
                <w:sz w:val="20"/>
                <w:lang w:val="en-US"/>
              </w:rPr>
              <w:t>54,5</w:t>
            </w:r>
          </w:p>
        </w:tc>
        <w:tc>
          <w:tcPr>
            <w:tcW w:w="419" w:type="pct"/>
          </w:tcPr>
          <w:p w:rsidR="00000000" w:rsidRDefault="00000000">
            <w:pPr>
              <w:widowControl w:val="0"/>
              <w:tabs>
                <w:tab w:val="decimal" w:pos="409"/>
              </w:tabs>
              <w:rPr>
                <w:sz w:val="20"/>
                <w:lang w:val="en-US"/>
              </w:rPr>
            </w:pPr>
            <w:r>
              <w:rPr>
                <w:sz w:val="20"/>
                <w:lang w:val="en-US"/>
              </w:rPr>
              <w:t>57,0</w:t>
            </w:r>
          </w:p>
        </w:tc>
        <w:tc>
          <w:tcPr>
            <w:tcW w:w="419" w:type="pct"/>
          </w:tcPr>
          <w:p w:rsidR="00000000" w:rsidRDefault="00000000">
            <w:pPr>
              <w:widowControl w:val="0"/>
              <w:tabs>
                <w:tab w:val="decimal" w:pos="409"/>
              </w:tabs>
              <w:rPr>
                <w:sz w:val="20"/>
                <w:lang w:val="en-US"/>
              </w:rPr>
            </w:pPr>
            <w:r>
              <w:rPr>
                <w:sz w:val="20"/>
                <w:lang w:val="en-US"/>
              </w:rPr>
              <w:t>61,1</w:t>
            </w:r>
          </w:p>
        </w:tc>
        <w:tc>
          <w:tcPr>
            <w:tcW w:w="419" w:type="pct"/>
          </w:tcPr>
          <w:p w:rsidR="00000000" w:rsidRDefault="00000000">
            <w:pPr>
              <w:widowControl w:val="0"/>
              <w:tabs>
                <w:tab w:val="decimal" w:pos="409"/>
              </w:tabs>
              <w:rPr>
                <w:sz w:val="20"/>
                <w:lang w:val="en-US"/>
              </w:rPr>
            </w:pPr>
            <w:r>
              <w:rPr>
                <w:sz w:val="20"/>
                <w:szCs w:val="28"/>
                <w:lang w:val="en-US"/>
              </w:rPr>
              <w:t>66,9</w:t>
            </w:r>
          </w:p>
        </w:tc>
        <w:tc>
          <w:tcPr>
            <w:tcW w:w="1014" w:type="pct"/>
            <w:vAlign w:val="bottom"/>
          </w:tcPr>
          <w:p w:rsidR="00000000" w:rsidRDefault="00000000">
            <w:pPr>
              <w:widowControl w:val="0"/>
              <w:tabs>
                <w:tab w:val="decimal" w:pos="868"/>
              </w:tabs>
              <w:rPr>
                <w:sz w:val="20"/>
                <w:lang w:val="en-US"/>
              </w:rPr>
            </w:pPr>
            <w:r>
              <w:rPr>
                <w:sz w:val="20"/>
                <w:lang w:val="en-US"/>
              </w:rPr>
              <w:t>4,8</w:t>
            </w:r>
          </w:p>
        </w:tc>
      </w:tr>
      <w:tr w:rsidR="00000000">
        <w:tblPrEx>
          <w:tblCellMar>
            <w:top w:w="0" w:type="dxa"/>
            <w:bottom w:w="0" w:type="dxa"/>
          </w:tblCellMar>
        </w:tblPrEx>
        <w:trPr>
          <w:jc w:val="center"/>
        </w:trPr>
        <w:tc>
          <w:tcPr>
            <w:tcW w:w="630" w:type="pct"/>
          </w:tcPr>
          <w:p w:rsidR="00000000" w:rsidRDefault="00000000">
            <w:pPr>
              <w:widowControl w:val="0"/>
              <w:rPr>
                <w:sz w:val="20"/>
                <w:lang w:val="en-US"/>
              </w:rPr>
            </w:pPr>
            <w:proofErr w:type="spellStart"/>
            <w:r>
              <w:rPr>
                <w:sz w:val="20"/>
                <w:lang w:val="en-US"/>
              </w:rPr>
              <w:t>Kolda</w:t>
            </w:r>
            <w:proofErr w:type="spellEnd"/>
          </w:p>
        </w:tc>
        <w:tc>
          <w:tcPr>
            <w:tcW w:w="419" w:type="pct"/>
          </w:tcPr>
          <w:p w:rsidR="00000000" w:rsidRDefault="00000000">
            <w:pPr>
              <w:widowControl w:val="0"/>
              <w:jc w:val="right"/>
              <w:rPr>
                <w:sz w:val="20"/>
                <w:lang w:val="en-US"/>
              </w:rPr>
            </w:pPr>
          </w:p>
        </w:tc>
        <w:tc>
          <w:tcPr>
            <w:tcW w:w="419" w:type="pct"/>
          </w:tcPr>
          <w:p w:rsidR="00000000" w:rsidRDefault="00000000">
            <w:pPr>
              <w:widowControl w:val="0"/>
              <w:jc w:val="right"/>
              <w:rPr>
                <w:sz w:val="20"/>
                <w:lang w:val="en-US"/>
              </w:rPr>
            </w:pPr>
          </w:p>
        </w:tc>
        <w:tc>
          <w:tcPr>
            <w:tcW w:w="419" w:type="pct"/>
          </w:tcPr>
          <w:p w:rsidR="00000000" w:rsidRDefault="00000000">
            <w:pPr>
              <w:widowControl w:val="0"/>
              <w:jc w:val="center"/>
              <w:rPr>
                <w:sz w:val="20"/>
              </w:rPr>
            </w:pPr>
            <w:r>
              <w:rPr>
                <w:sz w:val="20"/>
              </w:rPr>
              <w:t>56,3</w:t>
            </w:r>
          </w:p>
        </w:tc>
        <w:tc>
          <w:tcPr>
            <w:tcW w:w="419" w:type="pct"/>
          </w:tcPr>
          <w:p w:rsidR="00000000" w:rsidRDefault="00000000">
            <w:pPr>
              <w:widowControl w:val="0"/>
              <w:jc w:val="center"/>
              <w:rPr>
                <w:sz w:val="20"/>
              </w:rPr>
            </w:pPr>
            <w:r>
              <w:rPr>
                <w:sz w:val="20"/>
              </w:rPr>
              <w:t>70,2</w:t>
            </w:r>
          </w:p>
        </w:tc>
        <w:tc>
          <w:tcPr>
            <w:tcW w:w="419" w:type="pct"/>
          </w:tcPr>
          <w:p w:rsidR="00000000" w:rsidRDefault="00000000">
            <w:pPr>
              <w:widowControl w:val="0"/>
              <w:jc w:val="center"/>
              <w:rPr>
                <w:sz w:val="20"/>
              </w:rPr>
            </w:pPr>
            <w:r>
              <w:rPr>
                <w:sz w:val="20"/>
              </w:rPr>
              <w:t>76,8</w:t>
            </w:r>
          </w:p>
        </w:tc>
        <w:tc>
          <w:tcPr>
            <w:tcW w:w="419" w:type="pct"/>
          </w:tcPr>
          <w:p w:rsidR="00000000" w:rsidRDefault="00000000">
            <w:pPr>
              <w:widowControl w:val="0"/>
              <w:tabs>
                <w:tab w:val="decimal" w:pos="409"/>
              </w:tabs>
              <w:rPr>
                <w:sz w:val="20"/>
              </w:rPr>
            </w:pPr>
            <w:r>
              <w:rPr>
                <w:sz w:val="20"/>
              </w:rPr>
              <w:t>80,9</w:t>
            </w:r>
          </w:p>
        </w:tc>
        <w:tc>
          <w:tcPr>
            <w:tcW w:w="419" w:type="pct"/>
          </w:tcPr>
          <w:p w:rsidR="00000000" w:rsidRDefault="00000000">
            <w:pPr>
              <w:widowControl w:val="0"/>
              <w:tabs>
                <w:tab w:val="decimal" w:pos="409"/>
              </w:tabs>
              <w:rPr>
                <w:sz w:val="20"/>
              </w:rPr>
            </w:pPr>
            <w:r>
              <w:rPr>
                <w:sz w:val="20"/>
              </w:rPr>
              <w:t>85,1</w:t>
            </w:r>
          </w:p>
        </w:tc>
        <w:tc>
          <w:tcPr>
            <w:tcW w:w="419" w:type="pct"/>
          </w:tcPr>
          <w:p w:rsidR="00000000" w:rsidRDefault="00000000">
            <w:pPr>
              <w:widowControl w:val="0"/>
              <w:tabs>
                <w:tab w:val="decimal" w:pos="409"/>
              </w:tabs>
              <w:rPr>
                <w:sz w:val="20"/>
              </w:rPr>
            </w:pPr>
            <w:r>
              <w:rPr>
                <w:sz w:val="20"/>
                <w:szCs w:val="28"/>
                <w:lang w:val="fr-CA"/>
              </w:rPr>
              <w:t>96,5</w:t>
            </w:r>
          </w:p>
        </w:tc>
        <w:tc>
          <w:tcPr>
            <w:tcW w:w="1014" w:type="pct"/>
            <w:vAlign w:val="bottom"/>
          </w:tcPr>
          <w:p w:rsidR="00000000" w:rsidRDefault="00000000">
            <w:pPr>
              <w:widowControl w:val="0"/>
              <w:tabs>
                <w:tab w:val="decimal" w:pos="868"/>
              </w:tabs>
              <w:rPr>
                <w:sz w:val="20"/>
              </w:rPr>
            </w:pPr>
            <w:r>
              <w:rPr>
                <w:sz w:val="20"/>
              </w:rPr>
              <w:t>8,6</w:t>
            </w:r>
          </w:p>
        </w:tc>
      </w:tr>
      <w:tr w:rsidR="00000000">
        <w:tblPrEx>
          <w:tblCellMar>
            <w:top w:w="0" w:type="dxa"/>
            <w:bottom w:w="0" w:type="dxa"/>
          </w:tblCellMar>
        </w:tblPrEx>
        <w:trPr>
          <w:jc w:val="center"/>
        </w:trPr>
        <w:tc>
          <w:tcPr>
            <w:tcW w:w="630" w:type="pct"/>
          </w:tcPr>
          <w:p w:rsidR="00000000" w:rsidRDefault="00000000">
            <w:pPr>
              <w:widowControl w:val="0"/>
              <w:ind w:left="170"/>
              <w:rPr>
                <w:b/>
                <w:sz w:val="20"/>
              </w:rPr>
            </w:pPr>
            <w:r>
              <w:rPr>
                <w:b/>
                <w:sz w:val="20"/>
              </w:rPr>
              <w:t>Senegal</w:t>
            </w:r>
          </w:p>
        </w:tc>
        <w:tc>
          <w:tcPr>
            <w:tcW w:w="419" w:type="pct"/>
          </w:tcPr>
          <w:p w:rsidR="00000000" w:rsidRDefault="00000000">
            <w:pPr>
              <w:widowControl w:val="0"/>
              <w:jc w:val="right"/>
              <w:rPr>
                <w:b/>
                <w:sz w:val="20"/>
              </w:rPr>
            </w:pPr>
          </w:p>
        </w:tc>
        <w:tc>
          <w:tcPr>
            <w:tcW w:w="419" w:type="pct"/>
          </w:tcPr>
          <w:p w:rsidR="00000000" w:rsidRDefault="00000000">
            <w:pPr>
              <w:widowControl w:val="0"/>
              <w:jc w:val="right"/>
              <w:rPr>
                <w:b/>
                <w:sz w:val="20"/>
              </w:rPr>
            </w:pPr>
          </w:p>
        </w:tc>
        <w:tc>
          <w:tcPr>
            <w:tcW w:w="419" w:type="pct"/>
          </w:tcPr>
          <w:p w:rsidR="00000000" w:rsidRDefault="00000000">
            <w:pPr>
              <w:widowControl w:val="0"/>
              <w:jc w:val="center"/>
              <w:rPr>
                <w:b/>
                <w:sz w:val="20"/>
              </w:rPr>
            </w:pPr>
            <w:r>
              <w:rPr>
                <w:b/>
                <w:sz w:val="20"/>
              </w:rPr>
              <w:t>61,7</w:t>
            </w:r>
          </w:p>
        </w:tc>
        <w:tc>
          <w:tcPr>
            <w:tcW w:w="419" w:type="pct"/>
          </w:tcPr>
          <w:p w:rsidR="00000000" w:rsidRDefault="00000000">
            <w:pPr>
              <w:widowControl w:val="0"/>
              <w:jc w:val="center"/>
              <w:rPr>
                <w:b/>
                <w:sz w:val="20"/>
              </w:rPr>
            </w:pPr>
            <w:r>
              <w:rPr>
                <w:b/>
                <w:sz w:val="20"/>
              </w:rPr>
              <w:t>65,5</w:t>
            </w:r>
          </w:p>
        </w:tc>
        <w:tc>
          <w:tcPr>
            <w:tcW w:w="419" w:type="pct"/>
          </w:tcPr>
          <w:p w:rsidR="00000000" w:rsidRDefault="00000000">
            <w:pPr>
              <w:widowControl w:val="0"/>
              <w:jc w:val="center"/>
              <w:rPr>
                <w:b/>
                <w:sz w:val="20"/>
              </w:rPr>
            </w:pPr>
            <w:r>
              <w:rPr>
                <w:b/>
                <w:sz w:val="20"/>
              </w:rPr>
              <w:t>68,3</w:t>
            </w:r>
          </w:p>
        </w:tc>
        <w:tc>
          <w:tcPr>
            <w:tcW w:w="419" w:type="pct"/>
          </w:tcPr>
          <w:p w:rsidR="00000000" w:rsidRDefault="00000000">
            <w:pPr>
              <w:widowControl w:val="0"/>
              <w:tabs>
                <w:tab w:val="decimal" w:pos="409"/>
              </w:tabs>
              <w:rPr>
                <w:b/>
                <w:sz w:val="20"/>
              </w:rPr>
            </w:pPr>
            <w:r>
              <w:rPr>
                <w:b/>
                <w:sz w:val="20"/>
              </w:rPr>
              <w:t>69,4</w:t>
            </w:r>
          </w:p>
        </w:tc>
        <w:tc>
          <w:tcPr>
            <w:tcW w:w="419" w:type="pct"/>
          </w:tcPr>
          <w:p w:rsidR="00000000" w:rsidRDefault="00000000">
            <w:pPr>
              <w:widowControl w:val="0"/>
              <w:tabs>
                <w:tab w:val="decimal" w:pos="409"/>
              </w:tabs>
              <w:rPr>
                <w:b/>
                <w:sz w:val="20"/>
              </w:rPr>
            </w:pPr>
            <w:r>
              <w:rPr>
                <w:b/>
                <w:sz w:val="20"/>
              </w:rPr>
              <w:t>71,6</w:t>
            </w:r>
          </w:p>
        </w:tc>
        <w:tc>
          <w:tcPr>
            <w:tcW w:w="419" w:type="pct"/>
          </w:tcPr>
          <w:p w:rsidR="00000000" w:rsidRDefault="00000000">
            <w:pPr>
              <w:widowControl w:val="0"/>
              <w:tabs>
                <w:tab w:val="decimal" w:pos="409"/>
              </w:tabs>
              <w:rPr>
                <w:b/>
                <w:sz w:val="20"/>
                <w:szCs w:val="40"/>
              </w:rPr>
            </w:pPr>
            <w:r>
              <w:rPr>
                <w:b/>
                <w:sz w:val="20"/>
              </w:rPr>
              <w:t>75</w:t>
            </w:r>
            <w:r>
              <w:rPr>
                <w:b/>
                <w:sz w:val="20"/>
                <w:szCs w:val="40"/>
              </w:rPr>
              <w:t>,8</w:t>
            </w:r>
          </w:p>
        </w:tc>
        <w:tc>
          <w:tcPr>
            <w:tcW w:w="1014" w:type="pct"/>
            <w:vAlign w:val="bottom"/>
          </w:tcPr>
          <w:p w:rsidR="00000000" w:rsidRDefault="00000000">
            <w:pPr>
              <w:widowControl w:val="0"/>
              <w:tabs>
                <w:tab w:val="decimal" w:pos="868"/>
              </w:tabs>
              <w:rPr>
                <w:b/>
                <w:sz w:val="20"/>
              </w:rPr>
            </w:pPr>
            <w:r>
              <w:rPr>
                <w:b/>
                <w:sz w:val="20"/>
              </w:rPr>
              <w:t>3,0</w:t>
            </w:r>
          </w:p>
        </w:tc>
      </w:tr>
    </w:tbl>
    <w:p w:rsidR="00000000" w:rsidRDefault="00000000">
      <w:pPr>
        <w:spacing w:before="200"/>
        <w:rPr>
          <w:sz w:val="20"/>
        </w:rPr>
      </w:pPr>
      <w:r>
        <w:rPr>
          <w:i/>
          <w:iCs/>
          <w:sz w:val="20"/>
        </w:rPr>
        <w:t>Fuente</w:t>
      </w:r>
      <w:r>
        <w:rPr>
          <w:sz w:val="20"/>
        </w:rPr>
        <w:t xml:space="preserve">:  Anuarios de </w:t>
      </w:r>
      <w:proofErr w:type="spellStart"/>
      <w:r>
        <w:rPr>
          <w:sz w:val="20"/>
        </w:rPr>
        <w:t>BSS/DPRE</w:t>
      </w:r>
      <w:proofErr w:type="spellEnd"/>
      <w:r>
        <w:rPr>
          <w:sz w:val="20"/>
        </w:rPr>
        <w:t>, 2003.</w:t>
      </w:r>
    </w:p>
    <w:p w:rsidR="00000000" w:rsidRDefault="00000000">
      <w:pPr>
        <w:spacing w:before="400" w:after="240"/>
      </w:pPr>
      <w:r>
        <w:t>52.</w:t>
      </w:r>
      <w:r>
        <w:tab/>
        <w:t>El número de alumnos matriculados en el año escolar 2002/03 asciende a 1.287.093, de los cuales 140.281 en la enseñanza privada.  Las zonas rurales polarizan el 48,8% del alumnado del sector público.  El porcentaje de niñas es de 49,1%.  El 9,6% del alumnado de la enseñanza primaria está matriculado en establecimientos privados.</w:t>
      </w:r>
    </w:p>
    <w:p w:rsidR="00000000" w:rsidRDefault="00000000">
      <w:pPr>
        <w:spacing w:after="240"/>
      </w:pPr>
      <w:r>
        <w:t>53.</w:t>
      </w:r>
      <w:r>
        <w:tab/>
        <w:t xml:space="preserve">Se observa una progresión sistemática.  Así la tasa bruta de escolarización ha pasado de 61,7% en 1997/98 a 75,8% en 2003.  La evolución de esta tasa obedece en primer lugar a la </w:t>
      </w:r>
      <w:proofErr w:type="spellStart"/>
      <w:r>
        <w:t>redinamización</w:t>
      </w:r>
      <w:proofErr w:type="spellEnd"/>
      <w:r>
        <w:t xml:space="preserve"> de las clases de doble flujo y de las clases multigrado y, en un segundo lugar al reclutamiento de educadores voluntarios (por término medio 2.000 al año) y a la construcción masiva de aulas (por término medio 2.000 al año).</w:t>
      </w:r>
    </w:p>
    <w:p w:rsidR="00000000" w:rsidRDefault="00000000">
      <w:pPr>
        <w:spacing w:after="240"/>
      </w:pPr>
      <w:r>
        <w:t>54.</w:t>
      </w:r>
      <w:r>
        <w:tab/>
        <w:t>Esta situación ilustra la sensibilidad de las restricciones debidas a la disponibilidad de personal y a las medidas de coste y eficacia (clases de doble flujo y clases multigrado) en la escolarización.</w:t>
      </w:r>
    </w:p>
    <w:p w:rsidR="00000000" w:rsidRDefault="00000000">
      <w:pPr>
        <w:keepNext/>
        <w:spacing w:after="240"/>
        <w:rPr>
          <w:b/>
          <w:bCs/>
        </w:rPr>
      </w:pPr>
      <w:r>
        <w:rPr>
          <w:b/>
          <w:bCs/>
        </w:rPr>
        <w:t>Calidad</w:t>
      </w:r>
    </w:p>
    <w:p w:rsidR="00000000" w:rsidRDefault="00000000">
      <w:pPr>
        <w:keepNext/>
        <w:spacing w:after="240"/>
        <w:rPr>
          <w:b/>
          <w:bCs/>
          <w:i/>
          <w:iCs/>
        </w:rPr>
      </w:pPr>
      <w:r>
        <w:rPr>
          <w:b/>
          <w:bCs/>
          <w:i/>
          <w:iCs/>
        </w:rPr>
        <w:t>Tasa de éxito en la enseñanza primaria</w:t>
      </w:r>
    </w:p>
    <w:p w:rsidR="00000000" w:rsidRDefault="00000000">
      <w:pPr>
        <w:keepNext/>
        <w:spacing w:after="240"/>
        <w:jc w:val="center"/>
        <w:rPr>
          <w:b/>
          <w:bCs/>
        </w:rPr>
      </w:pPr>
      <w:r>
        <w:rPr>
          <w:b/>
          <w:bCs/>
        </w:rPr>
        <w:t>Evolución de las tasas de acceso y de éxito</w:t>
      </w:r>
    </w:p>
    <w:tbl>
      <w:tblPr>
        <w:tblW w:w="4027" w:type="pct"/>
        <w:jc w:val="center"/>
        <w:tblInd w:w="1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734"/>
        <w:gridCol w:w="1800"/>
        <w:gridCol w:w="2159"/>
        <w:gridCol w:w="1850"/>
      </w:tblGrid>
      <w:tr w:rsidR="00000000">
        <w:trPr>
          <w:trHeight w:val="274"/>
          <w:jc w:val="center"/>
        </w:trPr>
        <w:tc>
          <w:tcPr>
            <w:tcW w:w="1149" w:type="pct"/>
            <w:noWrap/>
            <w:vAlign w:val="center"/>
          </w:tcPr>
          <w:p w:rsidR="00000000" w:rsidRDefault="00000000">
            <w:pPr>
              <w:keepNext/>
              <w:widowControl w:val="0"/>
              <w:jc w:val="center"/>
              <w:rPr>
                <w:rFonts w:eastAsia="Arial Unicode MS" w:cs="Arial"/>
                <w:b/>
              </w:rPr>
            </w:pPr>
            <w:r>
              <w:rPr>
                <w:rFonts w:eastAsia="Arial Unicode MS" w:cs="Arial"/>
                <w:b/>
              </w:rPr>
              <w:t>Años</w:t>
            </w:r>
          </w:p>
        </w:tc>
        <w:tc>
          <w:tcPr>
            <w:tcW w:w="1193" w:type="pct"/>
            <w:vAlign w:val="center"/>
          </w:tcPr>
          <w:p w:rsidR="00000000" w:rsidRDefault="00000000">
            <w:pPr>
              <w:keepNext/>
              <w:widowControl w:val="0"/>
              <w:jc w:val="center"/>
              <w:rPr>
                <w:b/>
              </w:rPr>
            </w:pPr>
            <w:r>
              <w:rPr>
                <w:b/>
              </w:rPr>
              <w:t>Tasa bruta de escolarización</w:t>
            </w:r>
          </w:p>
        </w:tc>
        <w:tc>
          <w:tcPr>
            <w:tcW w:w="1431" w:type="pct"/>
            <w:vAlign w:val="center"/>
          </w:tcPr>
          <w:p w:rsidR="00000000" w:rsidRDefault="00000000">
            <w:pPr>
              <w:keepNext/>
              <w:widowControl w:val="0"/>
              <w:jc w:val="center"/>
              <w:rPr>
                <w:rFonts w:eastAsia="Arial Unicode MS"/>
                <w:b/>
              </w:rPr>
            </w:pPr>
            <w:r>
              <w:rPr>
                <w:rFonts w:eastAsia="Arial Unicode MS"/>
                <w:b/>
              </w:rPr>
              <w:t>Tasa de acceso al primer año de enseñanza primaria</w:t>
            </w:r>
          </w:p>
        </w:tc>
        <w:tc>
          <w:tcPr>
            <w:tcW w:w="1226" w:type="pct"/>
            <w:vAlign w:val="center"/>
          </w:tcPr>
          <w:p w:rsidR="00000000" w:rsidRDefault="00000000">
            <w:pPr>
              <w:keepNext/>
              <w:widowControl w:val="0"/>
              <w:jc w:val="center"/>
              <w:rPr>
                <w:rFonts w:eastAsia="Arial Unicode MS"/>
                <w:b/>
              </w:rPr>
            </w:pPr>
            <w:r>
              <w:rPr>
                <w:rFonts w:eastAsia="Arial Unicode MS"/>
                <w:b/>
              </w:rPr>
              <w:t>Tasa de éxito en la enseñanza primaria</w:t>
            </w:r>
          </w:p>
        </w:tc>
      </w:tr>
      <w:tr w:rsidR="00000000">
        <w:trPr>
          <w:trHeight w:val="274"/>
          <w:jc w:val="center"/>
        </w:trPr>
        <w:tc>
          <w:tcPr>
            <w:tcW w:w="1149" w:type="pct"/>
            <w:noWrap/>
            <w:vAlign w:val="bottom"/>
          </w:tcPr>
          <w:p w:rsidR="00000000" w:rsidRDefault="00000000">
            <w:pPr>
              <w:widowControl w:val="0"/>
              <w:jc w:val="center"/>
              <w:rPr>
                <w:rFonts w:eastAsia="Arial Unicode MS" w:cs="Arial"/>
              </w:rPr>
            </w:pPr>
            <w:r>
              <w:rPr>
                <w:rFonts w:cs="Arial"/>
              </w:rPr>
              <w:t>1993</w:t>
            </w:r>
          </w:p>
        </w:tc>
        <w:tc>
          <w:tcPr>
            <w:tcW w:w="1193" w:type="pct"/>
          </w:tcPr>
          <w:p w:rsidR="00000000" w:rsidRDefault="00000000">
            <w:pPr>
              <w:widowControl w:val="0"/>
              <w:jc w:val="center"/>
              <w:rPr>
                <w:bCs/>
                <w:snapToGrid w:val="0"/>
              </w:rPr>
            </w:pPr>
            <w:r>
              <w:rPr>
                <w:bCs/>
                <w:snapToGrid w:val="0"/>
              </w:rPr>
              <w:t>54,27</w:t>
            </w:r>
          </w:p>
        </w:tc>
        <w:tc>
          <w:tcPr>
            <w:tcW w:w="1431" w:type="pct"/>
            <w:vAlign w:val="center"/>
          </w:tcPr>
          <w:p w:rsidR="00000000" w:rsidRDefault="00000000">
            <w:pPr>
              <w:widowControl w:val="0"/>
              <w:jc w:val="center"/>
              <w:rPr>
                <w:rFonts w:eastAsia="Arial Unicode MS"/>
                <w:bCs/>
              </w:rPr>
            </w:pPr>
            <w:r>
              <w:rPr>
                <w:bCs/>
              </w:rPr>
              <w:t>52,9</w:t>
            </w:r>
          </w:p>
        </w:tc>
        <w:tc>
          <w:tcPr>
            <w:tcW w:w="1226" w:type="pct"/>
            <w:vAlign w:val="bottom"/>
          </w:tcPr>
          <w:p w:rsidR="00000000" w:rsidRDefault="00000000">
            <w:pPr>
              <w:widowControl w:val="0"/>
              <w:jc w:val="center"/>
              <w:rPr>
                <w:rFonts w:eastAsia="Arial Unicode MS"/>
                <w:bCs/>
              </w:rPr>
            </w:pPr>
            <w:r>
              <w:rPr>
                <w:bCs/>
              </w:rPr>
              <w:t>37,8</w:t>
            </w:r>
          </w:p>
        </w:tc>
      </w:tr>
      <w:tr w:rsidR="00000000">
        <w:trPr>
          <w:trHeight w:val="274"/>
          <w:jc w:val="center"/>
        </w:trPr>
        <w:tc>
          <w:tcPr>
            <w:tcW w:w="1149" w:type="pct"/>
            <w:noWrap/>
            <w:vAlign w:val="bottom"/>
          </w:tcPr>
          <w:p w:rsidR="00000000" w:rsidRDefault="00000000">
            <w:pPr>
              <w:widowControl w:val="0"/>
              <w:jc w:val="center"/>
              <w:rPr>
                <w:rFonts w:eastAsia="Arial Unicode MS" w:cs="Arial"/>
              </w:rPr>
            </w:pPr>
            <w:r>
              <w:rPr>
                <w:rFonts w:cs="Arial"/>
              </w:rPr>
              <w:t>1994</w:t>
            </w:r>
          </w:p>
        </w:tc>
        <w:tc>
          <w:tcPr>
            <w:tcW w:w="1193" w:type="pct"/>
          </w:tcPr>
          <w:p w:rsidR="00000000" w:rsidRDefault="00000000">
            <w:pPr>
              <w:widowControl w:val="0"/>
              <w:jc w:val="center"/>
              <w:rPr>
                <w:bCs/>
                <w:snapToGrid w:val="0"/>
              </w:rPr>
            </w:pPr>
            <w:r>
              <w:rPr>
                <w:bCs/>
                <w:snapToGrid w:val="0"/>
              </w:rPr>
              <w:t>54,59</w:t>
            </w:r>
          </w:p>
        </w:tc>
        <w:tc>
          <w:tcPr>
            <w:tcW w:w="1431" w:type="pct"/>
            <w:vAlign w:val="center"/>
          </w:tcPr>
          <w:p w:rsidR="00000000" w:rsidRDefault="00000000">
            <w:pPr>
              <w:widowControl w:val="0"/>
              <w:jc w:val="center"/>
              <w:rPr>
                <w:rFonts w:eastAsia="Arial Unicode MS"/>
                <w:bCs/>
              </w:rPr>
            </w:pPr>
            <w:r>
              <w:rPr>
                <w:bCs/>
              </w:rPr>
              <w:t>55,2</w:t>
            </w:r>
          </w:p>
        </w:tc>
        <w:tc>
          <w:tcPr>
            <w:tcW w:w="1226" w:type="pct"/>
            <w:vAlign w:val="bottom"/>
          </w:tcPr>
          <w:p w:rsidR="00000000" w:rsidRDefault="00000000">
            <w:pPr>
              <w:widowControl w:val="0"/>
              <w:jc w:val="center"/>
              <w:rPr>
                <w:rFonts w:eastAsia="Arial Unicode MS"/>
                <w:bCs/>
              </w:rPr>
            </w:pPr>
            <w:r>
              <w:rPr>
                <w:bCs/>
              </w:rPr>
              <w:t>44,4</w:t>
            </w:r>
          </w:p>
        </w:tc>
      </w:tr>
      <w:tr w:rsidR="00000000">
        <w:trPr>
          <w:trHeight w:val="274"/>
          <w:jc w:val="center"/>
        </w:trPr>
        <w:tc>
          <w:tcPr>
            <w:tcW w:w="1149" w:type="pct"/>
            <w:noWrap/>
            <w:vAlign w:val="bottom"/>
          </w:tcPr>
          <w:p w:rsidR="00000000" w:rsidRDefault="00000000">
            <w:pPr>
              <w:widowControl w:val="0"/>
              <w:jc w:val="center"/>
              <w:rPr>
                <w:rFonts w:eastAsia="Arial Unicode MS" w:cs="Arial"/>
              </w:rPr>
            </w:pPr>
            <w:r>
              <w:rPr>
                <w:rFonts w:cs="Arial"/>
              </w:rPr>
              <w:t>1995</w:t>
            </w:r>
          </w:p>
        </w:tc>
        <w:tc>
          <w:tcPr>
            <w:tcW w:w="1193" w:type="pct"/>
          </w:tcPr>
          <w:p w:rsidR="00000000" w:rsidRDefault="00000000">
            <w:pPr>
              <w:widowControl w:val="0"/>
              <w:jc w:val="center"/>
              <w:rPr>
                <w:bCs/>
                <w:snapToGrid w:val="0"/>
              </w:rPr>
            </w:pPr>
            <w:r>
              <w:rPr>
                <w:bCs/>
                <w:snapToGrid w:val="0"/>
              </w:rPr>
              <w:t>54,61</w:t>
            </w:r>
          </w:p>
        </w:tc>
        <w:tc>
          <w:tcPr>
            <w:tcW w:w="1431" w:type="pct"/>
            <w:vAlign w:val="center"/>
          </w:tcPr>
          <w:p w:rsidR="00000000" w:rsidRDefault="00000000">
            <w:pPr>
              <w:widowControl w:val="0"/>
              <w:jc w:val="center"/>
              <w:rPr>
                <w:rFonts w:eastAsia="Arial Unicode MS"/>
                <w:bCs/>
              </w:rPr>
            </w:pPr>
            <w:r>
              <w:rPr>
                <w:bCs/>
              </w:rPr>
              <w:t>57,5</w:t>
            </w:r>
          </w:p>
        </w:tc>
        <w:tc>
          <w:tcPr>
            <w:tcW w:w="1226" w:type="pct"/>
            <w:vAlign w:val="bottom"/>
          </w:tcPr>
          <w:p w:rsidR="00000000" w:rsidRDefault="00000000">
            <w:pPr>
              <w:widowControl w:val="0"/>
              <w:jc w:val="center"/>
              <w:rPr>
                <w:rFonts w:eastAsia="Arial Unicode MS"/>
                <w:bCs/>
              </w:rPr>
            </w:pPr>
            <w:r>
              <w:rPr>
                <w:bCs/>
              </w:rPr>
              <w:t>41,7</w:t>
            </w:r>
          </w:p>
        </w:tc>
      </w:tr>
      <w:tr w:rsidR="00000000">
        <w:trPr>
          <w:trHeight w:val="274"/>
          <w:jc w:val="center"/>
        </w:trPr>
        <w:tc>
          <w:tcPr>
            <w:tcW w:w="1149" w:type="pct"/>
            <w:noWrap/>
            <w:vAlign w:val="bottom"/>
          </w:tcPr>
          <w:p w:rsidR="00000000" w:rsidRDefault="00000000">
            <w:pPr>
              <w:widowControl w:val="0"/>
              <w:jc w:val="center"/>
              <w:rPr>
                <w:rFonts w:eastAsia="Arial Unicode MS" w:cs="Arial"/>
              </w:rPr>
            </w:pPr>
            <w:r>
              <w:rPr>
                <w:rFonts w:cs="Arial"/>
              </w:rPr>
              <w:t>1996</w:t>
            </w:r>
          </w:p>
        </w:tc>
        <w:tc>
          <w:tcPr>
            <w:tcW w:w="1193" w:type="pct"/>
          </w:tcPr>
          <w:p w:rsidR="00000000" w:rsidRDefault="00000000">
            <w:pPr>
              <w:widowControl w:val="0"/>
              <w:jc w:val="center"/>
              <w:rPr>
                <w:bCs/>
                <w:snapToGrid w:val="0"/>
              </w:rPr>
            </w:pPr>
            <w:r>
              <w:rPr>
                <w:bCs/>
                <w:snapToGrid w:val="0"/>
              </w:rPr>
              <w:t>57,03</w:t>
            </w:r>
          </w:p>
        </w:tc>
        <w:tc>
          <w:tcPr>
            <w:tcW w:w="1431" w:type="pct"/>
            <w:vAlign w:val="center"/>
          </w:tcPr>
          <w:p w:rsidR="00000000" w:rsidRDefault="00000000">
            <w:pPr>
              <w:widowControl w:val="0"/>
              <w:jc w:val="center"/>
              <w:rPr>
                <w:rFonts w:eastAsia="Arial Unicode MS"/>
                <w:bCs/>
              </w:rPr>
            </w:pPr>
            <w:r>
              <w:rPr>
                <w:bCs/>
              </w:rPr>
              <w:t>72,3</w:t>
            </w:r>
          </w:p>
        </w:tc>
        <w:tc>
          <w:tcPr>
            <w:tcW w:w="1226" w:type="pct"/>
            <w:vAlign w:val="bottom"/>
          </w:tcPr>
          <w:p w:rsidR="00000000" w:rsidRDefault="00000000">
            <w:pPr>
              <w:widowControl w:val="0"/>
              <w:jc w:val="center"/>
              <w:rPr>
                <w:rFonts w:eastAsia="Arial Unicode MS"/>
                <w:bCs/>
              </w:rPr>
            </w:pPr>
            <w:r>
              <w:rPr>
                <w:bCs/>
              </w:rPr>
              <w:t>54,6</w:t>
            </w:r>
          </w:p>
        </w:tc>
      </w:tr>
      <w:tr w:rsidR="00000000">
        <w:trPr>
          <w:trHeight w:val="274"/>
          <w:jc w:val="center"/>
        </w:trPr>
        <w:tc>
          <w:tcPr>
            <w:tcW w:w="1149" w:type="pct"/>
            <w:noWrap/>
            <w:vAlign w:val="bottom"/>
          </w:tcPr>
          <w:p w:rsidR="00000000" w:rsidRDefault="00000000">
            <w:pPr>
              <w:widowControl w:val="0"/>
              <w:jc w:val="center"/>
              <w:rPr>
                <w:rFonts w:eastAsia="Arial Unicode MS" w:cs="Arial"/>
              </w:rPr>
            </w:pPr>
            <w:r>
              <w:rPr>
                <w:rFonts w:cs="Arial"/>
              </w:rPr>
              <w:t>1997</w:t>
            </w:r>
          </w:p>
        </w:tc>
        <w:tc>
          <w:tcPr>
            <w:tcW w:w="1193" w:type="pct"/>
          </w:tcPr>
          <w:p w:rsidR="00000000" w:rsidRDefault="00000000">
            <w:pPr>
              <w:widowControl w:val="0"/>
              <w:jc w:val="center"/>
              <w:rPr>
                <w:bCs/>
                <w:snapToGrid w:val="0"/>
              </w:rPr>
            </w:pPr>
            <w:r>
              <w:rPr>
                <w:bCs/>
                <w:snapToGrid w:val="0"/>
              </w:rPr>
              <w:t>59,70</w:t>
            </w:r>
          </w:p>
        </w:tc>
        <w:tc>
          <w:tcPr>
            <w:tcW w:w="1431" w:type="pct"/>
            <w:vAlign w:val="center"/>
          </w:tcPr>
          <w:p w:rsidR="00000000" w:rsidRDefault="00000000">
            <w:pPr>
              <w:widowControl w:val="0"/>
              <w:jc w:val="center"/>
              <w:rPr>
                <w:rFonts w:eastAsia="Arial Unicode MS"/>
                <w:bCs/>
              </w:rPr>
            </w:pPr>
            <w:r>
              <w:rPr>
                <w:bCs/>
              </w:rPr>
              <w:t>74,9</w:t>
            </w:r>
          </w:p>
        </w:tc>
        <w:tc>
          <w:tcPr>
            <w:tcW w:w="1226" w:type="pct"/>
            <w:vAlign w:val="bottom"/>
          </w:tcPr>
          <w:p w:rsidR="00000000" w:rsidRDefault="00000000">
            <w:pPr>
              <w:widowControl w:val="0"/>
              <w:jc w:val="center"/>
              <w:rPr>
                <w:rFonts w:eastAsia="Arial Unicode MS"/>
                <w:bCs/>
              </w:rPr>
            </w:pPr>
            <w:r>
              <w:rPr>
                <w:bCs/>
              </w:rPr>
              <w:t>58,3</w:t>
            </w:r>
          </w:p>
        </w:tc>
      </w:tr>
      <w:tr w:rsidR="00000000">
        <w:trPr>
          <w:trHeight w:val="274"/>
          <w:jc w:val="center"/>
        </w:trPr>
        <w:tc>
          <w:tcPr>
            <w:tcW w:w="1149" w:type="pct"/>
            <w:noWrap/>
            <w:vAlign w:val="bottom"/>
          </w:tcPr>
          <w:p w:rsidR="00000000" w:rsidRDefault="00000000">
            <w:pPr>
              <w:widowControl w:val="0"/>
              <w:jc w:val="center"/>
              <w:rPr>
                <w:rFonts w:eastAsia="Arial Unicode MS" w:cs="Arial"/>
              </w:rPr>
            </w:pPr>
            <w:r>
              <w:rPr>
                <w:rFonts w:cs="Arial"/>
              </w:rPr>
              <w:t>1998</w:t>
            </w:r>
          </w:p>
        </w:tc>
        <w:tc>
          <w:tcPr>
            <w:tcW w:w="1193" w:type="pct"/>
          </w:tcPr>
          <w:p w:rsidR="00000000" w:rsidRDefault="00000000">
            <w:pPr>
              <w:widowControl w:val="0"/>
              <w:jc w:val="center"/>
              <w:rPr>
                <w:bCs/>
                <w:snapToGrid w:val="0"/>
              </w:rPr>
            </w:pPr>
            <w:r>
              <w:rPr>
                <w:bCs/>
                <w:snapToGrid w:val="0"/>
              </w:rPr>
              <w:t>61,70</w:t>
            </w:r>
          </w:p>
        </w:tc>
        <w:tc>
          <w:tcPr>
            <w:tcW w:w="1431" w:type="pct"/>
            <w:vAlign w:val="center"/>
          </w:tcPr>
          <w:p w:rsidR="00000000" w:rsidRDefault="00000000">
            <w:pPr>
              <w:widowControl w:val="0"/>
              <w:jc w:val="center"/>
              <w:rPr>
                <w:rFonts w:eastAsia="Arial Unicode MS"/>
                <w:bCs/>
              </w:rPr>
            </w:pPr>
            <w:r>
              <w:rPr>
                <w:bCs/>
              </w:rPr>
              <w:t>70,7</w:t>
            </w:r>
          </w:p>
        </w:tc>
        <w:tc>
          <w:tcPr>
            <w:tcW w:w="1226" w:type="pct"/>
            <w:vAlign w:val="bottom"/>
          </w:tcPr>
          <w:p w:rsidR="00000000" w:rsidRDefault="00000000">
            <w:pPr>
              <w:widowControl w:val="0"/>
              <w:jc w:val="center"/>
              <w:rPr>
                <w:rFonts w:eastAsia="Arial Unicode MS"/>
                <w:bCs/>
              </w:rPr>
            </w:pPr>
            <w:r>
              <w:rPr>
                <w:bCs/>
              </w:rPr>
              <w:t>56,1</w:t>
            </w:r>
          </w:p>
        </w:tc>
      </w:tr>
      <w:tr w:rsidR="00000000">
        <w:trPr>
          <w:trHeight w:val="274"/>
          <w:jc w:val="center"/>
        </w:trPr>
        <w:tc>
          <w:tcPr>
            <w:tcW w:w="1149" w:type="pct"/>
            <w:noWrap/>
            <w:vAlign w:val="bottom"/>
          </w:tcPr>
          <w:p w:rsidR="00000000" w:rsidRDefault="00000000">
            <w:pPr>
              <w:widowControl w:val="0"/>
              <w:jc w:val="center"/>
              <w:rPr>
                <w:rFonts w:eastAsia="Arial Unicode MS" w:cs="Arial"/>
              </w:rPr>
            </w:pPr>
            <w:r>
              <w:rPr>
                <w:rFonts w:cs="Arial"/>
              </w:rPr>
              <w:t>1999</w:t>
            </w:r>
          </w:p>
        </w:tc>
        <w:tc>
          <w:tcPr>
            <w:tcW w:w="1193" w:type="pct"/>
          </w:tcPr>
          <w:p w:rsidR="00000000" w:rsidRDefault="00000000">
            <w:pPr>
              <w:widowControl w:val="0"/>
              <w:jc w:val="center"/>
              <w:rPr>
                <w:bCs/>
                <w:snapToGrid w:val="0"/>
              </w:rPr>
            </w:pPr>
            <w:r>
              <w:rPr>
                <w:bCs/>
                <w:snapToGrid w:val="0"/>
              </w:rPr>
              <w:t>65,50</w:t>
            </w:r>
          </w:p>
        </w:tc>
        <w:tc>
          <w:tcPr>
            <w:tcW w:w="1431" w:type="pct"/>
            <w:vAlign w:val="center"/>
          </w:tcPr>
          <w:p w:rsidR="00000000" w:rsidRDefault="00000000">
            <w:pPr>
              <w:widowControl w:val="0"/>
              <w:jc w:val="center"/>
              <w:rPr>
                <w:rFonts w:eastAsia="Arial Unicode MS"/>
                <w:bCs/>
              </w:rPr>
            </w:pPr>
            <w:r>
              <w:rPr>
                <w:bCs/>
              </w:rPr>
              <w:t>69,2</w:t>
            </w:r>
          </w:p>
        </w:tc>
        <w:tc>
          <w:tcPr>
            <w:tcW w:w="1226" w:type="pct"/>
            <w:vAlign w:val="bottom"/>
          </w:tcPr>
          <w:p w:rsidR="00000000" w:rsidRDefault="00000000">
            <w:pPr>
              <w:widowControl w:val="0"/>
              <w:jc w:val="center"/>
              <w:rPr>
                <w:rFonts w:eastAsia="Arial Unicode MS"/>
                <w:bCs/>
              </w:rPr>
            </w:pPr>
            <w:r>
              <w:rPr>
                <w:bCs/>
              </w:rPr>
              <w:t>34,0</w:t>
            </w:r>
          </w:p>
        </w:tc>
      </w:tr>
      <w:tr w:rsidR="00000000">
        <w:trPr>
          <w:trHeight w:val="274"/>
          <w:jc w:val="center"/>
        </w:trPr>
        <w:tc>
          <w:tcPr>
            <w:tcW w:w="1149" w:type="pct"/>
            <w:noWrap/>
            <w:vAlign w:val="bottom"/>
          </w:tcPr>
          <w:p w:rsidR="00000000" w:rsidRDefault="00000000">
            <w:pPr>
              <w:widowControl w:val="0"/>
              <w:jc w:val="center"/>
              <w:rPr>
                <w:rFonts w:eastAsia="Arial Unicode MS" w:cs="Arial"/>
              </w:rPr>
            </w:pPr>
            <w:r>
              <w:rPr>
                <w:rFonts w:cs="Arial"/>
              </w:rPr>
              <w:t>2000</w:t>
            </w:r>
          </w:p>
        </w:tc>
        <w:tc>
          <w:tcPr>
            <w:tcW w:w="1193" w:type="pct"/>
          </w:tcPr>
          <w:p w:rsidR="00000000" w:rsidRDefault="00000000">
            <w:pPr>
              <w:widowControl w:val="0"/>
              <w:jc w:val="center"/>
              <w:rPr>
                <w:bCs/>
              </w:rPr>
            </w:pPr>
            <w:r>
              <w:rPr>
                <w:bCs/>
              </w:rPr>
              <w:t>68,30</w:t>
            </w:r>
          </w:p>
        </w:tc>
        <w:tc>
          <w:tcPr>
            <w:tcW w:w="1431" w:type="pct"/>
            <w:vAlign w:val="center"/>
          </w:tcPr>
          <w:p w:rsidR="00000000" w:rsidRDefault="00000000">
            <w:pPr>
              <w:widowControl w:val="0"/>
              <w:jc w:val="center"/>
              <w:rPr>
                <w:rFonts w:eastAsia="Arial Unicode MS"/>
                <w:bCs/>
              </w:rPr>
            </w:pPr>
            <w:r>
              <w:rPr>
                <w:bCs/>
              </w:rPr>
              <w:t>84,6</w:t>
            </w:r>
          </w:p>
        </w:tc>
        <w:tc>
          <w:tcPr>
            <w:tcW w:w="1226" w:type="pct"/>
            <w:vAlign w:val="bottom"/>
          </w:tcPr>
          <w:p w:rsidR="00000000" w:rsidRDefault="00000000">
            <w:pPr>
              <w:widowControl w:val="0"/>
              <w:jc w:val="center"/>
              <w:rPr>
                <w:rFonts w:eastAsia="Arial Unicode MS"/>
                <w:bCs/>
              </w:rPr>
            </w:pPr>
            <w:r>
              <w:rPr>
                <w:bCs/>
              </w:rPr>
              <w:t>57,4</w:t>
            </w:r>
          </w:p>
        </w:tc>
      </w:tr>
      <w:tr w:rsidR="00000000">
        <w:trPr>
          <w:trHeight w:val="274"/>
          <w:jc w:val="center"/>
        </w:trPr>
        <w:tc>
          <w:tcPr>
            <w:tcW w:w="1149" w:type="pct"/>
            <w:noWrap/>
            <w:vAlign w:val="bottom"/>
          </w:tcPr>
          <w:p w:rsidR="00000000" w:rsidRDefault="00000000">
            <w:pPr>
              <w:widowControl w:val="0"/>
              <w:jc w:val="center"/>
              <w:rPr>
                <w:rFonts w:eastAsia="Arial Unicode MS" w:cs="Arial"/>
              </w:rPr>
            </w:pPr>
            <w:r>
              <w:rPr>
                <w:rFonts w:cs="Arial"/>
              </w:rPr>
              <w:t>2001</w:t>
            </w:r>
          </w:p>
        </w:tc>
        <w:tc>
          <w:tcPr>
            <w:tcW w:w="1193" w:type="pct"/>
          </w:tcPr>
          <w:p w:rsidR="00000000" w:rsidRDefault="00000000">
            <w:pPr>
              <w:widowControl w:val="0"/>
              <w:jc w:val="center"/>
              <w:rPr>
                <w:bCs/>
              </w:rPr>
            </w:pPr>
          </w:p>
        </w:tc>
        <w:tc>
          <w:tcPr>
            <w:tcW w:w="1431" w:type="pct"/>
            <w:vAlign w:val="center"/>
          </w:tcPr>
          <w:p w:rsidR="00000000" w:rsidRDefault="00000000">
            <w:pPr>
              <w:widowControl w:val="0"/>
              <w:jc w:val="center"/>
              <w:rPr>
                <w:rFonts w:eastAsia="Arial Unicode MS"/>
                <w:bCs/>
              </w:rPr>
            </w:pPr>
            <w:r>
              <w:rPr>
                <w:bCs/>
              </w:rPr>
              <w:t>76,1</w:t>
            </w:r>
          </w:p>
        </w:tc>
        <w:tc>
          <w:tcPr>
            <w:tcW w:w="1226" w:type="pct"/>
            <w:vAlign w:val="bottom"/>
          </w:tcPr>
          <w:p w:rsidR="00000000" w:rsidRDefault="00000000">
            <w:pPr>
              <w:widowControl w:val="0"/>
              <w:jc w:val="center"/>
              <w:rPr>
                <w:rFonts w:eastAsia="Arial Unicode MS"/>
                <w:bCs/>
              </w:rPr>
            </w:pPr>
            <w:r>
              <w:rPr>
                <w:bCs/>
              </w:rPr>
              <w:t>45,3</w:t>
            </w:r>
          </w:p>
        </w:tc>
      </w:tr>
    </w:tbl>
    <w:p w:rsidR="00000000" w:rsidRDefault="00000000">
      <w:pPr>
        <w:spacing w:before="480" w:after="240"/>
        <w:rPr>
          <w:b/>
          <w:bCs/>
        </w:rPr>
      </w:pPr>
      <w:r>
        <w:rPr>
          <w:b/>
          <w:bCs/>
        </w:rPr>
        <w:t>Rendimiento interno</w:t>
      </w:r>
    </w:p>
    <w:p w:rsidR="00000000" w:rsidRDefault="00000000">
      <w:pPr>
        <w:spacing w:before="240" w:after="240"/>
        <w:rPr>
          <w:b/>
          <w:bCs/>
          <w:i/>
          <w:iCs/>
        </w:rPr>
      </w:pPr>
      <w:r>
        <w:rPr>
          <w:b/>
          <w:bCs/>
          <w:i/>
          <w:iCs/>
        </w:rPr>
        <w:t>Tasa de repetición</w:t>
      </w:r>
    </w:p>
    <w:p w:rsidR="00000000" w:rsidRDefault="00000000">
      <w:pPr>
        <w:spacing w:before="240" w:after="240"/>
      </w:pPr>
      <w:r>
        <w:t>55.</w:t>
      </w:r>
      <w:r>
        <w:tab/>
        <w:t>La tasa de repetición era igual o superior a 10% en todos los niveles de la enseñanza primaria en 2002 y aumentaba de 10,5% el primer año a 26,0% el sexto año.</w:t>
      </w:r>
    </w:p>
    <w:p w:rsidR="00000000" w:rsidRDefault="00000000">
      <w:pPr>
        <w:spacing w:before="240" w:after="240"/>
      </w:pPr>
      <w:r>
        <w:t>56.</w:t>
      </w:r>
      <w:r>
        <w:tab/>
        <w:t>En comparación con 2001, se observan mejoras en el segundo año, el quinto año y el sexto año, en los que se ha pasado respectivamente de 12,5 a 10,99%, de 16,2 a 15,28% y de 29,53 a 26,08%.</w:t>
      </w:r>
    </w:p>
    <w:p w:rsidR="00000000" w:rsidRDefault="00000000">
      <w:pPr>
        <w:spacing w:after="180"/>
        <w:jc w:val="center"/>
        <w:rPr>
          <w:b/>
          <w:bCs/>
          <w:sz w:val="18"/>
        </w:rPr>
      </w:pPr>
      <w:r>
        <w:rPr>
          <w:b/>
          <w:bCs/>
          <w:sz w:val="18"/>
        </w:rPr>
        <w:t>Evolución de la tasa de repetición entre 1997/98 y 2001/02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684"/>
        <w:gridCol w:w="484"/>
        <w:gridCol w:w="486"/>
        <w:gridCol w:w="486"/>
        <w:gridCol w:w="486"/>
        <w:gridCol w:w="486"/>
        <w:gridCol w:w="486"/>
        <w:gridCol w:w="484"/>
        <w:gridCol w:w="486"/>
        <w:gridCol w:w="486"/>
        <w:gridCol w:w="486"/>
        <w:gridCol w:w="486"/>
        <w:gridCol w:w="486"/>
        <w:gridCol w:w="484"/>
        <w:gridCol w:w="486"/>
        <w:gridCol w:w="486"/>
        <w:gridCol w:w="486"/>
        <w:gridCol w:w="486"/>
        <w:gridCol w:w="475"/>
      </w:tblGrid>
      <w:tr w:rsidR="00000000">
        <w:tblPrEx>
          <w:tblCellMar>
            <w:top w:w="0" w:type="dxa"/>
            <w:bottom w:w="0" w:type="dxa"/>
          </w:tblCellMar>
        </w:tblPrEx>
        <w:trPr>
          <w:cantSplit/>
          <w:jc w:val="center"/>
        </w:trPr>
        <w:tc>
          <w:tcPr>
            <w:tcW w:w="363" w:type="pct"/>
            <w:vMerge w:val="restart"/>
          </w:tcPr>
          <w:p w:rsidR="00000000" w:rsidRDefault="00000000">
            <w:pPr>
              <w:widowControl w:val="0"/>
              <w:rPr>
                <w:bCs/>
                <w:snapToGrid w:val="0"/>
                <w:sz w:val="18"/>
              </w:rPr>
            </w:pPr>
          </w:p>
        </w:tc>
        <w:tc>
          <w:tcPr>
            <w:tcW w:w="773" w:type="pct"/>
            <w:gridSpan w:val="3"/>
          </w:tcPr>
          <w:p w:rsidR="00000000" w:rsidRDefault="00000000">
            <w:pPr>
              <w:widowControl w:val="0"/>
              <w:jc w:val="center"/>
              <w:rPr>
                <w:b/>
                <w:snapToGrid w:val="0"/>
                <w:sz w:val="18"/>
              </w:rPr>
            </w:pPr>
            <w:r>
              <w:rPr>
                <w:b/>
                <w:snapToGrid w:val="0"/>
                <w:sz w:val="18"/>
              </w:rPr>
              <w:t>Primer año</w:t>
            </w:r>
          </w:p>
        </w:tc>
        <w:tc>
          <w:tcPr>
            <w:tcW w:w="774" w:type="pct"/>
            <w:gridSpan w:val="3"/>
          </w:tcPr>
          <w:p w:rsidR="00000000" w:rsidRDefault="00000000">
            <w:pPr>
              <w:widowControl w:val="0"/>
              <w:jc w:val="center"/>
              <w:rPr>
                <w:b/>
                <w:snapToGrid w:val="0"/>
                <w:sz w:val="18"/>
              </w:rPr>
            </w:pPr>
            <w:r>
              <w:rPr>
                <w:b/>
                <w:snapToGrid w:val="0"/>
                <w:sz w:val="18"/>
              </w:rPr>
              <w:t>Segundo año</w:t>
            </w:r>
          </w:p>
        </w:tc>
        <w:tc>
          <w:tcPr>
            <w:tcW w:w="773" w:type="pct"/>
            <w:gridSpan w:val="3"/>
          </w:tcPr>
          <w:p w:rsidR="00000000" w:rsidRDefault="00000000">
            <w:pPr>
              <w:widowControl w:val="0"/>
              <w:jc w:val="center"/>
              <w:rPr>
                <w:b/>
                <w:snapToGrid w:val="0"/>
                <w:sz w:val="18"/>
              </w:rPr>
            </w:pPr>
            <w:r>
              <w:rPr>
                <w:b/>
                <w:snapToGrid w:val="0"/>
                <w:sz w:val="18"/>
              </w:rPr>
              <w:t>Tercer año</w:t>
            </w:r>
          </w:p>
        </w:tc>
        <w:tc>
          <w:tcPr>
            <w:tcW w:w="774" w:type="pct"/>
            <w:gridSpan w:val="3"/>
          </w:tcPr>
          <w:p w:rsidR="00000000" w:rsidRDefault="00000000">
            <w:pPr>
              <w:widowControl w:val="0"/>
              <w:jc w:val="center"/>
              <w:rPr>
                <w:b/>
                <w:snapToGrid w:val="0"/>
                <w:sz w:val="18"/>
              </w:rPr>
            </w:pPr>
            <w:r>
              <w:rPr>
                <w:b/>
                <w:snapToGrid w:val="0"/>
                <w:sz w:val="18"/>
              </w:rPr>
              <w:t>Cuarto año</w:t>
            </w:r>
          </w:p>
        </w:tc>
        <w:tc>
          <w:tcPr>
            <w:tcW w:w="773" w:type="pct"/>
            <w:gridSpan w:val="3"/>
          </w:tcPr>
          <w:p w:rsidR="00000000" w:rsidRDefault="00000000">
            <w:pPr>
              <w:widowControl w:val="0"/>
              <w:jc w:val="center"/>
              <w:rPr>
                <w:b/>
                <w:snapToGrid w:val="0"/>
                <w:sz w:val="18"/>
              </w:rPr>
            </w:pPr>
            <w:r>
              <w:rPr>
                <w:b/>
                <w:snapToGrid w:val="0"/>
                <w:sz w:val="18"/>
              </w:rPr>
              <w:t>Quinto año</w:t>
            </w:r>
          </w:p>
        </w:tc>
        <w:tc>
          <w:tcPr>
            <w:tcW w:w="768" w:type="pct"/>
            <w:gridSpan w:val="3"/>
          </w:tcPr>
          <w:p w:rsidR="00000000" w:rsidRDefault="00000000">
            <w:pPr>
              <w:widowControl w:val="0"/>
              <w:jc w:val="center"/>
              <w:rPr>
                <w:b/>
                <w:snapToGrid w:val="0"/>
                <w:sz w:val="18"/>
              </w:rPr>
            </w:pPr>
            <w:r>
              <w:rPr>
                <w:b/>
                <w:snapToGrid w:val="0"/>
                <w:sz w:val="18"/>
              </w:rPr>
              <w:t>Sexto año</w:t>
            </w:r>
          </w:p>
        </w:tc>
      </w:tr>
      <w:tr w:rsidR="00000000">
        <w:tblPrEx>
          <w:tblCellMar>
            <w:top w:w="0" w:type="dxa"/>
            <w:bottom w:w="0" w:type="dxa"/>
          </w:tblCellMar>
        </w:tblPrEx>
        <w:trPr>
          <w:cantSplit/>
          <w:jc w:val="center"/>
        </w:trPr>
        <w:tc>
          <w:tcPr>
            <w:tcW w:w="363" w:type="pct"/>
            <w:vMerge/>
          </w:tcPr>
          <w:p w:rsidR="00000000" w:rsidRDefault="00000000">
            <w:pPr>
              <w:widowControl w:val="0"/>
              <w:rPr>
                <w:bCs/>
                <w:snapToGrid w:val="0"/>
                <w:sz w:val="18"/>
              </w:rPr>
            </w:pPr>
          </w:p>
        </w:tc>
        <w:tc>
          <w:tcPr>
            <w:tcW w:w="257" w:type="pct"/>
          </w:tcPr>
          <w:p w:rsidR="00000000" w:rsidRDefault="00000000">
            <w:pPr>
              <w:widowControl w:val="0"/>
              <w:jc w:val="center"/>
              <w:rPr>
                <w:b/>
                <w:snapToGrid w:val="0"/>
                <w:sz w:val="18"/>
                <w:lang w:val="en-US"/>
              </w:rPr>
            </w:pPr>
            <w:r>
              <w:rPr>
                <w:b/>
                <w:snapToGrid w:val="0"/>
                <w:sz w:val="18"/>
                <w:lang w:val="en-US"/>
              </w:rPr>
              <w:t>M</w:t>
            </w:r>
          </w:p>
        </w:tc>
        <w:tc>
          <w:tcPr>
            <w:tcW w:w="258" w:type="pct"/>
          </w:tcPr>
          <w:p w:rsidR="00000000" w:rsidRDefault="00000000">
            <w:pPr>
              <w:widowControl w:val="0"/>
              <w:jc w:val="center"/>
              <w:rPr>
                <w:b/>
                <w:snapToGrid w:val="0"/>
                <w:sz w:val="18"/>
                <w:lang w:val="en-US"/>
              </w:rPr>
            </w:pPr>
            <w:r>
              <w:rPr>
                <w:b/>
                <w:snapToGrid w:val="0"/>
                <w:sz w:val="18"/>
                <w:lang w:val="en-US"/>
              </w:rPr>
              <w:t>F</w:t>
            </w:r>
          </w:p>
        </w:tc>
        <w:tc>
          <w:tcPr>
            <w:tcW w:w="258" w:type="pct"/>
          </w:tcPr>
          <w:p w:rsidR="00000000" w:rsidRDefault="00000000">
            <w:pPr>
              <w:widowControl w:val="0"/>
              <w:jc w:val="center"/>
              <w:rPr>
                <w:b/>
                <w:snapToGrid w:val="0"/>
                <w:sz w:val="18"/>
                <w:lang w:val="en-US"/>
              </w:rPr>
            </w:pPr>
            <w:r>
              <w:rPr>
                <w:b/>
                <w:snapToGrid w:val="0"/>
                <w:sz w:val="18"/>
                <w:lang w:val="en-US"/>
              </w:rPr>
              <w:t>MF</w:t>
            </w:r>
          </w:p>
        </w:tc>
        <w:tc>
          <w:tcPr>
            <w:tcW w:w="258" w:type="pct"/>
          </w:tcPr>
          <w:p w:rsidR="00000000" w:rsidRDefault="00000000">
            <w:pPr>
              <w:widowControl w:val="0"/>
              <w:jc w:val="center"/>
              <w:rPr>
                <w:b/>
                <w:snapToGrid w:val="0"/>
                <w:sz w:val="18"/>
                <w:lang w:val="en-US"/>
              </w:rPr>
            </w:pPr>
            <w:r>
              <w:rPr>
                <w:b/>
                <w:snapToGrid w:val="0"/>
                <w:sz w:val="18"/>
                <w:lang w:val="en-US"/>
              </w:rPr>
              <w:t>M</w:t>
            </w:r>
          </w:p>
        </w:tc>
        <w:tc>
          <w:tcPr>
            <w:tcW w:w="258" w:type="pct"/>
          </w:tcPr>
          <w:p w:rsidR="00000000" w:rsidRDefault="00000000">
            <w:pPr>
              <w:widowControl w:val="0"/>
              <w:jc w:val="center"/>
              <w:rPr>
                <w:b/>
                <w:snapToGrid w:val="0"/>
                <w:sz w:val="18"/>
                <w:lang w:val="en-US"/>
              </w:rPr>
            </w:pPr>
            <w:r>
              <w:rPr>
                <w:b/>
                <w:snapToGrid w:val="0"/>
                <w:sz w:val="18"/>
                <w:lang w:val="en-US"/>
              </w:rPr>
              <w:t>F</w:t>
            </w:r>
          </w:p>
        </w:tc>
        <w:tc>
          <w:tcPr>
            <w:tcW w:w="258" w:type="pct"/>
          </w:tcPr>
          <w:p w:rsidR="00000000" w:rsidRDefault="00000000">
            <w:pPr>
              <w:widowControl w:val="0"/>
              <w:jc w:val="center"/>
              <w:rPr>
                <w:b/>
                <w:snapToGrid w:val="0"/>
                <w:sz w:val="18"/>
                <w:lang w:val="en-US"/>
              </w:rPr>
            </w:pPr>
            <w:r>
              <w:rPr>
                <w:b/>
                <w:snapToGrid w:val="0"/>
                <w:sz w:val="18"/>
                <w:lang w:val="en-US"/>
              </w:rPr>
              <w:t>MF</w:t>
            </w:r>
          </w:p>
        </w:tc>
        <w:tc>
          <w:tcPr>
            <w:tcW w:w="257" w:type="pct"/>
          </w:tcPr>
          <w:p w:rsidR="00000000" w:rsidRDefault="00000000">
            <w:pPr>
              <w:widowControl w:val="0"/>
              <w:jc w:val="center"/>
              <w:rPr>
                <w:b/>
                <w:snapToGrid w:val="0"/>
                <w:sz w:val="18"/>
                <w:lang w:val="en-US"/>
              </w:rPr>
            </w:pPr>
            <w:r>
              <w:rPr>
                <w:b/>
                <w:snapToGrid w:val="0"/>
                <w:sz w:val="18"/>
                <w:lang w:val="en-US"/>
              </w:rPr>
              <w:t>M</w:t>
            </w:r>
          </w:p>
        </w:tc>
        <w:tc>
          <w:tcPr>
            <w:tcW w:w="258" w:type="pct"/>
          </w:tcPr>
          <w:p w:rsidR="00000000" w:rsidRDefault="00000000">
            <w:pPr>
              <w:widowControl w:val="0"/>
              <w:jc w:val="center"/>
              <w:rPr>
                <w:b/>
                <w:snapToGrid w:val="0"/>
                <w:sz w:val="18"/>
                <w:lang w:val="en-US"/>
              </w:rPr>
            </w:pPr>
            <w:r>
              <w:rPr>
                <w:b/>
                <w:snapToGrid w:val="0"/>
                <w:sz w:val="18"/>
                <w:lang w:val="en-US"/>
              </w:rPr>
              <w:t>F</w:t>
            </w:r>
          </w:p>
        </w:tc>
        <w:tc>
          <w:tcPr>
            <w:tcW w:w="258" w:type="pct"/>
          </w:tcPr>
          <w:p w:rsidR="00000000" w:rsidRDefault="00000000">
            <w:pPr>
              <w:widowControl w:val="0"/>
              <w:jc w:val="center"/>
              <w:rPr>
                <w:b/>
                <w:snapToGrid w:val="0"/>
                <w:sz w:val="18"/>
                <w:lang w:val="en-US"/>
              </w:rPr>
            </w:pPr>
            <w:r>
              <w:rPr>
                <w:b/>
                <w:snapToGrid w:val="0"/>
                <w:sz w:val="18"/>
                <w:lang w:val="en-US"/>
              </w:rPr>
              <w:t>MF</w:t>
            </w:r>
          </w:p>
        </w:tc>
        <w:tc>
          <w:tcPr>
            <w:tcW w:w="258" w:type="pct"/>
          </w:tcPr>
          <w:p w:rsidR="00000000" w:rsidRDefault="00000000">
            <w:pPr>
              <w:widowControl w:val="0"/>
              <w:jc w:val="center"/>
              <w:rPr>
                <w:b/>
                <w:snapToGrid w:val="0"/>
                <w:sz w:val="18"/>
                <w:lang w:val="en-US"/>
              </w:rPr>
            </w:pPr>
            <w:r>
              <w:rPr>
                <w:b/>
                <w:snapToGrid w:val="0"/>
                <w:sz w:val="18"/>
                <w:lang w:val="en-US"/>
              </w:rPr>
              <w:t>M</w:t>
            </w:r>
          </w:p>
        </w:tc>
        <w:tc>
          <w:tcPr>
            <w:tcW w:w="258" w:type="pct"/>
          </w:tcPr>
          <w:p w:rsidR="00000000" w:rsidRDefault="00000000">
            <w:pPr>
              <w:widowControl w:val="0"/>
              <w:jc w:val="center"/>
              <w:rPr>
                <w:b/>
                <w:snapToGrid w:val="0"/>
                <w:sz w:val="18"/>
                <w:lang w:val="en-US"/>
              </w:rPr>
            </w:pPr>
            <w:r>
              <w:rPr>
                <w:b/>
                <w:snapToGrid w:val="0"/>
                <w:sz w:val="18"/>
                <w:lang w:val="en-US"/>
              </w:rPr>
              <w:t>F</w:t>
            </w:r>
          </w:p>
        </w:tc>
        <w:tc>
          <w:tcPr>
            <w:tcW w:w="258" w:type="pct"/>
          </w:tcPr>
          <w:p w:rsidR="00000000" w:rsidRDefault="00000000">
            <w:pPr>
              <w:widowControl w:val="0"/>
              <w:jc w:val="center"/>
              <w:rPr>
                <w:b/>
                <w:snapToGrid w:val="0"/>
                <w:sz w:val="18"/>
                <w:lang w:val="en-US"/>
              </w:rPr>
            </w:pPr>
            <w:r>
              <w:rPr>
                <w:b/>
                <w:snapToGrid w:val="0"/>
                <w:sz w:val="18"/>
                <w:lang w:val="en-US"/>
              </w:rPr>
              <w:t>MF</w:t>
            </w:r>
          </w:p>
        </w:tc>
        <w:tc>
          <w:tcPr>
            <w:tcW w:w="257" w:type="pct"/>
          </w:tcPr>
          <w:p w:rsidR="00000000" w:rsidRDefault="00000000">
            <w:pPr>
              <w:widowControl w:val="0"/>
              <w:jc w:val="center"/>
              <w:rPr>
                <w:b/>
                <w:snapToGrid w:val="0"/>
                <w:sz w:val="18"/>
                <w:lang w:val="en-US"/>
              </w:rPr>
            </w:pPr>
            <w:r>
              <w:rPr>
                <w:b/>
                <w:snapToGrid w:val="0"/>
                <w:sz w:val="18"/>
                <w:lang w:val="en-US"/>
              </w:rPr>
              <w:t>M</w:t>
            </w:r>
          </w:p>
        </w:tc>
        <w:tc>
          <w:tcPr>
            <w:tcW w:w="258" w:type="pct"/>
          </w:tcPr>
          <w:p w:rsidR="00000000" w:rsidRDefault="00000000">
            <w:pPr>
              <w:widowControl w:val="0"/>
              <w:jc w:val="center"/>
              <w:rPr>
                <w:b/>
                <w:snapToGrid w:val="0"/>
                <w:sz w:val="18"/>
                <w:lang w:val="en-US"/>
              </w:rPr>
            </w:pPr>
            <w:r>
              <w:rPr>
                <w:b/>
                <w:snapToGrid w:val="0"/>
                <w:sz w:val="18"/>
                <w:lang w:val="en-US"/>
              </w:rPr>
              <w:t>F</w:t>
            </w:r>
          </w:p>
        </w:tc>
        <w:tc>
          <w:tcPr>
            <w:tcW w:w="258" w:type="pct"/>
          </w:tcPr>
          <w:p w:rsidR="00000000" w:rsidRDefault="00000000">
            <w:pPr>
              <w:widowControl w:val="0"/>
              <w:jc w:val="center"/>
              <w:rPr>
                <w:b/>
                <w:snapToGrid w:val="0"/>
                <w:sz w:val="18"/>
                <w:lang w:val="en-US"/>
              </w:rPr>
            </w:pPr>
            <w:r>
              <w:rPr>
                <w:b/>
                <w:snapToGrid w:val="0"/>
                <w:sz w:val="18"/>
                <w:lang w:val="en-US"/>
              </w:rPr>
              <w:t>MF</w:t>
            </w:r>
          </w:p>
        </w:tc>
        <w:tc>
          <w:tcPr>
            <w:tcW w:w="258" w:type="pct"/>
          </w:tcPr>
          <w:p w:rsidR="00000000" w:rsidRDefault="00000000">
            <w:pPr>
              <w:widowControl w:val="0"/>
              <w:jc w:val="center"/>
              <w:rPr>
                <w:b/>
                <w:snapToGrid w:val="0"/>
                <w:sz w:val="18"/>
                <w:lang w:val="en-US"/>
              </w:rPr>
            </w:pPr>
            <w:r>
              <w:rPr>
                <w:b/>
                <w:snapToGrid w:val="0"/>
                <w:sz w:val="18"/>
                <w:lang w:val="en-US"/>
              </w:rPr>
              <w:t>M</w:t>
            </w:r>
          </w:p>
        </w:tc>
        <w:tc>
          <w:tcPr>
            <w:tcW w:w="258" w:type="pct"/>
          </w:tcPr>
          <w:p w:rsidR="00000000" w:rsidRDefault="00000000">
            <w:pPr>
              <w:widowControl w:val="0"/>
              <w:jc w:val="center"/>
              <w:rPr>
                <w:b/>
                <w:snapToGrid w:val="0"/>
                <w:sz w:val="18"/>
                <w:lang w:val="en-US"/>
              </w:rPr>
            </w:pPr>
            <w:r>
              <w:rPr>
                <w:b/>
                <w:snapToGrid w:val="0"/>
                <w:sz w:val="18"/>
                <w:lang w:val="en-US"/>
              </w:rPr>
              <w:t>F</w:t>
            </w:r>
          </w:p>
        </w:tc>
        <w:tc>
          <w:tcPr>
            <w:tcW w:w="252" w:type="pct"/>
          </w:tcPr>
          <w:p w:rsidR="00000000" w:rsidRDefault="00000000">
            <w:pPr>
              <w:widowControl w:val="0"/>
              <w:jc w:val="center"/>
              <w:rPr>
                <w:b/>
                <w:snapToGrid w:val="0"/>
                <w:sz w:val="18"/>
                <w:lang w:val="en-US"/>
              </w:rPr>
            </w:pPr>
            <w:r>
              <w:rPr>
                <w:b/>
                <w:snapToGrid w:val="0"/>
                <w:sz w:val="18"/>
                <w:lang w:val="en-US"/>
              </w:rPr>
              <w:t>MF</w:t>
            </w:r>
          </w:p>
        </w:tc>
      </w:tr>
      <w:tr w:rsidR="00000000">
        <w:tblPrEx>
          <w:tblCellMar>
            <w:top w:w="0" w:type="dxa"/>
            <w:bottom w:w="0" w:type="dxa"/>
          </w:tblCellMar>
        </w:tblPrEx>
        <w:trPr>
          <w:jc w:val="center"/>
        </w:trPr>
        <w:tc>
          <w:tcPr>
            <w:tcW w:w="363" w:type="pct"/>
          </w:tcPr>
          <w:p w:rsidR="00000000" w:rsidRDefault="00000000">
            <w:pPr>
              <w:widowControl w:val="0"/>
              <w:rPr>
                <w:bCs/>
                <w:snapToGrid w:val="0"/>
                <w:sz w:val="18"/>
              </w:rPr>
            </w:pPr>
            <w:r>
              <w:rPr>
                <w:bCs/>
                <w:snapToGrid w:val="0"/>
                <w:sz w:val="18"/>
              </w:rPr>
              <w:t>1993/94</w:t>
            </w:r>
          </w:p>
        </w:tc>
        <w:tc>
          <w:tcPr>
            <w:tcW w:w="257" w:type="pct"/>
          </w:tcPr>
          <w:p w:rsidR="00000000" w:rsidRDefault="00000000">
            <w:pPr>
              <w:widowControl w:val="0"/>
              <w:tabs>
                <w:tab w:val="decimal" w:pos="178"/>
              </w:tabs>
              <w:jc w:val="right"/>
              <w:rPr>
                <w:bCs/>
                <w:snapToGrid w:val="0"/>
                <w:sz w:val="18"/>
              </w:rPr>
            </w:pPr>
            <w:r>
              <w:rPr>
                <w:bCs/>
                <w:snapToGrid w:val="0"/>
                <w:sz w:val="18"/>
              </w:rPr>
              <w:t>11,3</w:t>
            </w:r>
          </w:p>
        </w:tc>
        <w:tc>
          <w:tcPr>
            <w:tcW w:w="258" w:type="pct"/>
          </w:tcPr>
          <w:p w:rsidR="00000000" w:rsidRDefault="00000000">
            <w:pPr>
              <w:widowControl w:val="0"/>
              <w:tabs>
                <w:tab w:val="decimal" w:pos="178"/>
              </w:tabs>
              <w:jc w:val="right"/>
              <w:rPr>
                <w:bCs/>
                <w:snapToGrid w:val="0"/>
                <w:sz w:val="18"/>
              </w:rPr>
            </w:pPr>
            <w:r>
              <w:rPr>
                <w:bCs/>
                <w:snapToGrid w:val="0"/>
                <w:sz w:val="18"/>
              </w:rPr>
              <w:t>10,6</w:t>
            </w:r>
          </w:p>
        </w:tc>
        <w:tc>
          <w:tcPr>
            <w:tcW w:w="258" w:type="pct"/>
          </w:tcPr>
          <w:p w:rsidR="00000000" w:rsidRDefault="00000000">
            <w:pPr>
              <w:widowControl w:val="0"/>
              <w:tabs>
                <w:tab w:val="decimal" w:pos="178"/>
              </w:tabs>
              <w:jc w:val="right"/>
              <w:rPr>
                <w:bCs/>
                <w:snapToGrid w:val="0"/>
                <w:sz w:val="18"/>
              </w:rPr>
            </w:pPr>
            <w:r>
              <w:rPr>
                <w:bCs/>
                <w:snapToGrid w:val="0"/>
                <w:sz w:val="18"/>
              </w:rPr>
              <w:t>11,4</w:t>
            </w:r>
          </w:p>
        </w:tc>
        <w:tc>
          <w:tcPr>
            <w:tcW w:w="258" w:type="pct"/>
          </w:tcPr>
          <w:p w:rsidR="00000000" w:rsidRDefault="00000000">
            <w:pPr>
              <w:widowControl w:val="0"/>
              <w:tabs>
                <w:tab w:val="decimal" w:pos="178"/>
              </w:tabs>
              <w:jc w:val="right"/>
              <w:rPr>
                <w:bCs/>
                <w:snapToGrid w:val="0"/>
                <w:sz w:val="18"/>
              </w:rPr>
            </w:pPr>
            <w:r>
              <w:rPr>
                <w:bCs/>
                <w:snapToGrid w:val="0"/>
                <w:sz w:val="18"/>
              </w:rPr>
              <w:t>11,9</w:t>
            </w:r>
          </w:p>
        </w:tc>
        <w:tc>
          <w:tcPr>
            <w:tcW w:w="258" w:type="pct"/>
          </w:tcPr>
          <w:p w:rsidR="00000000" w:rsidRDefault="00000000">
            <w:pPr>
              <w:widowControl w:val="0"/>
              <w:tabs>
                <w:tab w:val="decimal" w:pos="178"/>
              </w:tabs>
              <w:jc w:val="right"/>
              <w:rPr>
                <w:bCs/>
                <w:snapToGrid w:val="0"/>
                <w:sz w:val="18"/>
              </w:rPr>
            </w:pPr>
            <w:r>
              <w:rPr>
                <w:bCs/>
                <w:snapToGrid w:val="0"/>
                <w:sz w:val="18"/>
              </w:rPr>
              <w:t>12,3</w:t>
            </w:r>
          </w:p>
        </w:tc>
        <w:tc>
          <w:tcPr>
            <w:tcW w:w="258" w:type="pct"/>
          </w:tcPr>
          <w:p w:rsidR="00000000" w:rsidRDefault="00000000">
            <w:pPr>
              <w:widowControl w:val="0"/>
              <w:tabs>
                <w:tab w:val="decimal" w:pos="178"/>
              </w:tabs>
              <w:jc w:val="right"/>
              <w:rPr>
                <w:bCs/>
                <w:snapToGrid w:val="0"/>
                <w:sz w:val="18"/>
              </w:rPr>
            </w:pPr>
            <w:r>
              <w:rPr>
                <w:bCs/>
                <w:snapToGrid w:val="0"/>
                <w:sz w:val="18"/>
              </w:rPr>
              <w:t>12,1</w:t>
            </w:r>
          </w:p>
        </w:tc>
        <w:tc>
          <w:tcPr>
            <w:tcW w:w="257" w:type="pct"/>
          </w:tcPr>
          <w:p w:rsidR="00000000" w:rsidRDefault="00000000">
            <w:pPr>
              <w:widowControl w:val="0"/>
              <w:tabs>
                <w:tab w:val="decimal" w:pos="178"/>
              </w:tabs>
              <w:jc w:val="right"/>
              <w:rPr>
                <w:bCs/>
                <w:snapToGrid w:val="0"/>
                <w:sz w:val="18"/>
              </w:rPr>
            </w:pPr>
            <w:r>
              <w:rPr>
                <w:bCs/>
                <w:snapToGrid w:val="0"/>
                <w:sz w:val="18"/>
              </w:rPr>
              <w:t>12,2</w:t>
            </w:r>
          </w:p>
        </w:tc>
        <w:tc>
          <w:tcPr>
            <w:tcW w:w="258" w:type="pct"/>
          </w:tcPr>
          <w:p w:rsidR="00000000" w:rsidRDefault="00000000">
            <w:pPr>
              <w:widowControl w:val="0"/>
              <w:tabs>
                <w:tab w:val="decimal" w:pos="178"/>
              </w:tabs>
              <w:jc w:val="right"/>
              <w:rPr>
                <w:bCs/>
                <w:snapToGrid w:val="0"/>
                <w:sz w:val="18"/>
              </w:rPr>
            </w:pPr>
            <w:r>
              <w:rPr>
                <w:bCs/>
                <w:snapToGrid w:val="0"/>
                <w:sz w:val="18"/>
              </w:rPr>
              <w:t>12,9</w:t>
            </w:r>
          </w:p>
        </w:tc>
        <w:tc>
          <w:tcPr>
            <w:tcW w:w="258" w:type="pct"/>
          </w:tcPr>
          <w:p w:rsidR="00000000" w:rsidRDefault="00000000">
            <w:pPr>
              <w:widowControl w:val="0"/>
              <w:tabs>
                <w:tab w:val="decimal" w:pos="178"/>
              </w:tabs>
              <w:jc w:val="right"/>
              <w:rPr>
                <w:bCs/>
                <w:snapToGrid w:val="0"/>
                <w:sz w:val="18"/>
              </w:rPr>
            </w:pPr>
            <w:r>
              <w:rPr>
                <w:bCs/>
                <w:snapToGrid w:val="0"/>
                <w:sz w:val="18"/>
              </w:rPr>
              <w:t>12,5</w:t>
            </w:r>
          </w:p>
        </w:tc>
        <w:tc>
          <w:tcPr>
            <w:tcW w:w="258" w:type="pct"/>
          </w:tcPr>
          <w:p w:rsidR="00000000" w:rsidRDefault="00000000">
            <w:pPr>
              <w:widowControl w:val="0"/>
              <w:tabs>
                <w:tab w:val="decimal" w:pos="178"/>
              </w:tabs>
              <w:jc w:val="right"/>
              <w:rPr>
                <w:bCs/>
                <w:snapToGrid w:val="0"/>
                <w:sz w:val="18"/>
              </w:rPr>
            </w:pPr>
            <w:r>
              <w:rPr>
                <w:bCs/>
                <w:snapToGrid w:val="0"/>
                <w:sz w:val="18"/>
              </w:rPr>
              <w:t>13,3</w:t>
            </w:r>
          </w:p>
        </w:tc>
        <w:tc>
          <w:tcPr>
            <w:tcW w:w="258" w:type="pct"/>
          </w:tcPr>
          <w:p w:rsidR="00000000" w:rsidRDefault="00000000">
            <w:pPr>
              <w:widowControl w:val="0"/>
              <w:tabs>
                <w:tab w:val="decimal" w:pos="178"/>
              </w:tabs>
              <w:jc w:val="right"/>
              <w:rPr>
                <w:bCs/>
                <w:snapToGrid w:val="0"/>
                <w:sz w:val="18"/>
              </w:rPr>
            </w:pPr>
            <w:r>
              <w:rPr>
                <w:bCs/>
                <w:snapToGrid w:val="0"/>
                <w:sz w:val="18"/>
              </w:rPr>
              <w:t>13,6</w:t>
            </w:r>
          </w:p>
        </w:tc>
        <w:tc>
          <w:tcPr>
            <w:tcW w:w="258" w:type="pct"/>
          </w:tcPr>
          <w:p w:rsidR="00000000" w:rsidRDefault="00000000">
            <w:pPr>
              <w:widowControl w:val="0"/>
              <w:tabs>
                <w:tab w:val="decimal" w:pos="178"/>
              </w:tabs>
              <w:jc w:val="right"/>
              <w:rPr>
                <w:bCs/>
                <w:snapToGrid w:val="0"/>
                <w:sz w:val="18"/>
              </w:rPr>
            </w:pPr>
            <w:r>
              <w:rPr>
                <w:bCs/>
                <w:snapToGrid w:val="0"/>
                <w:sz w:val="18"/>
              </w:rPr>
              <w:t>13,4</w:t>
            </w:r>
          </w:p>
        </w:tc>
        <w:tc>
          <w:tcPr>
            <w:tcW w:w="257" w:type="pct"/>
          </w:tcPr>
          <w:p w:rsidR="00000000" w:rsidRDefault="00000000">
            <w:pPr>
              <w:widowControl w:val="0"/>
              <w:tabs>
                <w:tab w:val="decimal" w:pos="178"/>
              </w:tabs>
              <w:jc w:val="right"/>
              <w:rPr>
                <w:bCs/>
                <w:snapToGrid w:val="0"/>
                <w:sz w:val="18"/>
              </w:rPr>
            </w:pPr>
            <w:r>
              <w:rPr>
                <w:bCs/>
                <w:snapToGrid w:val="0"/>
                <w:sz w:val="18"/>
              </w:rPr>
              <w:t>16,3</w:t>
            </w:r>
          </w:p>
        </w:tc>
        <w:tc>
          <w:tcPr>
            <w:tcW w:w="258" w:type="pct"/>
          </w:tcPr>
          <w:p w:rsidR="00000000" w:rsidRDefault="00000000">
            <w:pPr>
              <w:widowControl w:val="0"/>
              <w:tabs>
                <w:tab w:val="decimal" w:pos="178"/>
              </w:tabs>
              <w:jc w:val="right"/>
              <w:rPr>
                <w:bCs/>
                <w:snapToGrid w:val="0"/>
                <w:sz w:val="18"/>
              </w:rPr>
            </w:pPr>
            <w:r>
              <w:rPr>
                <w:bCs/>
                <w:snapToGrid w:val="0"/>
                <w:sz w:val="18"/>
              </w:rPr>
              <w:t>17,4</w:t>
            </w:r>
          </w:p>
        </w:tc>
        <w:tc>
          <w:tcPr>
            <w:tcW w:w="258" w:type="pct"/>
          </w:tcPr>
          <w:p w:rsidR="00000000" w:rsidRDefault="00000000">
            <w:pPr>
              <w:widowControl w:val="0"/>
              <w:tabs>
                <w:tab w:val="decimal" w:pos="178"/>
              </w:tabs>
              <w:jc w:val="right"/>
              <w:rPr>
                <w:bCs/>
                <w:snapToGrid w:val="0"/>
                <w:sz w:val="18"/>
              </w:rPr>
            </w:pPr>
            <w:r>
              <w:rPr>
                <w:bCs/>
                <w:snapToGrid w:val="0"/>
                <w:sz w:val="18"/>
              </w:rPr>
              <w:t>16,7</w:t>
            </w:r>
          </w:p>
        </w:tc>
        <w:tc>
          <w:tcPr>
            <w:tcW w:w="258" w:type="pct"/>
          </w:tcPr>
          <w:p w:rsidR="00000000" w:rsidRDefault="00000000">
            <w:pPr>
              <w:widowControl w:val="0"/>
              <w:tabs>
                <w:tab w:val="decimal" w:pos="178"/>
              </w:tabs>
              <w:jc w:val="right"/>
              <w:rPr>
                <w:bCs/>
                <w:snapToGrid w:val="0"/>
                <w:sz w:val="18"/>
              </w:rPr>
            </w:pPr>
            <w:r>
              <w:rPr>
                <w:bCs/>
                <w:snapToGrid w:val="0"/>
                <w:sz w:val="18"/>
              </w:rPr>
              <w:t>28,8</w:t>
            </w:r>
          </w:p>
        </w:tc>
        <w:tc>
          <w:tcPr>
            <w:tcW w:w="258" w:type="pct"/>
          </w:tcPr>
          <w:p w:rsidR="00000000" w:rsidRDefault="00000000">
            <w:pPr>
              <w:widowControl w:val="0"/>
              <w:tabs>
                <w:tab w:val="decimal" w:pos="178"/>
              </w:tabs>
              <w:jc w:val="right"/>
              <w:rPr>
                <w:bCs/>
                <w:snapToGrid w:val="0"/>
                <w:sz w:val="18"/>
              </w:rPr>
            </w:pPr>
            <w:r>
              <w:rPr>
                <w:bCs/>
                <w:snapToGrid w:val="0"/>
                <w:sz w:val="18"/>
              </w:rPr>
              <w:t>31,0</w:t>
            </w:r>
          </w:p>
        </w:tc>
        <w:tc>
          <w:tcPr>
            <w:tcW w:w="252" w:type="pct"/>
          </w:tcPr>
          <w:p w:rsidR="00000000" w:rsidRDefault="00000000">
            <w:pPr>
              <w:widowControl w:val="0"/>
              <w:tabs>
                <w:tab w:val="decimal" w:pos="178"/>
              </w:tabs>
              <w:jc w:val="right"/>
              <w:rPr>
                <w:bCs/>
                <w:snapToGrid w:val="0"/>
                <w:sz w:val="18"/>
              </w:rPr>
            </w:pPr>
            <w:r>
              <w:rPr>
                <w:bCs/>
                <w:snapToGrid w:val="0"/>
                <w:sz w:val="18"/>
              </w:rPr>
              <w:t>29,7</w:t>
            </w:r>
          </w:p>
        </w:tc>
      </w:tr>
      <w:tr w:rsidR="00000000">
        <w:tblPrEx>
          <w:tblCellMar>
            <w:top w:w="0" w:type="dxa"/>
            <w:bottom w:w="0" w:type="dxa"/>
          </w:tblCellMar>
        </w:tblPrEx>
        <w:trPr>
          <w:jc w:val="center"/>
        </w:trPr>
        <w:tc>
          <w:tcPr>
            <w:tcW w:w="363" w:type="pct"/>
          </w:tcPr>
          <w:p w:rsidR="00000000" w:rsidRDefault="00000000">
            <w:pPr>
              <w:widowControl w:val="0"/>
              <w:rPr>
                <w:bCs/>
                <w:snapToGrid w:val="0"/>
                <w:sz w:val="18"/>
              </w:rPr>
            </w:pPr>
            <w:r>
              <w:rPr>
                <w:bCs/>
                <w:snapToGrid w:val="0"/>
                <w:sz w:val="18"/>
              </w:rPr>
              <w:t>1994/95</w:t>
            </w:r>
          </w:p>
        </w:tc>
        <w:tc>
          <w:tcPr>
            <w:tcW w:w="257" w:type="pct"/>
          </w:tcPr>
          <w:p w:rsidR="00000000" w:rsidRDefault="00000000">
            <w:pPr>
              <w:widowControl w:val="0"/>
              <w:tabs>
                <w:tab w:val="decimal" w:pos="178"/>
              </w:tabs>
              <w:jc w:val="right"/>
              <w:rPr>
                <w:bCs/>
                <w:snapToGrid w:val="0"/>
                <w:sz w:val="18"/>
              </w:rPr>
            </w:pPr>
            <w:r>
              <w:rPr>
                <w:bCs/>
                <w:snapToGrid w:val="0"/>
                <w:sz w:val="18"/>
              </w:rPr>
              <w:t>10,6</w:t>
            </w:r>
          </w:p>
        </w:tc>
        <w:tc>
          <w:tcPr>
            <w:tcW w:w="258" w:type="pct"/>
          </w:tcPr>
          <w:p w:rsidR="00000000" w:rsidRDefault="00000000">
            <w:pPr>
              <w:widowControl w:val="0"/>
              <w:tabs>
                <w:tab w:val="decimal" w:pos="178"/>
              </w:tabs>
              <w:jc w:val="right"/>
              <w:rPr>
                <w:bCs/>
                <w:snapToGrid w:val="0"/>
                <w:sz w:val="18"/>
              </w:rPr>
            </w:pPr>
            <w:r>
              <w:rPr>
                <w:bCs/>
                <w:snapToGrid w:val="0"/>
                <w:sz w:val="18"/>
              </w:rPr>
              <w:t>11,1</w:t>
            </w:r>
          </w:p>
        </w:tc>
        <w:tc>
          <w:tcPr>
            <w:tcW w:w="258" w:type="pct"/>
          </w:tcPr>
          <w:p w:rsidR="00000000" w:rsidRDefault="00000000">
            <w:pPr>
              <w:widowControl w:val="0"/>
              <w:tabs>
                <w:tab w:val="decimal" w:pos="178"/>
              </w:tabs>
              <w:jc w:val="right"/>
              <w:rPr>
                <w:bCs/>
                <w:snapToGrid w:val="0"/>
                <w:sz w:val="18"/>
              </w:rPr>
            </w:pPr>
            <w:r>
              <w:rPr>
                <w:bCs/>
                <w:snapToGrid w:val="0"/>
                <w:sz w:val="18"/>
              </w:rPr>
              <w:t>10,8</w:t>
            </w:r>
          </w:p>
        </w:tc>
        <w:tc>
          <w:tcPr>
            <w:tcW w:w="258" w:type="pct"/>
          </w:tcPr>
          <w:p w:rsidR="00000000" w:rsidRDefault="00000000">
            <w:pPr>
              <w:widowControl w:val="0"/>
              <w:tabs>
                <w:tab w:val="decimal" w:pos="178"/>
              </w:tabs>
              <w:jc w:val="right"/>
              <w:rPr>
                <w:bCs/>
                <w:snapToGrid w:val="0"/>
                <w:sz w:val="18"/>
              </w:rPr>
            </w:pPr>
            <w:r>
              <w:rPr>
                <w:bCs/>
                <w:snapToGrid w:val="0"/>
                <w:sz w:val="18"/>
              </w:rPr>
              <w:t>11,0</w:t>
            </w:r>
          </w:p>
        </w:tc>
        <w:tc>
          <w:tcPr>
            <w:tcW w:w="258" w:type="pct"/>
          </w:tcPr>
          <w:p w:rsidR="00000000" w:rsidRDefault="00000000">
            <w:pPr>
              <w:widowControl w:val="0"/>
              <w:tabs>
                <w:tab w:val="decimal" w:pos="178"/>
              </w:tabs>
              <w:jc w:val="right"/>
              <w:rPr>
                <w:bCs/>
                <w:snapToGrid w:val="0"/>
                <w:sz w:val="18"/>
              </w:rPr>
            </w:pPr>
            <w:r>
              <w:rPr>
                <w:bCs/>
                <w:snapToGrid w:val="0"/>
                <w:sz w:val="18"/>
              </w:rPr>
              <w:t>12,1</w:t>
            </w:r>
          </w:p>
        </w:tc>
        <w:tc>
          <w:tcPr>
            <w:tcW w:w="258" w:type="pct"/>
          </w:tcPr>
          <w:p w:rsidR="00000000" w:rsidRDefault="00000000">
            <w:pPr>
              <w:widowControl w:val="0"/>
              <w:tabs>
                <w:tab w:val="decimal" w:pos="178"/>
              </w:tabs>
              <w:jc w:val="right"/>
              <w:rPr>
                <w:bCs/>
                <w:snapToGrid w:val="0"/>
                <w:sz w:val="18"/>
              </w:rPr>
            </w:pPr>
            <w:r>
              <w:rPr>
                <w:bCs/>
                <w:snapToGrid w:val="0"/>
                <w:sz w:val="18"/>
              </w:rPr>
              <w:t>11,5</w:t>
            </w:r>
          </w:p>
        </w:tc>
        <w:tc>
          <w:tcPr>
            <w:tcW w:w="257" w:type="pct"/>
          </w:tcPr>
          <w:p w:rsidR="00000000" w:rsidRDefault="00000000">
            <w:pPr>
              <w:widowControl w:val="0"/>
              <w:tabs>
                <w:tab w:val="decimal" w:pos="178"/>
              </w:tabs>
              <w:jc w:val="right"/>
              <w:rPr>
                <w:bCs/>
                <w:snapToGrid w:val="0"/>
                <w:sz w:val="18"/>
              </w:rPr>
            </w:pPr>
            <w:r>
              <w:rPr>
                <w:bCs/>
                <w:snapToGrid w:val="0"/>
                <w:sz w:val="18"/>
              </w:rPr>
              <w:t>12,1</w:t>
            </w:r>
          </w:p>
        </w:tc>
        <w:tc>
          <w:tcPr>
            <w:tcW w:w="258" w:type="pct"/>
          </w:tcPr>
          <w:p w:rsidR="00000000" w:rsidRDefault="00000000">
            <w:pPr>
              <w:widowControl w:val="0"/>
              <w:tabs>
                <w:tab w:val="decimal" w:pos="178"/>
              </w:tabs>
              <w:jc w:val="right"/>
              <w:rPr>
                <w:bCs/>
                <w:snapToGrid w:val="0"/>
                <w:sz w:val="18"/>
              </w:rPr>
            </w:pPr>
            <w:r>
              <w:rPr>
                <w:bCs/>
                <w:snapToGrid w:val="0"/>
                <w:sz w:val="18"/>
              </w:rPr>
              <w:t>12,7</w:t>
            </w:r>
          </w:p>
        </w:tc>
        <w:tc>
          <w:tcPr>
            <w:tcW w:w="258" w:type="pct"/>
          </w:tcPr>
          <w:p w:rsidR="00000000" w:rsidRDefault="00000000">
            <w:pPr>
              <w:widowControl w:val="0"/>
              <w:tabs>
                <w:tab w:val="decimal" w:pos="178"/>
              </w:tabs>
              <w:jc w:val="right"/>
              <w:rPr>
                <w:bCs/>
                <w:snapToGrid w:val="0"/>
                <w:sz w:val="18"/>
              </w:rPr>
            </w:pPr>
            <w:r>
              <w:rPr>
                <w:bCs/>
                <w:snapToGrid w:val="0"/>
                <w:sz w:val="18"/>
              </w:rPr>
              <w:t>12,4</w:t>
            </w:r>
          </w:p>
        </w:tc>
        <w:tc>
          <w:tcPr>
            <w:tcW w:w="258" w:type="pct"/>
          </w:tcPr>
          <w:p w:rsidR="00000000" w:rsidRDefault="00000000">
            <w:pPr>
              <w:widowControl w:val="0"/>
              <w:tabs>
                <w:tab w:val="decimal" w:pos="178"/>
              </w:tabs>
              <w:jc w:val="right"/>
              <w:rPr>
                <w:bCs/>
                <w:snapToGrid w:val="0"/>
                <w:sz w:val="18"/>
              </w:rPr>
            </w:pPr>
            <w:r>
              <w:rPr>
                <w:bCs/>
                <w:snapToGrid w:val="0"/>
                <w:sz w:val="18"/>
              </w:rPr>
              <w:t>12,1</w:t>
            </w:r>
          </w:p>
        </w:tc>
        <w:tc>
          <w:tcPr>
            <w:tcW w:w="258" w:type="pct"/>
          </w:tcPr>
          <w:p w:rsidR="00000000" w:rsidRDefault="00000000">
            <w:pPr>
              <w:widowControl w:val="0"/>
              <w:tabs>
                <w:tab w:val="decimal" w:pos="178"/>
              </w:tabs>
              <w:jc w:val="right"/>
              <w:rPr>
                <w:bCs/>
                <w:snapToGrid w:val="0"/>
                <w:sz w:val="18"/>
              </w:rPr>
            </w:pPr>
            <w:r>
              <w:rPr>
                <w:bCs/>
                <w:snapToGrid w:val="0"/>
                <w:sz w:val="18"/>
              </w:rPr>
              <w:t>12,9</w:t>
            </w:r>
          </w:p>
        </w:tc>
        <w:tc>
          <w:tcPr>
            <w:tcW w:w="258" w:type="pct"/>
          </w:tcPr>
          <w:p w:rsidR="00000000" w:rsidRDefault="00000000">
            <w:pPr>
              <w:widowControl w:val="0"/>
              <w:tabs>
                <w:tab w:val="decimal" w:pos="178"/>
              </w:tabs>
              <w:jc w:val="right"/>
              <w:rPr>
                <w:bCs/>
                <w:snapToGrid w:val="0"/>
                <w:sz w:val="18"/>
              </w:rPr>
            </w:pPr>
            <w:r>
              <w:rPr>
                <w:bCs/>
                <w:snapToGrid w:val="0"/>
                <w:sz w:val="18"/>
              </w:rPr>
              <w:t>12,4</w:t>
            </w:r>
          </w:p>
        </w:tc>
        <w:tc>
          <w:tcPr>
            <w:tcW w:w="257" w:type="pct"/>
          </w:tcPr>
          <w:p w:rsidR="00000000" w:rsidRDefault="00000000">
            <w:pPr>
              <w:widowControl w:val="0"/>
              <w:tabs>
                <w:tab w:val="decimal" w:pos="178"/>
              </w:tabs>
              <w:jc w:val="right"/>
              <w:rPr>
                <w:bCs/>
                <w:snapToGrid w:val="0"/>
                <w:sz w:val="18"/>
              </w:rPr>
            </w:pPr>
            <w:r>
              <w:rPr>
                <w:bCs/>
                <w:snapToGrid w:val="0"/>
                <w:sz w:val="18"/>
              </w:rPr>
              <w:t>15,6</w:t>
            </w:r>
          </w:p>
        </w:tc>
        <w:tc>
          <w:tcPr>
            <w:tcW w:w="258" w:type="pct"/>
          </w:tcPr>
          <w:p w:rsidR="00000000" w:rsidRDefault="00000000">
            <w:pPr>
              <w:widowControl w:val="0"/>
              <w:tabs>
                <w:tab w:val="decimal" w:pos="178"/>
              </w:tabs>
              <w:jc w:val="right"/>
              <w:rPr>
                <w:bCs/>
                <w:snapToGrid w:val="0"/>
                <w:sz w:val="18"/>
              </w:rPr>
            </w:pPr>
            <w:r>
              <w:rPr>
                <w:bCs/>
                <w:snapToGrid w:val="0"/>
                <w:sz w:val="18"/>
              </w:rPr>
              <w:t>16,7</w:t>
            </w:r>
          </w:p>
        </w:tc>
        <w:tc>
          <w:tcPr>
            <w:tcW w:w="258" w:type="pct"/>
          </w:tcPr>
          <w:p w:rsidR="00000000" w:rsidRDefault="00000000">
            <w:pPr>
              <w:widowControl w:val="0"/>
              <w:tabs>
                <w:tab w:val="decimal" w:pos="178"/>
              </w:tabs>
              <w:jc w:val="right"/>
              <w:rPr>
                <w:bCs/>
                <w:snapToGrid w:val="0"/>
                <w:sz w:val="18"/>
              </w:rPr>
            </w:pPr>
            <w:r>
              <w:rPr>
                <w:bCs/>
                <w:snapToGrid w:val="0"/>
                <w:sz w:val="18"/>
              </w:rPr>
              <w:t>16,0</w:t>
            </w:r>
          </w:p>
        </w:tc>
        <w:tc>
          <w:tcPr>
            <w:tcW w:w="258" w:type="pct"/>
          </w:tcPr>
          <w:p w:rsidR="00000000" w:rsidRDefault="00000000">
            <w:pPr>
              <w:widowControl w:val="0"/>
              <w:tabs>
                <w:tab w:val="decimal" w:pos="178"/>
              </w:tabs>
              <w:jc w:val="right"/>
              <w:rPr>
                <w:bCs/>
                <w:snapToGrid w:val="0"/>
                <w:sz w:val="18"/>
              </w:rPr>
            </w:pPr>
            <w:r>
              <w:rPr>
                <w:bCs/>
                <w:snapToGrid w:val="0"/>
                <w:sz w:val="18"/>
              </w:rPr>
              <w:t>28,4</w:t>
            </w:r>
          </w:p>
        </w:tc>
        <w:tc>
          <w:tcPr>
            <w:tcW w:w="258" w:type="pct"/>
          </w:tcPr>
          <w:p w:rsidR="00000000" w:rsidRDefault="00000000">
            <w:pPr>
              <w:widowControl w:val="0"/>
              <w:tabs>
                <w:tab w:val="decimal" w:pos="178"/>
              </w:tabs>
              <w:jc w:val="right"/>
              <w:rPr>
                <w:bCs/>
                <w:snapToGrid w:val="0"/>
                <w:sz w:val="18"/>
              </w:rPr>
            </w:pPr>
            <w:r>
              <w:rPr>
                <w:bCs/>
                <w:snapToGrid w:val="0"/>
                <w:sz w:val="18"/>
              </w:rPr>
              <w:t>30,3</w:t>
            </w:r>
          </w:p>
        </w:tc>
        <w:tc>
          <w:tcPr>
            <w:tcW w:w="252" w:type="pct"/>
          </w:tcPr>
          <w:p w:rsidR="00000000" w:rsidRDefault="00000000">
            <w:pPr>
              <w:widowControl w:val="0"/>
              <w:tabs>
                <w:tab w:val="decimal" w:pos="178"/>
              </w:tabs>
              <w:jc w:val="right"/>
              <w:rPr>
                <w:bCs/>
                <w:snapToGrid w:val="0"/>
                <w:sz w:val="18"/>
              </w:rPr>
            </w:pPr>
            <w:r>
              <w:rPr>
                <w:bCs/>
                <w:snapToGrid w:val="0"/>
                <w:sz w:val="18"/>
              </w:rPr>
              <w:t>29,2</w:t>
            </w:r>
          </w:p>
        </w:tc>
      </w:tr>
      <w:tr w:rsidR="00000000">
        <w:tblPrEx>
          <w:tblCellMar>
            <w:top w:w="0" w:type="dxa"/>
            <w:bottom w:w="0" w:type="dxa"/>
          </w:tblCellMar>
        </w:tblPrEx>
        <w:trPr>
          <w:jc w:val="center"/>
        </w:trPr>
        <w:tc>
          <w:tcPr>
            <w:tcW w:w="363" w:type="pct"/>
          </w:tcPr>
          <w:p w:rsidR="00000000" w:rsidRDefault="00000000">
            <w:pPr>
              <w:widowControl w:val="0"/>
              <w:rPr>
                <w:bCs/>
                <w:snapToGrid w:val="0"/>
                <w:sz w:val="18"/>
              </w:rPr>
            </w:pPr>
            <w:r>
              <w:rPr>
                <w:bCs/>
                <w:snapToGrid w:val="0"/>
                <w:sz w:val="18"/>
              </w:rPr>
              <w:t>1995/96</w:t>
            </w:r>
          </w:p>
        </w:tc>
        <w:tc>
          <w:tcPr>
            <w:tcW w:w="257" w:type="pct"/>
          </w:tcPr>
          <w:p w:rsidR="00000000" w:rsidRDefault="00000000">
            <w:pPr>
              <w:widowControl w:val="0"/>
              <w:tabs>
                <w:tab w:val="decimal" w:pos="178"/>
              </w:tabs>
              <w:jc w:val="right"/>
              <w:rPr>
                <w:bCs/>
                <w:snapToGrid w:val="0"/>
                <w:sz w:val="18"/>
              </w:rPr>
            </w:pPr>
            <w:r>
              <w:rPr>
                <w:bCs/>
                <w:snapToGrid w:val="0"/>
                <w:sz w:val="18"/>
              </w:rPr>
              <w:t>11,0</w:t>
            </w:r>
          </w:p>
        </w:tc>
        <w:tc>
          <w:tcPr>
            <w:tcW w:w="258" w:type="pct"/>
          </w:tcPr>
          <w:p w:rsidR="00000000" w:rsidRDefault="00000000">
            <w:pPr>
              <w:widowControl w:val="0"/>
              <w:tabs>
                <w:tab w:val="decimal" w:pos="178"/>
              </w:tabs>
              <w:jc w:val="right"/>
              <w:rPr>
                <w:bCs/>
                <w:snapToGrid w:val="0"/>
                <w:sz w:val="18"/>
              </w:rPr>
            </w:pPr>
            <w:r>
              <w:rPr>
                <w:bCs/>
                <w:snapToGrid w:val="0"/>
                <w:sz w:val="18"/>
              </w:rPr>
              <w:t>11,4</w:t>
            </w:r>
          </w:p>
        </w:tc>
        <w:tc>
          <w:tcPr>
            <w:tcW w:w="258" w:type="pct"/>
          </w:tcPr>
          <w:p w:rsidR="00000000" w:rsidRDefault="00000000">
            <w:pPr>
              <w:widowControl w:val="0"/>
              <w:tabs>
                <w:tab w:val="decimal" w:pos="178"/>
              </w:tabs>
              <w:jc w:val="right"/>
              <w:rPr>
                <w:bCs/>
                <w:snapToGrid w:val="0"/>
                <w:sz w:val="18"/>
              </w:rPr>
            </w:pPr>
            <w:r>
              <w:rPr>
                <w:bCs/>
                <w:snapToGrid w:val="0"/>
                <w:sz w:val="18"/>
              </w:rPr>
              <w:t>11,2</w:t>
            </w:r>
          </w:p>
        </w:tc>
        <w:tc>
          <w:tcPr>
            <w:tcW w:w="258" w:type="pct"/>
          </w:tcPr>
          <w:p w:rsidR="00000000" w:rsidRDefault="00000000">
            <w:pPr>
              <w:widowControl w:val="0"/>
              <w:tabs>
                <w:tab w:val="decimal" w:pos="178"/>
              </w:tabs>
              <w:jc w:val="right"/>
              <w:rPr>
                <w:bCs/>
                <w:snapToGrid w:val="0"/>
                <w:sz w:val="18"/>
              </w:rPr>
            </w:pPr>
            <w:r>
              <w:rPr>
                <w:bCs/>
                <w:snapToGrid w:val="0"/>
                <w:sz w:val="18"/>
              </w:rPr>
              <w:t>10,9</w:t>
            </w:r>
          </w:p>
        </w:tc>
        <w:tc>
          <w:tcPr>
            <w:tcW w:w="258" w:type="pct"/>
          </w:tcPr>
          <w:p w:rsidR="00000000" w:rsidRDefault="00000000">
            <w:pPr>
              <w:widowControl w:val="0"/>
              <w:tabs>
                <w:tab w:val="decimal" w:pos="178"/>
              </w:tabs>
              <w:jc w:val="right"/>
              <w:rPr>
                <w:bCs/>
                <w:snapToGrid w:val="0"/>
                <w:sz w:val="18"/>
              </w:rPr>
            </w:pPr>
            <w:r>
              <w:rPr>
                <w:bCs/>
                <w:snapToGrid w:val="0"/>
                <w:sz w:val="18"/>
              </w:rPr>
              <w:t>11,6</w:t>
            </w:r>
          </w:p>
        </w:tc>
        <w:tc>
          <w:tcPr>
            <w:tcW w:w="258" w:type="pct"/>
          </w:tcPr>
          <w:p w:rsidR="00000000" w:rsidRDefault="00000000">
            <w:pPr>
              <w:widowControl w:val="0"/>
              <w:tabs>
                <w:tab w:val="decimal" w:pos="178"/>
              </w:tabs>
              <w:jc w:val="right"/>
              <w:rPr>
                <w:bCs/>
                <w:snapToGrid w:val="0"/>
                <w:sz w:val="18"/>
              </w:rPr>
            </w:pPr>
            <w:r>
              <w:rPr>
                <w:bCs/>
                <w:snapToGrid w:val="0"/>
                <w:sz w:val="18"/>
              </w:rPr>
              <w:t>11,2</w:t>
            </w:r>
          </w:p>
        </w:tc>
        <w:tc>
          <w:tcPr>
            <w:tcW w:w="257" w:type="pct"/>
          </w:tcPr>
          <w:p w:rsidR="00000000" w:rsidRDefault="00000000">
            <w:pPr>
              <w:widowControl w:val="0"/>
              <w:tabs>
                <w:tab w:val="decimal" w:pos="178"/>
              </w:tabs>
              <w:jc w:val="right"/>
              <w:rPr>
                <w:bCs/>
                <w:snapToGrid w:val="0"/>
                <w:sz w:val="18"/>
              </w:rPr>
            </w:pPr>
            <w:r>
              <w:rPr>
                <w:bCs/>
                <w:snapToGrid w:val="0"/>
                <w:sz w:val="18"/>
              </w:rPr>
              <w:t>12,3</w:t>
            </w:r>
          </w:p>
        </w:tc>
        <w:tc>
          <w:tcPr>
            <w:tcW w:w="258" w:type="pct"/>
          </w:tcPr>
          <w:p w:rsidR="00000000" w:rsidRDefault="00000000">
            <w:pPr>
              <w:widowControl w:val="0"/>
              <w:tabs>
                <w:tab w:val="decimal" w:pos="178"/>
              </w:tabs>
              <w:jc w:val="right"/>
              <w:rPr>
                <w:bCs/>
                <w:snapToGrid w:val="0"/>
                <w:sz w:val="18"/>
              </w:rPr>
            </w:pPr>
            <w:r>
              <w:rPr>
                <w:bCs/>
                <w:snapToGrid w:val="0"/>
                <w:sz w:val="18"/>
              </w:rPr>
              <w:t>13,2</w:t>
            </w:r>
          </w:p>
        </w:tc>
        <w:tc>
          <w:tcPr>
            <w:tcW w:w="258" w:type="pct"/>
          </w:tcPr>
          <w:p w:rsidR="00000000" w:rsidRDefault="00000000">
            <w:pPr>
              <w:widowControl w:val="0"/>
              <w:tabs>
                <w:tab w:val="decimal" w:pos="178"/>
              </w:tabs>
              <w:jc w:val="right"/>
              <w:rPr>
                <w:bCs/>
                <w:snapToGrid w:val="0"/>
                <w:sz w:val="18"/>
              </w:rPr>
            </w:pPr>
            <w:r>
              <w:rPr>
                <w:bCs/>
                <w:snapToGrid w:val="0"/>
                <w:sz w:val="18"/>
              </w:rPr>
              <w:t>12,7</w:t>
            </w:r>
          </w:p>
        </w:tc>
        <w:tc>
          <w:tcPr>
            <w:tcW w:w="258" w:type="pct"/>
          </w:tcPr>
          <w:p w:rsidR="00000000" w:rsidRDefault="00000000">
            <w:pPr>
              <w:widowControl w:val="0"/>
              <w:tabs>
                <w:tab w:val="decimal" w:pos="178"/>
              </w:tabs>
              <w:jc w:val="right"/>
              <w:rPr>
                <w:bCs/>
                <w:snapToGrid w:val="0"/>
                <w:sz w:val="18"/>
              </w:rPr>
            </w:pPr>
            <w:r>
              <w:rPr>
                <w:bCs/>
                <w:snapToGrid w:val="0"/>
                <w:sz w:val="18"/>
              </w:rPr>
              <w:t>12,2</w:t>
            </w:r>
          </w:p>
        </w:tc>
        <w:tc>
          <w:tcPr>
            <w:tcW w:w="258" w:type="pct"/>
          </w:tcPr>
          <w:p w:rsidR="00000000" w:rsidRDefault="00000000">
            <w:pPr>
              <w:widowControl w:val="0"/>
              <w:tabs>
                <w:tab w:val="decimal" w:pos="178"/>
              </w:tabs>
              <w:jc w:val="right"/>
              <w:rPr>
                <w:bCs/>
                <w:snapToGrid w:val="0"/>
                <w:sz w:val="18"/>
              </w:rPr>
            </w:pPr>
            <w:r>
              <w:rPr>
                <w:bCs/>
                <w:snapToGrid w:val="0"/>
                <w:sz w:val="18"/>
              </w:rPr>
              <w:t>13,4</w:t>
            </w:r>
          </w:p>
        </w:tc>
        <w:tc>
          <w:tcPr>
            <w:tcW w:w="258" w:type="pct"/>
          </w:tcPr>
          <w:p w:rsidR="00000000" w:rsidRDefault="00000000">
            <w:pPr>
              <w:widowControl w:val="0"/>
              <w:tabs>
                <w:tab w:val="decimal" w:pos="178"/>
              </w:tabs>
              <w:jc w:val="right"/>
              <w:rPr>
                <w:bCs/>
                <w:snapToGrid w:val="0"/>
                <w:sz w:val="18"/>
              </w:rPr>
            </w:pPr>
            <w:r>
              <w:rPr>
                <w:bCs/>
                <w:snapToGrid w:val="0"/>
                <w:sz w:val="18"/>
              </w:rPr>
              <w:t>12,7</w:t>
            </w:r>
          </w:p>
        </w:tc>
        <w:tc>
          <w:tcPr>
            <w:tcW w:w="257" w:type="pct"/>
          </w:tcPr>
          <w:p w:rsidR="00000000" w:rsidRDefault="00000000">
            <w:pPr>
              <w:widowControl w:val="0"/>
              <w:tabs>
                <w:tab w:val="decimal" w:pos="178"/>
              </w:tabs>
              <w:jc w:val="right"/>
              <w:rPr>
                <w:bCs/>
                <w:snapToGrid w:val="0"/>
                <w:sz w:val="18"/>
              </w:rPr>
            </w:pPr>
            <w:r>
              <w:rPr>
                <w:bCs/>
                <w:snapToGrid w:val="0"/>
                <w:sz w:val="18"/>
              </w:rPr>
              <w:t>14,9</w:t>
            </w:r>
          </w:p>
        </w:tc>
        <w:tc>
          <w:tcPr>
            <w:tcW w:w="258" w:type="pct"/>
          </w:tcPr>
          <w:p w:rsidR="00000000" w:rsidRDefault="00000000">
            <w:pPr>
              <w:widowControl w:val="0"/>
              <w:tabs>
                <w:tab w:val="decimal" w:pos="178"/>
              </w:tabs>
              <w:jc w:val="right"/>
              <w:rPr>
                <w:bCs/>
                <w:snapToGrid w:val="0"/>
                <w:sz w:val="18"/>
              </w:rPr>
            </w:pPr>
            <w:r>
              <w:rPr>
                <w:bCs/>
                <w:snapToGrid w:val="0"/>
                <w:sz w:val="18"/>
              </w:rPr>
              <w:t>16,5</w:t>
            </w:r>
          </w:p>
        </w:tc>
        <w:tc>
          <w:tcPr>
            <w:tcW w:w="258" w:type="pct"/>
          </w:tcPr>
          <w:p w:rsidR="00000000" w:rsidRDefault="00000000">
            <w:pPr>
              <w:widowControl w:val="0"/>
              <w:tabs>
                <w:tab w:val="decimal" w:pos="178"/>
              </w:tabs>
              <w:jc w:val="right"/>
              <w:rPr>
                <w:bCs/>
                <w:snapToGrid w:val="0"/>
                <w:sz w:val="18"/>
              </w:rPr>
            </w:pPr>
            <w:r>
              <w:rPr>
                <w:bCs/>
                <w:snapToGrid w:val="0"/>
                <w:sz w:val="18"/>
              </w:rPr>
              <w:t>15,6</w:t>
            </w:r>
          </w:p>
        </w:tc>
        <w:tc>
          <w:tcPr>
            <w:tcW w:w="258" w:type="pct"/>
          </w:tcPr>
          <w:p w:rsidR="00000000" w:rsidRDefault="00000000">
            <w:pPr>
              <w:widowControl w:val="0"/>
              <w:tabs>
                <w:tab w:val="decimal" w:pos="178"/>
              </w:tabs>
              <w:jc w:val="right"/>
              <w:rPr>
                <w:bCs/>
                <w:snapToGrid w:val="0"/>
                <w:sz w:val="18"/>
              </w:rPr>
            </w:pPr>
            <w:r>
              <w:rPr>
                <w:bCs/>
                <w:snapToGrid w:val="0"/>
                <w:sz w:val="18"/>
              </w:rPr>
              <w:t>29,5</w:t>
            </w:r>
          </w:p>
        </w:tc>
        <w:tc>
          <w:tcPr>
            <w:tcW w:w="258" w:type="pct"/>
          </w:tcPr>
          <w:p w:rsidR="00000000" w:rsidRDefault="00000000">
            <w:pPr>
              <w:widowControl w:val="0"/>
              <w:tabs>
                <w:tab w:val="decimal" w:pos="178"/>
              </w:tabs>
              <w:jc w:val="right"/>
              <w:rPr>
                <w:bCs/>
                <w:snapToGrid w:val="0"/>
                <w:sz w:val="18"/>
              </w:rPr>
            </w:pPr>
            <w:r>
              <w:rPr>
                <w:bCs/>
                <w:snapToGrid w:val="0"/>
                <w:sz w:val="18"/>
              </w:rPr>
              <w:t>31,4</w:t>
            </w:r>
          </w:p>
        </w:tc>
        <w:tc>
          <w:tcPr>
            <w:tcW w:w="252" w:type="pct"/>
          </w:tcPr>
          <w:p w:rsidR="00000000" w:rsidRDefault="00000000">
            <w:pPr>
              <w:widowControl w:val="0"/>
              <w:tabs>
                <w:tab w:val="decimal" w:pos="178"/>
              </w:tabs>
              <w:jc w:val="right"/>
              <w:rPr>
                <w:bCs/>
                <w:snapToGrid w:val="0"/>
                <w:sz w:val="18"/>
              </w:rPr>
            </w:pPr>
            <w:r>
              <w:rPr>
                <w:bCs/>
                <w:snapToGrid w:val="0"/>
                <w:sz w:val="18"/>
              </w:rPr>
              <w:t>30,2</w:t>
            </w:r>
          </w:p>
        </w:tc>
      </w:tr>
      <w:tr w:rsidR="00000000">
        <w:tblPrEx>
          <w:tblCellMar>
            <w:top w:w="0" w:type="dxa"/>
            <w:bottom w:w="0" w:type="dxa"/>
          </w:tblCellMar>
        </w:tblPrEx>
        <w:trPr>
          <w:jc w:val="center"/>
        </w:trPr>
        <w:tc>
          <w:tcPr>
            <w:tcW w:w="363" w:type="pct"/>
          </w:tcPr>
          <w:p w:rsidR="00000000" w:rsidRDefault="00000000">
            <w:pPr>
              <w:widowControl w:val="0"/>
              <w:rPr>
                <w:bCs/>
                <w:snapToGrid w:val="0"/>
                <w:sz w:val="18"/>
              </w:rPr>
            </w:pPr>
            <w:r>
              <w:rPr>
                <w:bCs/>
                <w:snapToGrid w:val="0"/>
                <w:sz w:val="18"/>
              </w:rPr>
              <w:t>1996/97</w:t>
            </w:r>
          </w:p>
        </w:tc>
        <w:tc>
          <w:tcPr>
            <w:tcW w:w="257" w:type="pct"/>
          </w:tcPr>
          <w:p w:rsidR="00000000" w:rsidRDefault="00000000">
            <w:pPr>
              <w:widowControl w:val="0"/>
              <w:tabs>
                <w:tab w:val="decimal" w:pos="178"/>
              </w:tabs>
              <w:jc w:val="right"/>
              <w:rPr>
                <w:bCs/>
                <w:snapToGrid w:val="0"/>
                <w:sz w:val="18"/>
              </w:rPr>
            </w:pPr>
            <w:r>
              <w:rPr>
                <w:bCs/>
                <w:snapToGrid w:val="0"/>
                <w:sz w:val="18"/>
              </w:rPr>
              <w:t>9,6</w:t>
            </w:r>
          </w:p>
        </w:tc>
        <w:tc>
          <w:tcPr>
            <w:tcW w:w="258" w:type="pct"/>
          </w:tcPr>
          <w:p w:rsidR="00000000" w:rsidRDefault="00000000">
            <w:pPr>
              <w:widowControl w:val="0"/>
              <w:tabs>
                <w:tab w:val="decimal" w:pos="178"/>
              </w:tabs>
              <w:jc w:val="right"/>
              <w:rPr>
                <w:bCs/>
                <w:snapToGrid w:val="0"/>
                <w:sz w:val="18"/>
              </w:rPr>
            </w:pPr>
            <w:r>
              <w:rPr>
                <w:bCs/>
                <w:snapToGrid w:val="0"/>
                <w:sz w:val="18"/>
              </w:rPr>
              <w:t>9,9</w:t>
            </w:r>
          </w:p>
        </w:tc>
        <w:tc>
          <w:tcPr>
            <w:tcW w:w="258" w:type="pct"/>
          </w:tcPr>
          <w:p w:rsidR="00000000" w:rsidRDefault="00000000">
            <w:pPr>
              <w:widowControl w:val="0"/>
              <w:tabs>
                <w:tab w:val="decimal" w:pos="178"/>
              </w:tabs>
              <w:jc w:val="right"/>
              <w:rPr>
                <w:bCs/>
                <w:snapToGrid w:val="0"/>
                <w:sz w:val="18"/>
              </w:rPr>
            </w:pPr>
            <w:r>
              <w:rPr>
                <w:bCs/>
                <w:snapToGrid w:val="0"/>
                <w:sz w:val="18"/>
              </w:rPr>
              <w:t>9,7</w:t>
            </w:r>
          </w:p>
        </w:tc>
        <w:tc>
          <w:tcPr>
            <w:tcW w:w="258" w:type="pct"/>
          </w:tcPr>
          <w:p w:rsidR="00000000" w:rsidRDefault="00000000">
            <w:pPr>
              <w:widowControl w:val="0"/>
              <w:tabs>
                <w:tab w:val="decimal" w:pos="178"/>
              </w:tabs>
              <w:jc w:val="right"/>
              <w:rPr>
                <w:bCs/>
                <w:snapToGrid w:val="0"/>
                <w:sz w:val="18"/>
              </w:rPr>
            </w:pPr>
            <w:r>
              <w:rPr>
                <w:bCs/>
                <w:snapToGrid w:val="0"/>
                <w:sz w:val="18"/>
              </w:rPr>
              <w:t>11,8</w:t>
            </w:r>
          </w:p>
        </w:tc>
        <w:tc>
          <w:tcPr>
            <w:tcW w:w="258" w:type="pct"/>
          </w:tcPr>
          <w:p w:rsidR="00000000" w:rsidRDefault="00000000">
            <w:pPr>
              <w:widowControl w:val="0"/>
              <w:tabs>
                <w:tab w:val="decimal" w:pos="178"/>
              </w:tabs>
              <w:jc w:val="right"/>
              <w:rPr>
                <w:bCs/>
                <w:snapToGrid w:val="0"/>
                <w:sz w:val="18"/>
              </w:rPr>
            </w:pPr>
            <w:r>
              <w:rPr>
                <w:bCs/>
                <w:snapToGrid w:val="0"/>
                <w:sz w:val="18"/>
              </w:rPr>
              <w:t>9,4</w:t>
            </w:r>
          </w:p>
        </w:tc>
        <w:tc>
          <w:tcPr>
            <w:tcW w:w="258" w:type="pct"/>
          </w:tcPr>
          <w:p w:rsidR="00000000" w:rsidRDefault="00000000">
            <w:pPr>
              <w:widowControl w:val="0"/>
              <w:tabs>
                <w:tab w:val="decimal" w:pos="178"/>
              </w:tabs>
              <w:jc w:val="right"/>
              <w:rPr>
                <w:bCs/>
                <w:snapToGrid w:val="0"/>
                <w:sz w:val="18"/>
              </w:rPr>
            </w:pPr>
            <w:r>
              <w:rPr>
                <w:bCs/>
                <w:snapToGrid w:val="0"/>
                <w:sz w:val="18"/>
              </w:rPr>
              <w:t>11,9</w:t>
            </w:r>
          </w:p>
        </w:tc>
        <w:tc>
          <w:tcPr>
            <w:tcW w:w="257" w:type="pct"/>
          </w:tcPr>
          <w:p w:rsidR="00000000" w:rsidRDefault="00000000">
            <w:pPr>
              <w:widowControl w:val="0"/>
              <w:tabs>
                <w:tab w:val="decimal" w:pos="178"/>
              </w:tabs>
              <w:jc w:val="right"/>
              <w:rPr>
                <w:bCs/>
                <w:snapToGrid w:val="0"/>
                <w:sz w:val="18"/>
              </w:rPr>
            </w:pPr>
            <w:r>
              <w:rPr>
                <w:bCs/>
                <w:snapToGrid w:val="0"/>
                <w:sz w:val="18"/>
              </w:rPr>
              <w:t>12,1</w:t>
            </w:r>
          </w:p>
        </w:tc>
        <w:tc>
          <w:tcPr>
            <w:tcW w:w="258" w:type="pct"/>
          </w:tcPr>
          <w:p w:rsidR="00000000" w:rsidRDefault="00000000">
            <w:pPr>
              <w:widowControl w:val="0"/>
              <w:tabs>
                <w:tab w:val="decimal" w:pos="178"/>
              </w:tabs>
              <w:jc w:val="right"/>
              <w:rPr>
                <w:bCs/>
                <w:snapToGrid w:val="0"/>
                <w:sz w:val="18"/>
              </w:rPr>
            </w:pPr>
            <w:r>
              <w:rPr>
                <w:bCs/>
                <w:snapToGrid w:val="0"/>
                <w:sz w:val="18"/>
              </w:rPr>
              <w:t>12,0</w:t>
            </w:r>
          </w:p>
        </w:tc>
        <w:tc>
          <w:tcPr>
            <w:tcW w:w="258" w:type="pct"/>
          </w:tcPr>
          <w:p w:rsidR="00000000" w:rsidRDefault="00000000">
            <w:pPr>
              <w:widowControl w:val="0"/>
              <w:tabs>
                <w:tab w:val="decimal" w:pos="178"/>
              </w:tabs>
              <w:jc w:val="right"/>
              <w:rPr>
                <w:bCs/>
                <w:snapToGrid w:val="0"/>
                <w:sz w:val="18"/>
              </w:rPr>
            </w:pPr>
            <w:r>
              <w:rPr>
                <w:bCs/>
                <w:snapToGrid w:val="0"/>
                <w:sz w:val="18"/>
              </w:rPr>
              <w:t>12,3</w:t>
            </w:r>
          </w:p>
        </w:tc>
        <w:tc>
          <w:tcPr>
            <w:tcW w:w="258" w:type="pct"/>
          </w:tcPr>
          <w:p w:rsidR="00000000" w:rsidRDefault="00000000">
            <w:pPr>
              <w:widowControl w:val="0"/>
              <w:tabs>
                <w:tab w:val="decimal" w:pos="178"/>
              </w:tabs>
              <w:jc w:val="right"/>
              <w:rPr>
                <w:bCs/>
                <w:snapToGrid w:val="0"/>
                <w:sz w:val="18"/>
              </w:rPr>
            </w:pPr>
            <w:r>
              <w:rPr>
                <w:bCs/>
                <w:snapToGrid w:val="0"/>
                <w:sz w:val="18"/>
              </w:rPr>
              <w:t>11,9</w:t>
            </w:r>
          </w:p>
        </w:tc>
        <w:tc>
          <w:tcPr>
            <w:tcW w:w="258" w:type="pct"/>
          </w:tcPr>
          <w:p w:rsidR="00000000" w:rsidRDefault="00000000">
            <w:pPr>
              <w:widowControl w:val="0"/>
              <w:tabs>
                <w:tab w:val="decimal" w:pos="178"/>
              </w:tabs>
              <w:jc w:val="right"/>
              <w:rPr>
                <w:bCs/>
                <w:snapToGrid w:val="0"/>
                <w:sz w:val="18"/>
              </w:rPr>
            </w:pPr>
            <w:r>
              <w:rPr>
                <w:bCs/>
                <w:snapToGrid w:val="0"/>
                <w:sz w:val="18"/>
              </w:rPr>
              <w:t>13,0</w:t>
            </w:r>
          </w:p>
        </w:tc>
        <w:tc>
          <w:tcPr>
            <w:tcW w:w="258" w:type="pct"/>
          </w:tcPr>
          <w:p w:rsidR="00000000" w:rsidRDefault="00000000">
            <w:pPr>
              <w:widowControl w:val="0"/>
              <w:tabs>
                <w:tab w:val="decimal" w:pos="178"/>
              </w:tabs>
              <w:jc w:val="right"/>
              <w:rPr>
                <w:bCs/>
                <w:snapToGrid w:val="0"/>
                <w:sz w:val="18"/>
              </w:rPr>
            </w:pPr>
            <w:r>
              <w:rPr>
                <w:bCs/>
                <w:snapToGrid w:val="0"/>
                <w:sz w:val="18"/>
              </w:rPr>
              <w:t>12,8</w:t>
            </w:r>
          </w:p>
        </w:tc>
        <w:tc>
          <w:tcPr>
            <w:tcW w:w="257" w:type="pct"/>
          </w:tcPr>
          <w:p w:rsidR="00000000" w:rsidRDefault="00000000">
            <w:pPr>
              <w:widowControl w:val="0"/>
              <w:tabs>
                <w:tab w:val="decimal" w:pos="178"/>
              </w:tabs>
              <w:jc w:val="right"/>
              <w:rPr>
                <w:bCs/>
                <w:snapToGrid w:val="0"/>
                <w:sz w:val="18"/>
              </w:rPr>
            </w:pPr>
            <w:r>
              <w:rPr>
                <w:bCs/>
                <w:snapToGrid w:val="0"/>
                <w:sz w:val="18"/>
              </w:rPr>
              <w:t>14,3</w:t>
            </w:r>
          </w:p>
        </w:tc>
        <w:tc>
          <w:tcPr>
            <w:tcW w:w="258" w:type="pct"/>
          </w:tcPr>
          <w:p w:rsidR="00000000" w:rsidRDefault="00000000">
            <w:pPr>
              <w:widowControl w:val="0"/>
              <w:tabs>
                <w:tab w:val="decimal" w:pos="178"/>
              </w:tabs>
              <w:jc w:val="right"/>
              <w:rPr>
                <w:bCs/>
                <w:snapToGrid w:val="0"/>
                <w:sz w:val="18"/>
              </w:rPr>
            </w:pPr>
            <w:r>
              <w:rPr>
                <w:bCs/>
                <w:snapToGrid w:val="0"/>
                <w:sz w:val="18"/>
              </w:rPr>
              <w:t>16,9</w:t>
            </w:r>
          </w:p>
        </w:tc>
        <w:tc>
          <w:tcPr>
            <w:tcW w:w="258" w:type="pct"/>
          </w:tcPr>
          <w:p w:rsidR="00000000" w:rsidRDefault="00000000">
            <w:pPr>
              <w:widowControl w:val="0"/>
              <w:tabs>
                <w:tab w:val="decimal" w:pos="178"/>
              </w:tabs>
              <w:jc w:val="right"/>
              <w:rPr>
                <w:bCs/>
                <w:snapToGrid w:val="0"/>
                <w:sz w:val="18"/>
              </w:rPr>
            </w:pPr>
            <w:r>
              <w:rPr>
                <w:bCs/>
                <w:snapToGrid w:val="0"/>
                <w:sz w:val="18"/>
              </w:rPr>
              <w:t>15,9</w:t>
            </w:r>
          </w:p>
        </w:tc>
        <w:tc>
          <w:tcPr>
            <w:tcW w:w="258" w:type="pct"/>
          </w:tcPr>
          <w:p w:rsidR="00000000" w:rsidRDefault="00000000">
            <w:pPr>
              <w:widowControl w:val="0"/>
              <w:tabs>
                <w:tab w:val="decimal" w:pos="178"/>
              </w:tabs>
              <w:jc w:val="right"/>
              <w:rPr>
                <w:bCs/>
                <w:snapToGrid w:val="0"/>
                <w:sz w:val="18"/>
              </w:rPr>
            </w:pPr>
            <w:r>
              <w:rPr>
                <w:bCs/>
                <w:snapToGrid w:val="0"/>
                <w:sz w:val="18"/>
              </w:rPr>
              <w:t>28,2</w:t>
            </w:r>
          </w:p>
        </w:tc>
        <w:tc>
          <w:tcPr>
            <w:tcW w:w="258" w:type="pct"/>
          </w:tcPr>
          <w:p w:rsidR="00000000" w:rsidRDefault="00000000">
            <w:pPr>
              <w:widowControl w:val="0"/>
              <w:tabs>
                <w:tab w:val="decimal" w:pos="178"/>
              </w:tabs>
              <w:jc w:val="right"/>
              <w:rPr>
                <w:bCs/>
                <w:snapToGrid w:val="0"/>
                <w:sz w:val="18"/>
              </w:rPr>
            </w:pPr>
            <w:r>
              <w:rPr>
                <w:bCs/>
                <w:snapToGrid w:val="0"/>
                <w:sz w:val="18"/>
              </w:rPr>
              <w:t>29,7</w:t>
            </w:r>
          </w:p>
        </w:tc>
        <w:tc>
          <w:tcPr>
            <w:tcW w:w="252" w:type="pct"/>
          </w:tcPr>
          <w:p w:rsidR="00000000" w:rsidRDefault="00000000">
            <w:pPr>
              <w:widowControl w:val="0"/>
              <w:tabs>
                <w:tab w:val="decimal" w:pos="178"/>
              </w:tabs>
              <w:jc w:val="right"/>
              <w:rPr>
                <w:bCs/>
                <w:snapToGrid w:val="0"/>
                <w:sz w:val="18"/>
              </w:rPr>
            </w:pPr>
            <w:r>
              <w:rPr>
                <w:bCs/>
                <w:snapToGrid w:val="0"/>
                <w:sz w:val="18"/>
              </w:rPr>
              <w:t>28,8</w:t>
            </w:r>
          </w:p>
        </w:tc>
      </w:tr>
      <w:tr w:rsidR="00000000">
        <w:tblPrEx>
          <w:tblCellMar>
            <w:top w:w="0" w:type="dxa"/>
            <w:bottom w:w="0" w:type="dxa"/>
          </w:tblCellMar>
        </w:tblPrEx>
        <w:trPr>
          <w:jc w:val="center"/>
        </w:trPr>
        <w:tc>
          <w:tcPr>
            <w:tcW w:w="363" w:type="pct"/>
          </w:tcPr>
          <w:p w:rsidR="00000000" w:rsidRDefault="00000000">
            <w:pPr>
              <w:widowControl w:val="0"/>
              <w:rPr>
                <w:bCs/>
                <w:snapToGrid w:val="0"/>
                <w:sz w:val="18"/>
              </w:rPr>
            </w:pPr>
            <w:r>
              <w:rPr>
                <w:bCs/>
                <w:snapToGrid w:val="0"/>
                <w:sz w:val="18"/>
              </w:rPr>
              <w:t>1997/98</w:t>
            </w:r>
          </w:p>
        </w:tc>
        <w:tc>
          <w:tcPr>
            <w:tcW w:w="257" w:type="pct"/>
          </w:tcPr>
          <w:p w:rsidR="00000000" w:rsidRDefault="00000000">
            <w:pPr>
              <w:widowControl w:val="0"/>
              <w:tabs>
                <w:tab w:val="decimal" w:pos="178"/>
              </w:tabs>
              <w:jc w:val="right"/>
              <w:rPr>
                <w:bCs/>
                <w:snapToGrid w:val="0"/>
                <w:sz w:val="18"/>
              </w:rPr>
            </w:pPr>
            <w:r>
              <w:rPr>
                <w:bCs/>
                <w:snapToGrid w:val="0"/>
                <w:sz w:val="18"/>
              </w:rPr>
              <w:t>10,0</w:t>
            </w:r>
          </w:p>
        </w:tc>
        <w:tc>
          <w:tcPr>
            <w:tcW w:w="258" w:type="pct"/>
          </w:tcPr>
          <w:p w:rsidR="00000000" w:rsidRDefault="00000000">
            <w:pPr>
              <w:widowControl w:val="0"/>
              <w:tabs>
                <w:tab w:val="decimal" w:pos="178"/>
              </w:tabs>
              <w:jc w:val="right"/>
              <w:rPr>
                <w:bCs/>
                <w:snapToGrid w:val="0"/>
                <w:sz w:val="18"/>
              </w:rPr>
            </w:pPr>
            <w:r>
              <w:rPr>
                <w:bCs/>
                <w:snapToGrid w:val="0"/>
                <w:sz w:val="18"/>
              </w:rPr>
              <w:t>10,2</w:t>
            </w:r>
          </w:p>
        </w:tc>
        <w:tc>
          <w:tcPr>
            <w:tcW w:w="258" w:type="pct"/>
          </w:tcPr>
          <w:p w:rsidR="00000000" w:rsidRDefault="00000000">
            <w:pPr>
              <w:widowControl w:val="0"/>
              <w:tabs>
                <w:tab w:val="decimal" w:pos="178"/>
              </w:tabs>
              <w:jc w:val="right"/>
              <w:rPr>
                <w:bCs/>
                <w:snapToGrid w:val="0"/>
                <w:sz w:val="18"/>
              </w:rPr>
            </w:pPr>
            <w:r>
              <w:rPr>
                <w:bCs/>
                <w:snapToGrid w:val="0"/>
                <w:sz w:val="18"/>
              </w:rPr>
              <w:t>10,1</w:t>
            </w:r>
          </w:p>
        </w:tc>
        <w:tc>
          <w:tcPr>
            <w:tcW w:w="258" w:type="pct"/>
          </w:tcPr>
          <w:p w:rsidR="00000000" w:rsidRDefault="00000000">
            <w:pPr>
              <w:widowControl w:val="0"/>
              <w:tabs>
                <w:tab w:val="decimal" w:pos="178"/>
              </w:tabs>
              <w:jc w:val="right"/>
              <w:rPr>
                <w:bCs/>
                <w:snapToGrid w:val="0"/>
                <w:sz w:val="18"/>
              </w:rPr>
            </w:pPr>
            <w:r>
              <w:rPr>
                <w:bCs/>
                <w:snapToGrid w:val="0"/>
                <w:sz w:val="18"/>
              </w:rPr>
              <w:t>10,6</w:t>
            </w:r>
          </w:p>
        </w:tc>
        <w:tc>
          <w:tcPr>
            <w:tcW w:w="258" w:type="pct"/>
          </w:tcPr>
          <w:p w:rsidR="00000000" w:rsidRDefault="00000000">
            <w:pPr>
              <w:widowControl w:val="0"/>
              <w:tabs>
                <w:tab w:val="decimal" w:pos="178"/>
              </w:tabs>
              <w:jc w:val="right"/>
              <w:rPr>
                <w:bCs/>
                <w:snapToGrid w:val="0"/>
                <w:sz w:val="18"/>
              </w:rPr>
            </w:pPr>
            <w:r>
              <w:rPr>
                <w:bCs/>
                <w:snapToGrid w:val="0"/>
                <w:sz w:val="18"/>
              </w:rPr>
              <w:t>10,8</w:t>
            </w:r>
          </w:p>
        </w:tc>
        <w:tc>
          <w:tcPr>
            <w:tcW w:w="258" w:type="pct"/>
          </w:tcPr>
          <w:p w:rsidR="00000000" w:rsidRDefault="00000000">
            <w:pPr>
              <w:widowControl w:val="0"/>
              <w:tabs>
                <w:tab w:val="decimal" w:pos="178"/>
              </w:tabs>
              <w:jc w:val="right"/>
              <w:rPr>
                <w:bCs/>
                <w:snapToGrid w:val="0"/>
                <w:sz w:val="18"/>
              </w:rPr>
            </w:pPr>
            <w:r>
              <w:rPr>
                <w:bCs/>
                <w:snapToGrid w:val="0"/>
                <w:sz w:val="18"/>
              </w:rPr>
              <w:t>10,7</w:t>
            </w:r>
          </w:p>
        </w:tc>
        <w:tc>
          <w:tcPr>
            <w:tcW w:w="257" w:type="pct"/>
          </w:tcPr>
          <w:p w:rsidR="00000000" w:rsidRDefault="00000000">
            <w:pPr>
              <w:widowControl w:val="0"/>
              <w:tabs>
                <w:tab w:val="decimal" w:pos="178"/>
              </w:tabs>
              <w:jc w:val="right"/>
              <w:rPr>
                <w:bCs/>
                <w:snapToGrid w:val="0"/>
                <w:sz w:val="18"/>
              </w:rPr>
            </w:pPr>
            <w:r>
              <w:rPr>
                <w:bCs/>
                <w:snapToGrid w:val="0"/>
                <w:sz w:val="18"/>
              </w:rPr>
              <w:t>12,7</w:t>
            </w:r>
          </w:p>
        </w:tc>
        <w:tc>
          <w:tcPr>
            <w:tcW w:w="258" w:type="pct"/>
          </w:tcPr>
          <w:p w:rsidR="00000000" w:rsidRDefault="00000000">
            <w:pPr>
              <w:widowControl w:val="0"/>
              <w:tabs>
                <w:tab w:val="decimal" w:pos="178"/>
              </w:tabs>
              <w:jc w:val="right"/>
              <w:rPr>
                <w:bCs/>
                <w:snapToGrid w:val="0"/>
                <w:sz w:val="18"/>
              </w:rPr>
            </w:pPr>
            <w:r>
              <w:rPr>
                <w:bCs/>
                <w:snapToGrid w:val="0"/>
                <w:sz w:val="18"/>
              </w:rPr>
              <w:t>13,3</w:t>
            </w:r>
          </w:p>
        </w:tc>
        <w:tc>
          <w:tcPr>
            <w:tcW w:w="258" w:type="pct"/>
          </w:tcPr>
          <w:p w:rsidR="00000000" w:rsidRDefault="00000000">
            <w:pPr>
              <w:widowControl w:val="0"/>
              <w:tabs>
                <w:tab w:val="decimal" w:pos="178"/>
              </w:tabs>
              <w:jc w:val="right"/>
              <w:rPr>
                <w:bCs/>
                <w:snapToGrid w:val="0"/>
                <w:sz w:val="18"/>
              </w:rPr>
            </w:pPr>
            <w:r>
              <w:rPr>
                <w:bCs/>
                <w:snapToGrid w:val="0"/>
                <w:sz w:val="18"/>
              </w:rPr>
              <w:t>13,0</w:t>
            </w:r>
          </w:p>
        </w:tc>
        <w:tc>
          <w:tcPr>
            <w:tcW w:w="258" w:type="pct"/>
          </w:tcPr>
          <w:p w:rsidR="00000000" w:rsidRDefault="00000000">
            <w:pPr>
              <w:widowControl w:val="0"/>
              <w:tabs>
                <w:tab w:val="decimal" w:pos="178"/>
              </w:tabs>
              <w:jc w:val="right"/>
              <w:rPr>
                <w:bCs/>
                <w:snapToGrid w:val="0"/>
                <w:sz w:val="18"/>
              </w:rPr>
            </w:pPr>
            <w:r>
              <w:rPr>
                <w:bCs/>
                <w:snapToGrid w:val="0"/>
                <w:sz w:val="18"/>
              </w:rPr>
              <w:t>12,1</w:t>
            </w:r>
          </w:p>
        </w:tc>
        <w:tc>
          <w:tcPr>
            <w:tcW w:w="258" w:type="pct"/>
          </w:tcPr>
          <w:p w:rsidR="00000000" w:rsidRDefault="00000000">
            <w:pPr>
              <w:widowControl w:val="0"/>
              <w:tabs>
                <w:tab w:val="decimal" w:pos="178"/>
              </w:tabs>
              <w:jc w:val="right"/>
              <w:rPr>
                <w:bCs/>
                <w:snapToGrid w:val="0"/>
                <w:sz w:val="18"/>
              </w:rPr>
            </w:pPr>
            <w:r>
              <w:rPr>
                <w:bCs/>
                <w:snapToGrid w:val="0"/>
                <w:sz w:val="18"/>
              </w:rPr>
              <w:t>13,0</w:t>
            </w:r>
          </w:p>
        </w:tc>
        <w:tc>
          <w:tcPr>
            <w:tcW w:w="258" w:type="pct"/>
          </w:tcPr>
          <w:p w:rsidR="00000000" w:rsidRDefault="00000000">
            <w:pPr>
              <w:widowControl w:val="0"/>
              <w:tabs>
                <w:tab w:val="decimal" w:pos="178"/>
              </w:tabs>
              <w:jc w:val="right"/>
              <w:rPr>
                <w:bCs/>
                <w:snapToGrid w:val="0"/>
                <w:sz w:val="18"/>
              </w:rPr>
            </w:pPr>
            <w:r>
              <w:rPr>
                <w:bCs/>
                <w:snapToGrid w:val="0"/>
                <w:sz w:val="18"/>
              </w:rPr>
              <w:t>12,5</w:t>
            </w:r>
          </w:p>
        </w:tc>
        <w:tc>
          <w:tcPr>
            <w:tcW w:w="257" w:type="pct"/>
          </w:tcPr>
          <w:p w:rsidR="00000000" w:rsidRDefault="00000000">
            <w:pPr>
              <w:widowControl w:val="0"/>
              <w:tabs>
                <w:tab w:val="decimal" w:pos="178"/>
              </w:tabs>
              <w:jc w:val="right"/>
              <w:rPr>
                <w:bCs/>
                <w:snapToGrid w:val="0"/>
                <w:sz w:val="18"/>
              </w:rPr>
            </w:pPr>
            <w:r>
              <w:rPr>
                <w:bCs/>
                <w:snapToGrid w:val="0"/>
                <w:sz w:val="18"/>
              </w:rPr>
              <w:t>15,2</w:t>
            </w:r>
          </w:p>
        </w:tc>
        <w:tc>
          <w:tcPr>
            <w:tcW w:w="258" w:type="pct"/>
          </w:tcPr>
          <w:p w:rsidR="00000000" w:rsidRDefault="00000000">
            <w:pPr>
              <w:widowControl w:val="0"/>
              <w:tabs>
                <w:tab w:val="decimal" w:pos="178"/>
              </w:tabs>
              <w:jc w:val="right"/>
              <w:rPr>
                <w:bCs/>
                <w:snapToGrid w:val="0"/>
                <w:sz w:val="18"/>
              </w:rPr>
            </w:pPr>
            <w:r>
              <w:rPr>
                <w:bCs/>
                <w:snapToGrid w:val="0"/>
                <w:sz w:val="18"/>
              </w:rPr>
              <w:t>16,7</w:t>
            </w:r>
          </w:p>
        </w:tc>
        <w:tc>
          <w:tcPr>
            <w:tcW w:w="258" w:type="pct"/>
          </w:tcPr>
          <w:p w:rsidR="00000000" w:rsidRDefault="00000000">
            <w:pPr>
              <w:widowControl w:val="0"/>
              <w:tabs>
                <w:tab w:val="decimal" w:pos="178"/>
              </w:tabs>
              <w:jc w:val="right"/>
              <w:rPr>
                <w:bCs/>
                <w:snapToGrid w:val="0"/>
                <w:sz w:val="18"/>
              </w:rPr>
            </w:pPr>
            <w:r>
              <w:rPr>
                <w:bCs/>
                <w:snapToGrid w:val="0"/>
                <w:sz w:val="18"/>
              </w:rPr>
              <w:t>15,0</w:t>
            </w:r>
          </w:p>
        </w:tc>
        <w:tc>
          <w:tcPr>
            <w:tcW w:w="258" w:type="pct"/>
          </w:tcPr>
          <w:p w:rsidR="00000000" w:rsidRDefault="00000000">
            <w:pPr>
              <w:widowControl w:val="0"/>
              <w:tabs>
                <w:tab w:val="decimal" w:pos="178"/>
              </w:tabs>
              <w:jc w:val="right"/>
              <w:rPr>
                <w:bCs/>
                <w:snapToGrid w:val="0"/>
                <w:sz w:val="18"/>
              </w:rPr>
            </w:pPr>
            <w:r>
              <w:rPr>
                <w:bCs/>
                <w:snapToGrid w:val="0"/>
                <w:sz w:val="18"/>
              </w:rPr>
              <w:t>28,1</w:t>
            </w:r>
          </w:p>
        </w:tc>
        <w:tc>
          <w:tcPr>
            <w:tcW w:w="258" w:type="pct"/>
          </w:tcPr>
          <w:p w:rsidR="00000000" w:rsidRDefault="00000000">
            <w:pPr>
              <w:widowControl w:val="0"/>
              <w:tabs>
                <w:tab w:val="decimal" w:pos="178"/>
              </w:tabs>
              <w:jc w:val="right"/>
              <w:rPr>
                <w:bCs/>
                <w:snapToGrid w:val="0"/>
                <w:sz w:val="18"/>
              </w:rPr>
            </w:pPr>
            <w:r>
              <w:rPr>
                <w:bCs/>
                <w:snapToGrid w:val="0"/>
                <w:sz w:val="18"/>
              </w:rPr>
              <w:t>29,5</w:t>
            </w:r>
          </w:p>
        </w:tc>
        <w:tc>
          <w:tcPr>
            <w:tcW w:w="252" w:type="pct"/>
          </w:tcPr>
          <w:p w:rsidR="00000000" w:rsidRDefault="00000000">
            <w:pPr>
              <w:widowControl w:val="0"/>
              <w:tabs>
                <w:tab w:val="decimal" w:pos="178"/>
              </w:tabs>
              <w:jc w:val="right"/>
              <w:rPr>
                <w:bCs/>
                <w:snapToGrid w:val="0"/>
                <w:sz w:val="18"/>
              </w:rPr>
            </w:pPr>
            <w:r>
              <w:rPr>
                <w:bCs/>
                <w:snapToGrid w:val="0"/>
                <w:sz w:val="18"/>
              </w:rPr>
              <w:t>28,7</w:t>
            </w:r>
          </w:p>
        </w:tc>
      </w:tr>
      <w:tr w:rsidR="00000000">
        <w:tblPrEx>
          <w:tblCellMar>
            <w:top w:w="0" w:type="dxa"/>
            <w:bottom w:w="0" w:type="dxa"/>
          </w:tblCellMar>
        </w:tblPrEx>
        <w:trPr>
          <w:jc w:val="center"/>
        </w:trPr>
        <w:tc>
          <w:tcPr>
            <w:tcW w:w="363" w:type="pct"/>
          </w:tcPr>
          <w:p w:rsidR="00000000" w:rsidRDefault="00000000">
            <w:pPr>
              <w:widowControl w:val="0"/>
              <w:rPr>
                <w:bCs/>
                <w:snapToGrid w:val="0"/>
                <w:sz w:val="18"/>
              </w:rPr>
            </w:pPr>
            <w:r>
              <w:rPr>
                <w:bCs/>
                <w:snapToGrid w:val="0"/>
                <w:sz w:val="18"/>
              </w:rPr>
              <w:t>1998/99</w:t>
            </w:r>
          </w:p>
        </w:tc>
        <w:tc>
          <w:tcPr>
            <w:tcW w:w="257" w:type="pct"/>
          </w:tcPr>
          <w:p w:rsidR="00000000" w:rsidRDefault="00000000">
            <w:pPr>
              <w:widowControl w:val="0"/>
              <w:tabs>
                <w:tab w:val="decimal" w:pos="178"/>
              </w:tabs>
              <w:jc w:val="right"/>
              <w:rPr>
                <w:bCs/>
                <w:snapToGrid w:val="0"/>
                <w:sz w:val="18"/>
              </w:rPr>
            </w:pPr>
            <w:r>
              <w:rPr>
                <w:bCs/>
                <w:snapToGrid w:val="0"/>
                <w:sz w:val="18"/>
              </w:rPr>
              <w:t>10</w:t>
            </w:r>
          </w:p>
        </w:tc>
        <w:tc>
          <w:tcPr>
            <w:tcW w:w="258" w:type="pct"/>
          </w:tcPr>
          <w:p w:rsidR="00000000" w:rsidRDefault="00000000">
            <w:pPr>
              <w:widowControl w:val="0"/>
              <w:tabs>
                <w:tab w:val="decimal" w:pos="178"/>
              </w:tabs>
              <w:jc w:val="right"/>
              <w:rPr>
                <w:bCs/>
                <w:snapToGrid w:val="0"/>
                <w:sz w:val="18"/>
              </w:rPr>
            </w:pPr>
            <w:r>
              <w:rPr>
                <w:bCs/>
                <w:snapToGrid w:val="0"/>
                <w:sz w:val="18"/>
              </w:rPr>
              <w:t>10,6</w:t>
            </w:r>
          </w:p>
        </w:tc>
        <w:tc>
          <w:tcPr>
            <w:tcW w:w="258" w:type="pct"/>
          </w:tcPr>
          <w:p w:rsidR="00000000" w:rsidRDefault="00000000">
            <w:pPr>
              <w:widowControl w:val="0"/>
              <w:tabs>
                <w:tab w:val="decimal" w:pos="178"/>
              </w:tabs>
              <w:jc w:val="right"/>
              <w:rPr>
                <w:bCs/>
                <w:snapToGrid w:val="0"/>
                <w:sz w:val="18"/>
              </w:rPr>
            </w:pPr>
            <w:r>
              <w:rPr>
                <w:bCs/>
                <w:snapToGrid w:val="0"/>
                <w:sz w:val="18"/>
              </w:rPr>
              <w:t>10,3</w:t>
            </w:r>
          </w:p>
        </w:tc>
        <w:tc>
          <w:tcPr>
            <w:tcW w:w="258" w:type="pct"/>
          </w:tcPr>
          <w:p w:rsidR="00000000" w:rsidRDefault="00000000">
            <w:pPr>
              <w:widowControl w:val="0"/>
              <w:tabs>
                <w:tab w:val="decimal" w:pos="178"/>
              </w:tabs>
              <w:jc w:val="right"/>
              <w:rPr>
                <w:bCs/>
                <w:snapToGrid w:val="0"/>
                <w:sz w:val="18"/>
              </w:rPr>
            </w:pPr>
            <w:r>
              <w:rPr>
                <w:bCs/>
                <w:snapToGrid w:val="0"/>
                <w:sz w:val="18"/>
              </w:rPr>
              <w:t>10,5</w:t>
            </w:r>
          </w:p>
        </w:tc>
        <w:tc>
          <w:tcPr>
            <w:tcW w:w="258" w:type="pct"/>
          </w:tcPr>
          <w:p w:rsidR="00000000" w:rsidRDefault="00000000">
            <w:pPr>
              <w:widowControl w:val="0"/>
              <w:tabs>
                <w:tab w:val="decimal" w:pos="178"/>
              </w:tabs>
              <w:jc w:val="right"/>
              <w:rPr>
                <w:bCs/>
                <w:snapToGrid w:val="0"/>
                <w:sz w:val="18"/>
              </w:rPr>
            </w:pPr>
            <w:r>
              <w:rPr>
                <w:bCs/>
                <w:snapToGrid w:val="0"/>
                <w:sz w:val="18"/>
              </w:rPr>
              <w:t>10,8</w:t>
            </w:r>
          </w:p>
        </w:tc>
        <w:tc>
          <w:tcPr>
            <w:tcW w:w="258" w:type="pct"/>
          </w:tcPr>
          <w:p w:rsidR="00000000" w:rsidRDefault="00000000">
            <w:pPr>
              <w:widowControl w:val="0"/>
              <w:tabs>
                <w:tab w:val="decimal" w:pos="178"/>
              </w:tabs>
              <w:jc w:val="right"/>
              <w:rPr>
                <w:bCs/>
                <w:snapToGrid w:val="0"/>
                <w:sz w:val="18"/>
              </w:rPr>
            </w:pPr>
            <w:r>
              <w:rPr>
                <w:bCs/>
                <w:snapToGrid w:val="0"/>
                <w:sz w:val="18"/>
              </w:rPr>
              <w:t>10,6</w:t>
            </w:r>
          </w:p>
        </w:tc>
        <w:tc>
          <w:tcPr>
            <w:tcW w:w="257" w:type="pct"/>
          </w:tcPr>
          <w:p w:rsidR="00000000" w:rsidRDefault="00000000">
            <w:pPr>
              <w:widowControl w:val="0"/>
              <w:tabs>
                <w:tab w:val="decimal" w:pos="178"/>
              </w:tabs>
              <w:jc w:val="right"/>
              <w:rPr>
                <w:bCs/>
                <w:snapToGrid w:val="0"/>
                <w:sz w:val="18"/>
              </w:rPr>
            </w:pPr>
            <w:r>
              <w:rPr>
                <w:bCs/>
                <w:snapToGrid w:val="0"/>
                <w:sz w:val="18"/>
              </w:rPr>
              <w:t>11,4</w:t>
            </w:r>
          </w:p>
        </w:tc>
        <w:tc>
          <w:tcPr>
            <w:tcW w:w="258" w:type="pct"/>
          </w:tcPr>
          <w:p w:rsidR="00000000" w:rsidRDefault="00000000">
            <w:pPr>
              <w:widowControl w:val="0"/>
              <w:tabs>
                <w:tab w:val="decimal" w:pos="178"/>
              </w:tabs>
              <w:jc w:val="right"/>
              <w:rPr>
                <w:bCs/>
                <w:snapToGrid w:val="0"/>
                <w:sz w:val="18"/>
              </w:rPr>
            </w:pPr>
            <w:r>
              <w:rPr>
                <w:bCs/>
                <w:snapToGrid w:val="0"/>
                <w:sz w:val="18"/>
              </w:rPr>
              <w:t>12,1</w:t>
            </w:r>
          </w:p>
        </w:tc>
        <w:tc>
          <w:tcPr>
            <w:tcW w:w="258" w:type="pct"/>
          </w:tcPr>
          <w:p w:rsidR="00000000" w:rsidRDefault="00000000">
            <w:pPr>
              <w:widowControl w:val="0"/>
              <w:tabs>
                <w:tab w:val="decimal" w:pos="178"/>
              </w:tabs>
              <w:jc w:val="right"/>
              <w:rPr>
                <w:bCs/>
                <w:snapToGrid w:val="0"/>
                <w:sz w:val="18"/>
              </w:rPr>
            </w:pPr>
            <w:r>
              <w:rPr>
                <w:bCs/>
                <w:snapToGrid w:val="0"/>
                <w:sz w:val="18"/>
              </w:rPr>
              <w:t>11,7</w:t>
            </w:r>
          </w:p>
        </w:tc>
        <w:tc>
          <w:tcPr>
            <w:tcW w:w="258" w:type="pct"/>
          </w:tcPr>
          <w:p w:rsidR="00000000" w:rsidRDefault="00000000">
            <w:pPr>
              <w:widowControl w:val="0"/>
              <w:tabs>
                <w:tab w:val="decimal" w:pos="178"/>
              </w:tabs>
              <w:jc w:val="right"/>
              <w:rPr>
                <w:bCs/>
                <w:snapToGrid w:val="0"/>
                <w:sz w:val="18"/>
              </w:rPr>
            </w:pPr>
            <w:r>
              <w:rPr>
                <w:bCs/>
                <w:snapToGrid w:val="0"/>
                <w:sz w:val="18"/>
              </w:rPr>
              <w:t>13,0</w:t>
            </w:r>
          </w:p>
        </w:tc>
        <w:tc>
          <w:tcPr>
            <w:tcW w:w="258" w:type="pct"/>
          </w:tcPr>
          <w:p w:rsidR="00000000" w:rsidRDefault="00000000">
            <w:pPr>
              <w:widowControl w:val="0"/>
              <w:tabs>
                <w:tab w:val="decimal" w:pos="178"/>
              </w:tabs>
              <w:jc w:val="right"/>
              <w:rPr>
                <w:bCs/>
                <w:snapToGrid w:val="0"/>
                <w:sz w:val="18"/>
              </w:rPr>
            </w:pPr>
            <w:r>
              <w:rPr>
                <w:bCs/>
                <w:snapToGrid w:val="0"/>
                <w:sz w:val="18"/>
              </w:rPr>
              <w:t>13,8</w:t>
            </w:r>
          </w:p>
        </w:tc>
        <w:tc>
          <w:tcPr>
            <w:tcW w:w="258" w:type="pct"/>
          </w:tcPr>
          <w:p w:rsidR="00000000" w:rsidRDefault="00000000">
            <w:pPr>
              <w:widowControl w:val="0"/>
              <w:tabs>
                <w:tab w:val="decimal" w:pos="178"/>
              </w:tabs>
              <w:jc w:val="right"/>
              <w:rPr>
                <w:bCs/>
                <w:snapToGrid w:val="0"/>
                <w:sz w:val="18"/>
              </w:rPr>
            </w:pPr>
            <w:r>
              <w:rPr>
                <w:bCs/>
                <w:snapToGrid w:val="0"/>
                <w:sz w:val="18"/>
              </w:rPr>
              <w:t>13,4</w:t>
            </w:r>
          </w:p>
        </w:tc>
        <w:tc>
          <w:tcPr>
            <w:tcW w:w="257" w:type="pct"/>
          </w:tcPr>
          <w:p w:rsidR="00000000" w:rsidRDefault="00000000">
            <w:pPr>
              <w:widowControl w:val="0"/>
              <w:tabs>
                <w:tab w:val="decimal" w:pos="178"/>
              </w:tabs>
              <w:jc w:val="right"/>
              <w:rPr>
                <w:bCs/>
                <w:snapToGrid w:val="0"/>
                <w:sz w:val="18"/>
              </w:rPr>
            </w:pPr>
            <w:r>
              <w:rPr>
                <w:bCs/>
                <w:snapToGrid w:val="0"/>
                <w:sz w:val="18"/>
              </w:rPr>
              <w:t>14,7</w:t>
            </w:r>
          </w:p>
        </w:tc>
        <w:tc>
          <w:tcPr>
            <w:tcW w:w="258" w:type="pct"/>
          </w:tcPr>
          <w:p w:rsidR="00000000" w:rsidRDefault="00000000">
            <w:pPr>
              <w:widowControl w:val="0"/>
              <w:tabs>
                <w:tab w:val="decimal" w:pos="178"/>
              </w:tabs>
              <w:jc w:val="right"/>
              <w:rPr>
                <w:bCs/>
                <w:snapToGrid w:val="0"/>
                <w:sz w:val="18"/>
              </w:rPr>
            </w:pPr>
            <w:r>
              <w:rPr>
                <w:bCs/>
                <w:snapToGrid w:val="0"/>
                <w:sz w:val="18"/>
              </w:rPr>
              <w:t>16,3</w:t>
            </w:r>
          </w:p>
        </w:tc>
        <w:tc>
          <w:tcPr>
            <w:tcW w:w="258" w:type="pct"/>
          </w:tcPr>
          <w:p w:rsidR="00000000" w:rsidRDefault="00000000">
            <w:pPr>
              <w:widowControl w:val="0"/>
              <w:tabs>
                <w:tab w:val="decimal" w:pos="178"/>
              </w:tabs>
              <w:jc w:val="right"/>
              <w:rPr>
                <w:bCs/>
                <w:snapToGrid w:val="0"/>
                <w:sz w:val="18"/>
              </w:rPr>
            </w:pPr>
            <w:r>
              <w:rPr>
                <w:bCs/>
                <w:snapToGrid w:val="0"/>
                <w:sz w:val="18"/>
              </w:rPr>
              <w:t>15,4</w:t>
            </w:r>
          </w:p>
        </w:tc>
        <w:tc>
          <w:tcPr>
            <w:tcW w:w="258" w:type="pct"/>
          </w:tcPr>
          <w:p w:rsidR="00000000" w:rsidRDefault="00000000">
            <w:pPr>
              <w:widowControl w:val="0"/>
              <w:tabs>
                <w:tab w:val="decimal" w:pos="178"/>
              </w:tabs>
              <w:jc w:val="right"/>
              <w:rPr>
                <w:bCs/>
                <w:snapToGrid w:val="0"/>
                <w:sz w:val="18"/>
              </w:rPr>
            </w:pPr>
            <w:r>
              <w:rPr>
                <w:bCs/>
                <w:snapToGrid w:val="0"/>
                <w:sz w:val="18"/>
              </w:rPr>
              <w:t>26,9</w:t>
            </w:r>
          </w:p>
        </w:tc>
        <w:tc>
          <w:tcPr>
            <w:tcW w:w="258" w:type="pct"/>
          </w:tcPr>
          <w:p w:rsidR="00000000" w:rsidRDefault="00000000">
            <w:pPr>
              <w:widowControl w:val="0"/>
              <w:tabs>
                <w:tab w:val="decimal" w:pos="178"/>
              </w:tabs>
              <w:jc w:val="right"/>
              <w:rPr>
                <w:bCs/>
                <w:snapToGrid w:val="0"/>
                <w:sz w:val="18"/>
              </w:rPr>
            </w:pPr>
            <w:r>
              <w:rPr>
                <w:bCs/>
                <w:snapToGrid w:val="0"/>
                <w:sz w:val="18"/>
              </w:rPr>
              <w:t>28,8</w:t>
            </w:r>
          </w:p>
        </w:tc>
        <w:tc>
          <w:tcPr>
            <w:tcW w:w="252" w:type="pct"/>
          </w:tcPr>
          <w:p w:rsidR="00000000" w:rsidRDefault="00000000">
            <w:pPr>
              <w:widowControl w:val="0"/>
              <w:tabs>
                <w:tab w:val="decimal" w:pos="178"/>
              </w:tabs>
              <w:jc w:val="right"/>
              <w:rPr>
                <w:bCs/>
                <w:snapToGrid w:val="0"/>
                <w:sz w:val="18"/>
              </w:rPr>
            </w:pPr>
            <w:r>
              <w:rPr>
                <w:bCs/>
                <w:snapToGrid w:val="0"/>
                <w:sz w:val="18"/>
              </w:rPr>
              <w:t>27,7</w:t>
            </w:r>
          </w:p>
        </w:tc>
      </w:tr>
      <w:tr w:rsidR="00000000">
        <w:tblPrEx>
          <w:tblCellMar>
            <w:top w:w="0" w:type="dxa"/>
            <w:bottom w:w="0" w:type="dxa"/>
          </w:tblCellMar>
        </w:tblPrEx>
        <w:trPr>
          <w:jc w:val="center"/>
        </w:trPr>
        <w:tc>
          <w:tcPr>
            <w:tcW w:w="363" w:type="pct"/>
          </w:tcPr>
          <w:p w:rsidR="00000000" w:rsidRDefault="00000000">
            <w:pPr>
              <w:widowControl w:val="0"/>
              <w:rPr>
                <w:bCs/>
                <w:snapToGrid w:val="0"/>
                <w:sz w:val="18"/>
              </w:rPr>
            </w:pPr>
            <w:r>
              <w:rPr>
                <w:bCs/>
                <w:snapToGrid w:val="0"/>
                <w:sz w:val="18"/>
              </w:rPr>
              <w:t>1999/00</w:t>
            </w:r>
          </w:p>
        </w:tc>
        <w:tc>
          <w:tcPr>
            <w:tcW w:w="257" w:type="pct"/>
          </w:tcPr>
          <w:p w:rsidR="00000000" w:rsidRDefault="00000000">
            <w:pPr>
              <w:widowControl w:val="0"/>
              <w:tabs>
                <w:tab w:val="decimal" w:pos="178"/>
              </w:tabs>
              <w:jc w:val="right"/>
              <w:rPr>
                <w:bCs/>
                <w:snapToGrid w:val="0"/>
                <w:sz w:val="18"/>
              </w:rPr>
            </w:pPr>
            <w:r>
              <w:rPr>
                <w:bCs/>
                <w:snapToGrid w:val="0"/>
                <w:sz w:val="18"/>
              </w:rPr>
              <w:t>10,8</w:t>
            </w:r>
          </w:p>
        </w:tc>
        <w:tc>
          <w:tcPr>
            <w:tcW w:w="258" w:type="pct"/>
          </w:tcPr>
          <w:p w:rsidR="00000000" w:rsidRDefault="00000000">
            <w:pPr>
              <w:widowControl w:val="0"/>
              <w:tabs>
                <w:tab w:val="decimal" w:pos="178"/>
              </w:tabs>
              <w:jc w:val="right"/>
              <w:rPr>
                <w:bCs/>
                <w:snapToGrid w:val="0"/>
                <w:sz w:val="18"/>
              </w:rPr>
            </w:pPr>
            <w:r>
              <w:rPr>
                <w:bCs/>
                <w:snapToGrid w:val="0"/>
                <w:sz w:val="18"/>
              </w:rPr>
              <w:t>11,3</w:t>
            </w:r>
          </w:p>
        </w:tc>
        <w:tc>
          <w:tcPr>
            <w:tcW w:w="258" w:type="pct"/>
          </w:tcPr>
          <w:p w:rsidR="00000000" w:rsidRDefault="00000000">
            <w:pPr>
              <w:widowControl w:val="0"/>
              <w:tabs>
                <w:tab w:val="decimal" w:pos="178"/>
              </w:tabs>
              <w:jc w:val="right"/>
              <w:rPr>
                <w:bCs/>
                <w:snapToGrid w:val="0"/>
                <w:sz w:val="18"/>
              </w:rPr>
            </w:pPr>
            <w:r>
              <w:rPr>
                <w:bCs/>
                <w:snapToGrid w:val="0"/>
                <w:sz w:val="18"/>
              </w:rPr>
              <w:t>11</w:t>
            </w:r>
          </w:p>
        </w:tc>
        <w:tc>
          <w:tcPr>
            <w:tcW w:w="258" w:type="pct"/>
          </w:tcPr>
          <w:p w:rsidR="00000000" w:rsidRDefault="00000000">
            <w:pPr>
              <w:widowControl w:val="0"/>
              <w:tabs>
                <w:tab w:val="decimal" w:pos="178"/>
              </w:tabs>
              <w:jc w:val="right"/>
              <w:rPr>
                <w:bCs/>
                <w:snapToGrid w:val="0"/>
                <w:sz w:val="18"/>
              </w:rPr>
            </w:pPr>
            <w:r>
              <w:rPr>
                <w:bCs/>
                <w:snapToGrid w:val="0"/>
                <w:sz w:val="18"/>
              </w:rPr>
              <w:t>11,4</w:t>
            </w:r>
          </w:p>
        </w:tc>
        <w:tc>
          <w:tcPr>
            <w:tcW w:w="258" w:type="pct"/>
          </w:tcPr>
          <w:p w:rsidR="00000000" w:rsidRDefault="00000000">
            <w:pPr>
              <w:widowControl w:val="0"/>
              <w:tabs>
                <w:tab w:val="decimal" w:pos="178"/>
              </w:tabs>
              <w:jc w:val="right"/>
              <w:rPr>
                <w:bCs/>
                <w:snapToGrid w:val="0"/>
                <w:sz w:val="18"/>
              </w:rPr>
            </w:pPr>
            <w:r>
              <w:rPr>
                <w:bCs/>
                <w:snapToGrid w:val="0"/>
                <w:sz w:val="18"/>
              </w:rPr>
              <w:t>11,4</w:t>
            </w:r>
          </w:p>
        </w:tc>
        <w:tc>
          <w:tcPr>
            <w:tcW w:w="258" w:type="pct"/>
          </w:tcPr>
          <w:p w:rsidR="00000000" w:rsidRDefault="00000000">
            <w:pPr>
              <w:widowControl w:val="0"/>
              <w:tabs>
                <w:tab w:val="decimal" w:pos="178"/>
              </w:tabs>
              <w:jc w:val="right"/>
              <w:rPr>
                <w:bCs/>
                <w:snapToGrid w:val="0"/>
                <w:sz w:val="18"/>
              </w:rPr>
            </w:pPr>
            <w:r>
              <w:rPr>
                <w:bCs/>
                <w:snapToGrid w:val="0"/>
                <w:sz w:val="18"/>
              </w:rPr>
              <w:t>11,4</w:t>
            </w:r>
          </w:p>
        </w:tc>
        <w:tc>
          <w:tcPr>
            <w:tcW w:w="257" w:type="pct"/>
          </w:tcPr>
          <w:p w:rsidR="00000000" w:rsidRDefault="00000000">
            <w:pPr>
              <w:widowControl w:val="0"/>
              <w:tabs>
                <w:tab w:val="decimal" w:pos="178"/>
              </w:tabs>
              <w:jc w:val="right"/>
              <w:rPr>
                <w:bCs/>
                <w:snapToGrid w:val="0"/>
                <w:sz w:val="18"/>
              </w:rPr>
            </w:pPr>
            <w:r>
              <w:rPr>
                <w:bCs/>
                <w:snapToGrid w:val="0"/>
                <w:sz w:val="18"/>
              </w:rPr>
              <w:t>11,6</w:t>
            </w:r>
          </w:p>
        </w:tc>
        <w:tc>
          <w:tcPr>
            <w:tcW w:w="258" w:type="pct"/>
          </w:tcPr>
          <w:p w:rsidR="00000000" w:rsidRDefault="00000000">
            <w:pPr>
              <w:widowControl w:val="0"/>
              <w:tabs>
                <w:tab w:val="decimal" w:pos="178"/>
              </w:tabs>
              <w:jc w:val="right"/>
              <w:rPr>
                <w:bCs/>
                <w:snapToGrid w:val="0"/>
                <w:sz w:val="18"/>
              </w:rPr>
            </w:pPr>
            <w:r>
              <w:rPr>
                <w:bCs/>
                <w:snapToGrid w:val="0"/>
                <w:sz w:val="18"/>
              </w:rPr>
              <w:t>12,1</w:t>
            </w:r>
          </w:p>
        </w:tc>
        <w:tc>
          <w:tcPr>
            <w:tcW w:w="258" w:type="pct"/>
          </w:tcPr>
          <w:p w:rsidR="00000000" w:rsidRDefault="00000000">
            <w:pPr>
              <w:widowControl w:val="0"/>
              <w:tabs>
                <w:tab w:val="decimal" w:pos="178"/>
              </w:tabs>
              <w:jc w:val="right"/>
              <w:rPr>
                <w:bCs/>
                <w:snapToGrid w:val="0"/>
                <w:sz w:val="18"/>
              </w:rPr>
            </w:pPr>
            <w:r>
              <w:rPr>
                <w:bCs/>
                <w:snapToGrid w:val="0"/>
                <w:sz w:val="18"/>
              </w:rPr>
              <w:t>11,8</w:t>
            </w:r>
          </w:p>
        </w:tc>
        <w:tc>
          <w:tcPr>
            <w:tcW w:w="258" w:type="pct"/>
          </w:tcPr>
          <w:p w:rsidR="00000000" w:rsidRDefault="00000000">
            <w:pPr>
              <w:widowControl w:val="0"/>
              <w:tabs>
                <w:tab w:val="decimal" w:pos="178"/>
              </w:tabs>
              <w:jc w:val="right"/>
              <w:rPr>
                <w:bCs/>
                <w:snapToGrid w:val="0"/>
                <w:sz w:val="18"/>
              </w:rPr>
            </w:pPr>
            <w:r>
              <w:rPr>
                <w:bCs/>
                <w:snapToGrid w:val="0"/>
                <w:sz w:val="18"/>
              </w:rPr>
              <w:t>12,1</w:t>
            </w:r>
          </w:p>
        </w:tc>
        <w:tc>
          <w:tcPr>
            <w:tcW w:w="258" w:type="pct"/>
          </w:tcPr>
          <w:p w:rsidR="00000000" w:rsidRDefault="00000000">
            <w:pPr>
              <w:widowControl w:val="0"/>
              <w:tabs>
                <w:tab w:val="decimal" w:pos="178"/>
              </w:tabs>
              <w:jc w:val="right"/>
              <w:rPr>
                <w:bCs/>
                <w:snapToGrid w:val="0"/>
                <w:sz w:val="18"/>
              </w:rPr>
            </w:pPr>
            <w:r>
              <w:rPr>
                <w:bCs/>
                <w:snapToGrid w:val="0"/>
                <w:sz w:val="18"/>
              </w:rPr>
              <w:t>12,8</w:t>
            </w:r>
          </w:p>
        </w:tc>
        <w:tc>
          <w:tcPr>
            <w:tcW w:w="258" w:type="pct"/>
          </w:tcPr>
          <w:p w:rsidR="00000000" w:rsidRDefault="00000000">
            <w:pPr>
              <w:widowControl w:val="0"/>
              <w:tabs>
                <w:tab w:val="decimal" w:pos="178"/>
              </w:tabs>
              <w:jc w:val="right"/>
              <w:rPr>
                <w:bCs/>
                <w:snapToGrid w:val="0"/>
                <w:sz w:val="18"/>
              </w:rPr>
            </w:pPr>
            <w:r>
              <w:rPr>
                <w:bCs/>
                <w:snapToGrid w:val="0"/>
                <w:sz w:val="18"/>
              </w:rPr>
              <w:t>12,4</w:t>
            </w:r>
          </w:p>
        </w:tc>
        <w:tc>
          <w:tcPr>
            <w:tcW w:w="257" w:type="pct"/>
          </w:tcPr>
          <w:p w:rsidR="00000000" w:rsidRDefault="00000000">
            <w:pPr>
              <w:widowControl w:val="0"/>
              <w:tabs>
                <w:tab w:val="decimal" w:pos="178"/>
              </w:tabs>
              <w:jc w:val="right"/>
              <w:rPr>
                <w:bCs/>
                <w:snapToGrid w:val="0"/>
                <w:sz w:val="18"/>
              </w:rPr>
            </w:pPr>
            <w:r>
              <w:rPr>
                <w:bCs/>
                <w:snapToGrid w:val="0"/>
                <w:sz w:val="18"/>
              </w:rPr>
              <w:t>15,9</w:t>
            </w:r>
          </w:p>
        </w:tc>
        <w:tc>
          <w:tcPr>
            <w:tcW w:w="258" w:type="pct"/>
          </w:tcPr>
          <w:p w:rsidR="00000000" w:rsidRDefault="00000000">
            <w:pPr>
              <w:widowControl w:val="0"/>
              <w:tabs>
                <w:tab w:val="decimal" w:pos="178"/>
              </w:tabs>
              <w:jc w:val="right"/>
              <w:rPr>
                <w:bCs/>
                <w:snapToGrid w:val="0"/>
                <w:sz w:val="18"/>
              </w:rPr>
            </w:pPr>
            <w:r>
              <w:rPr>
                <w:bCs/>
                <w:snapToGrid w:val="0"/>
                <w:sz w:val="18"/>
              </w:rPr>
              <w:t>17,9</w:t>
            </w:r>
          </w:p>
        </w:tc>
        <w:tc>
          <w:tcPr>
            <w:tcW w:w="258" w:type="pct"/>
          </w:tcPr>
          <w:p w:rsidR="00000000" w:rsidRDefault="00000000">
            <w:pPr>
              <w:widowControl w:val="0"/>
              <w:tabs>
                <w:tab w:val="decimal" w:pos="178"/>
              </w:tabs>
              <w:jc w:val="right"/>
              <w:rPr>
                <w:bCs/>
                <w:snapToGrid w:val="0"/>
                <w:sz w:val="18"/>
              </w:rPr>
            </w:pPr>
            <w:r>
              <w:rPr>
                <w:bCs/>
                <w:snapToGrid w:val="0"/>
                <w:sz w:val="18"/>
              </w:rPr>
              <w:t>16,8</w:t>
            </w:r>
          </w:p>
        </w:tc>
        <w:tc>
          <w:tcPr>
            <w:tcW w:w="258" w:type="pct"/>
          </w:tcPr>
          <w:p w:rsidR="00000000" w:rsidRDefault="00000000">
            <w:pPr>
              <w:widowControl w:val="0"/>
              <w:tabs>
                <w:tab w:val="decimal" w:pos="178"/>
              </w:tabs>
              <w:jc w:val="right"/>
              <w:rPr>
                <w:bCs/>
                <w:snapToGrid w:val="0"/>
                <w:sz w:val="18"/>
              </w:rPr>
            </w:pPr>
            <w:r>
              <w:rPr>
                <w:bCs/>
                <w:snapToGrid w:val="0"/>
                <w:sz w:val="18"/>
              </w:rPr>
              <w:t>27,5</w:t>
            </w:r>
          </w:p>
        </w:tc>
        <w:tc>
          <w:tcPr>
            <w:tcW w:w="258" w:type="pct"/>
          </w:tcPr>
          <w:p w:rsidR="00000000" w:rsidRDefault="00000000">
            <w:pPr>
              <w:widowControl w:val="0"/>
              <w:tabs>
                <w:tab w:val="decimal" w:pos="178"/>
              </w:tabs>
              <w:jc w:val="right"/>
              <w:rPr>
                <w:bCs/>
                <w:snapToGrid w:val="0"/>
                <w:sz w:val="18"/>
              </w:rPr>
            </w:pPr>
            <w:r>
              <w:rPr>
                <w:bCs/>
                <w:snapToGrid w:val="0"/>
                <w:sz w:val="18"/>
              </w:rPr>
              <w:t>30,2</w:t>
            </w:r>
          </w:p>
        </w:tc>
        <w:tc>
          <w:tcPr>
            <w:tcW w:w="252" w:type="pct"/>
          </w:tcPr>
          <w:p w:rsidR="00000000" w:rsidRDefault="00000000">
            <w:pPr>
              <w:widowControl w:val="0"/>
              <w:tabs>
                <w:tab w:val="decimal" w:pos="178"/>
              </w:tabs>
              <w:jc w:val="right"/>
              <w:rPr>
                <w:bCs/>
                <w:snapToGrid w:val="0"/>
                <w:sz w:val="18"/>
              </w:rPr>
            </w:pPr>
            <w:r>
              <w:rPr>
                <w:bCs/>
                <w:snapToGrid w:val="0"/>
                <w:sz w:val="18"/>
              </w:rPr>
              <w:t>28,6</w:t>
            </w:r>
          </w:p>
        </w:tc>
      </w:tr>
      <w:tr w:rsidR="00000000">
        <w:tblPrEx>
          <w:tblCellMar>
            <w:top w:w="0" w:type="dxa"/>
            <w:bottom w:w="0" w:type="dxa"/>
          </w:tblCellMar>
        </w:tblPrEx>
        <w:trPr>
          <w:jc w:val="center"/>
        </w:trPr>
        <w:tc>
          <w:tcPr>
            <w:tcW w:w="363" w:type="pct"/>
          </w:tcPr>
          <w:p w:rsidR="00000000" w:rsidRDefault="00000000">
            <w:pPr>
              <w:widowControl w:val="0"/>
              <w:rPr>
                <w:bCs/>
                <w:snapToGrid w:val="0"/>
                <w:sz w:val="18"/>
              </w:rPr>
            </w:pPr>
            <w:r>
              <w:rPr>
                <w:bCs/>
                <w:snapToGrid w:val="0"/>
                <w:sz w:val="18"/>
              </w:rPr>
              <w:t>2000/01</w:t>
            </w:r>
          </w:p>
        </w:tc>
        <w:tc>
          <w:tcPr>
            <w:tcW w:w="257" w:type="pct"/>
          </w:tcPr>
          <w:p w:rsidR="00000000" w:rsidRDefault="00000000">
            <w:pPr>
              <w:widowControl w:val="0"/>
              <w:tabs>
                <w:tab w:val="decimal" w:pos="178"/>
              </w:tabs>
              <w:jc w:val="right"/>
              <w:rPr>
                <w:bCs/>
                <w:snapToGrid w:val="0"/>
                <w:sz w:val="18"/>
              </w:rPr>
            </w:pPr>
            <w:r>
              <w:rPr>
                <w:bCs/>
                <w:snapToGrid w:val="0"/>
                <w:sz w:val="18"/>
              </w:rPr>
              <w:t>10,86</w:t>
            </w:r>
          </w:p>
        </w:tc>
        <w:tc>
          <w:tcPr>
            <w:tcW w:w="258" w:type="pct"/>
          </w:tcPr>
          <w:p w:rsidR="00000000" w:rsidRDefault="00000000">
            <w:pPr>
              <w:widowControl w:val="0"/>
              <w:tabs>
                <w:tab w:val="decimal" w:pos="178"/>
              </w:tabs>
              <w:jc w:val="right"/>
              <w:rPr>
                <w:bCs/>
                <w:snapToGrid w:val="0"/>
                <w:sz w:val="18"/>
              </w:rPr>
            </w:pPr>
            <w:r>
              <w:rPr>
                <w:bCs/>
                <w:snapToGrid w:val="0"/>
                <w:sz w:val="18"/>
              </w:rPr>
              <w:t>10,2</w:t>
            </w:r>
          </w:p>
        </w:tc>
        <w:tc>
          <w:tcPr>
            <w:tcW w:w="258" w:type="pct"/>
          </w:tcPr>
          <w:p w:rsidR="00000000" w:rsidRDefault="00000000">
            <w:pPr>
              <w:widowControl w:val="0"/>
              <w:tabs>
                <w:tab w:val="decimal" w:pos="178"/>
              </w:tabs>
              <w:jc w:val="right"/>
              <w:rPr>
                <w:bCs/>
                <w:snapToGrid w:val="0"/>
                <w:sz w:val="18"/>
              </w:rPr>
            </w:pPr>
            <w:r>
              <w:rPr>
                <w:bCs/>
                <w:snapToGrid w:val="0"/>
                <w:sz w:val="18"/>
              </w:rPr>
              <w:t>10,56</w:t>
            </w:r>
          </w:p>
        </w:tc>
        <w:tc>
          <w:tcPr>
            <w:tcW w:w="258" w:type="pct"/>
          </w:tcPr>
          <w:p w:rsidR="00000000" w:rsidRDefault="00000000">
            <w:pPr>
              <w:widowControl w:val="0"/>
              <w:tabs>
                <w:tab w:val="decimal" w:pos="178"/>
              </w:tabs>
              <w:jc w:val="right"/>
              <w:rPr>
                <w:bCs/>
                <w:snapToGrid w:val="0"/>
                <w:sz w:val="18"/>
              </w:rPr>
            </w:pPr>
            <w:r>
              <w:rPr>
                <w:bCs/>
                <w:snapToGrid w:val="0"/>
                <w:sz w:val="18"/>
              </w:rPr>
              <w:t>10,56</w:t>
            </w:r>
          </w:p>
        </w:tc>
        <w:tc>
          <w:tcPr>
            <w:tcW w:w="258" w:type="pct"/>
          </w:tcPr>
          <w:p w:rsidR="00000000" w:rsidRDefault="00000000">
            <w:pPr>
              <w:widowControl w:val="0"/>
              <w:tabs>
                <w:tab w:val="decimal" w:pos="178"/>
              </w:tabs>
              <w:jc w:val="right"/>
              <w:rPr>
                <w:bCs/>
                <w:snapToGrid w:val="0"/>
                <w:sz w:val="18"/>
              </w:rPr>
            </w:pPr>
            <w:r>
              <w:rPr>
                <w:bCs/>
                <w:snapToGrid w:val="0"/>
                <w:sz w:val="18"/>
              </w:rPr>
              <w:t>10,20</w:t>
            </w:r>
          </w:p>
        </w:tc>
        <w:tc>
          <w:tcPr>
            <w:tcW w:w="258" w:type="pct"/>
          </w:tcPr>
          <w:p w:rsidR="00000000" w:rsidRDefault="00000000">
            <w:pPr>
              <w:widowControl w:val="0"/>
              <w:tabs>
                <w:tab w:val="decimal" w:pos="178"/>
              </w:tabs>
              <w:jc w:val="right"/>
              <w:rPr>
                <w:bCs/>
                <w:snapToGrid w:val="0"/>
                <w:sz w:val="18"/>
              </w:rPr>
            </w:pPr>
            <w:r>
              <w:rPr>
                <w:bCs/>
                <w:snapToGrid w:val="0"/>
                <w:sz w:val="18"/>
              </w:rPr>
              <w:t>10,39</w:t>
            </w:r>
          </w:p>
        </w:tc>
        <w:tc>
          <w:tcPr>
            <w:tcW w:w="257" w:type="pct"/>
          </w:tcPr>
          <w:p w:rsidR="00000000" w:rsidRDefault="00000000">
            <w:pPr>
              <w:widowControl w:val="0"/>
              <w:tabs>
                <w:tab w:val="decimal" w:pos="178"/>
              </w:tabs>
              <w:jc w:val="right"/>
              <w:rPr>
                <w:bCs/>
                <w:snapToGrid w:val="0"/>
                <w:sz w:val="18"/>
              </w:rPr>
            </w:pPr>
            <w:r>
              <w:rPr>
                <w:bCs/>
                <w:snapToGrid w:val="0"/>
                <w:sz w:val="18"/>
              </w:rPr>
              <w:t>12,41</w:t>
            </w:r>
          </w:p>
        </w:tc>
        <w:tc>
          <w:tcPr>
            <w:tcW w:w="258" w:type="pct"/>
          </w:tcPr>
          <w:p w:rsidR="00000000" w:rsidRDefault="00000000">
            <w:pPr>
              <w:widowControl w:val="0"/>
              <w:tabs>
                <w:tab w:val="decimal" w:pos="178"/>
              </w:tabs>
              <w:jc w:val="right"/>
              <w:rPr>
                <w:bCs/>
                <w:snapToGrid w:val="0"/>
                <w:sz w:val="18"/>
              </w:rPr>
            </w:pPr>
            <w:r>
              <w:rPr>
                <w:bCs/>
                <w:snapToGrid w:val="0"/>
                <w:sz w:val="18"/>
              </w:rPr>
              <w:t>12,19</w:t>
            </w:r>
          </w:p>
        </w:tc>
        <w:tc>
          <w:tcPr>
            <w:tcW w:w="258" w:type="pct"/>
          </w:tcPr>
          <w:p w:rsidR="00000000" w:rsidRDefault="00000000">
            <w:pPr>
              <w:widowControl w:val="0"/>
              <w:tabs>
                <w:tab w:val="decimal" w:pos="178"/>
              </w:tabs>
              <w:jc w:val="right"/>
              <w:rPr>
                <w:bCs/>
                <w:snapToGrid w:val="0"/>
                <w:sz w:val="18"/>
              </w:rPr>
            </w:pPr>
            <w:r>
              <w:rPr>
                <w:bCs/>
                <w:snapToGrid w:val="0"/>
                <w:sz w:val="18"/>
              </w:rPr>
              <w:t>12,31</w:t>
            </w:r>
          </w:p>
        </w:tc>
        <w:tc>
          <w:tcPr>
            <w:tcW w:w="258" w:type="pct"/>
          </w:tcPr>
          <w:p w:rsidR="00000000" w:rsidRDefault="00000000">
            <w:pPr>
              <w:widowControl w:val="0"/>
              <w:tabs>
                <w:tab w:val="decimal" w:pos="178"/>
              </w:tabs>
              <w:jc w:val="right"/>
              <w:rPr>
                <w:bCs/>
                <w:snapToGrid w:val="0"/>
                <w:sz w:val="18"/>
              </w:rPr>
            </w:pPr>
            <w:r>
              <w:rPr>
                <w:bCs/>
                <w:snapToGrid w:val="0"/>
                <w:sz w:val="18"/>
              </w:rPr>
              <w:t>12,75</w:t>
            </w:r>
          </w:p>
        </w:tc>
        <w:tc>
          <w:tcPr>
            <w:tcW w:w="258" w:type="pct"/>
          </w:tcPr>
          <w:p w:rsidR="00000000" w:rsidRDefault="00000000">
            <w:pPr>
              <w:widowControl w:val="0"/>
              <w:tabs>
                <w:tab w:val="decimal" w:pos="178"/>
              </w:tabs>
              <w:jc w:val="right"/>
              <w:rPr>
                <w:bCs/>
                <w:snapToGrid w:val="0"/>
                <w:sz w:val="18"/>
              </w:rPr>
            </w:pPr>
            <w:r>
              <w:rPr>
                <w:bCs/>
                <w:snapToGrid w:val="0"/>
                <w:sz w:val="18"/>
              </w:rPr>
              <w:t>12,82</w:t>
            </w:r>
          </w:p>
        </w:tc>
        <w:tc>
          <w:tcPr>
            <w:tcW w:w="258" w:type="pct"/>
          </w:tcPr>
          <w:p w:rsidR="00000000" w:rsidRDefault="00000000">
            <w:pPr>
              <w:widowControl w:val="0"/>
              <w:tabs>
                <w:tab w:val="decimal" w:pos="178"/>
              </w:tabs>
              <w:jc w:val="right"/>
              <w:rPr>
                <w:bCs/>
                <w:snapToGrid w:val="0"/>
                <w:sz w:val="18"/>
              </w:rPr>
            </w:pPr>
            <w:r>
              <w:rPr>
                <w:bCs/>
                <w:snapToGrid w:val="0"/>
                <w:sz w:val="18"/>
              </w:rPr>
              <w:t>12,78</w:t>
            </w:r>
          </w:p>
        </w:tc>
        <w:tc>
          <w:tcPr>
            <w:tcW w:w="257" w:type="pct"/>
          </w:tcPr>
          <w:p w:rsidR="00000000" w:rsidRDefault="00000000">
            <w:pPr>
              <w:widowControl w:val="0"/>
              <w:tabs>
                <w:tab w:val="decimal" w:pos="178"/>
              </w:tabs>
              <w:jc w:val="right"/>
              <w:rPr>
                <w:bCs/>
                <w:snapToGrid w:val="0"/>
                <w:sz w:val="18"/>
              </w:rPr>
            </w:pPr>
            <w:r>
              <w:rPr>
                <w:bCs/>
                <w:snapToGrid w:val="0"/>
                <w:sz w:val="18"/>
              </w:rPr>
              <w:t>15,00</w:t>
            </w:r>
          </w:p>
        </w:tc>
        <w:tc>
          <w:tcPr>
            <w:tcW w:w="258" w:type="pct"/>
          </w:tcPr>
          <w:p w:rsidR="00000000" w:rsidRDefault="00000000">
            <w:pPr>
              <w:widowControl w:val="0"/>
              <w:tabs>
                <w:tab w:val="decimal" w:pos="178"/>
              </w:tabs>
              <w:jc w:val="right"/>
              <w:rPr>
                <w:bCs/>
                <w:snapToGrid w:val="0"/>
                <w:sz w:val="18"/>
              </w:rPr>
            </w:pPr>
            <w:r>
              <w:rPr>
                <w:bCs/>
                <w:snapToGrid w:val="0"/>
                <w:sz w:val="18"/>
              </w:rPr>
              <w:t>15,48</w:t>
            </w:r>
          </w:p>
        </w:tc>
        <w:tc>
          <w:tcPr>
            <w:tcW w:w="258" w:type="pct"/>
          </w:tcPr>
          <w:p w:rsidR="00000000" w:rsidRDefault="00000000">
            <w:pPr>
              <w:widowControl w:val="0"/>
              <w:tabs>
                <w:tab w:val="decimal" w:pos="178"/>
              </w:tabs>
              <w:jc w:val="right"/>
              <w:rPr>
                <w:bCs/>
                <w:snapToGrid w:val="0"/>
                <w:sz w:val="18"/>
              </w:rPr>
            </w:pPr>
            <w:r>
              <w:rPr>
                <w:bCs/>
                <w:snapToGrid w:val="0"/>
                <w:sz w:val="18"/>
              </w:rPr>
              <w:t>15,21</w:t>
            </w:r>
          </w:p>
        </w:tc>
        <w:tc>
          <w:tcPr>
            <w:tcW w:w="258" w:type="pct"/>
          </w:tcPr>
          <w:p w:rsidR="00000000" w:rsidRDefault="00000000">
            <w:pPr>
              <w:widowControl w:val="0"/>
              <w:tabs>
                <w:tab w:val="decimal" w:pos="178"/>
              </w:tabs>
              <w:jc w:val="right"/>
              <w:rPr>
                <w:bCs/>
                <w:snapToGrid w:val="0"/>
                <w:sz w:val="18"/>
              </w:rPr>
            </w:pPr>
            <w:r>
              <w:rPr>
                <w:bCs/>
                <w:snapToGrid w:val="0"/>
                <w:sz w:val="18"/>
              </w:rPr>
              <w:t>26,36</w:t>
            </w:r>
          </w:p>
        </w:tc>
        <w:tc>
          <w:tcPr>
            <w:tcW w:w="258" w:type="pct"/>
          </w:tcPr>
          <w:p w:rsidR="00000000" w:rsidRDefault="00000000">
            <w:pPr>
              <w:widowControl w:val="0"/>
              <w:tabs>
                <w:tab w:val="decimal" w:pos="178"/>
              </w:tabs>
              <w:jc w:val="right"/>
              <w:rPr>
                <w:bCs/>
                <w:snapToGrid w:val="0"/>
                <w:sz w:val="18"/>
              </w:rPr>
            </w:pPr>
            <w:r>
              <w:rPr>
                <w:bCs/>
                <w:snapToGrid w:val="0"/>
                <w:sz w:val="18"/>
              </w:rPr>
              <w:t>27,15</w:t>
            </w:r>
          </w:p>
        </w:tc>
        <w:tc>
          <w:tcPr>
            <w:tcW w:w="252" w:type="pct"/>
          </w:tcPr>
          <w:p w:rsidR="00000000" w:rsidRDefault="00000000">
            <w:pPr>
              <w:widowControl w:val="0"/>
              <w:tabs>
                <w:tab w:val="decimal" w:pos="178"/>
              </w:tabs>
              <w:jc w:val="right"/>
              <w:rPr>
                <w:bCs/>
                <w:snapToGrid w:val="0"/>
                <w:sz w:val="18"/>
              </w:rPr>
            </w:pPr>
            <w:r>
              <w:rPr>
                <w:bCs/>
                <w:snapToGrid w:val="0"/>
                <w:sz w:val="18"/>
              </w:rPr>
              <w:t>26,68</w:t>
            </w:r>
          </w:p>
        </w:tc>
      </w:tr>
      <w:tr w:rsidR="00000000">
        <w:tblPrEx>
          <w:tblCellMar>
            <w:top w:w="0" w:type="dxa"/>
            <w:bottom w:w="0" w:type="dxa"/>
          </w:tblCellMar>
        </w:tblPrEx>
        <w:trPr>
          <w:jc w:val="center"/>
        </w:trPr>
        <w:tc>
          <w:tcPr>
            <w:tcW w:w="363" w:type="pct"/>
          </w:tcPr>
          <w:p w:rsidR="00000000" w:rsidRDefault="00000000">
            <w:pPr>
              <w:widowControl w:val="0"/>
              <w:rPr>
                <w:bCs/>
                <w:snapToGrid w:val="0"/>
                <w:sz w:val="18"/>
              </w:rPr>
            </w:pPr>
            <w:r>
              <w:rPr>
                <w:bCs/>
                <w:snapToGrid w:val="0"/>
                <w:sz w:val="18"/>
              </w:rPr>
              <w:t>2001/02</w:t>
            </w:r>
          </w:p>
        </w:tc>
        <w:tc>
          <w:tcPr>
            <w:tcW w:w="257" w:type="pct"/>
          </w:tcPr>
          <w:p w:rsidR="00000000" w:rsidRDefault="00000000">
            <w:pPr>
              <w:widowControl w:val="0"/>
              <w:jc w:val="right"/>
              <w:rPr>
                <w:bCs/>
                <w:snapToGrid w:val="0"/>
                <w:sz w:val="18"/>
              </w:rPr>
            </w:pPr>
          </w:p>
        </w:tc>
        <w:tc>
          <w:tcPr>
            <w:tcW w:w="258" w:type="pct"/>
          </w:tcPr>
          <w:p w:rsidR="00000000" w:rsidRDefault="00000000">
            <w:pPr>
              <w:widowControl w:val="0"/>
              <w:jc w:val="right"/>
              <w:rPr>
                <w:bCs/>
                <w:snapToGrid w:val="0"/>
                <w:sz w:val="18"/>
              </w:rPr>
            </w:pPr>
          </w:p>
        </w:tc>
        <w:tc>
          <w:tcPr>
            <w:tcW w:w="258" w:type="pct"/>
          </w:tcPr>
          <w:p w:rsidR="00000000" w:rsidRDefault="00000000">
            <w:pPr>
              <w:widowControl w:val="0"/>
              <w:jc w:val="right"/>
              <w:rPr>
                <w:bCs/>
                <w:snapToGrid w:val="0"/>
                <w:sz w:val="18"/>
              </w:rPr>
            </w:pPr>
          </w:p>
        </w:tc>
        <w:tc>
          <w:tcPr>
            <w:tcW w:w="258" w:type="pct"/>
          </w:tcPr>
          <w:p w:rsidR="00000000" w:rsidRDefault="00000000">
            <w:pPr>
              <w:widowControl w:val="0"/>
              <w:jc w:val="right"/>
              <w:rPr>
                <w:bCs/>
                <w:snapToGrid w:val="0"/>
                <w:sz w:val="18"/>
              </w:rPr>
            </w:pPr>
          </w:p>
        </w:tc>
        <w:tc>
          <w:tcPr>
            <w:tcW w:w="258" w:type="pct"/>
          </w:tcPr>
          <w:p w:rsidR="00000000" w:rsidRDefault="00000000">
            <w:pPr>
              <w:widowControl w:val="0"/>
              <w:jc w:val="right"/>
              <w:rPr>
                <w:bCs/>
                <w:snapToGrid w:val="0"/>
                <w:sz w:val="18"/>
              </w:rPr>
            </w:pPr>
          </w:p>
        </w:tc>
        <w:tc>
          <w:tcPr>
            <w:tcW w:w="258" w:type="pct"/>
          </w:tcPr>
          <w:p w:rsidR="00000000" w:rsidRDefault="00000000">
            <w:pPr>
              <w:widowControl w:val="0"/>
              <w:jc w:val="right"/>
              <w:rPr>
                <w:bCs/>
                <w:snapToGrid w:val="0"/>
                <w:sz w:val="18"/>
              </w:rPr>
            </w:pPr>
          </w:p>
        </w:tc>
        <w:tc>
          <w:tcPr>
            <w:tcW w:w="257" w:type="pct"/>
          </w:tcPr>
          <w:p w:rsidR="00000000" w:rsidRDefault="00000000">
            <w:pPr>
              <w:widowControl w:val="0"/>
              <w:jc w:val="right"/>
              <w:rPr>
                <w:bCs/>
                <w:snapToGrid w:val="0"/>
                <w:sz w:val="18"/>
              </w:rPr>
            </w:pPr>
          </w:p>
        </w:tc>
        <w:tc>
          <w:tcPr>
            <w:tcW w:w="258" w:type="pct"/>
          </w:tcPr>
          <w:p w:rsidR="00000000" w:rsidRDefault="00000000">
            <w:pPr>
              <w:widowControl w:val="0"/>
              <w:jc w:val="right"/>
              <w:rPr>
                <w:bCs/>
                <w:snapToGrid w:val="0"/>
                <w:sz w:val="18"/>
              </w:rPr>
            </w:pPr>
          </w:p>
        </w:tc>
        <w:tc>
          <w:tcPr>
            <w:tcW w:w="258" w:type="pct"/>
          </w:tcPr>
          <w:p w:rsidR="00000000" w:rsidRDefault="00000000">
            <w:pPr>
              <w:widowControl w:val="0"/>
              <w:jc w:val="right"/>
              <w:rPr>
                <w:bCs/>
                <w:snapToGrid w:val="0"/>
                <w:sz w:val="18"/>
              </w:rPr>
            </w:pPr>
          </w:p>
        </w:tc>
        <w:tc>
          <w:tcPr>
            <w:tcW w:w="258" w:type="pct"/>
          </w:tcPr>
          <w:p w:rsidR="00000000" w:rsidRDefault="00000000">
            <w:pPr>
              <w:widowControl w:val="0"/>
              <w:jc w:val="right"/>
              <w:rPr>
                <w:bCs/>
                <w:snapToGrid w:val="0"/>
                <w:sz w:val="18"/>
              </w:rPr>
            </w:pPr>
          </w:p>
        </w:tc>
        <w:tc>
          <w:tcPr>
            <w:tcW w:w="258" w:type="pct"/>
          </w:tcPr>
          <w:p w:rsidR="00000000" w:rsidRDefault="00000000">
            <w:pPr>
              <w:widowControl w:val="0"/>
              <w:jc w:val="right"/>
              <w:rPr>
                <w:bCs/>
                <w:snapToGrid w:val="0"/>
                <w:sz w:val="18"/>
              </w:rPr>
            </w:pPr>
          </w:p>
        </w:tc>
        <w:tc>
          <w:tcPr>
            <w:tcW w:w="258" w:type="pct"/>
          </w:tcPr>
          <w:p w:rsidR="00000000" w:rsidRDefault="00000000">
            <w:pPr>
              <w:widowControl w:val="0"/>
              <w:jc w:val="right"/>
              <w:rPr>
                <w:bCs/>
                <w:snapToGrid w:val="0"/>
                <w:sz w:val="18"/>
              </w:rPr>
            </w:pPr>
          </w:p>
        </w:tc>
        <w:tc>
          <w:tcPr>
            <w:tcW w:w="257" w:type="pct"/>
          </w:tcPr>
          <w:p w:rsidR="00000000" w:rsidRDefault="00000000">
            <w:pPr>
              <w:widowControl w:val="0"/>
              <w:jc w:val="right"/>
              <w:rPr>
                <w:bCs/>
                <w:snapToGrid w:val="0"/>
                <w:sz w:val="18"/>
              </w:rPr>
            </w:pPr>
          </w:p>
        </w:tc>
        <w:tc>
          <w:tcPr>
            <w:tcW w:w="258" w:type="pct"/>
          </w:tcPr>
          <w:p w:rsidR="00000000" w:rsidRDefault="00000000">
            <w:pPr>
              <w:widowControl w:val="0"/>
              <w:jc w:val="right"/>
              <w:rPr>
                <w:bCs/>
                <w:snapToGrid w:val="0"/>
                <w:sz w:val="18"/>
              </w:rPr>
            </w:pPr>
          </w:p>
        </w:tc>
        <w:tc>
          <w:tcPr>
            <w:tcW w:w="258" w:type="pct"/>
          </w:tcPr>
          <w:p w:rsidR="00000000" w:rsidRDefault="00000000">
            <w:pPr>
              <w:widowControl w:val="0"/>
              <w:jc w:val="right"/>
              <w:rPr>
                <w:bCs/>
                <w:snapToGrid w:val="0"/>
                <w:sz w:val="18"/>
              </w:rPr>
            </w:pPr>
          </w:p>
        </w:tc>
        <w:tc>
          <w:tcPr>
            <w:tcW w:w="258" w:type="pct"/>
          </w:tcPr>
          <w:p w:rsidR="00000000" w:rsidRDefault="00000000">
            <w:pPr>
              <w:widowControl w:val="0"/>
              <w:jc w:val="right"/>
              <w:rPr>
                <w:bCs/>
                <w:snapToGrid w:val="0"/>
                <w:sz w:val="18"/>
              </w:rPr>
            </w:pPr>
          </w:p>
        </w:tc>
        <w:tc>
          <w:tcPr>
            <w:tcW w:w="258" w:type="pct"/>
          </w:tcPr>
          <w:p w:rsidR="00000000" w:rsidRDefault="00000000">
            <w:pPr>
              <w:widowControl w:val="0"/>
              <w:jc w:val="right"/>
              <w:rPr>
                <w:bCs/>
                <w:snapToGrid w:val="0"/>
                <w:sz w:val="18"/>
              </w:rPr>
            </w:pPr>
          </w:p>
        </w:tc>
        <w:tc>
          <w:tcPr>
            <w:tcW w:w="252" w:type="pct"/>
          </w:tcPr>
          <w:p w:rsidR="00000000" w:rsidRDefault="00000000">
            <w:pPr>
              <w:widowControl w:val="0"/>
              <w:jc w:val="right"/>
              <w:rPr>
                <w:bCs/>
                <w:snapToGrid w:val="0"/>
                <w:sz w:val="18"/>
              </w:rPr>
            </w:pPr>
          </w:p>
        </w:tc>
      </w:tr>
    </w:tbl>
    <w:p w:rsidR="00000000" w:rsidRDefault="00000000">
      <w:pPr>
        <w:spacing w:before="180" w:after="360"/>
        <w:rPr>
          <w:sz w:val="18"/>
        </w:rPr>
      </w:pPr>
      <w:r>
        <w:rPr>
          <w:i/>
          <w:iCs/>
          <w:sz w:val="18"/>
        </w:rPr>
        <w:t xml:space="preserve">Fuente:  </w:t>
      </w:r>
      <w:r>
        <w:rPr>
          <w:sz w:val="18"/>
        </w:rPr>
        <w:t xml:space="preserve">Estadísticas de la </w:t>
      </w:r>
      <w:proofErr w:type="spellStart"/>
      <w:r>
        <w:rPr>
          <w:sz w:val="18"/>
        </w:rPr>
        <w:t>DPRE</w:t>
      </w:r>
      <w:proofErr w:type="spellEnd"/>
      <w:r>
        <w:rPr>
          <w:sz w:val="18"/>
        </w:rPr>
        <w:t>, 2004.</w:t>
      </w:r>
    </w:p>
    <w:p w:rsidR="00000000" w:rsidRDefault="00000000">
      <w:pPr>
        <w:keepNext/>
        <w:spacing w:after="240"/>
        <w:rPr>
          <w:b/>
          <w:bCs/>
          <w:i/>
          <w:iCs/>
        </w:rPr>
      </w:pPr>
      <w:r>
        <w:rPr>
          <w:b/>
          <w:bCs/>
          <w:i/>
          <w:iCs/>
        </w:rPr>
        <w:t>Tasa de abandono</w:t>
      </w:r>
    </w:p>
    <w:p w:rsidR="00000000" w:rsidRDefault="00000000">
      <w:pPr>
        <w:spacing w:after="240"/>
      </w:pPr>
      <w:r>
        <w:t>57.</w:t>
      </w:r>
      <w:r>
        <w:tab/>
        <w:t>Las tasas de abandono siguen siendo elevadas en los años primero, quinto y sexto.  En el primer año, la tasa fue de 11,5% en 2001 y de 12,4% en 2002.  En el quinto año, las cifras correspondientes fueron de 11 y 10,5% y en el sexto año de 23,72 y 23,52%.</w:t>
      </w:r>
    </w:p>
    <w:p w:rsidR="00000000" w:rsidRDefault="00000000">
      <w:pPr>
        <w:spacing w:after="240"/>
      </w:pPr>
      <w:r>
        <w:t>58.</w:t>
      </w:r>
      <w:r>
        <w:tab/>
        <w:t>Muy a menudo, las tasas de abandono y repetición de las niñas son superiores a las de los niños.</w:t>
      </w:r>
    </w:p>
    <w:p w:rsidR="00000000" w:rsidRDefault="00000000">
      <w:pPr>
        <w:spacing w:after="200"/>
        <w:jc w:val="center"/>
        <w:rPr>
          <w:b/>
          <w:bCs/>
          <w:sz w:val="20"/>
        </w:rPr>
      </w:pPr>
      <w:r>
        <w:rPr>
          <w:b/>
          <w:bCs/>
          <w:sz w:val="20"/>
        </w:rPr>
        <w:t>Evolución de la tasa de abandono entre 1994 y 2002</w:t>
      </w:r>
    </w:p>
    <w:tbl>
      <w:tblPr>
        <w:tblW w:w="9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753"/>
        <w:gridCol w:w="571"/>
        <w:gridCol w:w="572"/>
        <w:gridCol w:w="572"/>
        <w:gridCol w:w="571"/>
        <w:gridCol w:w="572"/>
        <w:gridCol w:w="572"/>
        <w:gridCol w:w="572"/>
        <w:gridCol w:w="571"/>
        <w:gridCol w:w="572"/>
        <w:gridCol w:w="572"/>
        <w:gridCol w:w="572"/>
        <w:gridCol w:w="571"/>
        <w:gridCol w:w="572"/>
        <w:gridCol w:w="572"/>
        <w:gridCol w:w="572"/>
      </w:tblGrid>
      <w:tr w:rsidR="00000000">
        <w:tblPrEx>
          <w:tblCellMar>
            <w:top w:w="0" w:type="dxa"/>
            <w:bottom w:w="0" w:type="dxa"/>
          </w:tblCellMar>
        </w:tblPrEx>
        <w:trPr>
          <w:cantSplit/>
          <w:jc w:val="center"/>
        </w:trPr>
        <w:tc>
          <w:tcPr>
            <w:tcW w:w="753" w:type="dxa"/>
            <w:vMerge w:val="restart"/>
          </w:tcPr>
          <w:p w:rsidR="00000000" w:rsidRDefault="00000000">
            <w:pPr>
              <w:widowControl w:val="0"/>
              <w:jc w:val="center"/>
              <w:rPr>
                <w:snapToGrid w:val="0"/>
                <w:sz w:val="20"/>
              </w:rPr>
            </w:pPr>
          </w:p>
        </w:tc>
        <w:tc>
          <w:tcPr>
            <w:tcW w:w="1715" w:type="dxa"/>
            <w:gridSpan w:val="3"/>
          </w:tcPr>
          <w:p w:rsidR="00000000" w:rsidRDefault="00000000">
            <w:pPr>
              <w:widowControl w:val="0"/>
              <w:jc w:val="center"/>
              <w:rPr>
                <w:b/>
                <w:bCs/>
                <w:snapToGrid w:val="0"/>
                <w:sz w:val="20"/>
              </w:rPr>
            </w:pPr>
            <w:r>
              <w:rPr>
                <w:b/>
                <w:bCs/>
                <w:snapToGrid w:val="0"/>
                <w:sz w:val="20"/>
              </w:rPr>
              <w:t>Primer año</w:t>
            </w:r>
          </w:p>
        </w:tc>
        <w:tc>
          <w:tcPr>
            <w:tcW w:w="1715" w:type="dxa"/>
            <w:gridSpan w:val="3"/>
          </w:tcPr>
          <w:p w:rsidR="00000000" w:rsidRDefault="00000000">
            <w:pPr>
              <w:widowControl w:val="0"/>
              <w:jc w:val="center"/>
              <w:rPr>
                <w:b/>
                <w:bCs/>
                <w:snapToGrid w:val="0"/>
                <w:sz w:val="20"/>
              </w:rPr>
            </w:pPr>
            <w:r>
              <w:rPr>
                <w:b/>
                <w:bCs/>
                <w:snapToGrid w:val="0"/>
                <w:sz w:val="20"/>
              </w:rPr>
              <w:t>Segundo año</w:t>
            </w:r>
          </w:p>
        </w:tc>
        <w:tc>
          <w:tcPr>
            <w:tcW w:w="1715" w:type="dxa"/>
            <w:gridSpan w:val="3"/>
          </w:tcPr>
          <w:p w:rsidR="00000000" w:rsidRDefault="00000000">
            <w:pPr>
              <w:widowControl w:val="0"/>
              <w:jc w:val="center"/>
              <w:rPr>
                <w:b/>
                <w:bCs/>
                <w:snapToGrid w:val="0"/>
                <w:sz w:val="20"/>
              </w:rPr>
            </w:pPr>
            <w:r>
              <w:rPr>
                <w:b/>
                <w:bCs/>
                <w:snapToGrid w:val="0"/>
                <w:sz w:val="20"/>
              </w:rPr>
              <w:t>Tercer año</w:t>
            </w:r>
          </w:p>
        </w:tc>
        <w:tc>
          <w:tcPr>
            <w:tcW w:w="1715" w:type="dxa"/>
            <w:gridSpan w:val="3"/>
          </w:tcPr>
          <w:p w:rsidR="00000000" w:rsidRDefault="00000000">
            <w:pPr>
              <w:widowControl w:val="0"/>
              <w:jc w:val="center"/>
              <w:rPr>
                <w:b/>
                <w:bCs/>
                <w:snapToGrid w:val="0"/>
                <w:sz w:val="20"/>
              </w:rPr>
            </w:pPr>
            <w:r>
              <w:rPr>
                <w:b/>
                <w:bCs/>
                <w:snapToGrid w:val="0"/>
                <w:sz w:val="20"/>
              </w:rPr>
              <w:t>Cuarto año</w:t>
            </w:r>
          </w:p>
        </w:tc>
        <w:tc>
          <w:tcPr>
            <w:tcW w:w="1716" w:type="dxa"/>
            <w:gridSpan w:val="3"/>
          </w:tcPr>
          <w:p w:rsidR="00000000" w:rsidRDefault="00000000">
            <w:pPr>
              <w:widowControl w:val="0"/>
              <w:jc w:val="center"/>
              <w:rPr>
                <w:b/>
                <w:bCs/>
                <w:snapToGrid w:val="0"/>
                <w:sz w:val="20"/>
              </w:rPr>
            </w:pPr>
            <w:r>
              <w:rPr>
                <w:b/>
                <w:bCs/>
                <w:snapToGrid w:val="0"/>
                <w:sz w:val="20"/>
              </w:rPr>
              <w:t>Quinto año</w:t>
            </w:r>
          </w:p>
        </w:tc>
      </w:tr>
      <w:tr w:rsidR="00000000">
        <w:tblPrEx>
          <w:tblCellMar>
            <w:top w:w="0" w:type="dxa"/>
            <w:bottom w:w="0" w:type="dxa"/>
          </w:tblCellMar>
        </w:tblPrEx>
        <w:trPr>
          <w:cantSplit/>
          <w:jc w:val="center"/>
        </w:trPr>
        <w:tc>
          <w:tcPr>
            <w:tcW w:w="753" w:type="dxa"/>
            <w:vMerge/>
          </w:tcPr>
          <w:p w:rsidR="00000000" w:rsidRDefault="00000000">
            <w:pPr>
              <w:widowControl w:val="0"/>
              <w:jc w:val="center"/>
              <w:rPr>
                <w:snapToGrid w:val="0"/>
                <w:sz w:val="20"/>
              </w:rPr>
            </w:pPr>
          </w:p>
        </w:tc>
        <w:tc>
          <w:tcPr>
            <w:tcW w:w="571" w:type="dxa"/>
          </w:tcPr>
          <w:p w:rsidR="00000000" w:rsidRDefault="00000000">
            <w:pPr>
              <w:widowControl w:val="0"/>
              <w:jc w:val="center"/>
              <w:rPr>
                <w:b/>
                <w:bCs/>
                <w:snapToGrid w:val="0"/>
                <w:sz w:val="20"/>
              </w:rPr>
            </w:pPr>
            <w:r>
              <w:rPr>
                <w:b/>
                <w:bCs/>
                <w:snapToGrid w:val="0"/>
                <w:sz w:val="20"/>
              </w:rPr>
              <w:t>M</w:t>
            </w:r>
          </w:p>
        </w:tc>
        <w:tc>
          <w:tcPr>
            <w:tcW w:w="572" w:type="dxa"/>
          </w:tcPr>
          <w:p w:rsidR="00000000" w:rsidRDefault="00000000">
            <w:pPr>
              <w:widowControl w:val="0"/>
              <w:jc w:val="center"/>
              <w:rPr>
                <w:b/>
                <w:bCs/>
                <w:snapToGrid w:val="0"/>
                <w:sz w:val="20"/>
                <w:lang w:val="en-US"/>
              </w:rPr>
            </w:pPr>
            <w:r>
              <w:rPr>
                <w:b/>
                <w:bCs/>
                <w:snapToGrid w:val="0"/>
                <w:sz w:val="20"/>
                <w:lang w:val="en-US"/>
              </w:rPr>
              <w:t>F</w:t>
            </w:r>
          </w:p>
        </w:tc>
        <w:tc>
          <w:tcPr>
            <w:tcW w:w="572" w:type="dxa"/>
          </w:tcPr>
          <w:p w:rsidR="00000000" w:rsidRDefault="00000000">
            <w:pPr>
              <w:widowControl w:val="0"/>
              <w:jc w:val="center"/>
              <w:rPr>
                <w:b/>
                <w:bCs/>
                <w:snapToGrid w:val="0"/>
                <w:sz w:val="20"/>
                <w:lang w:val="en-US"/>
              </w:rPr>
            </w:pPr>
            <w:r>
              <w:rPr>
                <w:b/>
                <w:bCs/>
                <w:snapToGrid w:val="0"/>
                <w:sz w:val="20"/>
                <w:lang w:val="en-US"/>
              </w:rPr>
              <w:t>MF</w:t>
            </w:r>
          </w:p>
        </w:tc>
        <w:tc>
          <w:tcPr>
            <w:tcW w:w="571" w:type="dxa"/>
          </w:tcPr>
          <w:p w:rsidR="00000000" w:rsidRDefault="00000000">
            <w:pPr>
              <w:widowControl w:val="0"/>
              <w:jc w:val="center"/>
              <w:rPr>
                <w:b/>
                <w:bCs/>
                <w:snapToGrid w:val="0"/>
                <w:sz w:val="20"/>
                <w:lang w:val="en-US"/>
              </w:rPr>
            </w:pPr>
            <w:r>
              <w:rPr>
                <w:b/>
                <w:bCs/>
                <w:snapToGrid w:val="0"/>
                <w:sz w:val="20"/>
                <w:lang w:val="en-US"/>
              </w:rPr>
              <w:t>M</w:t>
            </w:r>
          </w:p>
        </w:tc>
        <w:tc>
          <w:tcPr>
            <w:tcW w:w="572" w:type="dxa"/>
          </w:tcPr>
          <w:p w:rsidR="00000000" w:rsidRDefault="00000000">
            <w:pPr>
              <w:widowControl w:val="0"/>
              <w:jc w:val="center"/>
              <w:rPr>
                <w:b/>
                <w:bCs/>
                <w:snapToGrid w:val="0"/>
                <w:sz w:val="20"/>
                <w:lang w:val="en-US"/>
              </w:rPr>
            </w:pPr>
            <w:r>
              <w:rPr>
                <w:b/>
                <w:bCs/>
                <w:snapToGrid w:val="0"/>
                <w:sz w:val="20"/>
                <w:lang w:val="en-US"/>
              </w:rPr>
              <w:t>F</w:t>
            </w:r>
          </w:p>
        </w:tc>
        <w:tc>
          <w:tcPr>
            <w:tcW w:w="572" w:type="dxa"/>
          </w:tcPr>
          <w:p w:rsidR="00000000" w:rsidRDefault="00000000">
            <w:pPr>
              <w:widowControl w:val="0"/>
              <w:jc w:val="center"/>
              <w:rPr>
                <w:b/>
                <w:bCs/>
                <w:snapToGrid w:val="0"/>
                <w:sz w:val="20"/>
                <w:lang w:val="en-US"/>
              </w:rPr>
            </w:pPr>
            <w:r>
              <w:rPr>
                <w:b/>
                <w:bCs/>
                <w:snapToGrid w:val="0"/>
                <w:sz w:val="20"/>
                <w:lang w:val="en-US"/>
              </w:rPr>
              <w:t>MF</w:t>
            </w:r>
          </w:p>
        </w:tc>
        <w:tc>
          <w:tcPr>
            <w:tcW w:w="572" w:type="dxa"/>
          </w:tcPr>
          <w:p w:rsidR="00000000" w:rsidRDefault="00000000">
            <w:pPr>
              <w:widowControl w:val="0"/>
              <w:jc w:val="center"/>
              <w:rPr>
                <w:b/>
                <w:bCs/>
                <w:snapToGrid w:val="0"/>
                <w:sz w:val="20"/>
                <w:lang w:val="en-US"/>
              </w:rPr>
            </w:pPr>
            <w:r>
              <w:rPr>
                <w:b/>
                <w:bCs/>
                <w:snapToGrid w:val="0"/>
                <w:sz w:val="20"/>
                <w:lang w:val="en-US"/>
              </w:rPr>
              <w:t>M</w:t>
            </w:r>
          </w:p>
        </w:tc>
        <w:tc>
          <w:tcPr>
            <w:tcW w:w="571" w:type="dxa"/>
          </w:tcPr>
          <w:p w:rsidR="00000000" w:rsidRDefault="00000000">
            <w:pPr>
              <w:widowControl w:val="0"/>
              <w:jc w:val="center"/>
              <w:rPr>
                <w:b/>
                <w:bCs/>
                <w:snapToGrid w:val="0"/>
                <w:sz w:val="20"/>
                <w:lang w:val="en-US"/>
              </w:rPr>
            </w:pPr>
            <w:r>
              <w:rPr>
                <w:b/>
                <w:bCs/>
                <w:snapToGrid w:val="0"/>
                <w:sz w:val="20"/>
                <w:lang w:val="en-US"/>
              </w:rPr>
              <w:t>F</w:t>
            </w:r>
          </w:p>
        </w:tc>
        <w:tc>
          <w:tcPr>
            <w:tcW w:w="572" w:type="dxa"/>
          </w:tcPr>
          <w:p w:rsidR="00000000" w:rsidRDefault="00000000">
            <w:pPr>
              <w:widowControl w:val="0"/>
              <w:jc w:val="center"/>
              <w:rPr>
                <w:b/>
                <w:bCs/>
                <w:snapToGrid w:val="0"/>
                <w:sz w:val="20"/>
                <w:lang w:val="en-US"/>
              </w:rPr>
            </w:pPr>
            <w:r>
              <w:rPr>
                <w:b/>
                <w:bCs/>
                <w:snapToGrid w:val="0"/>
                <w:sz w:val="20"/>
                <w:lang w:val="en-US"/>
              </w:rPr>
              <w:t>MF</w:t>
            </w:r>
          </w:p>
        </w:tc>
        <w:tc>
          <w:tcPr>
            <w:tcW w:w="572" w:type="dxa"/>
          </w:tcPr>
          <w:p w:rsidR="00000000" w:rsidRDefault="00000000">
            <w:pPr>
              <w:widowControl w:val="0"/>
              <w:jc w:val="center"/>
              <w:rPr>
                <w:b/>
                <w:bCs/>
                <w:snapToGrid w:val="0"/>
                <w:sz w:val="20"/>
                <w:lang w:val="en-US"/>
              </w:rPr>
            </w:pPr>
            <w:r>
              <w:rPr>
                <w:b/>
                <w:bCs/>
                <w:snapToGrid w:val="0"/>
                <w:sz w:val="20"/>
                <w:lang w:val="en-US"/>
              </w:rPr>
              <w:t>M</w:t>
            </w:r>
          </w:p>
        </w:tc>
        <w:tc>
          <w:tcPr>
            <w:tcW w:w="572" w:type="dxa"/>
          </w:tcPr>
          <w:p w:rsidR="00000000" w:rsidRDefault="00000000">
            <w:pPr>
              <w:widowControl w:val="0"/>
              <w:jc w:val="center"/>
              <w:rPr>
                <w:b/>
                <w:bCs/>
                <w:snapToGrid w:val="0"/>
                <w:sz w:val="20"/>
                <w:lang w:val="en-US"/>
              </w:rPr>
            </w:pPr>
            <w:r>
              <w:rPr>
                <w:b/>
                <w:bCs/>
                <w:snapToGrid w:val="0"/>
                <w:sz w:val="20"/>
                <w:lang w:val="en-US"/>
              </w:rPr>
              <w:t>F</w:t>
            </w:r>
          </w:p>
        </w:tc>
        <w:tc>
          <w:tcPr>
            <w:tcW w:w="571" w:type="dxa"/>
          </w:tcPr>
          <w:p w:rsidR="00000000" w:rsidRDefault="00000000">
            <w:pPr>
              <w:widowControl w:val="0"/>
              <w:jc w:val="center"/>
              <w:rPr>
                <w:b/>
                <w:bCs/>
                <w:snapToGrid w:val="0"/>
                <w:sz w:val="20"/>
                <w:lang w:val="en-US"/>
              </w:rPr>
            </w:pPr>
            <w:r>
              <w:rPr>
                <w:b/>
                <w:bCs/>
                <w:snapToGrid w:val="0"/>
                <w:sz w:val="20"/>
                <w:lang w:val="en-US"/>
              </w:rPr>
              <w:t>MF</w:t>
            </w:r>
          </w:p>
        </w:tc>
        <w:tc>
          <w:tcPr>
            <w:tcW w:w="572" w:type="dxa"/>
          </w:tcPr>
          <w:p w:rsidR="00000000" w:rsidRDefault="00000000">
            <w:pPr>
              <w:widowControl w:val="0"/>
              <w:jc w:val="center"/>
              <w:rPr>
                <w:b/>
                <w:bCs/>
                <w:snapToGrid w:val="0"/>
                <w:sz w:val="20"/>
                <w:lang w:val="fr-CA"/>
              </w:rPr>
            </w:pPr>
            <w:r>
              <w:rPr>
                <w:b/>
                <w:bCs/>
                <w:snapToGrid w:val="0"/>
                <w:sz w:val="20"/>
                <w:lang w:val="fr-CA"/>
              </w:rPr>
              <w:t>M</w:t>
            </w:r>
          </w:p>
        </w:tc>
        <w:tc>
          <w:tcPr>
            <w:tcW w:w="572" w:type="dxa"/>
          </w:tcPr>
          <w:p w:rsidR="00000000" w:rsidRDefault="00000000">
            <w:pPr>
              <w:widowControl w:val="0"/>
              <w:jc w:val="center"/>
              <w:rPr>
                <w:b/>
                <w:bCs/>
                <w:snapToGrid w:val="0"/>
                <w:sz w:val="20"/>
                <w:lang w:val="fr-CA"/>
              </w:rPr>
            </w:pPr>
            <w:r>
              <w:rPr>
                <w:b/>
                <w:bCs/>
                <w:snapToGrid w:val="0"/>
                <w:sz w:val="20"/>
                <w:lang w:val="fr-CA"/>
              </w:rPr>
              <w:t>F</w:t>
            </w:r>
          </w:p>
        </w:tc>
        <w:tc>
          <w:tcPr>
            <w:tcW w:w="572" w:type="dxa"/>
          </w:tcPr>
          <w:p w:rsidR="00000000" w:rsidRDefault="00000000">
            <w:pPr>
              <w:widowControl w:val="0"/>
              <w:jc w:val="center"/>
              <w:rPr>
                <w:b/>
                <w:bCs/>
                <w:snapToGrid w:val="0"/>
                <w:sz w:val="20"/>
                <w:lang w:val="fr-CA"/>
              </w:rPr>
            </w:pPr>
            <w:r>
              <w:rPr>
                <w:b/>
                <w:bCs/>
                <w:snapToGrid w:val="0"/>
                <w:sz w:val="20"/>
                <w:lang w:val="fr-CA"/>
              </w:rPr>
              <w:t>MF</w:t>
            </w:r>
          </w:p>
        </w:tc>
      </w:tr>
      <w:tr w:rsidR="00000000">
        <w:tblPrEx>
          <w:tblCellMar>
            <w:top w:w="0" w:type="dxa"/>
            <w:bottom w:w="0" w:type="dxa"/>
          </w:tblCellMar>
        </w:tblPrEx>
        <w:trPr>
          <w:trHeight w:val="262"/>
          <w:jc w:val="center"/>
        </w:trPr>
        <w:tc>
          <w:tcPr>
            <w:tcW w:w="753" w:type="dxa"/>
          </w:tcPr>
          <w:p w:rsidR="00000000" w:rsidRDefault="00000000">
            <w:pPr>
              <w:widowControl w:val="0"/>
              <w:rPr>
                <w:snapToGrid w:val="0"/>
                <w:sz w:val="20"/>
              </w:rPr>
            </w:pPr>
            <w:r>
              <w:rPr>
                <w:snapToGrid w:val="0"/>
                <w:sz w:val="20"/>
              </w:rPr>
              <w:t>1993/94</w:t>
            </w:r>
          </w:p>
        </w:tc>
        <w:tc>
          <w:tcPr>
            <w:tcW w:w="571" w:type="dxa"/>
          </w:tcPr>
          <w:p w:rsidR="00000000" w:rsidRDefault="00000000">
            <w:pPr>
              <w:widowControl w:val="0"/>
              <w:jc w:val="center"/>
              <w:rPr>
                <w:snapToGrid w:val="0"/>
                <w:sz w:val="20"/>
              </w:rPr>
            </w:pPr>
            <w:r>
              <w:rPr>
                <w:snapToGrid w:val="0"/>
                <w:sz w:val="20"/>
              </w:rPr>
              <w:t>2,2</w:t>
            </w:r>
          </w:p>
        </w:tc>
        <w:tc>
          <w:tcPr>
            <w:tcW w:w="572" w:type="dxa"/>
          </w:tcPr>
          <w:p w:rsidR="00000000" w:rsidRDefault="00000000">
            <w:pPr>
              <w:widowControl w:val="0"/>
              <w:ind w:right="57"/>
              <w:jc w:val="right"/>
              <w:rPr>
                <w:snapToGrid w:val="0"/>
                <w:sz w:val="20"/>
              </w:rPr>
            </w:pPr>
            <w:r>
              <w:rPr>
                <w:snapToGrid w:val="0"/>
                <w:sz w:val="20"/>
              </w:rPr>
              <w:t>3,7</w:t>
            </w:r>
          </w:p>
        </w:tc>
        <w:tc>
          <w:tcPr>
            <w:tcW w:w="572" w:type="dxa"/>
          </w:tcPr>
          <w:p w:rsidR="00000000" w:rsidRDefault="00000000">
            <w:pPr>
              <w:widowControl w:val="0"/>
              <w:jc w:val="center"/>
              <w:rPr>
                <w:snapToGrid w:val="0"/>
                <w:sz w:val="20"/>
              </w:rPr>
            </w:pPr>
            <w:r>
              <w:rPr>
                <w:snapToGrid w:val="0"/>
                <w:sz w:val="20"/>
              </w:rPr>
              <w:t>2,9</w:t>
            </w:r>
          </w:p>
        </w:tc>
        <w:tc>
          <w:tcPr>
            <w:tcW w:w="571" w:type="dxa"/>
          </w:tcPr>
          <w:p w:rsidR="00000000" w:rsidRDefault="00000000">
            <w:pPr>
              <w:widowControl w:val="0"/>
              <w:jc w:val="center"/>
              <w:rPr>
                <w:snapToGrid w:val="0"/>
                <w:sz w:val="20"/>
              </w:rPr>
            </w:pPr>
            <w:r>
              <w:rPr>
                <w:snapToGrid w:val="0"/>
                <w:sz w:val="20"/>
              </w:rPr>
              <w:t>0,7</w:t>
            </w:r>
          </w:p>
        </w:tc>
        <w:tc>
          <w:tcPr>
            <w:tcW w:w="572" w:type="dxa"/>
          </w:tcPr>
          <w:p w:rsidR="00000000" w:rsidRDefault="00000000">
            <w:pPr>
              <w:widowControl w:val="0"/>
              <w:ind w:right="57"/>
              <w:jc w:val="right"/>
              <w:rPr>
                <w:snapToGrid w:val="0"/>
                <w:sz w:val="20"/>
              </w:rPr>
            </w:pPr>
            <w:r>
              <w:rPr>
                <w:snapToGrid w:val="0"/>
                <w:sz w:val="20"/>
              </w:rPr>
              <w:t>3,7</w:t>
            </w:r>
          </w:p>
        </w:tc>
        <w:tc>
          <w:tcPr>
            <w:tcW w:w="572" w:type="dxa"/>
          </w:tcPr>
          <w:p w:rsidR="00000000" w:rsidRDefault="00000000">
            <w:pPr>
              <w:widowControl w:val="0"/>
              <w:jc w:val="center"/>
              <w:rPr>
                <w:snapToGrid w:val="0"/>
                <w:sz w:val="20"/>
              </w:rPr>
            </w:pPr>
            <w:r>
              <w:rPr>
                <w:snapToGrid w:val="0"/>
                <w:sz w:val="20"/>
              </w:rPr>
              <w:t>2,0</w:t>
            </w:r>
          </w:p>
        </w:tc>
        <w:tc>
          <w:tcPr>
            <w:tcW w:w="572" w:type="dxa"/>
          </w:tcPr>
          <w:p w:rsidR="00000000" w:rsidRDefault="00000000">
            <w:pPr>
              <w:widowControl w:val="0"/>
              <w:jc w:val="center"/>
              <w:rPr>
                <w:snapToGrid w:val="0"/>
                <w:sz w:val="20"/>
              </w:rPr>
            </w:pPr>
            <w:r>
              <w:rPr>
                <w:snapToGrid w:val="0"/>
                <w:sz w:val="20"/>
              </w:rPr>
              <w:t>3,4</w:t>
            </w:r>
          </w:p>
        </w:tc>
        <w:tc>
          <w:tcPr>
            <w:tcW w:w="571" w:type="dxa"/>
          </w:tcPr>
          <w:p w:rsidR="00000000" w:rsidRDefault="00000000">
            <w:pPr>
              <w:widowControl w:val="0"/>
              <w:ind w:right="57"/>
              <w:jc w:val="right"/>
              <w:rPr>
                <w:snapToGrid w:val="0"/>
                <w:sz w:val="20"/>
              </w:rPr>
            </w:pPr>
            <w:r>
              <w:rPr>
                <w:snapToGrid w:val="0"/>
                <w:sz w:val="20"/>
              </w:rPr>
              <w:t>6,1</w:t>
            </w:r>
          </w:p>
        </w:tc>
        <w:tc>
          <w:tcPr>
            <w:tcW w:w="572" w:type="dxa"/>
          </w:tcPr>
          <w:p w:rsidR="00000000" w:rsidRDefault="00000000">
            <w:pPr>
              <w:widowControl w:val="0"/>
              <w:jc w:val="center"/>
              <w:rPr>
                <w:snapToGrid w:val="0"/>
                <w:sz w:val="20"/>
              </w:rPr>
            </w:pPr>
            <w:r>
              <w:rPr>
                <w:snapToGrid w:val="0"/>
                <w:sz w:val="20"/>
              </w:rPr>
              <w:t>4,6</w:t>
            </w:r>
          </w:p>
        </w:tc>
        <w:tc>
          <w:tcPr>
            <w:tcW w:w="572" w:type="dxa"/>
          </w:tcPr>
          <w:p w:rsidR="00000000" w:rsidRDefault="00000000">
            <w:pPr>
              <w:widowControl w:val="0"/>
              <w:ind w:right="57"/>
              <w:jc w:val="right"/>
              <w:rPr>
                <w:snapToGrid w:val="0"/>
                <w:sz w:val="20"/>
              </w:rPr>
            </w:pPr>
            <w:r>
              <w:rPr>
                <w:snapToGrid w:val="0"/>
                <w:sz w:val="20"/>
              </w:rPr>
              <w:t>0,9</w:t>
            </w:r>
          </w:p>
        </w:tc>
        <w:tc>
          <w:tcPr>
            <w:tcW w:w="572" w:type="dxa"/>
          </w:tcPr>
          <w:p w:rsidR="00000000" w:rsidRDefault="00000000">
            <w:pPr>
              <w:widowControl w:val="0"/>
              <w:ind w:right="57"/>
              <w:jc w:val="right"/>
              <w:rPr>
                <w:snapToGrid w:val="0"/>
                <w:sz w:val="20"/>
              </w:rPr>
            </w:pPr>
            <w:r>
              <w:rPr>
                <w:snapToGrid w:val="0"/>
                <w:sz w:val="20"/>
              </w:rPr>
              <w:t>5,1</w:t>
            </w:r>
          </w:p>
        </w:tc>
        <w:tc>
          <w:tcPr>
            <w:tcW w:w="571" w:type="dxa"/>
          </w:tcPr>
          <w:p w:rsidR="00000000" w:rsidRDefault="00000000">
            <w:pPr>
              <w:widowControl w:val="0"/>
              <w:ind w:right="57"/>
              <w:jc w:val="right"/>
              <w:rPr>
                <w:snapToGrid w:val="0"/>
                <w:sz w:val="20"/>
              </w:rPr>
            </w:pPr>
            <w:r>
              <w:rPr>
                <w:snapToGrid w:val="0"/>
                <w:sz w:val="20"/>
              </w:rPr>
              <w:t>2,7</w:t>
            </w:r>
          </w:p>
        </w:tc>
        <w:tc>
          <w:tcPr>
            <w:tcW w:w="572" w:type="dxa"/>
          </w:tcPr>
          <w:p w:rsidR="00000000" w:rsidRDefault="00000000">
            <w:pPr>
              <w:widowControl w:val="0"/>
              <w:jc w:val="center"/>
              <w:rPr>
                <w:snapToGrid w:val="0"/>
                <w:sz w:val="20"/>
              </w:rPr>
            </w:pPr>
            <w:r>
              <w:rPr>
                <w:snapToGrid w:val="0"/>
                <w:sz w:val="20"/>
              </w:rPr>
              <w:t>0,7</w:t>
            </w:r>
          </w:p>
        </w:tc>
        <w:tc>
          <w:tcPr>
            <w:tcW w:w="572" w:type="dxa"/>
          </w:tcPr>
          <w:p w:rsidR="00000000" w:rsidRDefault="00000000">
            <w:pPr>
              <w:widowControl w:val="0"/>
              <w:tabs>
                <w:tab w:val="decimal" w:pos="292"/>
              </w:tabs>
              <w:rPr>
                <w:snapToGrid w:val="0"/>
                <w:sz w:val="20"/>
              </w:rPr>
            </w:pPr>
            <w:r>
              <w:rPr>
                <w:snapToGrid w:val="0"/>
                <w:sz w:val="20"/>
              </w:rPr>
              <w:t>7,6</w:t>
            </w:r>
          </w:p>
        </w:tc>
        <w:tc>
          <w:tcPr>
            <w:tcW w:w="572" w:type="dxa"/>
          </w:tcPr>
          <w:p w:rsidR="00000000" w:rsidRDefault="00000000">
            <w:pPr>
              <w:widowControl w:val="0"/>
              <w:ind w:right="57"/>
              <w:jc w:val="right"/>
              <w:rPr>
                <w:snapToGrid w:val="0"/>
                <w:sz w:val="20"/>
              </w:rPr>
            </w:pPr>
            <w:r>
              <w:rPr>
                <w:snapToGrid w:val="0"/>
                <w:sz w:val="20"/>
              </w:rPr>
              <w:t>3,6</w:t>
            </w:r>
          </w:p>
        </w:tc>
      </w:tr>
      <w:tr w:rsidR="00000000">
        <w:tblPrEx>
          <w:tblCellMar>
            <w:top w:w="0" w:type="dxa"/>
            <w:bottom w:w="0" w:type="dxa"/>
          </w:tblCellMar>
        </w:tblPrEx>
        <w:trPr>
          <w:trHeight w:val="247"/>
          <w:jc w:val="center"/>
        </w:trPr>
        <w:tc>
          <w:tcPr>
            <w:tcW w:w="753" w:type="dxa"/>
          </w:tcPr>
          <w:p w:rsidR="00000000" w:rsidRDefault="00000000">
            <w:pPr>
              <w:widowControl w:val="0"/>
              <w:rPr>
                <w:snapToGrid w:val="0"/>
                <w:sz w:val="20"/>
              </w:rPr>
            </w:pPr>
            <w:r>
              <w:rPr>
                <w:snapToGrid w:val="0"/>
                <w:sz w:val="20"/>
              </w:rPr>
              <w:t>1994/95</w:t>
            </w:r>
          </w:p>
        </w:tc>
        <w:tc>
          <w:tcPr>
            <w:tcW w:w="571" w:type="dxa"/>
          </w:tcPr>
          <w:p w:rsidR="00000000" w:rsidRDefault="00000000">
            <w:pPr>
              <w:widowControl w:val="0"/>
              <w:jc w:val="center"/>
              <w:rPr>
                <w:snapToGrid w:val="0"/>
                <w:sz w:val="20"/>
              </w:rPr>
            </w:pPr>
            <w:r>
              <w:rPr>
                <w:snapToGrid w:val="0"/>
                <w:sz w:val="20"/>
              </w:rPr>
              <w:t>3,8</w:t>
            </w:r>
          </w:p>
        </w:tc>
        <w:tc>
          <w:tcPr>
            <w:tcW w:w="572" w:type="dxa"/>
          </w:tcPr>
          <w:p w:rsidR="00000000" w:rsidRDefault="00000000">
            <w:pPr>
              <w:widowControl w:val="0"/>
              <w:ind w:right="57"/>
              <w:jc w:val="right"/>
              <w:rPr>
                <w:snapToGrid w:val="0"/>
                <w:sz w:val="20"/>
              </w:rPr>
            </w:pPr>
            <w:r>
              <w:rPr>
                <w:snapToGrid w:val="0"/>
                <w:sz w:val="20"/>
              </w:rPr>
              <w:t>4,3</w:t>
            </w:r>
          </w:p>
        </w:tc>
        <w:tc>
          <w:tcPr>
            <w:tcW w:w="572" w:type="dxa"/>
          </w:tcPr>
          <w:p w:rsidR="00000000" w:rsidRDefault="00000000">
            <w:pPr>
              <w:widowControl w:val="0"/>
              <w:jc w:val="center"/>
              <w:rPr>
                <w:snapToGrid w:val="0"/>
                <w:sz w:val="20"/>
              </w:rPr>
            </w:pPr>
            <w:r>
              <w:rPr>
                <w:snapToGrid w:val="0"/>
                <w:sz w:val="20"/>
              </w:rPr>
              <w:t>4,0</w:t>
            </w:r>
          </w:p>
        </w:tc>
        <w:tc>
          <w:tcPr>
            <w:tcW w:w="571" w:type="dxa"/>
          </w:tcPr>
          <w:p w:rsidR="00000000" w:rsidRDefault="00000000">
            <w:pPr>
              <w:widowControl w:val="0"/>
              <w:jc w:val="center"/>
              <w:rPr>
                <w:snapToGrid w:val="0"/>
                <w:sz w:val="20"/>
              </w:rPr>
            </w:pPr>
            <w:r>
              <w:rPr>
                <w:snapToGrid w:val="0"/>
                <w:sz w:val="20"/>
              </w:rPr>
              <w:t>3,3</w:t>
            </w:r>
          </w:p>
        </w:tc>
        <w:tc>
          <w:tcPr>
            <w:tcW w:w="572" w:type="dxa"/>
          </w:tcPr>
          <w:p w:rsidR="00000000" w:rsidRDefault="00000000">
            <w:pPr>
              <w:widowControl w:val="0"/>
              <w:ind w:right="57"/>
              <w:jc w:val="right"/>
              <w:rPr>
                <w:snapToGrid w:val="0"/>
                <w:sz w:val="20"/>
              </w:rPr>
            </w:pPr>
            <w:r>
              <w:rPr>
                <w:snapToGrid w:val="0"/>
                <w:sz w:val="20"/>
              </w:rPr>
              <w:t>4,5</w:t>
            </w:r>
          </w:p>
        </w:tc>
        <w:tc>
          <w:tcPr>
            <w:tcW w:w="572" w:type="dxa"/>
          </w:tcPr>
          <w:p w:rsidR="00000000" w:rsidRDefault="00000000">
            <w:pPr>
              <w:widowControl w:val="0"/>
              <w:jc w:val="center"/>
              <w:rPr>
                <w:snapToGrid w:val="0"/>
                <w:sz w:val="20"/>
              </w:rPr>
            </w:pPr>
            <w:r>
              <w:rPr>
                <w:snapToGrid w:val="0"/>
                <w:sz w:val="20"/>
              </w:rPr>
              <w:t>3,8</w:t>
            </w:r>
          </w:p>
        </w:tc>
        <w:tc>
          <w:tcPr>
            <w:tcW w:w="572" w:type="dxa"/>
          </w:tcPr>
          <w:p w:rsidR="00000000" w:rsidRDefault="00000000">
            <w:pPr>
              <w:widowControl w:val="0"/>
              <w:jc w:val="center"/>
              <w:rPr>
                <w:snapToGrid w:val="0"/>
                <w:sz w:val="20"/>
              </w:rPr>
            </w:pPr>
            <w:r>
              <w:rPr>
                <w:snapToGrid w:val="0"/>
                <w:sz w:val="20"/>
              </w:rPr>
              <w:t>4,6</w:t>
            </w:r>
          </w:p>
        </w:tc>
        <w:tc>
          <w:tcPr>
            <w:tcW w:w="571" w:type="dxa"/>
          </w:tcPr>
          <w:p w:rsidR="00000000" w:rsidRDefault="00000000">
            <w:pPr>
              <w:widowControl w:val="0"/>
              <w:ind w:right="57"/>
              <w:jc w:val="right"/>
              <w:rPr>
                <w:snapToGrid w:val="0"/>
                <w:sz w:val="20"/>
              </w:rPr>
            </w:pPr>
            <w:r>
              <w:rPr>
                <w:snapToGrid w:val="0"/>
                <w:sz w:val="20"/>
              </w:rPr>
              <w:t>7,1</w:t>
            </w:r>
          </w:p>
        </w:tc>
        <w:tc>
          <w:tcPr>
            <w:tcW w:w="572" w:type="dxa"/>
          </w:tcPr>
          <w:p w:rsidR="00000000" w:rsidRDefault="00000000">
            <w:pPr>
              <w:widowControl w:val="0"/>
              <w:jc w:val="center"/>
              <w:rPr>
                <w:snapToGrid w:val="0"/>
                <w:sz w:val="20"/>
              </w:rPr>
            </w:pPr>
            <w:r>
              <w:rPr>
                <w:snapToGrid w:val="0"/>
                <w:sz w:val="20"/>
              </w:rPr>
              <w:t>5,6</w:t>
            </w:r>
          </w:p>
        </w:tc>
        <w:tc>
          <w:tcPr>
            <w:tcW w:w="572" w:type="dxa"/>
          </w:tcPr>
          <w:p w:rsidR="00000000" w:rsidRDefault="00000000">
            <w:pPr>
              <w:widowControl w:val="0"/>
              <w:ind w:right="57"/>
              <w:jc w:val="right"/>
              <w:rPr>
                <w:snapToGrid w:val="0"/>
                <w:sz w:val="20"/>
              </w:rPr>
            </w:pPr>
            <w:r>
              <w:rPr>
                <w:snapToGrid w:val="0"/>
                <w:sz w:val="20"/>
              </w:rPr>
              <w:t>3,9</w:t>
            </w:r>
          </w:p>
        </w:tc>
        <w:tc>
          <w:tcPr>
            <w:tcW w:w="572" w:type="dxa"/>
          </w:tcPr>
          <w:p w:rsidR="00000000" w:rsidRDefault="00000000">
            <w:pPr>
              <w:widowControl w:val="0"/>
              <w:ind w:right="57"/>
              <w:jc w:val="right"/>
              <w:rPr>
                <w:snapToGrid w:val="0"/>
                <w:sz w:val="20"/>
              </w:rPr>
            </w:pPr>
            <w:r>
              <w:rPr>
                <w:snapToGrid w:val="0"/>
                <w:sz w:val="20"/>
              </w:rPr>
              <w:t>5,3</w:t>
            </w:r>
          </w:p>
        </w:tc>
        <w:tc>
          <w:tcPr>
            <w:tcW w:w="571" w:type="dxa"/>
          </w:tcPr>
          <w:p w:rsidR="00000000" w:rsidRDefault="00000000">
            <w:pPr>
              <w:widowControl w:val="0"/>
              <w:ind w:right="57"/>
              <w:jc w:val="right"/>
              <w:rPr>
                <w:snapToGrid w:val="0"/>
                <w:sz w:val="20"/>
              </w:rPr>
            </w:pPr>
            <w:r>
              <w:rPr>
                <w:snapToGrid w:val="0"/>
                <w:sz w:val="20"/>
              </w:rPr>
              <w:t>4,5</w:t>
            </w:r>
          </w:p>
        </w:tc>
        <w:tc>
          <w:tcPr>
            <w:tcW w:w="572" w:type="dxa"/>
          </w:tcPr>
          <w:p w:rsidR="00000000" w:rsidRDefault="00000000">
            <w:pPr>
              <w:widowControl w:val="0"/>
              <w:jc w:val="center"/>
              <w:rPr>
                <w:snapToGrid w:val="0"/>
                <w:sz w:val="20"/>
              </w:rPr>
            </w:pPr>
            <w:r>
              <w:rPr>
                <w:snapToGrid w:val="0"/>
                <w:sz w:val="20"/>
              </w:rPr>
              <w:t>3,2</w:t>
            </w:r>
          </w:p>
        </w:tc>
        <w:tc>
          <w:tcPr>
            <w:tcW w:w="572" w:type="dxa"/>
          </w:tcPr>
          <w:p w:rsidR="00000000" w:rsidRDefault="00000000">
            <w:pPr>
              <w:widowControl w:val="0"/>
              <w:tabs>
                <w:tab w:val="decimal" w:pos="292"/>
              </w:tabs>
              <w:rPr>
                <w:snapToGrid w:val="0"/>
                <w:sz w:val="20"/>
              </w:rPr>
            </w:pPr>
            <w:r>
              <w:rPr>
                <w:snapToGrid w:val="0"/>
                <w:sz w:val="20"/>
              </w:rPr>
              <w:t>10,4</w:t>
            </w:r>
          </w:p>
        </w:tc>
        <w:tc>
          <w:tcPr>
            <w:tcW w:w="572" w:type="dxa"/>
          </w:tcPr>
          <w:p w:rsidR="00000000" w:rsidRDefault="00000000">
            <w:pPr>
              <w:widowControl w:val="0"/>
              <w:ind w:right="57"/>
              <w:jc w:val="right"/>
              <w:rPr>
                <w:snapToGrid w:val="0"/>
                <w:sz w:val="20"/>
              </w:rPr>
            </w:pPr>
            <w:r>
              <w:rPr>
                <w:snapToGrid w:val="0"/>
                <w:sz w:val="20"/>
              </w:rPr>
              <w:t>6,2</w:t>
            </w:r>
          </w:p>
        </w:tc>
      </w:tr>
      <w:tr w:rsidR="00000000">
        <w:tblPrEx>
          <w:tblCellMar>
            <w:top w:w="0" w:type="dxa"/>
            <w:bottom w:w="0" w:type="dxa"/>
          </w:tblCellMar>
        </w:tblPrEx>
        <w:trPr>
          <w:trHeight w:val="247"/>
          <w:jc w:val="center"/>
        </w:trPr>
        <w:tc>
          <w:tcPr>
            <w:tcW w:w="753" w:type="dxa"/>
          </w:tcPr>
          <w:p w:rsidR="00000000" w:rsidRDefault="00000000">
            <w:pPr>
              <w:widowControl w:val="0"/>
              <w:rPr>
                <w:snapToGrid w:val="0"/>
                <w:sz w:val="20"/>
              </w:rPr>
            </w:pPr>
            <w:r>
              <w:rPr>
                <w:snapToGrid w:val="0"/>
                <w:sz w:val="20"/>
              </w:rPr>
              <w:t>1995/96</w:t>
            </w:r>
          </w:p>
        </w:tc>
        <w:tc>
          <w:tcPr>
            <w:tcW w:w="571" w:type="dxa"/>
          </w:tcPr>
          <w:p w:rsidR="00000000" w:rsidRDefault="00000000">
            <w:pPr>
              <w:widowControl w:val="0"/>
              <w:jc w:val="center"/>
              <w:rPr>
                <w:snapToGrid w:val="0"/>
                <w:sz w:val="20"/>
              </w:rPr>
            </w:pPr>
            <w:r>
              <w:rPr>
                <w:snapToGrid w:val="0"/>
                <w:sz w:val="20"/>
              </w:rPr>
              <w:t>6,8</w:t>
            </w:r>
          </w:p>
        </w:tc>
        <w:tc>
          <w:tcPr>
            <w:tcW w:w="572" w:type="dxa"/>
          </w:tcPr>
          <w:p w:rsidR="00000000" w:rsidRDefault="00000000">
            <w:pPr>
              <w:widowControl w:val="0"/>
              <w:ind w:right="57"/>
              <w:jc w:val="right"/>
              <w:rPr>
                <w:snapToGrid w:val="0"/>
                <w:sz w:val="20"/>
              </w:rPr>
            </w:pPr>
            <w:r>
              <w:rPr>
                <w:snapToGrid w:val="0"/>
                <w:sz w:val="20"/>
              </w:rPr>
              <w:t>6,1</w:t>
            </w:r>
          </w:p>
        </w:tc>
        <w:tc>
          <w:tcPr>
            <w:tcW w:w="572" w:type="dxa"/>
          </w:tcPr>
          <w:p w:rsidR="00000000" w:rsidRDefault="00000000">
            <w:pPr>
              <w:widowControl w:val="0"/>
              <w:jc w:val="center"/>
              <w:rPr>
                <w:snapToGrid w:val="0"/>
                <w:sz w:val="20"/>
              </w:rPr>
            </w:pPr>
            <w:r>
              <w:rPr>
                <w:snapToGrid w:val="0"/>
                <w:sz w:val="20"/>
              </w:rPr>
              <w:t>6,5</w:t>
            </w:r>
          </w:p>
        </w:tc>
        <w:tc>
          <w:tcPr>
            <w:tcW w:w="571" w:type="dxa"/>
          </w:tcPr>
          <w:p w:rsidR="00000000" w:rsidRDefault="00000000">
            <w:pPr>
              <w:widowControl w:val="0"/>
              <w:jc w:val="center"/>
              <w:rPr>
                <w:snapToGrid w:val="0"/>
                <w:sz w:val="20"/>
              </w:rPr>
            </w:pPr>
            <w:r>
              <w:rPr>
                <w:snapToGrid w:val="0"/>
                <w:sz w:val="20"/>
              </w:rPr>
              <w:t>3,3</w:t>
            </w:r>
          </w:p>
        </w:tc>
        <w:tc>
          <w:tcPr>
            <w:tcW w:w="572" w:type="dxa"/>
          </w:tcPr>
          <w:p w:rsidR="00000000" w:rsidRDefault="00000000">
            <w:pPr>
              <w:widowControl w:val="0"/>
              <w:ind w:right="57"/>
              <w:jc w:val="right"/>
              <w:rPr>
                <w:snapToGrid w:val="0"/>
                <w:sz w:val="20"/>
              </w:rPr>
            </w:pPr>
            <w:r>
              <w:rPr>
                <w:snapToGrid w:val="0"/>
                <w:sz w:val="20"/>
              </w:rPr>
              <w:t>3,7</w:t>
            </w:r>
          </w:p>
        </w:tc>
        <w:tc>
          <w:tcPr>
            <w:tcW w:w="572" w:type="dxa"/>
          </w:tcPr>
          <w:p w:rsidR="00000000" w:rsidRDefault="00000000">
            <w:pPr>
              <w:widowControl w:val="0"/>
              <w:jc w:val="center"/>
              <w:rPr>
                <w:snapToGrid w:val="0"/>
                <w:sz w:val="20"/>
              </w:rPr>
            </w:pPr>
            <w:r>
              <w:rPr>
                <w:snapToGrid w:val="0"/>
                <w:sz w:val="20"/>
              </w:rPr>
              <w:t>3,5</w:t>
            </w:r>
          </w:p>
        </w:tc>
        <w:tc>
          <w:tcPr>
            <w:tcW w:w="572" w:type="dxa"/>
          </w:tcPr>
          <w:p w:rsidR="00000000" w:rsidRDefault="00000000">
            <w:pPr>
              <w:widowControl w:val="0"/>
              <w:jc w:val="center"/>
              <w:rPr>
                <w:snapToGrid w:val="0"/>
                <w:sz w:val="20"/>
              </w:rPr>
            </w:pPr>
            <w:r>
              <w:rPr>
                <w:snapToGrid w:val="0"/>
                <w:sz w:val="20"/>
              </w:rPr>
              <w:t>4,7</w:t>
            </w:r>
          </w:p>
        </w:tc>
        <w:tc>
          <w:tcPr>
            <w:tcW w:w="571" w:type="dxa"/>
          </w:tcPr>
          <w:p w:rsidR="00000000" w:rsidRDefault="00000000">
            <w:pPr>
              <w:widowControl w:val="0"/>
              <w:ind w:right="57"/>
              <w:jc w:val="right"/>
              <w:rPr>
                <w:snapToGrid w:val="0"/>
                <w:sz w:val="20"/>
              </w:rPr>
            </w:pPr>
            <w:r>
              <w:rPr>
                <w:snapToGrid w:val="0"/>
                <w:sz w:val="20"/>
              </w:rPr>
              <w:t>4,6</w:t>
            </w:r>
          </w:p>
        </w:tc>
        <w:tc>
          <w:tcPr>
            <w:tcW w:w="572" w:type="dxa"/>
          </w:tcPr>
          <w:p w:rsidR="00000000" w:rsidRDefault="00000000">
            <w:pPr>
              <w:widowControl w:val="0"/>
              <w:jc w:val="center"/>
              <w:rPr>
                <w:snapToGrid w:val="0"/>
                <w:sz w:val="20"/>
              </w:rPr>
            </w:pPr>
            <w:r>
              <w:rPr>
                <w:snapToGrid w:val="0"/>
                <w:sz w:val="20"/>
              </w:rPr>
              <w:t>4,7</w:t>
            </w:r>
          </w:p>
        </w:tc>
        <w:tc>
          <w:tcPr>
            <w:tcW w:w="572" w:type="dxa"/>
          </w:tcPr>
          <w:p w:rsidR="00000000" w:rsidRDefault="00000000">
            <w:pPr>
              <w:widowControl w:val="0"/>
              <w:ind w:right="57"/>
              <w:jc w:val="right"/>
              <w:rPr>
                <w:snapToGrid w:val="0"/>
                <w:sz w:val="20"/>
              </w:rPr>
            </w:pPr>
            <w:r>
              <w:rPr>
                <w:snapToGrid w:val="0"/>
                <w:sz w:val="20"/>
              </w:rPr>
              <w:t>2,9</w:t>
            </w:r>
          </w:p>
        </w:tc>
        <w:tc>
          <w:tcPr>
            <w:tcW w:w="572" w:type="dxa"/>
          </w:tcPr>
          <w:p w:rsidR="00000000" w:rsidRDefault="00000000">
            <w:pPr>
              <w:widowControl w:val="0"/>
              <w:ind w:right="57"/>
              <w:jc w:val="right"/>
              <w:rPr>
                <w:snapToGrid w:val="0"/>
                <w:sz w:val="20"/>
              </w:rPr>
            </w:pPr>
            <w:r>
              <w:rPr>
                <w:snapToGrid w:val="0"/>
                <w:sz w:val="20"/>
              </w:rPr>
              <w:t>3,6</w:t>
            </w:r>
          </w:p>
        </w:tc>
        <w:tc>
          <w:tcPr>
            <w:tcW w:w="571" w:type="dxa"/>
          </w:tcPr>
          <w:p w:rsidR="00000000" w:rsidRDefault="00000000">
            <w:pPr>
              <w:widowControl w:val="0"/>
              <w:ind w:right="57"/>
              <w:jc w:val="right"/>
              <w:rPr>
                <w:snapToGrid w:val="0"/>
                <w:sz w:val="20"/>
              </w:rPr>
            </w:pPr>
            <w:r>
              <w:rPr>
                <w:snapToGrid w:val="0"/>
                <w:sz w:val="20"/>
              </w:rPr>
              <w:t>3,2</w:t>
            </w:r>
          </w:p>
        </w:tc>
        <w:tc>
          <w:tcPr>
            <w:tcW w:w="572" w:type="dxa"/>
          </w:tcPr>
          <w:p w:rsidR="00000000" w:rsidRDefault="00000000">
            <w:pPr>
              <w:widowControl w:val="0"/>
              <w:jc w:val="center"/>
              <w:rPr>
                <w:snapToGrid w:val="0"/>
                <w:sz w:val="20"/>
              </w:rPr>
            </w:pPr>
            <w:r>
              <w:rPr>
                <w:snapToGrid w:val="0"/>
                <w:sz w:val="20"/>
              </w:rPr>
              <w:t>3,8</w:t>
            </w:r>
          </w:p>
        </w:tc>
        <w:tc>
          <w:tcPr>
            <w:tcW w:w="572" w:type="dxa"/>
          </w:tcPr>
          <w:p w:rsidR="00000000" w:rsidRDefault="00000000">
            <w:pPr>
              <w:widowControl w:val="0"/>
              <w:tabs>
                <w:tab w:val="decimal" w:pos="292"/>
              </w:tabs>
              <w:rPr>
                <w:snapToGrid w:val="0"/>
                <w:sz w:val="20"/>
              </w:rPr>
            </w:pPr>
            <w:r>
              <w:rPr>
                <w:snapToGrid w:val="0"/>
                <w:sz w:val="20"/>
              </w:rPr>
              <w:t>8,4</w:t>
            </w:r>
          </w:p>
        </w:tc>
        <w:tc>
          <w:tcPr>
            <w:tcW w:w="572" w:type="dxa"/>
          </w:tcPr>
          <w:p w:rsidR="00000000" w:rsidRDefault="00000000">
            <w:pPr>
              <w:widowControl w:val="0"/>
              <w:ind w:right="57"/>
              <w:jc w:val="right"/>
              <w:rPr>
                <w:snapToGrid w:val="0"/>
                <w:sz w:val="20"/>
              </w:rPr>
            </w:pPr>
            <w:r>
              <w:rPr>
                <w:snapToGrid w:val="0"/>
                <w:sz w:val="20"/>
              </w:rPr>
              <w:t>5,7</w:t>
            </w:r>
          </w:p>
        </w:tc>
      </w:tr>
      <w:tr w:rsidR="00000000">
        <w:tblPrEx>
          <w:tblCellMar>
            <w:top w:w="0" w:type="dxa"/>
            <w:bottom w:w="0" w:type="dxa"/>
          </w:tblCellMar>
        </w:tblPrEx>
        <w:trPr>
          <w:trHeight w:val="247"/>
          <w:jc w:val="center"/>
        </w:trPr>
        <w:tc>
          <w:tcPr>
            <w:tcW w:w="753" w:type="dxa"/>
          </w:tcPr>
          <w:p w:rsidR="00000000" w:rsidRDefault="00000000">
            <w:pPr>
              <w:widowControl w:val="0"/>
              <w:rPr>
                <w:snapToGrid w:val="0"/>
                <w:sz w:val="20"/>
              </w:rPr>
            </w:pPr>
            <w:r>
              <w:rPr>
                <w:snapToGrid w:val="0"/>
                <w:sz w:val="20"/>
              </w:rPr>
              <w:t>1996/97</w:t>
            </w:r>
          </w:p>
        </w:tc>
        <w:tc>
          <w:tcPr>
            <w:tcW w:w="571" w:type="dxa"/>
          </w:tcPr>
          <w:p w:rsidR="00000000" w:rsidRDefault="00000000">
            <w:pPr>
              <w:widowControl w:val="0"/>
              <w:jc w:val="center"/>
              <w:rPr>
                <w:snapToGrid w:val="0"/>
                <w:sz w:val="20"/>
              </w:rPr>
            </w:pPr>
            <w:r>
              <w:rPr>
                <w:snapToGrid w:val="0"/>
                <w:sz w:val="20"/>
              </w:rPr>
              <w:t>4,7</w:t>
            </w:r>
          </w:p>
        </w:tc>
        <w:tc>
          <w:tcPr>
            <w:tcW w:w="572" w:type="dxa"/>
          </w:tcPr>
          <w:p w:rsidR="00000000" w:rsidRDefault="00000000">
            <w:pPr>
              <w:widowControl w:val="0"/>
              <w:ind w:right="57"/>
              <w:jc w:val="right"/>
              <w:rPr>
                <w:snapToGrid w:val="0"/>
                <w:sz w:val="20"/>
              </w:rPr>
            </w:pPr>
            <w:r>
              <w:rPr>
                <w:snapToGrid w:val="0"/>
                <w:sz w:val="20"/>
              </w:rPr>
              <w:t>6,8</w:t>
            </w:r>
          </w:p>
        </w:tc>
        <w:tc>
          <w:tcPr>
            <w:tcW w:w="572" w:type="dxa"/>
          </w:tcPr>
          <w:p w:rsidR="00000000" w:rsidRDefault="00000000">
            <w:pPr>
              <w:widowControl w:val="0"/>
              <w:jc w:val="center"/>
              <w:rPr>
                <w:snapToGrid w:val="0"/>
                <w:sz w:val="20"/>
              </w:rPr>
            </w:pPr>
            <w:r>
              <w:rPr>
                <w:snapToGrid w:val="0"/>
                <w:sz w:val="20"/>
              </w:rPr>
              <w:t>5,7</w:t>
            </w:r>
          </w:p>
        </w:tc>
        <w:tc>
          <w:tcPr>
            <w:tcW w:w="571" w:type="dxa"/>
          </w:tcPr>
          <w:p w:rsidR="00000000" w:rsidRDefault="00000000">
            <w:pPr>
              <w:widowControl w:val="0"/>
              <w:jc w:val="center"/>
              <w:rPr>
                <w:snapToGrid w:val="0"/>
                <w:sz w:val="20"/>
              </w:rPr>
            </w:pPr>
            <w:r>
              <w:rPr>
                <w:snapToGrid w:val="0"/>
                <w:sz w:val="20"/>
              </w:rPr>
              <w:t>0,7</w:t>
            </w:r>
          </w:p>
        </w:tc>
        <w:tc>
          <w:tcPr>
            <w:tcW w:w="572" w:type="dxa"/>
          </w:tcPr>
          <w:p w:rsidR="00000000" w:rsidRDefault="00000000">
            <w:pPr>
              <w:widowControl w:val="0"/>
              <w:ind w:right="57"/>
              <w:jc w:val="right"/>
              <w:rPr>
                <w:snapToGrid w:val="0"/>
                <w:sz w:val="20"/>
              </w:rPr>
            </w:pPr>
            <w:r>
              <w:rPr>
                <w:snapToGrid w:val="0"/>
                <w:sz w:val="20"/>
              </w:rPr>
              <w:t>5,5</w:t>
            </w:r>
          </w:p>
        </w:tc>
        <w:tc>
          <w:tcPr>
            <w:tcW w:w="572" w:type="dxa"/>
          </w:tcPr>
          <w:p w:rsidR="00000000" w:rsidRDefault="00000000">
            <w:pPr>
              <w:widowControl w:val="0"/>
              <w:jc w:val="center"/>
              <w:rPr>
                <w:snapToGrid w:val="0"/>
                <w:sz w:val="20"/>
              </w:rPr>
            </w:pPr>
            <w:r>
              <w:rPr>
                <w:snapToGrid w:val="0"/>
                <w:sz w:val="20"/>
              </w:rPr>
              <w:t>1,7</w:t>
            </w:r>
          </w:p>
        </w:tc>
        <w:tc>
          <w:tcPr>
            <w:tcW w:w="572" w:type="dxa"/>
          </w:tcPr>
          <w:p w:rsidR="00000000" w:rsidRDefault="00000000">
            <w:pPr>
              <w:widowControl w:val="0"/>
              <w:jc w:val="center"/>
              <w:rPr>
                <w:snapToGrid w:val="0"/>
                <w:sz w:val="20"/>
              </w:rPr>
            </w:pPr>
            <w:r>
              <w:rPr>
                <w:snapToGrid w:val="0"/>
                <w:sz w:val="20"/>
              </w:rPr>
              <w:t>4,3</w:t>
            </w:r>
          </w:p>
        </w:tc>
        <w:tc>
          <w:tcPr>
            <w:tcW w:w="571" w:type="dxa"/>
          </w:tcPr>
          <w:p w:rsidR="00000000" w:rsidRDefault="00000000">
            <w:pPr>
              <w:widowControl w:val="0"/>
              <w:ind w:right="57"/>
              <w:jc w:val="right"/>
              <w:rPr>
                <w:snapToGrid w:val="0"/>
                <w:sz w:val="20"/>
              </w:rPr>
            </w:pPr>
            <w:r>
              <w:rPr>
                <w:snapToGrid w:val="0"/>
                <w:sz w:val="20"/>
              </w:rPr>
              <w:t>5,7</w:t>
            </w:r>
          </w:p>
        </w:tc>
        <w:tc>
          <w:tcPr>
            <w:tcW w:w="572" w:type="dxa"/>
          </w:tcPr>
          <w:p w:rsidR="00000000" w:rsidRDefault="00000000">
            <w:pPr>
              <w:widowControl w:val="0"/>
              <w:jc w:val="center"/>
              <w:rPr>
                <w:snapToGrid w:val="0"/>
                <w:sz w:val="20"/>
              </w:rPr>
            </w:pPr>
            <w:r>
              <w:rPr>
                <w:snapToGrid w:val="0"/>
                <w:sz w:val="20"/>
              </w:rPr>
              <w:t>4,7</w:t>
            </w:r>
          </w:p>
        </w:tc>
        <w:tc>
          <w:tcPr>
            <w:tcW w:w="572" w:type="dxa"/>
          </w:tcPr>
          <w:p w:rsidR="00000000" w:rsidRDefault="00000000">
            <w:pPr>
              <w:widowControl w:val="0"/>
              <w:ind w:right="57"/>
              <w:jc w:val="right"/>
              <w:rPr>
                <w:snapToGrid w:val="0"/>
                <w:sz w:val="20"/>
              </w:rPr>
            </w:pPr>
            <w:r>
              <w:rPr>
                <w:snapToGrid w:val="0"/>
                <w:sz w:val="20"/>
              </w:rPr>
              <w:t>0,9</w:t>
            </w:r>
          </w:p>
        </w:tc>
        <w:tc>
          <w:tcPr>
            <w:tcW w:w="572" w:type="dxa"/>
          </w:tcPr>
          <w:p w:rsidR="00000000" w:rsidRDefault="00000000">
            <w:pPr>
              <w:widowControl w:val="0"/>
              <w:ind w:right="57"/>
              <w:jc w:val="right"/>
              <w:rPr>
                <w:snapToGrid w:val="0"/>
                <w:sz w:val="20"/>
              </w:rPr>
            </w:pPr>
            <w:r>
              <w:rPr>
                <w:snapToGrid w:val="0"/>
                <w:sz w:val="20"/>
              </w:rPr>
              <w:t>3,5</w:t>
            </w:r>
          </w:p>
        </w:tc>
        <w:tc>
          <w:tcPr>
            <w:tcW w:w="571" w:type="dxa"/>
          </w:tcPr>
          <w:p w:rsidR="00000000" w:rsidRDefault="00000000">
            <w:pPr>
              <w:widowControl w:val="0"/>
              <w:ind w:right="57"/>
              <w:jc w:val="right"/>
              <w:rPr>
                <w:snapToGrid w:val="0"/>
                <w:sz w:val="20"/>
              </w:rPr>
            </w:pPr>
            <w:r>
              <w:rPr>
                <w:snapToGrid w:val="0"/>
                <w:sz w:val="20"/>
              </w:rPr>
              <w:t>1,9</w:t>
            </w:r>
          </w:p>
        </w:tc>
        <w:tc>
          <w:tcPr>
            <w:tcW w:w="572" w:type="dxa"/>
          </w:tcPr>
          <w:p w:rsidR="00000000" w:rsidRDefault="00000000">
            <w:pPr>
              <w:widowControl w:val="0"/>
              <w:jc w:val="center"/>
              <w:rPr>
                <w:snapToGrid w:val="0"/>
                <w:sz w:val="20"/>
              </w:rPr>
            </w:pPr>
            <w:r>
              <w:rPr>
                <w:snapToGrid w:val="0"/>
                <w:sz w:val="20"/>
              </w:rPr>
              <w:t>3,3</w:t>
            </w:r>
          </w:p>
        </w:tc>
        <w:tc>
          <w:tcPr>
            <w:tcW w:w="572" w:type="dxa"/>
          </w:tcPr>
          <w:p w:rsidR="00000000" w:rsidRDefault="00000000">
            <w:pPr>
              <w:widowControl w:val="0"/>
              <w:tabs>
                <w:tab w:val="decimal" w:pos="292"/>
              </w:tabs>
              <w:rPr>
                <w:snapToGrid w:val="0"/>
                <w:sz w:val="20"/>
              </w:rPr>
            </w:pPr>
            <w:r>
              <w:rPr>
                <w:snapToGrid w:val="0"/>
                <w:sz w:val="20"/>
              </w:rPr>
              <w:t>7,2</w:t>
            </w:r>
          </w:p>
        </w:tc>
        <w:tc>
          <w:tcPr>
            <w:tcW w:w="572" w:type="dxa"/>
          </w:tcPr>
          <w:p w:rsidR="00000000" w:rsidRDefault="00000000">
            <w:pPr>
              <w:widowControl w:val="0"/>
              <w:ind w:right="57"/>
              <w:jc w:val="right"/>
              <w:rPr>
                <w:snapToGrid w:val="0"/>
                <w:sz w:val="20"/>
              </w:rPr>
            </w:pPr>
            <w:r>
              <w:rPr>
                <w:snapToGrid w:val="0"/>
                <w:sz w:val="20"/>
              </w:rPr>
              <w:t>4,4</w:t>
            </w:r>
          </w:p>
        </w:tc>
      </w:tr>
      <w:tr w:rsidR="00000000">
        <w:tblPrEx>
          <w:tblCellMar>
            <w:top w:w="0" w:type="dxa"/>
            <w:bottom w:w="0" w:type="dxa"/>
          </w:tblCellMar>
        </w:tblPrEx>
        <w:trPr>
          <w:trHeight w:val="247"/>
          <w:jc w:val="center"/>
        </w:trPr>
        <w:tc>
          <w:tcPr>
            <w:tcW w:w="753" w:type="dxa"/>
          </w:tcPr>
          <w:p w:rsidR="00000000" w:rsidRDefault="00000000">
            <w:pPr>
              <w:widowControl w:val="0"/>
              <w:rPr>
                <w:snapToGrid w:val="0"/>
                <w:sz w:val="20"/>
              </w:rPr>
            </w:pPr>
            <w:r>
              <w:rPr>
                <w:snapToGrid w:val="0"/>
                <w:sz w:val="20"/>
              </w:rPr>
              <w:t>1997/98</w:t>
            </w:r>
          </w:p>
        </w:tc>
        <w:tc>
          <w:tcPr>
            <w:tcW w:w="571" w:type="dxa"/>
          </w:tcPr>
          <w:p w:rsidR="00000000" w:rsidRDefault="00000000">
            <w:pPr>
              <w:widowControl w:val="0"/>
              <w:jc w:val="center"/>
              <w:rPr>
                <w:snapToGrid w:val="0"/>
                <w:sz w:val="20"/>
              </w:rPr>
            </w:pPr>
            <w:r>
              <w:rPr>
                <w:snapToGrid w:val="0"/>
                <w:sz w:val="20"/>
              </w:rPr>
              <w:t>1,6</w:t>
            </w:r>
          </w:p>
        </w:tc>
        <w:tc>
          <w:tcPr>
            <w:tcW w:w="572" w:type="dxa"/>
          </w:tcPr>
          <w:p w:rsidR="00000000" w:rsidRDefault="00000000">
            <w:pPr>
              <w:widowControl w:val="0"/>
              <w:ind w:right="57"/>
              <w:jc w:val="right"/>
              <w:rPr>
                <w:snapToGrid w:val="0"/>
                <w:sz w:val="20"/>
              </w:rPr>
            </w:pPr>
            <w:r>
              <w:rPr>
                <w:snapToGrid w:val="0"/>
                <w:sz w:val="20"/>
              </w:rPr>
              <w:t>6,4</w:t>
            </w:r>
          </w:p>
        </w:tc>
        <w:tc>
          <w:tcPr>
            <w:tcW w:w="572" w:type="dxa"/>
          </w:tcPr>
          <w:p w:rsidR="00000000" w:rsidRDefault="00000000">
            <w:pPr>
              <w:widowControl w:val="0"/>
              <w:jc w:val="center"/>
              <w:rPr>
                <w:snapToGrid w:val="0"/>
                <w:sz w:val="20"/>
              </w:rPr>
            </w:pPr>
            <w:r>
              <w:rPr>
                <w:snapToGrid w:val="0"/>
                <w:sz w:val="20"/>
              </w:rPr>
              <w:t>6,1</w:t>
            </w:r>
          </w:p>
        </w:tc>
        <w:tc>
          <w:tcPr>
            <w:tcW w:w="571" w:type="dxa"/>
          </w:tcPr>
          <w:p w:rsidR="00000000" w:rsidRDefault="00000000">
            <w:pPr>
              <w:widowControl w:val="0"/>
              <w:jc w:val="center"/>
              <w:rPr>
                <w:snapToGrid w:val="0"/>
                <w:sz w:val="20"/>
              </w:rPr>
            </w:pPr>
            <w:r>
              <w:rPr>
                <w:snapToGrid w:val="0"/>
                <w:sz w:val="20"/>
              </w:rPr>
              <w:t>2,4</w:t>
            </w:r>
          </w:p>
        </w:tc>
        <w:tc>
          <w:tcPr>
            <w:tcW w:w="572" w:type="dxa"/>
          </w:tcPr>
          <w:p w:rsidR="00000000" w:rsidRDefault="00000000">
            <w:pPr>
              <w:widowControl w:val="0"/>
              <w:ind w:right="57"/>
              <w:jc w:val="right"/>
              <w:rPr>
                <w:snapToGrid w:val="0"/>
                <w:sz w:val="20"/>
              </w:rPr>
            </w:pPr>
            <w:r>
              <w:rPr>
                <w:snapToGrid w:val="0"/>
                <w:sz w:val="20"/>
              </w:rPr>
              <w:t>4,0</w:t>
            </w:r>
          </w:p>
        </w:tc>
        <w:tc>
          <w:tcPr>
            <w:tcW w:w="572" w:type="dxa"/>
          </w:tcPr>
          <w:p w:rsidR="00000000" w:rsidRDefault="00000000">
            <w:pPr>
              <w:widowControl w:val="0"/>
              <w:jc w:val="center"/>
              <w:rPr>
                <w:snapToGrid w:val="0"/>
                <w:sz w:val="20"/>
              </w:rPr>
            </w:pPr>
            <w:r>
              <w:rPr>
                <w:snapToGrid w:val="0"/>
                <w:sz w:val="20"/>
              </w:rPr>
              <w:t>3,1</w:t>
            </w:r>
          </w:p>
        </w:tc>
        <w:tc>
          <w:tcPr>
            <w:tcW w:w="572" w:type="dxa"/>
          </w:tcPr>
          <w:p w:rsidR="00000000" w:rsidRDefault="00000000">
            <w:pPr>
              <w:widowControl w:val="0"/>
              <w:jc w:val="center"/>
              <w:rPr>
                <w:snapToGrid w:val="0"/>
                <w:sz w:val="20"/>
              </w:rPr>
            </w:pPr>
            <w:r>
              <w:rPr>
                <w:snapToGrid w:val="0"/>
                <w:sz w:val="20"/>
              </w:rPr>
              <w:t>2,2</w:t>
            </w:r>
          </w:p>
        </w:tc>
        <w:tc>
          <w:tcPr>
            <w:tcW w:w="571" w:type="dxa"/>
          </w:tcPr>
          <w:p w:rsidR="00000000" w:rsidRDefault="00000000">
            <w:pPr>
              <w:widowControl w:val="0"/>
              <w:ind w:right="57"/>
              <w:jc w:val="right"/>
              <w:rPr>
                <w:snapToGrid w:val="0"/>
                <w:sz w:val="20"/>
              </w:rPr>
            </w:pPr>
            <w:r>
              <w:rPr>
                <w:snapToGrid w:val="0"/>
                <w:sz w:val="20"/>
              </w:rPr>
              <w:t>2,5</w:t>
            </w:r>
          </w:p>
        </w:tc>
        <w:tc>
          <w:tcPr>
            <w:tcW w:w="572" w:type="dxa"/>
          </w:tcPr>
          <w:p w:rsidR="00000000" w:rsidRDefault="00000000">
            <w:pPr>
              <w:widowControl w:val="0"/>
              <w:jc w:val="center"/>
              <w:rPr>
                <w:snapToGrid w:val="0"/>
                <w:sz w:val="20"/>
              </w:rPr>
            </w:pPr>
            <w:r>
              <w:rPr>
                <w:snapToGrid w:val="0"/>
                <w:sz w:val="20"/>
              </w:rPr>
              <w:t>2,3</w:t>
            </w:r>
          </w:p>
        </w:tc>
        <w:tc>
          <w:tcPr>
            <w:tcW w:w="572" w:type="dxa"/>
          </w:tcPr>
          <w:p w:rsidR="00000000" w:rsidRDefault="00000000">
            <w:pPr>
              <w:widowControl w:val="0"/>
              <w:ind w:right="57"/>
              <w:jc w:val="right"/>
              <w:rPr>
                <w:snapToGrid w:val="0"/>
                <w:sz w:val="20"/>
              </w:rPr>
            </w:pPr>
            <w:r>
              <w:rPr>
                <w:snapToGrid w:val="0"/>
                <w:sz w:val="20"/>
              </w:rPr>
              <w:t>-0,2</w:t>
            </w:r>
          </w:p>
        </w:tc>
        <w:tc>
          <w:tcPr>
            <w:tcW w:w="572" w:type="dxa"/>
          </w:tcPr>
          <w:p w:rsidR="00000000" w:rsidRDefault="00000000">
            <w:pPr>
              <w:widowControl w:val="0"/>
              <w:ind w:right="57"/>
              <w:jc w:val="right"/>
              <w:rPr>
                <w:snapToGrid w:val="0"/>
                <w:sz w:val="20"/>
              </w:rPr>
            </w:pPr>
            <w:r>
              <w:rPr>
                <w:snapToGrid w:val="0"/>
                <w:sz w:val="20"/>
              </w:rPr>
              <w:t>1,2</w:t>
            </w:r>
          </w:p>
        </w:tc>
        <w:tc>
          <w:tcPr>
            <w:tcW w:w="571" w:type="dxa"/>
          </w:tcPr>
          <w:p w:rsidR="00000000" w:rsidRDefault="00000000">
            <w:pPr>
              <w:widowControl w:val="0"/>
              <w:ind w:right="57"/>
              <w:jc w:val="right"/>
              <w:rPr>
                <w:snapToGrid w:val="0"/>
                <w:sz w:val="20"/>
              </w:rPr>
            </w:pPr>
            <w:r>
              <w:rPr>
                <w:snapToGrid w:val="0"/>
                <w:sz w:val="20"/>
              </w:rPr>
              <w:t>0,4</w:t>
            </w:r>
          </w:p>
        </w:tc>
        <w:tc>
          <w:tcPr>
            <w:tcW w:w="572" w:type="dxa"/>
          </w:tcPr>
          <w:p w:rsidR="00000000" w:rsidRDefault="00000000">
            <w:pPr>
              <w:widowControl w:val="0"/>
              <w:jc w:val="center"/>
              <w:rPr>
                <w:snapToGrid w:val="0"/>
                <w:sz w:val="20"/>
              </w:rPr>
            </w:pPr>
            <w:r>
              <w:rPr>
                <w:snapToGrid w:val="0"/>
                <w:sz w:val="20"/>
              </w:rPr>
              <w:t>1,9</w:t>
            </w:r>
          </w:p>
        </w:tc>
        <w:tc>
          <w:tcPr>
            <w:tcW w:w="572" w:type="dxa"/>
          </w:tcPr>
          <w:p w:rsidR="00000000" w:rsidRDefault="00000000">
            <w:pPr>
              <w:widowControl w:val="0"/>
              <w:tabs>
                <w:tab w:val="decimal" w:pos="292"/>
              </w:tabs>
              <w:rPr>
                <w:snapToGrid w:val="0"/>
                <w:sz w:val="20"/>
              </w:rPr>
            </w:pPr>
            <w:r>
              <w:rPr>
                <w:snapToGrid w:val="0"/>
                <w:sz w:val="20"/>
              </w:rPr>
              <w:t>5,0</w:t>
            </w:r>
          </w:p>
        </w:tc>
        <w:tc>
          <w:tcPr>
            <w:tcW w:w="572" w:type="dxa"/>
          </w:tcPr>
          <w:p w:rsidR="00000000" w:rsidRDefault="00000000">
            <w:pPr>
              <w:widowControl w:val="0"/>
              <w:ind w:right="57"/>
              <w:jc w:val="right"/>
              <w:rPr>
                <w:snapToGrid w:val="0"/>
                <w:sz w:val="20"/>
              </w:rPr>
            </w:pPr>
            <w:r>
              <w:rPr>
                <w:snapToGrid w:val="0"/>
                <w:sz w:val="20"/>
              </w:rPr>
              <w:t>4,0</w:t>
            </w:r>
          </w:p>
        </w:tc>
      </w:tr>
      <w:tr w:rsidR="00000000">
        <w:tblPrEx>
          <w:tblCellMar>
            <w:top w:w="0" w:type="dxa"/>
            <w:bottom w:w="0" w:type="dxa"/>
          </w:tblCellMar>
        </w:tblPrEx>
        <w:trPr>
          <w:trHeight w:val="247"/>
          <w:jc w:val="center"/>
        </w:trPr>
        <w:tc>
          <w:tcPr>
            <w:tcW w:w="753" w:type="dxa"/>
          </w:tcPr>
          <w:p w:rsidR="00000000" w:rsidRDefault="00000000">
            <w:pPr>
              <w:widowControl w:val="0"/>
              <w:rPr>
                <w:snapToGrid w:val="0"/>
                <w:sz w:val="20"/>
              </w:rPr>
            </w:pPr>
            <w:r>
              <w:rPr>
                <w:snapToGrid w:val="0"/>
                <w:sz w:val="20"/>
              </w:rPr>
              <w:t>1998/99</w:t>
            </w:r>
          </w:p>
        </w:tc>
        <w:tc>
          <w:tcPr>
            <w:tcW w:w="571" w:type="dxa"/>
          </w:tcPr>
          <w:p w:rsidR="00000000" w:rsidRDefault="00000000">
            <w:pPr>
              <w:widowControl w:val="0"/>
              <w:jc w:val="center"/>
              <w:rPr>
                <w:snapToGrid w:val="0"/>
                <w:sz w:val="20"/>
              </w:rPr>
            </w:pPr>
            <w:r>
              <w:rPr>
                <w:snapToGrid w:val="0"/>
                <w:sz w:val="20"/>
              </w:rPr>
              <w:t>7,6</w:t>
            </w:r>
          </w:p>
        </w:tc>
        <w:tc>
          <w:tcPr>
            <w:tcW w:w="572" w:type="dxa"/>
          </w:tcPr>
          <w:p w:rsidR="00000000" w:rsidRDefault="00000000">
            <w:pPr>
              <w:widowControl w:val="0"/>
              <w:ind w:right="57"/>
              <w:jc w:val="right"/>
              <w:rPr>
                <w:snapToGrid w:val="0"/>
                <w:sz w:val="20"/>
              </w:rPr>
            </w:pPr>
            <w:r>
              <w:rPr>
                <w:snapToGrid w:val="0"/>
                <w:sz w:val="20"/>
              </w:rPr>
              <w:t>10,9</w:t>
            </w:r>
          </w:p>
        </w:tc>
        <w:tc>
          <w:tcPr>
            <w:tcW w:w="572" w:type="dxa"/>
          </w:tcPr>
          <w:p w:rsidR="00000000" w:rsidRDefault="00000000">
            <w:pPr>
              <w:widowControl w:val="0"/>
              <w:jc w:val="center"/>
              <w:rPr>
                <w:snapToGrid w:val="0"/>
                <w:sz w:val="20"/>
              </w:rPr>
            </w:pPr>
            <w:r>
              <w:rPr>
                <w:snapToGrid w:val="0"/>
                <w:sz w:val="20"/>
              </w:rPr>
              <w:t>9,2</w:t>
            </w:r>
          </w:p>
        </w:tc>
        <w:tc>
          <w:tcPr>
            <w:tcW w:w="571" w:type="dxa"/>
          </w:tcPr>
          <w:p w:rsidR="00000000" w:rsidRDefault="00000000">
            <w:pPr>
              <w:widowControl w:val="0"/>
              <w:jc w:val="center"/>
              <w:rPr>
                <w:snapToGrid w:val="0"/>
                <w:sz w:val="20"/>
              </w:rPr>
            </w:pPr>
            <w:r>
              <w:rPr>
                <w:snapToGrid w:val="0"/>
                <w:sz w:val="20"/>
              </w:rPr>
              <w:t>5,6</w:t>
            </w:r>
          </w:p>
        </w:tc>
        <w:tc>
          <w:tcPr>
            <w:tcW w:w="572" w:type="dxa"/>
          </w:tcPr>
          <w:p w:rsidR="00000000" w:rsidRDefault="00000000">
            <w:pPr>
              <w:widowControl w:val="0"/>
              <w:ind w:right="57"/>
              <w:jc w:val="right"/>
              <w:rPr>
                <w:snapToGrid w:val="0"/>
                <w:sz w:val="20"/>
              </w:rPr>
            </w:pPr>
            <w:r>
              <w:rPr>
                <w:snapToGrid w:val="0"/>
                <w:sz w:val="20"/>
              </w:rPr>
              <w:t>11,4</w:t>
            </w:r>
          </w:p>
        </w:tc>
        <w:tc>
          <w:tcPr>
            <w:tcW w:w="572" w:type="dxa"/>
          </w:tcPr>
          <w:p w:rsidR="00000000" w:rsidRDefault="00000000">
            <w:pPr>
              <w:widowControl w:val="0"/>
              <w:jc w:val="center"/>
              <w:rPr>
                <w:snapToGrid w:val="0"/>
                <w:sz w:val="20"/>
              </w:rPr>
            </w:pPr>
            <w:r>
              <w:rPr>
                <w:snapToGrid w:val="0"/>
                <w:sz w:val="20"/>
              </w:rPr>
              <w:t>8,3</w:t>
            </w:r>
          </w:p>
        </w:tc>
        <w:tc>
          <w:tcPr>
            <w:tcW w:w="572" w:type="dxa"/>
          </w:tcPr>
          <w:p w:rsidR="00000000" w:rsidRDefault="00000000">
            <w:pPr>
              <w:widowControl w:val="0"/>
              <w:jc w:val="center"/>
              <w:rPr>
                <w:snapToGrid w:val="0"/>
                <w:sz w:val="20"/>
              </w:rPr>
            </w:pPr>
            <w:r>
              <w:rPr>
                <w:snapToGrid w:val="0"/>
                <w:sz w:val="20"/>
              </w:rPr>
              <w:t>8,1</w:t>
            </w:r>
          </w:p>
        </w:tc>
        <w:tc>
          <w:tcPr>
            <w:tcW w:w="571" w:type="dxa"/>
          </w:tcPr>
          <w:p w:rsidR="00000000" w:rsidRDefault="00000000">
            <w:pPr>
              <w:widowControl w:val="0"/>
              <w:ind w:right="57"/>
              <w:jc w:val="right"/>
              <w:rPr>
                <w:snapToGrid w:val="0"/>
                <w:sz w:val="20"/>
              </w:rPr>
            </w:pPr>
            <w:r>
              <w:rPr>
                <w:snapToGrid w:val="0"/>
                <w:sz w:val="20"/>
              </w:rPr>
              <w:t>12,1</w:t>
            </w:r>
          </w:p>
        </w:tc>
        <w:tc>
          <w:tcPr>
            <w:tcW w:w="572" w:type="dxa"/>
          </w:tcPr>
          <w:p w:rsidR="00000000" w:rsidRDefault="00000000">
            <w:pPr>
              <w:widowControl w:val="0"/>
              <w:jc w:val="center"/>
              <w:rPr>
                <w:snapToGrid w:val="0"/>
                <w:sz w:val="20"/>
              </w:rPr>
            </w:pPr>
            <w:r>
              <w:rPr>
                <w:snapToGrid w:val="0"/>
                <w:sz w:val="20"/>
              </w:rPr>
              <w:t>9,9</w:t>
            </w:r>
          </w:p>
        </w:tc>
        <w:tc>
          <w:tcPr>
            <w:tcW w:w="572" w:type="dxa"/>
          </w:tcPr>
          <w:p w:rsidR="00000000" w:rsidRDefault="00000000">
            <w:pPr>
              <w:widowControl w:val="0"/>
              <w:ind w:right="57"/>
              <w:jc w:val="right"/>
              <w:rPr>
                <w:snapToGrid w:val="0"/>
                <w:sz w:val="20"/>
              </w:rPr>
            </w:pPr>
            <w:r>
              <w:rPr>
                <w:snapToGrid w:val="0"/>
                <w:sz w:val="20"/>
              </w:rPr>
              <w:t>3,3</w:t>
            </w:r>
          </w:p>
        </w:tc>
        <w:tc>
          <w:tcPr>
            <w:tcW w:w="572" w:type="dxa"/>
          </w:tcPr>
          <w:p w:rsidR="00000000" w:rsidRDefault="00000000">
            <w:pPr>
              <w:widowControl w:val="0"/>
              <w:ind w:right="57"/>
              <w:jc w:val="right"/>
              <w:rPr>
                <w:snapToGrid w:val="0"/>
                <w:sz w:val="20"/>
              </w:rPr>
            </w:pPr>
            <w:r>
              <w:rPr>
                <w:snapToGrid w:val="0"/>
                <w:sz w:val="20"/>
              </w:rPr>
              <w:t>10,6</w:t>
            </w:r>
          </w:p>
        </w:tc>
        <w:tc>
          <w:tcPr>
            <w:tcW w:w="571" w:type="dxa"/>
          </w:tcPr>
          <w:p w:rsidR="00000000" w:rsidRDefault="00000000">
            <w:pPr>
              <w:widowControl w:val="0"/>
              <w:ind w:right="57"/>
              <w:jc w:val="right"/>
              <w:rPr>
                <w:snapToGrid w:val="0"/>
                <w:sz w:val="20"/>
              </w:rPr>
            </w:pPr>
            <w:r>
              <w:rPr>
                <w:snapToGrid w:val="0"/>
                <w:sz w:val="20"/>
              </w:rPr>
              <w:t>6,5</w:t>
            </w:r>
          </w:p>
        </w:tc>
        <w:tc>
          <w:tcPr>
            <w:tcW w:w="572" w:type="dxa"/>
          </w:tcPr>
          <w:p w:rsidR="00000000" w:rsidRDefault="00000000">
            <w:pPr>
              <w:widowControl w:val="0"/>
              <w:jc w:val="center"/>
              <w:rPr>
                <w:snapToGrid w:val="0"/>
                <w:sz w:val="20"/>
              </w:rPr>
            </w:pPr>
            <w:r>
              <w:rPr>
                <w:snapToGrid w:val="0"/>
                <w:sz w:val="20"/>
              </w:rPr>
              <w:t>8,7</w:t>
            </w:r>
          </w:p>
        </w:tc>
        <w:tc>
          <w:tcPr>
            <w:tcW w:w="572" w:type="dxa"/>
          </w:tcPr>
          <w:p w:rsidR="00000000" w:rsidRDefault="00000000">
            <w:pPr>
              <w:widowControl w:val="0"/>
              <w:tabs>
                <w:tab w:val="decimal" w:pos="292"/>
              </w:tabs>
              <w:rPr>
                <w:snapToGrid w:val="0"/>
                <w:sz w:val="20"/>
              </w:rPr>
            </w:pPr>
            <w:r>
              <w:rPr>
                <w:snapToGrid w:val="0"/>
                <w:sz w:val="20"/>
              </w:rPr>
              <w:t>15,6</w:t>
            </w:r>
          </w:p>
        </w:tc>
        <w:tc>
          <w:tcPr>
            <w:tcW w:w="572" w:type="dxa"/>
          </w:tcPr>
          <w:p w:rsidR="00000000" w:rsidRDefault="00000000">
            <w:pPr>
              <w:widowControl w:val="0"/>
              <w:ind w:right="57"/>
              <w:jc w:val="right"/>
              <w:rPr>
                <w:snapToGrid w:val="0"/>
                <w:sz w:val="20"/>
              </w:rPr>
            </w:pPr>
            <w:r>
              <w:rPr>
                <w:snapToGrid w:val="0"/>
                <w:sz w:val="20"/>
              </w:rPr>
              <w:t>11,7</w:t>
            </w:r>
          </w:p>
        </w:tc>
      </w:tr>
      <w:tr w:rsidR="00000000">
        <w:tblPrEx>
          <w:tblCellMar>
            <w:top w:w="0" w:type="dxa"/>
            <w:bottom w:w="0" w:type="dxa"/>
          </w:tblCellMar>
        </w:tblPrEx>
        <w:trPr>
          <w:trHeight w:val="247"/>
          <w:jc w:val="center"/>
        </w:trPr>
        <w:tc>
          <w:tcPr>
            <w:tcW w:w="753" w:type="dxa"/>
          </w:tcPr>
          <w:p w:rsidR="00000000" w:rsidRDefault="00000000">
            <w:pPr>
              <w:widowControl w:val="0"/>
              <w:rPr>
                <w:snapToGrid w:val="0"/>
                <w:sz w:val="20"/>
              </w:rPr>
            </w:pPr>
            <w:r>
              <w:rPr>
                <w:snapToGrid w:val="0"/>
                <w:sz w:val="20"/>
              </w:rPr>
              <w:t>1999/00</w:t>
            </w:r>
          </w:p>
        </w:tc>
        <w:tc>
          <w:tcPr>
            <w:tcW w:w="571" w:type="dxa"/>
          </w:tcPr>
          <w:p w:rsidR="00000000" w:rsidRDefault="00000000">
            <w:pPr>
              <w:widowControl w:val="0"/>
              <w:jc w:val="center"/>
              <w:rPr>
                <w:snapToGrid w:val="0"/>
                <w:sz w:val="20"/>
              </w:rPr>
            </w:pPr>
            <w:r>
              <w:rPr>
                <w:snapToGrid w:val="0"/>
                <w:sz w:val="20"/>
              </w:rPr>
              <w:t>6,7</w:t>
            </w:r>
          </w:p>
        </w:tc>
        <w:tc>
          <w:tcPr>
            <w:tcW w:w="572" w:type="dxa"/>
          </w:tcPr>
          <w:p w:rsidR="00000000" w:rsidRDefault="00000000">
            <w:pPr>
              <w:widowControl w:val="0"/>
              <w:ind w:right="57"/>
              <w:jc w:val="right"/>
              <w:rPr>
                <w:snapToGrid w:val="0"/>
                <w:sz w:val="20"/>
              </w:rPr>
            </w:pPr>
            <w:r>
              <w:rPr>
                <w:snapToGrid w:val="0"/>
                <w:sz w:val="20"/>
              </w:rPr>
              <w:t>8,2</w:t>
            </w:r>
          </w:p>
        </w:tc>
        <w:tc>
          <w:tcPr>
            <w:tcW w:w="572" w:type="dxa"/>
          </w:tcPr>
          <w:p w:rsidR="00000000" w:rsidRDefault="00000000">
            <w:pPr>
              <w:widowControl w:val="0"/>
              <w:jc w:val="center"/>
              <w:rPr>
                <w:snapToGrid w:val="0"/>
                <w:sz w:val="20"/>
              </w:rPr>
            </w:pPr>
            <w:r>
              <w:rPr>
                <w:snapToGrid w:val="0"/>
                <w:sz w:val="20"/>
              </w:rPr>
              <w:t>7,6</w:t>
            </w:r>
          </w:p>
        </w:tc>
        <w:tc>
          <w:tcPr>
            <w:tcW w:w="571" w:type="dxa"/>
          </w:tcPr>
          <w:p w:rsidR="00000000" w:rsidRDefault="00000000">
            <w:pPr>
              <w:widowControl w:val="0"/>
              <w:jc w:val="center"/>
              <w:rPr>
                <w:snapToGrid w:val="0"/>
                <w:sz w:val="20"/>
              </w:rPr>
            </w:pPr>
            <w:r>
              <w:rPr>
                <w:snapToGrid w:val="0"/>
                <w:sz w:val="20"/>
              </w:rPr>
              <w:t>2,2</w:t>
            </w:r>
          </w:p>
        </w:tc>
        <w:tc>
          <w:tcPr>
            <w:tcW w:w="572" w:type="dxa"/>
          </w:tcPr>
          <w:p w:rsidR="00000000" w:rsidRDefault="00000000">
            <w:pPr>
              <w:widowControl w:val="0"/>
              <w:ind w:right="57"/>
              <w:jc w:val="right"/>
              <w:rPr>
                <w:snapToGrid w:val="0"/>
                <w:sz w:val="20"/>
              </w:rPr>
            </w:pPr>
            <w:r>
              <w:rPr>
                <w:snapToGrid w:val="0"/>
                <w:sz w:val="20"/>
              </w:rPr>
              <w:t>6,2</w:t>
            </w:r>
          </w:p>
        </w:tc>
        <w:tc>
          <w:tcPr>
            <w:tcW w:w="572" w:type="dxa"/>
          </w:tcPr>
          <w:p w:rsidR="00000000" w:rsidRDefault="00000000">
            <w:pPr>
              <w:widowControl w:val="0"/>
              <w:jc w:val="center"/>
              <w:rPr>
                <w:snapToGrid w:val="0"/>
                <w:sz w:val="20"/>
              </w:rPr>
            </w:pPr>
            <w:r>
              <w:rPr>
                <w:snapToGrid w:val="0"/>
                <w:sz w:val="20"/>
              </w:rPr>
              <w:t>6,1</w:t>
            </w:r>
          </w:p>
        </w:tc>
        <w:tc>
          <w:tcPr>
            <w:tcW w:w="572" w:type="dxa"/>
          </w:tcPr>
          <w:p w:rsidR="00000000" w:rsidRDefault="00000000">
            <w:pPr>
              <w:widowControl w:val="0"/>
              <w:jc w:val="center"/>
              <w:rPr>
                <w:snapToGrid w:val="0"/>
                <w:sz w:val="20"/>
              </w:rPr>
            </w:pPr>
            <w:r>
              <w:rPr>
                <w:snapToGrid w:val="0"/>
                <w:sz w:val="20"/>
              </w:rPr>
              <w:t>9,9</w:t>
            </w:r>
          </w:p>
        </w:tc>
        <w:tc>
          <w:tcPr>
            <w:tcW w:w="571" w:type="dxa"/>
          </w:tcPr>
          <w:p w:rsidR="00000000" w:rsidRDefault="00000000">
            <w:pPr>
              <w:widowControl w:val="0"/>
              <w:ind w:right="57"/>
              <w:jc w:val="right"/>
              <w:rPr>
                <w:snapToGrid w:val="0"/>
                <w:sz w:val="20"/>
              </w:rPr>
            </w:pPr>
            <w:r>
              <w:rPr>
                <w:snapToGrid w:val="0"/>
                <w:sz w:val="20"/>
              </w:rPr>
              <w:t>13,8</w:t>
            </w:r>
          </w:p>
        </w:tc>
        <w:tc>
          <w:tcPr>
            <w:tcW w:w="572" w:type="dxa"/>
          </w:tcPr>
          <w:p w:rsidR="00000000" w:rsidRDefault="00000000">
            <w:pPr>
              <w:widowControl w:val="0"/>
              <w:jc w:val="center"/>
              <w:rPr>
                <w:snapToGrid w:val="0"/>
                <w:sz w:val="20"/>
              </w:rPr>
            </w:pPr>
            <w:r>
              <w:rPr>
                <w:snapToGrid w:val="0"/>
                <w:sz w:val="20"/>
              </w:rPr>
              <w:t>8,7</w:t>
            </w:r>
          </w:p>
        </w:tc>
        <w:tc>
          <w:tcPr>
            <w:tcW w:w="572" w:type="dxa"/>
          </w:tcPr>
          <w:p w:rsidR="00000000" w:rsidRDefault="00000000">
            <w:pPr>
              <w:widowControl w:val="0"/>
              <w:ind w:right="57"/>
              <w:jc w:val="right"/>
              <w:rPr>
                <w:snapToGrid w:val="0"/>
                <w:sz w:val="20"/>
              </w:rPr>
            </w:pPr>
            <w:r>
              <w:rPr>
                <w:snapToGrid w:val="0"/>
                <w:sz w:val="20"/>
              </w:rPr>
              <w:t>16,4</w:t>
            </w:r>
          </w:p>
        </w:tc>
        <w:tc>
          <w:tcPr>
            <w:tcW w:w="572" w:type="dxa"/>
          </w:tcPr>
          <w:p w:rsidR="00000000" w:rsidRDefault="00000000">
            <w:pPr>
              <w:widowControl w:val="0"/>
              <w:ind w:right="57"/>
              <w:jc w:val="right"/>
              <w:rPr>
                <w:snapToGrid w:val="0"/>
                <w:sz w:val="20"/>
              </w:rPr>
            </w:pPr>
            <w:r>
              <w:rPr>
                <w:snapToGrid w:val="0"/>
                <w:sz w:val="20"/>
              </w:rPr>
              <w:t>21,7</w:t>
            </w:r>
          </w:p>
        </w:tc>
        <w:tc>
          <w:tcPr>
            <w:tcW w:w="571" w:type="dxa"/>
          </w:tcPr>
          <w:p w:rsidR="00000000" w:rsidRDefault="00000000">
            <w:pPr>
              <w:widowControl w:val="0"/>
              <w:ind w:right="57"/>
              <w:jc w:val="right"/>
              <w:rPr>
                <w:snapToGrid w:val="0"/>
                <w:sz w:val="20"/>
              </w:rPr>
            </w:pPr>
            <w:r>
              <w:rPr>
                <w:snapToGrid w:val="0"/>
                <w:sz w:val="20"/>
              </w:rPr>
              <w:t>17,5</w:t>
            </w:r>
          </w:p>
        </w:tc>
        <w:tc>
          <w:tcPr>
            <w:tcW w:w="572" w:type="dxa"/>
          </w:tcPr>
          <w:p w:rsidR="00000000" w:rsidRDefault="00000000">
            <w:pPr>
              <w:widowControl w:val="0"/>
              <w:jc w:val="center"/>
              <w:rPr>
                <w:snapToGrid w:val="0"/>
                <w:sz w:val="20"/>
              </w:rPr>
            </w:pPr>
            <w:r>
              <w:rPr>
                <w:snapToGrid w:val="0"/>
                <w:sz w:val="20"/>
              </w:rPr>
              <w:t>7,5</w:t>
            </w:r>
          </w:p>
        </w:tc>
        <w:tc>
          <w:tcPr>
            <w:tcW w:w="572" w:type="dxa"/>
          </w:tcPr>
          <w:p w:rsidR="00000000" w:rsidRDefault="00000000">
            <w:pPr>
              <w:widowControl w:val="0"/>
              <w:tabs>
                <w:tab w:val="decimal" w:pos="292"/>
              </w:tabs>
              <w:rPr>
                <w:snapToGrid w:val="0"/>
                <w:sz w:val="20"/>
              </w:rPr>
            </w:pPr>
            <w:r>
              <w:rPr>
                <w:snapToGrid w:val="0"/>
                <w:sz w:val="20"/>
              </w:rPr>
              <w:t>13</w:t>
            </w:r>
          </w:p>
        </w:tc>
        <w:tc>
          <w:tcPr>
            <w:tcW w:w="572" w:type="dxa"/>
          </w:tcPr>
          <w:p w:rsidR="00000000" w:rsidRDefault="00000000">
            <w:pPr>
              <w:widowControl w:val="0"/>
              <w:ind w:right="57"/>
              <w:jc w:val="right"/>
              <w:rPr>
                <w:snapToGrid w:val="0"/>
                <w:sz w:val="20"/>
              </w:rPr>
            </w:pPr>
            <w:r>
              <w:rPr>
                <w:snapToGrid w:val="0"/>
                <w:sz w:val="20"/>
              </w:rPr>
              <w:t>10,6</w:t>
            </w:r>
          </w:p>
        </w:tc>
      </w:tr>
      <w:tr w:rsidR="00000000">
        <w:tblPrEx>
          <w:tblCellMar>
            <w:top w:w="0" w:type="dxa"/>
            <w:bottom w:w="0" w:type="dxa"/>
          </w:tblCellMar>
        </w:tblPrEx>
        <w:trPr>
          <w:trHeight w:val="247"/>
          <w:jc w:val="center"/>
        </w:trPr>
        <w:tc>
          <w:tcPr>
            <w:tcW w:w="753" w:type="dxa"/>
          </w:tcPr>
          <w:p w:rsidR="00000000" w:rsidRDefault="00000000">
            <w:pPr>
              <w:widowControl w:val="0"/>
              <w:rPr>
                <w:snapToGrid w:val="0"/>
                <w:sz w:val="20"/>
              </w:rPr>
            </w:pPr>
            <w:r>
              <w:rPr>
                <w:snapToGrid w:val="0"/>
                <w:sz w:val="20"/>
              </w:rPr>
              <w:t>2000/01</w:t>
            </w:r>
          </w:p>
        </w:tc>
        <w:tc>
          <w:tcPr>
            <w:tcW w:w="571" w:type="dxa"/>
          </w:tcPr>
          <w:p w:rsidR="00000000" w:rsidRDefault="00000000">
            <w:pPr>
              <w:widowControl w:val="0"/>
              <w:jc w:val="center"/>
              <w:rPr>
                <w:snapToGrid w:val="0"/>
                <w:sz w:val="20"/>
              </w:rPr>
            </w:pPr>
          </w:p>
        </w:tc>
        <w:tc>
          <w:tcPr>
            <w:tcW w:w="572" w:type="dxa"/>
          </w:tcPr>
          <w:p w:rsidR="00000000" w:rsidRDefault="00000000">
            <w:pPr>
              <w:widowControl w:val="0"/>
              <w:ind w:right="57"/>
              <w:jc w:val="right"/>
              <w:rPr>
                <w:snapToGrid w:val="0"/>
                <w:sz w:val="20"/>
              </w:rPr>
            </w:pPr>
          </w:p>
        </w:tc>
        <w:tc>
          <w:tcPr>
            <w:tcW w:w="572" w:type="dxa"/>
          </w:tcPr>
          <w:p w:rsidR="00000000" w:rsidRDefault="00000000">
            <w:pPr>
              <w:widowControl w:val="0"/>
              <w:jc w:val="center"/>
              <w:rPr>
                <w:snapToGrid w:val="0"/>
                <w:sz w:val="20"/>
              </w:rPr>
            </w:pPr>
          </w:p>
        </w:tc>
        <w:tc>
          <w:tcPr>
            <w:tcW w:w="571" w:type="dxa"/>
          </w:tcPr>
          <w:p w:rsidR="00000000" w:rsidRDefault="00000000">
            <w:pPr>
              <w:widowControl w:val="0"/>
              <w:jc w:val="center"/>
              <w:rPr>
                <w:snapToGrid w:val="0"/>
                <w:sz w:val="20"/>
              </w:rPr>
            </w:pPr>
          </w:p>
        </w:tc>
        <w:tc>
          <w:tcPr>
            <w:tcW w:w="572" w:type="dxa"/>
          </w:tcPr>
          <w:p w:rsidR="00000000" w:rsidRDefault="00000000">
            <w:pPr>
              <w:widowControl w:val="0"/>
              <w:ind w:right="57"/>
              <w:jc w:val="right"/>
              <w:rPr>
                <w:snapToGrid w:val="0"/>
                <w:sz w:val="20"/>
              </w:rPr>
            </w:pPr>
          </w:p>
        </w:tc>
        <w:tc>
          <w:tcPr>
            <w:tcW w:w="572" w:type="dxa"/>
          </w:tcPr>
          <w:p w:rsidR="00000000" w:rsidRDefault="00000000">
            <w:pPr>
              <w:widowControl w:val="0"/>
              <w:jc w:val="center"/>
              <w:rPr>
                <w:snapToGrid w:val="0"/>
                <w:sz w:val="20"/>
              </w:rPr>
            </w:pPr>
          </w:p>
        </w:tc>
        <w:tc>
          <w:tcPr>
            <w:tcW w:w="572" w:type="dxa"/>
          </w:tcPr>
          <w:p w:rsidR="00000000" w:rsidRDefault="00000000">
            <w:pPr>
              <w:widowControl w:val="0"/>
              <w:jc w:val="center"/>
              <w:rPr>
                <w:snapToGrid w:val="0"/>
                <w:sz w:val="20"/>
              </w:rPr>
            </w:pPr>
          </w:p>
        </w:tc>
        <w:tc>
          <w:tcPr>
            <w:tcW w:w="571" w:type="dxa"/>
          </w:tcPr>
          <w:p w:rsidR="00000000" w:rsidRDefault="00000000">
            <w:pPr>
              <w:widowControl w:val="0"/>
              <w:ind w:right="57"/>
              <w:jc w:val="right"/>
              <w:rPr>
                <w:snapToGrid w:val="0"/>
                <w:sz w:val="20"/>
              </w:rPr>
            </w:pPr>
          </w:p>
        </w:tc>
        <w:tc>
          <w:tcPr>
            <w:tcW w:w="572" w:type="dxa"/>
          </w:tcPr>
          <w:p w:rsidR="00000000" w:rsidRDefault="00000000">
            <w:pPr>
              <w:widowControl w:val="0"/>
              <w:jc w:val="center"/>
              <w:rPr>
                <w:snapToGrid w:val="0"/>
                <w:sz w:val="20"/>
              </w:rPr>
            </w:pPr>
          </w:p>
        </w:tc>
        <w:tc>
          <w:tcPr>
            <w:tcW w:w="572" w:type="dxa"/>
          </w:tcPr>
          <w:p w:rsidR="00000000" w:rsidRDefault="00000000">
            <w:pPr>
              <w:widowControl w:val="0"/>
              <w:ind w:right="57"/>
              <w:jc w:val="right"/>
              <w:rPr>
                <w:snapToGrid w:val="0"/>
                <w:sz w:val="20"/>
              </w:rPr>
            </w:pPr>
          </w:p>
        </w:tc>
        <w:tc>
          <w:tcPr>
            <w:tcW w:w="572" w:type="dxa"/>
          </w:tcPr>
          <w:p w:rsidR="00000000" w:rsidRDefault="00000000">
            <w:pPr>
              <w:widowControl w:val="0"/>
              <w:ind w:right="57"/>
              <w:jc w:val="right"/>
              <w:rPr>
                <w:snapToGrid w:val="0"/>
                <w:sz w:val="20"/>
              </w:rPr>
            </w:pPr>
          </w:p>
        </w:tc>
        <w:tc>
          <w:tcPr>
            <w:tcW w:w="571" w:type="dxa"/>
          </w:tcPr>
          <w:p w:rsidR="00000000" w:rsidRDefault="00000000">
            <w:pPr>
              <w:widowControl w:val="0"/>
              <w:ind w:right="57"/>
              <w:jc w:val="right"/>
              <w:rPr>
                <w:snapToGrid w:val="0"/>
                <w:sz w:val="20"/>
              </w:rPr>
            </w:pPr>
          </w:p>
        </w:tc>
        <w:tc>
          <w:tcPr>
            <w:tcW w:w="572" w:type="dxa"/>
          </w:tcPr>
          <w:p w:rsidR="00000000" w:rsidRDefault="00000000">
            <w:pPr>
              <w:widowControl w:val="0"/>
              <w:jc w:val="right"/>
              <w:rPr>
                <w:snapToGrid w:val="0"/>
                <w:sz w:val="20"/>
              </w:rPr>
            </w:pPr>
          </w:p>
        </w:tc>
        <w:tc>
          <w:tcPr>
            <w:tcW w:w="572" w:type="dxa"/>
          </w:tcPr>
          <w:p w:rsidR="00000000" w:rsidRDefault="00000000">
            <w:pPr>
              <w:widowControl w:val="0"/>
              <w:ind w:right="57"/>
              <w:jc w:val="right"/>
              <w:rPr>
                <w:snapToGrid w:val="0"/>
                <w:sz w:val="20"/>
              </w:rPr>
            </w:pPr>
          </w:p>
        </w:tc>
        <w:tc>
          <w:tcPr>
            <w:tcW w:w="572" w:type="dxa"/>
          </w:tcPr>
          <w:p w:rsidR="00000000" w:rsidRDefault="00000000">
            <w:pPr>
              <w:widowControl w:val="0"/>
              <w:ind w:right="57"/>
              <w:jc w:val="right"/>
              <w:rPr>
                <w:snapToGrid w:val="0"/>
                <w:sz w:val="20"/>
              </w:rPr>
            </w:pPr>
          </w:p>
        </w:tc>
      </w:tr>
      <w:tr w:rsidR="00000000">
        <w:tblPrEx>
          <w:tblCellMar>
            <w:top w:w="0" w:type="dxa"/>
            <w:bottom w:w="0" w:type="dxa"/>
          </w:tblCellMar>
        </w:tblPrEx>
        <w:trPr>
          <w:trHeight w:val="173"/>
          <w:jc w:val="center"/>
        </w:trPr>
        <w:tc>
          <w:tcPr>
            <w:tcW w:w="753" w:type="dxa"/>
          </w:tcPr>
          <w:p w:rsidR="00000000" w:rsidRDefault="00000000">
            <w:pPr>
              <w:widowControl w:val="0"/>
              <w:rPr>
                <w:snapToGrid w:val="0"/>
                <w:sz w:val="20"/>
              </w:rPr>
            </w:pPr>
            <w:r>
              <w:rPr>
                <w:snapToGrid w:val="0"/>
                <w:sz w:val="20"/>
              </w:rPr>
              <w:t>2001/02</w:t>
            </w:r>
          </w:p>
        </w:tc>
        <w:tc>
          <w:tcPr>
            <w:tcW w:w="571" w:type="dxa"/>
          </w:tcPr>
          <w:p w:rsidR="00000000" w:rsidRDefault="00000000">
            <w:pPr>
              <w:widowControl w:val="0"/>
              <w:jc w:val="center"/>
              <w:rPr>
                <w:rFonts w:eastAsia="Arial Unicode MS"/>
                <w:bCs/>
                <w:sz w:val="20"/>
              </w:rPr>
            </w:pPr>
          </w:p>
        </w:tc>
        <w:tc>
          <w:tcPr>
            <w:tcW w:w="572" w:type="dxa"/>
          </w:tcPr>
          <w:p w:rsidR="00000000" w:rsidRDefault="00000000">
            <w:pPr>
              <w:widowControl w:val="0"/>
              <w:ind w:right="57"/>
              <w:jc w:val="right"/>
              <w:rPr>
                <w:rFonts w:eastAsia="Arial Unicode MS"/>
                <w:bCs/>
                <w:sz w:val="20"/>
              </w:rPr>
            </w:pPr>
          </w:p>
        </w:tc>
        <w:tc>
          <w:tcPr>
            <w:tcW w:w="572" w:type="dxa"/>
          </w:tcPr>
          <w:p w:rsidR="00000000" w:rsidRDefault="00000000">
            <w:pPr>
              <w:widowControl w:val="0"/>
              <w:jc w:val="center"/>
              <w:rPr>
                <w:rFonts w:eastAsia="Arial Unicode MS"/>
                <w:bCs/>
                <w:sz w:val="20"/>
              </w:rPr>
            </w:pPr>
          </w:p>
        </w:tc>
        <w:tc>
          <w:tcPr>
            <w:tcW w:w="571" w:type="dxa"/>
          </w:tcPr>
          <w:p w:rsidR="00000000" w:rsidRDefault="00000000">
            <w:pPr>
              <w:widowControl w:val="0"/>
              <w:jc w:val="center"/>
              <w:rPr>
                <w:rFonts w:eastAsia="Arial Unicode MS"/>
                <w:bCs/>
                <w:sz w:val="20"/>
              </w:rPr>
            </w:pPr>
          </w:p>
        </w:tc>
        <w:tc>
          <w:tcPr>
            <w:tcW w:w="572" w:type="dxa"/>
          </w:tcPr>
          <w:p w:rsidR="00000000" w:rsidRDefault="00000000">
            <w:pPr>
              <w:widowControl w:val="0"/>
              <w:ind w:right="57"/>
              <w:jc w:val="right"/>
              <w:rPr>
                <w:rFonts w:eastAsia="Arial Unicode MS"/>
                <w:bCs/>
                <w:sz w:val="20"/>
              </w:rPr>
            </w:pPr>
          </w:p>
        </w:tc>
        <w:tc>
          <w:tcPr>
            <w:tcW w:w="572" w:type="dxa"/>
          </w:tcPr>
          <w:p w:rsidR="00000000" w:rsidRDefault="00000000">
            <w:pPr>
              <w:widowControl w:val="0"/>
              <w:jc w:val="center"/>
              <w:rPr>
                <w:rFonts w:eastAsia="Arial Unicode MS"/>
                <w:bCs/>
                <w:sz w:val="20"/>
              </w:rPr>
            </w:pPr>
          </w:p>
        </w:tc>
        <w:tc>
          <w:tcPr>
            <w:tcW w:w="572" w:type="dxa"/>
          </w:tcPr>
          <w:p w:rsidR="00000000" w:rsidRDefault="00000000">
            <w:pPr>
              <w:widowControl w:val="0"/>
              <w:jc w:val="center"/>
              <w:rPr>
                <w:rFonts w:eastAsia="Arial Unicode MS"/>
                <w:bCs/>
                <w:sz w:val="20"/>
              </w:rPr>
            </w:pPr>
          </w:p>
        </w:tc>
        <w:tc>
          <w:tcPr>
            <w:tcW w:w="571" w:type="dxa"/>
          </w:tcPr>
          <w:p w:rsidR="00000000" w:rsidRDefault="00000000">
            <w:pPr>
              <w:widowControl w:val="0"/>
              <w:ind w:right="57"/>
              <w:jc w:val="right"/>
              <w:rPr>
                <w:rFonts w:eastAsia="Arial Unicode MS"/>
                <w:bCs/>
                <w:sz w:val="20"/>
              </w:rPr>
            </w:pPr>
          </w:p>
        </w:tc>
        <w:tc>
          <w:tcPr>
            <w:tcW w:w="572" w:type="dxa"/>
          </w:tcPr>
          <w:p w:rsidR="00000000" w:rsidRDefault="00000000">
            <w:pPr>
              <w:widowControl w:val="0"/>
              <w:jc w:val="center"/>
              <w:rPr>
                <w:rFonts w:eastAsia="Arial Unicode MS"/>
                <w:bCs/>
                <w:sz w:val="20"/>
              </w:rPr>
            </w:pPr>
          </w:p>
        </w:tc>
        <w:tc>
          <w:tcPr>
            <w:tcW w:w="572" w:type="dxa"/>
          </w:tcPr>
          <w:p w:rsidR="00000000" w:rsidRDefault="00000000">
            <w:pPr>
              <w:widowControl w:val="0"/>
              <w:ind w:right="57"/>
              <w:jc w:val="right"/>
              <w:rPr>
                <w:rFonts w:eastAsia="Arial Unicode MS"/>
                <w:bCs/>
                <w:sz w:val="20"/>
              </w:rPr>
            </w:pPr>
          </w:p>
        </w:tc>
        <w:tc>
          <w:tcPr>
            <w:tcW w:w="572" w:type="dxa"/>
          </w:tcPr>
          <w:p w:rsidR="00000000" w:rsidRDefault="00000000">
            <w:pPr>
              <w:widowControl w:val="0"/>
              <w:ind w:right="57"/>
              <w:jc w:val="right"/>
              <w:rPr>
                <w:rFonts w:eastAsia="Arial Unicode MS"/>
                <w:bCs/>
                <w:sz w:val="20"/>
              </w:rPr>
            </w:pPr>
          </w:p>
        </w:tc>
        <w:tc>
          <w:tcPr>
            <w:tcW w:w="571" w:type="dxa"/>
          </w:tcPr>
          <w:p w:rsidR="00000000" w:rsidRDefault="00000000">
            <w:pPr>
              <w:widowControl w:val="0"/>
              <w:ind w:right="57"/>
              <w:jc w:val="right"/>
              <w:rPr>
                <w:rFonts w:eastAsia="Arial Unicode MS"/>
                <w:bCs/>
                <w:sz w:val="20"/>
              </w:rPr>
            </w:pPr>
          </w:p>
        </w:tc>
        <w:tc>
          <w:tcPr>
            <w:tcW w:w="572" w:type="dxa"/>
          </w:tcPr>
          <w:p w:rsidR="00000000" w:rsidRDefault="00000000">
            <w:pPr>
              <w:widowControl w:val="0"/>
              <w:jc w:val="right"/>
              <w:rPr>
                <w:rFonts w:eastAsia="Arial Unicode MS"/>
                <w:bCs/>
                <w:sz w:val="20"/>
              </w:rPr>
            </w:pPr>
          </w:p>
        </w:tc>
        <w:tc>
          <w:tcPr>
            <w:tcW w:w="572" w:type="dxa"/>
          </w:tcPr>
          <w:p w:rsidR="00000000" w:rsidRDefault="00000000">
            <w:pPr>
              <w:widowControl w:val="0"/>
              <w:ind w:right="57"/>
              <w:jc w:val="right"/>
              <w:rPr>
                <w:rFonts w:eastAsia="Arial Unicode MS"/>
                <w:bCs/>
                <w:sz w:val="20"/>
              </w:rPr>
            </w:pPr>
          </w:p>
        </w:tc>
        <w:tc>
          <w:tcPr>
            <w:tcW w:w="572" w:type="dxa"/>
          </w:tcPr>
          <w:p w:rsidR="00000000" w:rsidRDefault="00000000">
            <w:pPr>
              <w:widowControl w:val="0"/>
              <w:ind w:right="57"/>
              <w:jc w:val="right"/>
              <w:rPr>
                <w:rFonts w:eastAsia="Arial Unicode MS"/>
                <w:bCs/>
                <w:sz w:val="20"/>
              </w:rPr>
            </w:pPr>
          </w:p>
        </w:tc>
      </w:tr>
    </w:tbl>
    <w:p w:rsidR="00000000" w:rsidRDefault="00000000">
      <w:pPr>
        <w:spacing w:before="200" w:after="400"/>
        <w:rPr>
          <w:sz w:val="20"/>
        </w:rPr>
      </w:pPr>
      <w:r>
        <w:rPr>
          <w:i/>
          <w:iCs/>
          <w:sz w:val="20"/>
        </w:rPr>
        <w:t xml:space="preserve">Fuente:  </w:t>
      </w:r>
      <w:r>
        <w:rPr>
          <w:sz w:val="20"/>
        </w:rPr>
        <w:t xml:space="preserve">Estadísticas de la </w:t>
      </w:r>
      <w:proofErr w:type="spellStart"/>
      <w:r>
        <w:rPr>
          <w:sz w:val="20"/>
        </w:rPr>
        <w:t>DPRE</w:t>
      </w:r>
      <w:proofErr w:type="spellEnd"/>
      <w:r>
        <w:rPr>
          <w:sz w:val="20"/>
        </w:rPr>
        <w:t>, 2004.</w:t>
      </w:r>
    </w:p>
    <w:p w:rsidR="00000000" w:rsidRDefault="00000000">
      <w:pPr>
        <w:keepNext/>
        <w:spacing w:after="240"/>
        <w:rPr>
          <w:b/>
          <w:bCs/>
          <w:i/>
          <w:iCs/>
        </w:rPr>
      </w:pPr>
      <w:r>
        <w:rPr>
          <w:b/>
          <w:bCs/>
          <w:i/>
          <w:iCs/>
        </w:rPr>
        <w:t>Tasa de éxito en el certificado de enseñanza primaria</w:t>
      </w:r>
    </w:p>
    <w:p w:rsidR="00000000" w:rsidRDefault="00000000">
      <w:pPr>
        <w:spacing w:after="240"/>
        <w:jc w:val="center"/>
        <w:rPr>
          <w:b/>
          <w:bCs/>
        </w:rPr>
      </w:pPr>
      <w:r>
        <w:rPr>
          <w:b/>
          <w:bCs/>
        </w:rPr>
        <w:t>Evolución de los resultados escolares entre 1990 y 2002</w:t>
      </w:r>
    </w:p>
    <w:tbl>
      <w:tblPr>
        <w:tblW w:w="5000" w:type="pct"/>
        <w:jc w:val="center"/>
        <w:tblCellMar>
          <w:left w:w="28" w:type="dxa"/>
          <w:right w:w="28" w:type="dxa"/>
        </w:tblCellMar>
        <w:tblLook w:val="0000" w:firstRow="0" w:lastRow="0" w:firstColumn="0" w:lastColumn="0" w:noHBand="0" w:noVBand="0"/>
      </w:tblPr>
      <w:tblGrid>
        <w:gridCol w:w="2564"/>
        <w:gridCol w:w="664"/>
        <w:gridCol w:w="599"/>
        <w:gridCol w:w="599"/>
        <w:gridCol w:w="599"/>
        <w:gridCol w:w="664"/>
        <w:gridCol w:w="599"/>
        <w:gridCol w:w="664"/>
        <w:gridCol w:w="599"/>
        <w:gridCol w:w="664"/>
        <w:gridCol w:w="599"/>
        <w:gridCol w:w="597"/>
      </w:tblGrid>
      <w:tr w:rsidR="00000000">
        <w:tblPrEx>
          <w:tblCellMar>
            <w:top w:w="0" w:type="dxa"/>
            <w:bottom w:w="0" w:type="dxa"/>
          </w:tblCellMar>
        </w:tblPrEx>
        <w:trPr>
          <w:cantSplit/>
          <w:jc w:val="center"/>
        </w:trPr>
        <w:tc>
          <w:tcPr>
            <w:tcW w:w="1363" w:type="pct"/>
            <w:vMerge w:val="restart"/>
            <w:tcBorders>
              <w:top w:val="single" w:sz="6" w:space="0" w:color="auto"/>
              <w:left w:val="single" w:sz="6" w:space="0" w:color="auto"/>
              <w:right w:val="single" w:sz="6" w:space="0" w:color="auto"/>
            </w:tcBorders>
          </w:tcPr>
          <w:p w:rsidR="00000000" w:rsidRDefault="00000000">
            <w:pPr>
              <w:widowControl w:val="0"/>
              <w:jc w:val="center"/>
              <w:rPr>
                <w:b/>
                <w:lang w:val="es-ES_tradnl"/>
              </w:rPr>
            </w:pPr>
          </w:p>
        </w:tc>
        <w:tc>
          <w:tcPr>
            <w:tcW w:w="3637" w:type="pct"/>
            <w:gridSpan w:val="11"/>
            <w:tcBorders>
              <w:top w:val="single" w:sz="6" w:space="0" w:color="auto"/>
              <w:left w:val="nil"/>
              <w:right w:val="single" w:sz="6" w:space="0" w:color="auto"/>
            </w:tcBorders>
          </w:tcPr>
          <w:p w:rsidR="00000000" w:rsidRDefault="00000000">
            <w:pPr>
              <w:widowControl w:val="0"/>
              <w:jc w:val="center"/>
              <w:rPr>
                <w:b/>
                <w:snapToGrid w:val="0"/>
                <w:lang w:val="es-ES_tradnl"/>
              </w:rPr>
            </w:pPr>
            <w:r>
              <w:rPr>
                <w:b/>
                <w:snapToGrid w:val="0"/>
                <w:lang w:val="es-ES_tradnl"/>
              </w:rPr>
              <w:t>Año escolar</w:t>
            </w:r>
          </w:p>
        </w:tc>
      </w:tr>
      <w:tr w:rsidR="00000000">
        <w:tblPrEx>
          <w:tblCellMar>
            <w:top w:w="0" w:type="dxa"/>
            <w:bottom w:w="0" w:type="dxa"/>
          </w:tblCellMar>
        </w:tblPrEx>
        <w:trPr>
          <w:cantSplit/>
          <w:jc w:val="center"/>
        </w:trPr>
        <w:tc>
          <w:tcPr>
            <w:tcW w:w="1363" w:type="pct"/>
            <w:vMerge/>
            <w:tcBorders>
              <w:left w:val="single" w:sz="6" w:space="0" w:color="auto"/>
              <w:bottom w:val="single" w:sz="6" w:space="0" w:color="auto"/>
              <w:right w:val="single" w:sz="6" w:space="0" w:color="auto"/>
            </w:tcBorders>
          </w:tcPr>
          <w:p w:rsidR="00000000" w:rsidRDefault="00000000">
            <w:pPr>
              <w:widowControl w:val="0"/>
              <w:jc w:val="center"/>
              <w:rPr>
                <w:b/>
                <w:lang w:val="es-ES_tradnl"/>
              </w:rPr>
            </w:pPr>
          </w:p>
        </w:tc>
        <w:tc>
          <w:tcPr>
            <w:tcW w:w="353" w:type="pct"/>
            <w:tcBorders>
              <w:top w:val="single" w:sz="6" w:space="0" w:color="auto"/>
              <w:left w:val="nil"/>
              <w:right w:val="single" w:sz="6" w:space="0" w:color="auto"/>
            </w:tcBorders>
          </w:tcPr>
          <w:p w:rsidR="00000000" w:rsidRDefault="00000000">
            <w:pPr>
              <w:widowControl w:val="0"/>
              <w:jc w:val="center"/>
              <w:rPr>
                <w:b/>
                <w:snapToGrid w:val="0"/>
                <w:lang w:val="es-ES_tradnl"/>
              </w:rPr>
            </w:pPr>
            <w:r>
              <w:rPr>
                <w:b/>
                <w:snapToGrid w:val="0"/>
                <w:lang w:val="es-ES_tradnl"/>
              </w:rPr>
              <w:t>1990</w:t>
            </w:r>
          </w:p>
        </w:tc>
        <w:tc>
          <w:tcPr>
            <w:tcW w:w="318" w:type="pct"/>
            <w:tcBorders>
              <w:top w:val="single" w:sz="6" w:space="0" w:color="auto"/>
              <w:left w:val="single" w:sz="6" w:space="0" w:color="auto"/>
              <w:right w:val="single" w:sz="6" w:space="0" w:color="auto"/>
            </w:tcBorders>
          </w:tcPr>
          <w:p w:rsidR="00000000" w:rsidRDefault="00000000">
            <w:pPr>
              <w:widowControl w:val="0"/>
              <w:jc w:val="center"/>
              <w:rPr>
                <w:b/>
                <w:snapToGrid w:val="0"/>
                <w:lang w:val="es-ES_tradnl"/>
              </w:rPr>
            </w:pPr>
            <w:r>
              <w:rPr>
                <w:b/>
                <w:snapToGrid w:val="0"/>
                <w:lang w:val="es-ES_tradnl"/>
              </w:rPr>
              <w:t>1992</w:t>
            </w:r>
          </w:p>
        </w:tc>
        <w:tc>
          <w:tcPr>
            <w:tcW w:w="318" w:type="pct"/>
            <w:tcBorders>
              <w:top w:val="single" w:sz="6" w:space="0" w:color="auto"/>
              <w:left w:val="single" w:sz="6" w:space="0" w:color="auto"/>
              <w:right w:val="single" w:sz="6" w:space="0" w:color="auto"/>
            </w:tcBorders>
          </w:tcPr>
          <w:p w:rsidR="00000000" w:rsidRDefault="00000000">
            <w:pPr>
              <w:widowControl w:val="0"/>
              <w:jc w:val="center"/>
              <w:rPr>
                <w:b/>
                <w:snapToGrid w:val="0"/>
                <w:lang w:val="es-ES_tradnl"/>
              </w:rPr>
            </w:pPr>
            <w:r>
              <w:rPr>
                <w:b/>
                <w:snapToGrid w:val="0"/>
                <w:lang w:val="es-ES_tradnl"/>
              </w:rPr>
              <w:t>1993</w:t>
            </w:r>
          </w:p>
        </w:tc>
        <w:tc>
          <w:tcPr>
            <w:tcW w:w="318" w:type="pct"/>
            <w:tcBorders>
              <w:top w:val="single" w:sz="6" w:space="0" w:color="auto"/>
              <w:left w:val="single" w:sz="6" w:space="0" w:color="auto"/>
              <w:right w:val="single" w:sz="6" w:space="0" w:color="auto"/>
            </w:tcBorders>
          </w:tcPr>
          <w:p w:rsidR="00000000" w:rsidRDefault="00000000">
            <w:pPr>
              <w:widowControl w:val="0"/>
              <w:jc w:val="center"/>
              <w:rPr>
                <w:b/>
                <w:snapToGrid w:val="0"/>
                <w:lang w:val="es-ES_tradnl"/>
              </w:rPr>
            </w:pPr>
            <w:r>
              <w:rPr>
                <w:b/>
                <w:snapToGrid w:val="0"/>
                <w:lang w:val="es-ES_tradnl"/>
              </w:rPr>
              <w:t>1994</w:t>
            </w:r>
          </w:p>
        </w:tc>
        <w:tc>
          <w:tcPr>
            <w:tcW w:w="353" w:type="pct"/>
            <w:tcBorders>
              <w:top w:val="single" w:sz="6" w:space="0" w:color="auto"/>
              <w:left w:val="single" w:sz="6" w:space="0" w:color="auto"/>
              <w:right w:val="single" w:sz="6" w:space="0" w:color="auto"/>
            </w:tcBorders>
          </w:tcPr>
          <w:p w:rsidR="00000000" w:rsidRDefault="00000000">
            <w:pPr>
              <w:widowControl w:val="0"/>
              <w:jc w:val="center"/>
              <w:rPr>
                <w:b/>
                <w:snapToGrid w:val="0"/>
                <w:lang w:val="es-ES_tradnl"/>
              </w:rPr>
            </w:pPr>
            <w:r>
              <w:rPr>
                <w:b/>
                <w:snapToGrid w:val="0"/>
                <w:lang w:val="es-ES_tradnl"/>
              </w:rPr>
              <w:t>1995</w:t>
            </w:r>
          </w:p>
        </w:tc>
        <w:tc>
          <w:tcPr>
            <w:tcW w:w="318" w:type="pct"/>
            <w:tcBorders>
              <w:top w:val="single" w:sz="6" w:space="0" w:color="auto"/>
              <w:left w:val="single" w:sz="6" w:space="0" w:color="auto"/>
              <w:right w:val="single" w:sz="6" w:space="0" w:color="auto"/>
            </w:tcBorders>
          </w:tcPr>
          <w:p w:rsidR="00000000" w:rsidRDefault="00000000">
            <w:pPr>
              <w:widowControl w:val="0"/>
              <w:jc w:val="center"/>
              <w:rPr>
                <w:b/>
                <w:snapToGrid w:val="0"/>
                <w:lang w:val="es-ES_tradnl"/>
              </w:rPr>
            </w:pPr>
            <w:r>
              <w:rPr>
                <w:b/>
                <w:snapToGrid w:val="0"/>
                <w:lang w:val="es-ES_tradnl"/>
              </w:rPr>
              <w:t>1997</w:t>
            </w:r>
          </w:p>
        </w:tc>
        <w:tc>
          <w:tcPr>
            <w:tcW w:w="353" w:type="pct"/>
            <w:tcBorders>
              <w:top w:val="single" w:sz="6" w:space="0" w:color="auto"/>
              <w:left w:val="single" w:sz="6" w:space="0" w:color="auto"/>
              <w:right w:val="single" w:sz="6" w:space="0" w:color="auto"/>
            </w:tcBorders>
          </w:tcPr>
          <w:p w:rsidR="00000000" w:rsidRDefault="00000000">
            <w:pPr>
              <w:widowControl w:val="0"/>
              <w:jc w:val="center"/>
              <w:rPr>
                <w:b/>
                <w:lang w:val="es-ES_tradnl"/>
              </w:rPr>
            </w:pPr>
            <w:r>
              <w:rPr>
                <w:b/>
                <w:lang w:val="es-ES_tradnl"/>
              </w:rPr>
              <w:t>1998</w:t>
            </w:r>
          </w:p>
        </w:tc>
        <w:tc>
          <w:tcPr>
            <w:tcW w:w="318" w:type="pct"/>
            <w:tcBorders>
              <w:top w:val="single" w:sz="6" w:space="0" w:color="auto"/>
              <w:left w:val="single" w:sz="6" w:space="0" w:color="auto"/>
              <w:right w:val="single" w:sz="6" w:space="0" w:color="auto"/>
            </w:tcBorders>
          </w:tcPr>
          <w:p w:rsidR="00000000" w:rsidRDefault="00000000">
            <w:pPr>
              <w:widowControl w:val="0"/>
              <w:jc w:val="center"/>
              <w:rPr>
                <w:b/>
                <w:snapToGrid w:val="0"/>
                <w:lang w:val="es-ES_tradnl"/>
              </w:rPr>
            </w:pPr>
            <w:r>
              <w:rPr>
                <w:b/>
                <w:snapToGrid w:val="0"/>
                <w:lang w:val="es-ES_tradnl"/>
              </w:rPr>
              <w:t>1999</w:t>
            </w:r>
          </w:p>
        </w:tc>
        <w:tc>
          <w:tcPr>
            <w:tcW w:w="353" w:type="pct"/>
            <w:tcBorders>
              <w:top w:val="single" w:sz="6" w:space="0" w:color="auto"/>
              <w:left w:val="single" w:sz="6" w:space="0" w:color="auto"/>
              <w:right w:val="single" w:sz="6" w:space="0" w:color="auto"/>
            </w:tcBorders>
          </w:tcPr>
          <w:p w:rsidR="00000000" w:rsidRDefault="00000000">
            <w:pPr>
              <w:widowControl w:val="0"/>
              <w:jc w:val="center"/>
              <w:rPr>
                <w:b/>
                <w:snapToGrid w:val="0"/>
                <w:lang w:val="es-ES_tradnl"/>
              </w:rPr>
            </w:pPr>
            <w:r>
              <w:rPr>
                <w:b/>
                <w:snapToGrid w:val="0"/>
                <w:lang w:val="es-ES_tradnl"/>
              </w:rPr>
              <w:t>2000</w:t>
            </w:r>
          </w:p>
        </w:tc>
        <w:tc>
          <w:tcPr>
            <w:tcW w:w="318" w:type="pct"/>
            <w:tcBorders>
              <w:top w:val="single" w:sz="6" w:space="0" w:color="auto"/>
              <w:left w:val="single" w:sz="6" w:space="0" w:color="auto"/>
              <w:right w:val="single" w:sz="6" w:space="0" w:color="auto"/>
            </w:tcBorders>
          </w:tcPr>
          <w:p w:rsidR="00000000" w:rsidRDefault="00000000">
            <w:pPr>
              <w:widowControl w:val="0"/>
              <w:jc w:val="center"/>
              <w:rPr>
                <w:b/>
                <w:snapToGrid w:val="0"/>
                <w:lang w:val="es-ES_tradnl"/>
              </w:rPr>
            </w:pPr>
            <w:r>
              <w:rPr>
                <w:b/>
                <w:snapToGrid w:val="0"/>
                <w:lang w:val="es-ES_tradnl"/>
              </w:rPr>
              <w:t>2001</w:t>
            </w:r>
          </w:p>
        </w:tc>
        <w:tc>
          <w:tcPr>
            <w:tcW w:w="316" w:type="pct"/>
            <w:tcBorders>
              <w:top w:val="single" w:sz="6" w:space="0" w:color="auto"/>
              <w:left w:val="single" w:sz="6" w:space="0" w:color="auto"/>
              <w:bottom w:val="single" w:sz="6" w:space="0" w:color="auto"/>
              <w:right w:val="single" w:sz="6" w:space="0" w:color="auto"/>
            </w:tcBorders>
          </w:tcPr>
          <w:p w:rsidR="00000000" w:rsidRDefault="00000000">
            <w:pPr>
              <w:widowControl w:val="0"/>
              <w:jc w:val="center"/>
              <w:rPr>
                <w:b/>
                <w:snapToGrid w:val="0"/>
                <w:lang w:val="es-ES_tradnl"/>
              </w:rPr>
            </w:pPr>
            <w:r>
              <w:rPr>
                <w:b/>
                <w:snapToGrid w:val="0"/>
                <w:lang w:val="es-ES_tradnl"/>
              </w:rPr>
              <w:t>2002</w:t>
            </w:r>
          </w:p>
        </w:tc>
      </w:tr>
      <w:tr w:rsidR="00000000">
        <w:tblPrEx>
          <w:tblCellMar>
            <w:top w:w="0" w:type="dxa"/>
            <w:bottom w:w="0" w:type="dxa"/>
          </w:tblCellMar>
        </w:tblPrEx>
        <w:trPr>
          <w:jc w:val="center"/>
        </w:trPr>
        <w:tc>
          <w:tcPr>
            <w:tcW w:w="1363" w:type="pct"/>
            <w:tcBorders>
              <w:top w:val="single" w:sz="6" w:space="0" w:color="auto"/>
              <w:left w:val="single" w:sz="6" w:space="0" w:color="auto"/>
              <w:bottom w:val="single" w:sz="6" w:space="0" w:color="auto"/>
              <w:right w:val="single" w:sz="2" w:space="0" w:color="000000"/>
            </w:tcBorders>
          </w:tcPr>
          <w:p w:rsidR="00000000" w:rsidRDefault="00000000">
            <w:pPr>
              <w:widowControl w:val="0"/>
              <w:rPr>
                <w:snapToGrid w:val="0"/>
              </w:rPr>
            </w:pPr>
            <w:r>
              <w:rPr>
                <w:snapToGrid w:val="0"/>
              </w:rPr>
              <w:t>Porcentaje de éxito MF</w:t>
            </w:r>
          </w:p>
        </w:tc>
        <w:tc>
          <w:tcPr>
            <w:tcW w:w="353" w:type="pct"/>
            <w:tcBorders>
              <w:top w:val="single" w:sz="6" w:space="0" w:color="auto"/>
              <w:left w:val="single" w:sz="6" w:space="0" w:color="auto"/>
              <w:bottom w:val="single" w:sz="6" w:space="0" w:color="auto"/>
              <w:right w:val="single" w:sz="6" w:space="0" w:color="auto"/>
            </w:tcBorders>
          </w:tcPr>
          <w:p w:rsidR="00000000" w:rsidRDefault="00000000">
            <w:pPr>
              <w:widowControl w:val="0"/>
              <w:jc w:val="right"/>
              <w:rPr>
                <w:snapToGrid w:val="0"/>
              </w:rPr>
            </w:pPr>
            <w:r>
              <w:rPr>
                <w:snapToGrid w:val="0"/>
              </w:rPr>
              <w:t>39,33</w:t>
            </w:r>
          </w:p>
        </w:tc>
        <w:tc>
          <w:tcPr>
            <w:tcW w:w="318" w:type="pct"/>
            <w:tcBorders>
              <w:top w:val="single" w:sz="6" w:space="0" w:color="auto"/>
              <w:left w:val="single" w:sz="6" w:space="0" w:color="auto"/>
              <w:bottom w:val="single" w:sz="6" w:space="0" w:color="auto"/>
              <w:right w:val="single" w:sz="6" w:space="0" w:color="auto"/>
            </w:tcBorders>
          </w:tcPr>
          <w:p w:rsidR="00000000" w:rsidRDefault="00000000">
            <w:pPr>
              <w:widowControl w:val="0"/>
              <w:jc w:val="right"/>
              <w:rPr>
                <w:snapToGrid w:val="0"/>
              </w:rPr>
            </w:pPr>
            <w:r>
              <w:rPr>
                <w:snapToGrid w:val="0"/>
              </w:rPr>
              <w:t>27,0</w:t>
            </w:r>
          </w:p>
        </w:tc>
        <w:tc>
          <w:tcPr>
            <w:tcW w:w="318" w:type="pct"/>
            <w:tcBorders>
              <w:top w:val="single" w:sz="6" w:space="0" w:color="auto"/>
              <w:left w:val="single" w:sz="6" w:space="0" w:color="auto"/>
              <w:bottom w:val="single" w:sz="6" w:space="0" w:color="auto"/>
              <w:right w:val="single" w:sz="6" w:space="0" w:color="auto"/>
            </w:tcBorders>
          </w:tcPr>
          <w:p w:rsidR="00000000" w:rsidRDefault="00000000">
            <w:pPr>
              <w:widowControl w:val="0"/>
              <w:jc w:val="right"/>
              <w:rPr>
                <w:snapToGrid w:val="0"/>
              </w:rPr>
            </w:pPr>
            <w:r>
              <w:rPr>
                <w:snapToGrid w:val="0"/>
              </w:rPr>
              <w:t>30,1</w:t>
            </w:r>
          </w:p>
        </w:tc>
        <w:tc>
          <w:tcPr>
            <w:tcW w:w="318" w:type="pct"/>
            <w:tcBorders>
              <w:top w:val="single" w:sz="6" w:space="0" w:color="auto"/>
              <w:left w:val="single" w:sz="6" w:space="0" w:color="auto"/>
              <w:bottom w:val="single" w:sz="6" w:space="0" w:color="auto"/>
              <w:right w:val="single" w:sz="6" w:space="0" w:color="auto"/>
            </w:tcBorders>
          </w:tcPr>
          <w:p w:rsidR="00000000" w:rsidRDefault="00000000">
            <w:pPr>
              <w:widowControl w:val="0"/>
              <w:jc w:val="right"/>
              <w:rPr>
                <w:snapToGrid w:val="0"/>
              </w:rPr>
            </w:pPr>
            <w:r>
              <w:rPr>
                <w:snapToGrid w:val="0"/>
              </w:rPr>
              <w:t>21,9</w:t>
            </w:r>
          </w:p>
        </w:tc>
        <w:tc>
          <w:tcPr>
            <w:tcW w:w="353" w:type="pct"/>
            <w:tcBorders>
              <w:top w:val="single" w:sz="6" w:space="0" w:color="auto"/>
              <w:left w:val="single" w:sz="6" w:space="0" w:color="auto"/>
              <w:bottom w:val="single" w:sz="6" w:space="0" w:color="auto"/>
              <w:right w:val="single" w:sz="6" w:space="0" w:color="auto"/>
            </w:tcBorders>
          </w:tcPr>
          <w:p w:rsidR="00000000" w:rsidRDefault="00000000">
            <w:pPr>
              <w:widowControl w:val="0"/>
              <w:jc w:val="right"/>
              <w:rPr>
                <w:snapToGrid w:val="0"/>
              </w:rPr>
            </w:pPr>
            <w:r>
              <w:rPr>
                <w:snapToGrid w:val="0"/>
              </w:rPr>
              <w:t>40,25</w:t>
            </w:r>
          </w:p>
        </w:tc>
        <w:tc>
          <w:tcPr>
            <w:tcW w:w="318" w:type="pct"/>
            <w:tcBorders>
              <w:top w:val="single" w:sz="6" w:space="0" w:color="auto"/>
              <w:left w:val="single" w:sz="6" w:space="0" w:color="auto"/>
              <w:bottom w:val="single" w:sz="6" w:space="0" w:color="auto"/>
              <w:right w:val="single" w:sz="6" w:space="0" w:color="auto"/>
            </w:tcBorders>
          </w:tcPr>
          <w:p w:rsidR="00000000" w:rsidRDefault="00000000">
            <w:pPr>
              <w:widowControl w:val="0"/>
              <w:jc w:val="right"/>
              <w:rPr>
                <w:snapToGrid w:val="0"/>
              </w:rPr>
            </w:pPr>
            <w:r>
              <w:rPr>
                <w:snapToGrid w:val="0"/>
              </w:rPr>
              <w:t>41,6</w:t>
            </w:r>
          </w:p>
        </w:tc>
        <w:tc>
          <w:tcPr>
            <w:tcW w:w="353" w:type="pct"/>
            <w:tcBorders>
              <w:top w:val="single" w:sz="6" w:space="0" w:color="auto"/>
              <w:left w:val="single" w:sz="6" w:space="0" w:color="auto"/>
              <w:bottom w:val="single" w:sz="6" w:space="0" w:color="auto"/>
              <w:right w:val="single" w:sz="6" w:space="0" w:color="auto"/>
            </w:tcBorders>
          </w:tcPr>
          <w:p w:rsidR="00000000" w:rsidRDefault="00000000">
            <w:pPr>
              <w:widowControl w:val="0"/>
              <w:jc w:val="right"/>
              <w:rPr>
                <w:snapToGrid w:val="0"/>
              </w:rPr>
            </w:pPr>
            <w:r>
              <w:rPr>
                <w:snapToGrid w:val="0"/>
              </w:rPr>
              <w:t>44,02</w:t>
            </w:r>
          </w:p>
        </w:tc>
        <w:tc>
          <w:tcPr>
            <w:tcW w:w="318" w:type="pct"/>
            <w:tcBorders>
              <w:top w:val="single" w:sz="6" w:space="0" w:color="auto"/>
              <w:left w:val="single" w:sz="6" w:space="0" w:color="auto"/>
              <w:bottom w:val="single" w:sz="6" w:space="0" w:color="auto"/>
              <w:right w:val="single" w:sz="6" w:space="0" w:color="auto"/>
            </w:tcBorders>
          </w:tcPr>
          <w:p w:rsidR="00000000" w:rsidRDefault="00000000">
            <w:pPr>
              <w:widowControl w:val="0"/>
              <w:jc w:val="right"/>
              <w:rPr>
                <w:snapToGrid w:val="0"/>
              </w:rPr>
            </w:pPr>
            <w:r>
              <w:rPr>
                <w:snapToGrid w:val="0"/>
              </w:rPr>
              <w:t>47,6</w:t>
            </w:r>
          </w:p>
        </w:tc>
        <w:tc>
          <w:tcPr>
            <w:tcW w:w="353" w:type="pct"/>
            <w:tcBorders>
              <w:top w:val="single" w:sz="6" w:space="0" w:color="auto"/>
              <w:left w:val="single" w:sz="6" w:space="0" w:color="auto"/>
              <w:bottom w:val="single" w:sz="6" w:space="0" w:color="auto"/>
              <w:right w:val="single" w:sz="6" w:space="0" w:color="auto"/>
            </w:tcBorders>
          </w:tcPr>
          <w:p w:rsidR="00000000" w:rsidRDefault="00000000">
            <w:pPr>
              <w:widowControl w:val="0"/>
              <w:jc w:val="right"/>
              <w:rPr>
                <w:snapToGrid w:val="0"/>
              </w:rPr>
            </w:pPr>
            <w:r>
              <w:rPr>
                <w:snapToGrid w:val="0"/>
              </w:rPr>
              <w:t>47,59</w:t>
            </w:r>
          </w:p>
        </w:tc>
        <w:tc>
          <w:tcPr>
            <w:tcW w:w="318" w:type="pct"/>
            <w:tcBorders>
              <w:top w:val="single" w:sz="6" w:space="0" w:color="auto"/>
              <w:left w:val="single" w:sz="6" w:space="0" w:color="auto"/>
              <w:bottom w:val="single" w:sz="6" w:space="0" w:color="auto"/>
              <w:right w:val="single" w:sz="6" w:space="0" w:color="auto"/>
            </w:tcBorders>
          </w:tcPr>
          <w:p w:rsidR="00000000" w:rsidRDefault="00000000">
            <w:pPr>
              <w:widowControl w:val="0"/>
              <w:jc w:val="right"/>
              <w:rPr>
                <w:snapToGrid w:val="0"/>
              </w:rPr>
            </w:pPr>
            <w:r>
              <w:rPr>
                <w:snapToGrid w:val="0"/>
              </w:rPr>
              <w:t>50,4</w:t>
            </w:r>
          </w:p>
        </w:tc>
        <w:tc>
          <w:tcPr>
            <w:tcW w:w="316" w:type="pct"/>
            <w:tcBorders>
              <w:top w:val="single" w:sz="6" w:space="0" w:color="auto"/>
              <w:left w:val="single" w:sz="6" w:space="0" w:color="auto"/>
              <w:bottom w:val="single" w:sz="6" w:space="0" w:color="auto"/>
              <w:right w:val="single" w:sz="6" w:space="0" w:color="auto"/>
            </w:tcBorders>
          </w:tcPr>
          <w:p w:rsidR="00000000" w:rsidRDefault="00000000">
            <w:pPr>
              <w:widowControl w:val="0"/>
              <w:jc w:val="right"/>
              <w:rPr>
                <w:snapToGrid w:val="0"/>
              </w:rPr>
            </w:pPr>
            <w:r>
              <w:rPr>
                <w:snapToGrid w:val="0"/>
              </w:rPr>
              <w:t>45,6</w:t>
            </w:r>
          </w:p>
        </w:tc>
      </w:tr>
    </w:tbl>
    <w:p w:rsidR="00000000" w:rsidRDefault="00000000">
      <w:pPr>
        <w:tabs>
          <w:tab w:val="left" w:pos="480"/>
        </w:tabs>
        <w:spacing w:before="240"/>
      </w:pPr>
      <w:r>
        <w:rPr>
          <w:i/>
          <w:iCs/>
        </w:rPr>
        <w:t xml:space="preserve">Fuente:  </w:t>
      </w:r>
      <w:r>
        <w:t xml:space="preserve">Estadísticas de la </w:t>
      </w:r>
      <w:proofErr w:type="spellStart"/>
      <w:r>
        <w:t>DPRE</w:t>
      </w:r>
      <w:proofErr w:type="spellEnd"/>
      <w:r>
        <w:t>, 2004.</w:t>
      </w:r>
    </w:p>
    <w:p w:rsidR="00000000" w:rsidRDefault="00000000">
      <w:pPr>
        <w:spacing w:before="400" w:after="220"/>
        <w:jc w:val="center"/>
        <w:rPr>
          <w:b/>
          <w:bCs/>
        </w:rPr>
      </w:pPr>
      <w:r>
        <w:rPr>
          <w:b/>
          <w:bCs/>
        </w:rPr>
        <w:t>Evolución de los resultados escolares obtenidos en el certificado</w:t>
      </w:r>
      <w:r>
        <w:rPr>
          <w:b/>
          <w:bCs/>
        </w:rPr>
        <w:br/>
        <w:t>de enseñanza primaria, por regiones</w:t>
      </w:r>
    </w:p>
    <w:tbl>
      <w:tblPr>
        <w:tblW w:w="0" w:type="auto"/>
        <w:jc w:val="center"/>
        <w:tblInd w:w="-809" w:type="dxa"/>
        <w:tblLayout w:type="fixed"/>
        <w:tblCellMar>
          <w:left w:w="30" w:type="dxa"/>
          <w:right w:w="30" w:type="dxa"/>
        </w:tblCellMar>
        <w:tblLook w:val="0000" w:firstRow="0" w:lastRow="0" w:firstColumn="0" w:lastColumn="0" w:noHBand="0" w:noVBand="0"/>
      </w:tblPr>
      <w:tblGrid>
        <w:gridCol w:w="1727"/>
        <w:gridCol w:w="1275"/>
        <w:gridCol w:w="1275"/>
        <w:gridCol w:w="1275"/>
        <w:gridCol w:w="1608"/>
      </w:tblGrid>
      <w:tr w:rsidR="00000000">
        <w:tblPrEx>
          <w:tblCellMar>
            <w:top w:w="0" w:type="dxa"/>
            <w:bottom w:w="0" w:type="dxa"/>
          </w:tblCellMar>
        </w:tblPrEx>
        <w:trPr>
          <w:cantSplit/>
          <w:tblHeader/>
          <w:jc w:val="center"/>
        </w:trPr>
        <w:tc>
          <w:tcPr>
            <w:tcW w:w="1727" w:type="dxa"/>
            <w:vMerge w:val="restart"/>
            <w:tcBorders>
              <w:top w:val="single" w:sz="6" w:space="0" w:color="auto"/>
              <w:left w:val="single" w:sz="6" w:space="0" w:color="auto"/>
              <w:right w:val="single" w:sz="6" w:space="0" w:color="auto"/>
            </w:tcBorders>
            <w:vAlign w:val="center"/>
          </w:tcPr>
          <w:p w:rsidR="00000000" w:rsidRDefault="00000000">
            <w:pPr>
              <w:jc w:val="center"/>
              <w:rPr>
                <w:b/>
                <w:szCs w:val="32"/>
              </w:rPr>
            </w:pPr>
            <w:r>
              <w:rPr>
                <w:b/>
                <w:bCs/>
              </w:rPr>
              <w:br w:type="page"/>
            </w:r>
            <w:r>
              <w:rPr>
                <w:b/>
                <w:szCs w:val="32"/>
              </w:rPr>
              <w:t>Región</w:t>
            </w:r>
          </w:p>
        </w:tc>
        <w:tc>
          <w:tcPr>
            <w:tcW w:w="5433" w:type="dxa"/>
            <w:gridSpan w:val="4"/>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szCs w:val="32"/>
              </w:rPr>
            </w:pPr>
            <w:r>
              <w:rPr>
                <w:b/>
                <w:szCs w:val="32"/>
              </w:rPr>
              <w:t>Año escolar</w:t>
            </w:r>
          </w:p>
        </w:tc>
      </w:tr>
      <w:tr w:rsidR="00000000">
        <w:tblPrEx>
          <w:tblCellMar>
            <w:top w:w="0" w:type="dxa"/>
            <w:bottom w:w="0" w:type="dxa"/>
          </w:tblCellMar>
        </w:tblPrEx>
        <w:trPr>
          <w:cantSplit/>
          <w:tblHeader/>
          <w:jc w:val="center"/>
        </w:trPr>
        <w:tc>
          <w:tcPr>
            <w:tcW w:w="1727" w:type="dxa"/>
            <w:vMerge/>
            <w:tcBorders>
              <w:left w:val="single" w:sz="6" w:space="0" w:color="auto"/>
              <w:right w:val="single" w:sz="6" w:space="0" w:color="auto"/>
            </w:tcBorders>
            <w:vAlign w:val="center"/>
          </w:tcPr>
          <w:p w:rsidR="00000000" w:rsidRDefault="00000000">
            <w:pPr>
              <w:jc w:val="center"/>
              <w:rPr>
                <w:b/>
                <w:szCs w:val="32"/>
              </w:rPr>
            </w:pPr>
          </w:p>
        </w:tc>
        <w:tc>
          <w:tcPr>
            <w:tcW w:w="1275"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szCs w:val="32"/>
              </w:rPr>
            </w:pPr>
            <w:r>
              <w:rPr>
                <w:b/>
                <w:szCs w:val="32"/>
              </w:rPr>
              <w:t>1990/91</w:t>
            </w:r>
          </w:p>
        </w:tc>
        <w:tc>
          <w:tcPr>
            <w:tcW w:w="1275"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szCs w:val="32"/>
              </w:rPr>
            </w:pPr>
            <w:r>
              <w:rPr>
                <w:b/>
                <w:szCs w:val="32"/>
              </w:rPr>
              <w:t>1996/97</w:t>
            </w:r>
          </w:p>
        </w:tc>
        <w:tc>
          <w:tcPr>
            <w:tcW w:w="1275"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szCs w:val="32"/>
              </w:rPr>
            </w:pPr>
            <w:r>
              <w:rPr>
                <w:b/>
                <w:szCs w:val="32"/>
              </w:rPr>
              <w:t>2000/01</w:t>
            </w:r>
          </w:p>
        </w:tc>
        <w:tc>
          <w:tcPr>
            <w:tcW w:w="160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szCs w:val="32"/>
              </w:rPr>
            </w:pPr>
            <w:r>
              <w:rPr>
                <w:b/>
                <w:szCs w:val="32"/>
              </w:rPr>
              <w:t>Diferencias (1996-2001)</w:t>
            </w:r>
          </w:p>
        </w:tc>
      </w:tr>
      <w:tr w:rsidR="00000000">
        <w:tblPrEx>
          <w:tblCellMar>
            <w:top w:w="0" w:type="dxa"/>
            <w:bottom w:w="0" w:type="dxa"/>
          </w:tblCellMar>
        </w:tblPrEx>
        <w:trPr>
          <w:jc w:val="center"/>
        </w:trPr>
        <w:tc>
          <w:tcPr>
            <w:tcW w:w="1727" w:type="dxa"/>
            <w:tcBorders>
              <w:top w:val="single" w:sz="6" w:space="0" w:color="auto"/>
              <w:left w:val="single" w:sz="6" w:space="0" w:color="auto"/>
              <w:bottom w:val="single" w:sz="6" w:space="0" w:color="auto"/>
              <w:right w:val="single" w:sz="6" w:space="0" w:color="auto"/>
            </w:tcBorders>
          </w:tcPr>
          <w:p w:rsidR="00000000" w:rsidRDefault="00000000">
            <w:pPr>
              <w:rPr>
                <w:szCs w:val="32"/>
                <w:lang w:val="nl-NL"/>
              </w:rPr>
            </w:pPr>
            <w:r>
              <w:rPr>
                <w:szCs w:val="32"/>
                <w:lang w:val="nl-NL"/>
              </w:rPr>
              <w:t>Dakar</w:t>
            </w:r>
          </w:p>
        </w:tc>
        <w:tc>
          <w:tcPr>
            <w:tcW w:w="1275" w:type="dxa"/>
            <w:tcBorders>
              <w:top w:val="single" w:sz="6" w:space="0" w:color="auto"/>
              <w:left w:val="single" w:sz="6" w:space="0" w:color="auto"/>
              <w:bottom w:val="single" w:sz="6" w:space="0" w:color="auto"/>
              <w:right w:val="nil"/>
            </w:tcBorders>
          </w:tcPr>
          <w:p w:rsidR="00000000" w:rsidRDefault="00000000">
            <w:pPr>
              <w:jc w:val="center"/>
              <w:rPr>
                <w:szCs w:val="32"/>
                <w:lang w:val="nl-NL"/>
              </w:rPr>
            </w:pPr>
            <w:r>
              <w:rPr>
                <w:szCs w:val="32"/>
                <w:lang w:val="nl-NL"/>
              </w:rPr>
              <w:t>37,9</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tabs>
                <w:tab w:val="decimal" w:pos="791"/>
              </w:tabs>
              <w:rPr>
                <w:szCs w:val="32"/>
                <w:lang w:val="nl-NL"/>
              </w:rPr>
            </w:pPr>
            <w:r>
              <w:rPr>
                <w:szCs w:val="32"/>
                <w:lang w:val="nl-NL"/>
              </w:rPr>
              <w:t>…</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center"/>
              <w:rPr>
                <w:szCs w:val="32"/>
                <w:lang w:val="nl-NL"/>
              </w:rPr>
            </w:pPr>
            <w:r>
              <w:rPr>
                <w:szCs w:val="32"/>
                <w:lang w:val="nl-NL"/>
              </w:rPr>
              <w:t>53,2</w:t>
            </w:r>
          </w:p>
        </w:tc>
        <w:tc>
          <w:tcPr>
            <w:tcW w:w="1608" w:type="dxa"/>
            <w:tcBorders>
              <w:top w:val="single" w:sz="6" w:space="0" w:color="auto"/>
              <w:left w:val="single" w:sz="6" w:space="0" w:color="auto"/>
              <w:bottom w:val="single" w:sz="6" w:space="0" w:color="auto"/>
              <w:right w:val="single" w:sz="6" w:space="0" w:color="auto"/>
            </w:tcBorders>
          </w:tcPr>
          <w:p w:rsidR="00000000" w:rsidRDefault="00000000">
            <w:pPr>
              <w:tabs>
                <w:tab w:val="decimal" w:pos="537"/>
              </w:tabs>
              <w:rPr>
                <w:szCs w:val="32"/>
                <w:lang w:val="nl-NL"/>
              </w:rPr>
            </w:pPr>
          </w:p>
        </w:tc>
      </w:tr>
      <w:tr w:rsidR="00000000">
        <w:tblPrEx>
          <w:tblCellMar>
            <w:top w:w="0" w:type="dxa"/>
            <w:bottom w:w="0" w:type="dxa"/>
          </w:tblCellMar>
        </w:tblPrEx>
        <w:trPr>
          <w:jc w:val="center"/>
        </w:trPr>
        <w:tc>
          <w:tcPr>
            <w:tcW w:w="1727" w:type="dxa"/>
            <w:tcBorders>
              <w:top w:val="single" w:sz="6" w:space="0" w:color="auto"/>
              <w:left w:val="single" w:sz="6" w:space="0" w:color="auto"/>
              <w:bottom w:val="single" w:sz="6" w:space="0" w:color="auto"/>
              <w:right w:val="single" w:sz="6" w:space="0" w:color="auto"/>
            </w:tcBorders>
          </w:tcPr>
          <w:p w:rsidR="00000000" w:rsidRDefault="00000000">
            <w:pPr>
              <w:rPr>
                <w:szCs w:val="32"/>
                <w:lang w:val="nl-NL"/>
              </w:rPr>
            </w:pPr>
            <w:r>
              <w:rPr>
                <w:szCs w:val="32"/>
                <w:lang w:val="nl-NL"/>
              </w:rPr>
              <w:t>Ziguinchor</w:t>
            </w:r>
          </w:p>
        </w:tc>
        <w:tc>
          <w:tcPr>
            <w:tcW w:w="1275" w:type="dxa"/>
            <w:tcBorders>
              <w:top w:val="single" w:sz="6" w:space="0" w:color="auto"/>
              <w:left w:val="single" w:sz="6" w:space="0" w:color="auto"/>
              <w:bottom w:val="single" w:sz="6" w:space="0" w:color="auto"/>
              <w:right w:val="nil"/>
            </w:tcBorders>
          </w:tcPr>
          <w:p w:rsidR="00000000" w:rsidRDefault="00000000">
            <w:pPr>
              <w:jc w:val="center"/>
              <w:rPr>
                <w:szCs w:val="32"/>
                <w:lang w:val="nl-NL"/>
              </w:rPr>
            </w:pPr>
            <w:r>
              <w:rPr>
                <w:szCs w:val="32"/>
                <w:lang w:val="nl-NL"/>
              </w:rPr>
              <w:t>40,3</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tabs>
                <w:tab w:val="decimal" w:pos="567"/>
              </w:tabs>
              <w:rPr>
                <w:szCs w:val="32"/>
                <w:lang w:val="nl-NL"/>
              </w:rPr>
            </w:pPr>
            <w:r>
              <w:rPr>
                <w:szCs w:val="32"/>
                <w:lang w:val="nl-NL"/>
              </w:rPr>
              <w:t>46,08</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center"/>
              <w:rPr>
                <w:szCs w:val="32"/>
                <w:lang w:val="nl-NL"/>
              </w:rPr>
            </w:pPr>
            <w:r>
              <w:rPr>
                <w:szCs w:val="32"/>
                <w:lang w:val="nl-NL"/>
              </w:rPr>
              <w:t>50,4</w:t>
            </w:r>
          </w:p>
        </w:tc>
        <w:tc>
          <w:tcPr>
            <w:tcW w:w="1608" w:type="dxa"/>
            <w:tcBorders>
              <w:top w:val="single" w:sz="6" w:space="0" w:color="auto"/>
              <w:left w:val="single" w:sz="6" w:space="0" w:color="auto"/>
              <w:bottom w:val="single" w:sz="6" w:space="0" w:color="auto"/>
              <w:right w:val="single" w:sz="6" w:space="0" w:color="auto"/>
            </w:tcBorders>
          </w:tcPr>
          <w:p w:rsidR="00000000" w:rsidRDefault="00000000">
            <w:pPr>
              <w:tabs>
                <w:tab w:val="decimal" w:pos="761"/>
              </w:tabs>
              <w:rPr>
                <w:szCs w:val="32"/>
                <w:lang w:val="x-none"/>
              </w:rPr>
            </w:pPr>
            <w:r>
              <w:rPr>
                <w:szCs w:val="32"/>
                <w:lang w:val="nl-NL"/>
              </w:rPr>
              <w:t>4,</w:t>
            </w:r>
            <w:r>
              <w:rPr>
                <w:bCs/>
                <w:szCs w:val="32"/>
                <w:lang w:val="en-GB"/>
              </w:rPr>
              <w:t>32</w:t>
            </w:r>
          </w:p>
        </w:tc>
      </w:tr>
      <w:tr w:rsidR="00000000">
        <w:tblPrEx>
          <w:tblCellMar>
            <w:top w:w="0" w:type="dxa"/>
            <w:bottom w:w="0" w:type="dxa"/>
          </w:tblCellMar>
        </w:tblPrEx>
        <w:trPr>
          <w:jc w:val="center"/>
        </w:trPr>
        <w:tc>
          <w:tcPr>
            <w:tcW w:w="1727" w:type="dxa"/>
            <w:tcBorders>
              <w:top w:val="single" w:sz="6" w:space="0" w:color="auto"/>
              <w:left w:val="single" w:sz="6" w:space="0" w:color="auto"/>
              <w:bottom w:val="single" w:sz="6" w:space="0" w:color="auto"/>
              <w:right w:val="single" w:sz="6" w:space="0" w:color="auto"/>
            </w:tcBorders>
          </w:tcPr>
          <w:p w:rsidR="00000000" w:rsidRDefault="00000000">
            <w:pPr>
              <w:rPr>
                <w:szCs w:val="32"/>
                <w:lang w:val="nl-NL"/>
              </w:rPr>
            </w:pPr>
            <w:r>
              <w:rPr>
                <w:szCs w:val="32"/>
                <w:lang w:val="nl-NL"/>
              </w:rPr>
              <w:t>Diourbel</w:t>
            </w:r>
          </w:p>
        </w:tc>
        <w:tc>
          <w:tcPr>
            <w:tcW w:w="1275" w:type="dxa"/>
            <w:tcBorders>
              <w:top w:val="single" w:sz="6" w:space="0" w:color="auto"/>
              <w:left w:val="single" w:sz="6" w:space="0" w:color="auto"/>
              <w:bottom w:val="single" w:sz="6" w:space="0" w:color="auto"/>
              <w:right w:val="nil"/>
            </w:tcBorders>
          </w:tcPr>
          <w:p w:rsidR="00000000" w:rsidRDefault="00000000">
            <w:pPr>
              <w:jc w:val="center"/>
              <w:rPr>
                <w:szCs w:val="32"/>
                <w:lang w:val="en-GB"/>
              </w:rPr>
            </w:pPr>
            <w:r>
              <w:rPr>
                <w:szCs w:val="32"/>
                <w:lang w:val="en-GB"/>
              </w:rPr>
              <w:t>27,7</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tabs>
                <w:tab w:val="decimal" w:pos="567"/>
              </w:tabs>
              <w:rPr>
                <w:szCs w:val="32"/>
                <w:lang w:val="en-GB"/>
              </w:rPr>
            </w:pPr>
            <w:r>
              <w:rPr>
                <w:szCs w:val="32"/>
                <w:lang w:val="en-GB"/>
              </w:rPr>
              <w:t>43,29</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center"/>
              <w:rPr>
                <w:bCs/>
                <w:szCs w:val="32"/>
                <w:lang w:val="en-GB"/>
              </w:rPr>
            </w:pPr>
            <w:r>
              <w:rPr>
                <w:bCs/>
                <w:szCs w:val="32"/>
                <w:lang w:val="en-GB"/>
              </w:rPr>
              <w:t>49,4</w:t>
            </w:r>
          </w:p>
        </w:tc>
        <w:tc>
          <w:tcPr>
            <w:tcW w:w="1608" w:type="dxa"/>
            <w:tcBorders>
              <w:top w:val="single" w:sz="6" w:space="0" w:color="auto"/>
              <w:left w:val="single" w:sz="6" w:space="0" w:color="auto"/>
              <w:bottom w:val="single" w:sz="6" w:space="0" w:color="auto"/>
              <w:right w:val="single" w:sz="6" w:space="0" w:color="auto"/>
            </w:tcBorders>
          </w:tcPr>
          <w:p w:rsidR="00000000" w:rsidRDefault="00000000">
            <w:pPr>
              <w:tabs>
                <w:tab w:val="decimal" w:pos="761"/>
              </w:tabs>
              <w:rPr>
                <w:bCs/>
                <w:szCs w:val="32"/>
                <w:lang w:val="x-none"/>
              </w:rPr>
            </w:pPr>
            <w:r>
              <w:rPr>
                <w:bCs/>
                <w:szCs w:val="32"/>
                <w:lang w:val="en-GB"/>
              </w:rPr>
              <w:t>6,11</w:t>
            </w:r>
          </w:p>
        </w:tc>
      </w:tr>
      <w:tr w:rsidR="00000000">
        <w:tblPrEx>
          <w:tblCellMar>
            <w:top w:w="0" w:type="dxa"/>
            <w:bottom w:w="0" w:type="dxa"/>
          </w:tblCellMar>
        </w:tblPrEx>
        <w:trPr>
          <w:jc w:val="center"/>
        </w:trPr>
        <w:tc>
          <w:tcPr>
            <w:tcW w:w="1727" w:type="dxa"/>
            <w:tcBorders>
              <w:top w:val="single" w:sz="6" w:space="0" w:color="auto"/>
              <w:left w:val="single" w:sz="6" w:space="0" w:color="auto"/>
              <w:bottom w:val="single" w:sz="6" w:space="0" w:color="auto"/>
              <w:right w:val="single" w:sz="6" w:space="0" w:color="auto"/>
            </w:tcBorders>
          </w:tcPr>
          <w:p w:rsidR="00000000" w:rsidRDefault="00000000">
            <w:pPr>
              <w:rPr>
                <w:szCs w:val="32"/>
                <w:lang w:val="en-GB"/>
              </w:rPr>
            </w:pPr>
            <w:r>
              <w:rPr>
                <w:szCs w:val="32"/>
                <w:lang w:val="en-GB"/>
              </w:rPr>
              <w:t>St Louis</w:t>
            </w:r>
          </w:p>
        </w:tc>
        <w:tc>
          <w:tcPr>
            <w:tcW w:w="1275" w:type="dxa"/>
            <w:tcBorders>
              <w:top w:val="single" w:sz="6" w:space="0" w:color="auto"/>
              <w:left w:val="single" w:sz="6" w:space="0" w:color="auto"/>
              <w:bottom w:val="single" w:sz="6" w:space="0" w:color="auto"/>
              <w:right w:val="nil"/>
            </w:tcBorders>
          </w:tcPr>
          <w:p w:rsidR="00000000" w:rsidRDefault="00000000">
            <w:pPr>
              <w:jc w:val="center"/>
              <w:rPr>
                <w:szCs w:val="32"/>
                <w:lang w:val="en-GB"/>
              </w:rPr>
            </w:pPr>
            <w:r>
              <w:rPr>
                <w:szCs w:val="32"/>
                <w:lang w:val="en-GB"/>
              </w:rPr>
              <w:t>46,6</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tabs>
                <w:tab w:val="decimal" w:pos="567"/>
              </w:tabs>
              <w:rPr>
                <w:szCs w:val="32"/>
                <w:lang w:val="en-GB"/>
              </w:rPr>
            </w:pPr>
            <w:r>
              <w:rPr>
                <w:szCs w:val="32"/>
                <w:lang w:val="en-GB"/>
              </w:rPr>
              <w:t>45,99</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center"/>
              <w:rPr>
                <w:bCs/>
                <w:szCs w:val="32"/>
                <w:lang w:val="en-GB"/>
              </w:rPr>
            </w:pPr>
            <w:r>
              <w:rPr>
                <w:szCs w:val="32"/>
                <w:lang w:val="nl-NL"/>
              </w:rPr>
              <w:t>56</w:t>
            </w:r>
            <w:r>
              <w:rPr>
                <w:bCs/>
                <w:szCs w:val="32"/>
                <w:lang w:val="en-GB"/>
              </w:rPr>
              <w:t>,4</w:t>
            </w:r>
          </w:p>
        </w:tc>
        <w:tc>
          <w:tcPr>
            <w:tcW w:w="1608" w:type="dxa"/>
            <w:tcBorders>
              <w:top w:val="single" w:sz="6" w:space="0" w:color="auto"/>
              <w:left w:val="single" w:sz="6" w:space="0" w:color="auto"/>
              <w:bottom w:val="single" w:sz="6" w:space="0" w:color="auto"/>
              <w:right w:val="single" w:sz="6" w:space="0" w:color="auto"/>
            </w:tcBorders>
          </w:tcPr>
          <w:p w:rsidR="00000000" w:rsidRDefault="00000000">
            <w:pPr>
              <w:tabs>
                <w:tab w:val="decimal" w:pos="761"/>
              </w:tabs>
              <w:rPr>
                <w:bCs/>
                <w:szCs w:val="32"/>
                <w:lang w:val="x-none"/>
              </w:rPr>
            </w:pPr>
            <w:r>
              <w:rPr>
                <w:bCs/>
                <w:szCs w:val="32"/>
                <w:lang w:val="en-GB"/>
              </w:rPr>
              <w:t>10,41</w:t>
            </w:r>
          </w:p>
        </w:tc>
      </w:tr>
      <w:tr w:rsidR="00000000">
        <w:tblPrEx>
          <w:tblCellMar>
            <w:top w:w="0" w:type="dxa"/>
            <w:bottom w:w="0" w:type="dxa"/>
          </w:tblCellMar>
        </w:tblPrEx>
        <w:trPr>
          <w:jc w:val="center"/>
        </w:trPr>
        <w:tc>
          <w:tcPr>
            <w:tcW w:w="1727" w:type="dxa"/>
            <w:tcBorders>
              <w:top w:val="single" w:sz="6" w:space="0" w:color="auto"/>
              <w:left w:val="single" w:sz="6" w:space="0" w:color="auto"/>
              <w:bottom w:val="single" w:sz="6" w:space="0" w:color="auto"/>
              <w:right w:val="single" w:sz="6" w:space="0" w:color="auto"/>
            </w:tcBorders>
          </w:tcPr>
          <w:p w:rsidR="00000000" w:rsidRDefault="00000000">
            <w:pPr>
              <w:rPr>
                <w:szCs w:val="32"/>
                <w:lang w:val="en-GB"/>
              </w:rPr>
            </w:pPr>
            <w:proofErr w:type="spellStart"/>
            <w:r>
              <w:rPr>
                <w:szCs w:val="32"/>
                <w:lang w:val="en-GB"/>
              </w:rPr>
              <w:t>Tamba</w:t>
            </w:r>
            <w:proofErr w:type="spellEnd"/>
          </w:p>
        </w:tc>
        <w:tc>
          <w:tcPr>
            <w:tcW w:w="1275" w:type="dxa"/>
            <w:tcBorders>
              <w:top w:val="single" w:sz="6" w:space="0" w:color="auto"/>
              <w:left w:val="single" w:sz="6" w:space="0" w:color="auto"/>
              <w:bottom w:val="single" w:sz="6" w:space="0" w:color="auto"/>
              <w:right w:val="nil"/>
            </w:tcBorders>
          </w:tcPr>
          <w:p w:rsidR="00000000" w:rsidRDefault="00000000">
            <w:pPr>
              <w:jc w:val="center"/>
              <w:rPr>
                <w:szCs w:val="32"/>
                <w:lang w:val="en-GB"/>
              </w:rPr>
            </w:pPr>
            <w:r>
              <w:rPr>
                <w:szCs w:val="32"/>
                <w:lang w:val="en-GB"/>
              </w:rPr>
              <w:t>41,2</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tabs>
                <w:tab w:val="decimal" w:pos="567"/>
              </w:tabs>
              <w:rPr>
                <w:szCs w:val="32"/>
                <w:lang w:val="en-GB"/>
              </w:rPr>
            </w:pPr>
            <w:r>
              <w:rPr>
                <w:szCs w:val="32"/>
                <w:lang w:val="en-GB"/>
              </w:rPr>
              <w:t>40,52</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center"/>
              <w:rPr>
                <w:szCs w:val="32"/>
                <w:lang w:val="en-GB"/>
              </w:rPr>
            </w:pPr>
            <w:r>
              <w:rPr>
                <w:szCs w:val="32"/>
                <w:lang w:val="en-GB"/>
              </w:rPr>
              <w:t>39,3</w:t>
            </w:r>
          </w:p>
        </w:tc>
        <w:tc>
          <w:tcPr>
            <w:tcW w:w="1608" w:type="dxa"/>
            <w:tcBorders>
              <w:top w:val="single" w:sz="6" w:space="0" w:color="auto"/>
              <w:left w:val="single" w:sz="6" w:space="0" w:color="auto"/>
              <w:bottom w:val="single" w:sz="6" w:space="0" w:color="auto"/>
              <w:right w:val="single" w:sz="6" w:space="0" w:color="auto"/>
            </w:tcBorders>
          </w:tcPr>
          <w:p w:rsidR="00000000" w:rsidRDefault="00000000">
            <w:pPr>
              <w:tabs>
                <w:tab w:val="decimal" w:pos="761"/>
              </w:tabs>
              <w:rPr>
                <w:szCs w:val="32"/>
                <w:lang w:val="x-none"/>
              </w:rPr>
            </w:pPr>
            <w:r>
              <w:rPr>
                <w:szCs w:val="32"/>
                <w:lang w:val="en-GB"/>
              </w:rPr>
              <w:t>-1,</w:t>
            </w:r>
            <w:r>
              <w:rPr>
                <w:bCs/>
                <w:szCs w:val="32"/>
                <w:lang w:val="en-GB"/>
              </w:rPr>
              <w:t>22</w:t>
            </w:r>
          </w:p>
        </w:tc>
      </w:tr>
      <w:tr w:rsidR="00000000">
        <w:tblPrEx>
          <w:tblCellMar>
            <w:top w:w="0" w:type="dxa"/>
            <w:bottom w:w="0" w:type="dxa"/>
          </w:tblCellMar>
        </w:tblPrEx>
        <w:trPr>
          <w:jc w:val="center"/>
        </w:trPr>
        <w:tc>
          <w:tcPr>
            <w:tcW w:w="1727" w:type="dxa"/>
            <w:tcBorders>
              <w:top w:val="single" w:sz="6" w:space="0" w:color="auto"/>
              <w:left w:val="single" w:sz="6" w:space="0" w:color="auto"/>
              <w:bottom w:val="single" w:sz="6" w:space="0" w:color="auto"/>
              <w:right w:val="single" w:sz="6" w:space="0" w:color="auto"/>
            </w:tcBorders>
          </w:tcPr>
          <w:p w:rsidR="00000000" w:rsidRDefault="00000000">
            <w:pPr>
              <w:rPr>
                <w:szCs w:val="32"/>
                <w:lang w:val="en-GB"/>
              </w:rPr>
            </w:pPr>
            <w:proofErr w:type="spellStart"/>
            <w:r>
              <w:rPr>
                <w:szCs w:val="32"/>
                <w:lang w:val="en-GB"/>
              </w:rPr>
              <w:t>Kaolack</w:t>
            </w:r>
            <w:proofErr w:type="spellEnd"/>
          </w:p>
        </w:tc>
        <w:tc>
          <w:tcPr>
            <w:tcW w:w="1275" w:type="dxa"/>
            <w:tcBorders>
              <w:top w:val="single" w:sz="6" w:space="0" w:color="auto"/>
              <w:left w:val="single" w:sz="6" w:space="0" w:color="auto"/>
              <w:bottom w:val="single" w:sz="6" w:space="0" w:color="auto"/>
              <w:right w:val="nil"/>
            </w:tcBorders>
          </w:tcPr>
          <w:p w:rsidR="00000000" w:rsidRDefault="00000000">
            <w:pPr>
              <w:jc w:val="center"/>
              <w:rPr>
                <w:szCs w:val="32"/>
                <w:lang w:val="en-GB"/>
              </w:rPr>
            </w:pPr>
            <w:r>
              <w:rPr>
                <w:szCs w:val="32"/>
                <w:lang w:val="en-GB"/>
              </w:rPr>
              <w:t>39,9</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tabs>
                <w:tab w:val="decimal" w:pos="567"/>
              </w:tabs>
              <w:rPr>
                <w:szCs w:val="32"/>
                <w:lang w:val="en-GB"/>
              </w:rPr>
            </w:pPr>
            <w:r>
              <w:rPr>
                <w:szCs w:val="32"/>
                <w:lang w:val="en-GB"/>
              </w:rPr>
              <w:t>42,</w:t>
            </w:r>
            <w:r>
              <w:rPr>
                <w:szCs w:val="32"/>
                <w:lang w:val="nl-NL"/>
              </w:rPr>
              <w:t>34</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center"/>
              <w:rPr>
                <w:szCs w:val="32"/>
                <w:lang w:val="en-GB"/>
              </w:rPr>
            </w:pPr>
            <w:r>
              <w:rPr>
                <w:szCs w:val="32"/>
                <w:lang w:val="en-GB"/>
              </w:rPr>
              <w:t>45,8</w:t>
            </w:r>
          </w:p>
        </w:tc>
        <w:tc>
          <w:tcPr>
            <w:tcW w:w="1608" w:type="dxa"/>
            <w:tcBorders>
              <w:top w:val="single" w:sz="6" w:space="0" w:color="auto"/>
              <w:left w:val="single" w:sz="6" w:space="0" w:color="auto"/>
              <w:bottom w:val="single" w:sz="6" w:space="0" w:color="auto"/>
              <w:right w:val="single" w:sz="6" w:space="0" w:color="auto"/>
            </w:tcBorders>
          </w:tcPr>
          <w:p w:rsidR="00000000" w:rsidRDefault="00000000">
            <w:pPr>
              <w:tabs>
                <w:tab w:val="decimal" w:pos="761"/>
              </w:tabs>
              <w:rPr>
                <w:szCs w:val="32"/>
                <w:lang w:val="x-none"/>
              </w:rPr>
            </w:pPr>
            <w:r>
              <w:rPr>
                <w:szCs w:val="32"/>
                <w:lang w:val="en-GB"/>
              </w:rPr>
              <w:t>3,</w:t>
            </w:r>
            <w:r>
              <w:rPr>
                <w:bCs/>
                <w:szCs w:val="32"/>
                <w:lang w:val="en-GB"/>
              </w:rPr>
              <w:t>46</w:t>
            </w:r>
          </w:p>
        </w:tc>
      </w:tr>
      <w:tr w:rsidR="00000000">
        <w:tblPrEx>
          <w:tblCellMar>
            <w:top w:w="0" w:type="dxa"/>
            <w:bottom w:w="0" w:type="dxa"/>
          </w:tblCellMar>
        </w:tblPrEx>
        <w:trPr>
          <w:jc w:val="center"/>
        </w:trPr>
        <w:tc>
          <w:tcPr>
            <w:tcW w:w="1727" w:type="dxa"/>
            <w:tcBorders>
              <w:top w:val="single" w:sz="6" w:space="0" w:color="auto"/>
              <w:left w:val="single" w:sz="6" w:space="0" w:color="auto"/>
              <w:bottom w:val="single" w:sz="6" w:space="0" w:color="auto"/>
              <w:right w:val="single" w:sz="6" w:space="0" w:color="auto"/>
            </w:tcBorders>
          </w:tcPr>
          <w:p w:rsidR="00000000" w:rsidRDefault="00000000">
            <w:pPr>
              <w:rPr>
                <w:szCs w:val="32"/>
                <w:lang w:val="en-GB"/>
              </w:rPr>
            </w:pPr>
            <w:proofErr w:type="spellStart"/>
            <w:r>
              <w:rPr>
                <w:szCs w:val="32"/>
                <w:lang w:val="en-GB"/>
              </w:rPr>
              <w:t>Thiès</w:t>
            </w:r>
            <w:proofErr w:type="spellEnd"/>
          </w:p>
        </w:tc>
        <w:tc>
          <w:tcPr>
            <w:tcW w:w="1275" w:type="dxa"/>
            <w:tcBorders>
              <w:top w:val="single" w:sz="6" w:space="0" w:color="auto"/>
              <w:left w:val="single" w:sz="6" w:space="0" w:color="auto"/>
              <w:bottom w:val="single" w:sz="6" w:space="0" w:color="auto"/>
              <w:right w:val="nil"/>
            </w:tcBorders>
          </w:tcPr>
          <w:p w:rsidR="00000000" w:rsidRDefault="00000000">
            <w:pPr>
              <w:jc w:val="center"/>
              <w:rPr>
                <w:szCs w:val="32"/>
                <w:lang w:val="en-GB"/>
              </w:rPr>
            </w:pPr>
            <w:r>
              <w:rPr>
                <w:szCs w:val="32"/>
                <w:lang w:val="en-GB"/>
              </w:rPr>
              <w:t>40,9</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tabs>
                <w:tab w:val="decimal" w:pos="567"/>
              </w:tabs>
              <w:rPr>
                <w:szCs w:val="32"/>
                <w:lang w:val="en-GB"/>
              </w:rPr>
            </w:pPr>
            <w:r>
              <w:rPr>
                <w:szCs w:val="32"/>
                <w:lang w:val="en-GB"/>
              </w:rPr>
              <w:t>42,</w:t>
            </w:r>
            <w:r>
              <w:rPr>
                <w:szCs w:val="32"/>
                <w:lang w:val="nl-NL"/>
              </w:rPr>
              <w:t>71</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center"/>
              <w:rPr>
                <w:szCs w:val="32"/>
                <w:lang w:val="en-GB"/>
              </w:rPr>
            </w:pPr>
            <w:r>
              <w:rPr>
                <w:szCs w:val="32"/>
                <w:lang w:val="en-GB"/>
              </w:rPr>
              <w:t>46,8</w:t>
            </w:r>
          </w:p>
        </w:tc>
        <w:tc>
          <w:tcPr>
            <w:tcW w:w="1608" w:type="dxa"/>
            <w:tcBorders>
              <w:top w:val="single" w:sz="6" w:space="0" w:color="auto"/>
              <w:left w:val="single" w:sz="6" w:space="0" w:color="auto"/>
              <w:bottom w:val="single" w:sz="6" w:space="0" w:color="auto"/>
              <w:right w:val="single" w:sz="6" w:space="0" w:color="auto"/>
            </w:tcBorders>
          </w:tcPr>
          <w:p w:rsidR="00000000" w:rsidRDefault="00000000">
            <w:pPr>
              <w:tabs>
                <w:tab w:val="decimal" w:pos="761"/>
              </w:tabs>
              <w:rPr>
                <w:szCs w:val="32"/>
                <w:lang w:val="x-none"/>
              </w:rPr>
            </w:pPr>
            <w:r>
              <w:rPr>
                <w:szCs w:val="32"/>
                <w:lang w:val="en-GB"/>
              </w:rPr>
              <w:t>4,</w:t>
            </w:r>
            <w:r>
              <w:rPr>
                <w:bCs/>
                <w:szCs w:val="32"/>
                <w:lang w:val="en-GB"/>
              </w:rPr>
              <w:t>09</w:t>
            </w:r>
          </w:p>
        </w:tc>
      </w:tr>
      <w:tr w:rsidR="00000000">
        <w:tblPrEx>
          <w:tblCellMar>
            <w:top w:w="0" w:type="dxa"/>
            <w:bottom w:w="0" w:type="dxa"/>
          </w:tblCellMar>
        </w:tblPrEx>
        <w:trPr>
          <w:jc w:val="center"/>
        </w:trPr>
        <w:tc>
          <w:tcPr>
            <w:tcW w:w="1727" w:type="dxa"/>
            <w:tcBorders>
              <w:top w:val="single" w:sz="6" w:space="0" w:color="auto"/>
              <w:left w:val="single" w:sz="6" w:space="0" w:color="auto"/>
              <w:bottom w:val="single" w:sz="6" w:space="0" w:color="auto"/>
              <w:right w:val="single" w:sz="6" w:space="0" w:color="auto"/>
            </w:tcBorders>
          </w:tcPr>
          <w:p w:rsidR="00000000" w:rsidRDefault="00000000">
            <w:pPr>
              <w:rPr>
                <w:szCs w:val="32"/>
                <w:lang w:val="en-GB"/>
              </w:rPr>
            </w:pPr>
            <w:proofErr w:type="spellStart"/>
            <w:r>
              <w:rPr>
                <w:szCs w:val="32"/>
                <w:lang w:val="en-GB"/>
              </w:rPr>
              <w:t>Louga</w:t>
            </w:r>
            <w:proofErr w:type="spellEnd"/>
          </w:p>
        </w:tc>
        <w:tc>
          <w:tcPr>
            <w:tcW w:w="1275" w:type="dxa"/>
            <w:tcBorders>
              <w:top w:val="single" w:sz="6" w:space="0" w:color="auto"/>
              <w:left w:val="single" w:sz="6" w:space="0" w:color="auto"/>
              <w:bottom w:val="single" w:sz="6" w:space="0" w:color="auto"/>
              <w:right w:val="nil"/>
            </w:tcBorders>
          </w:tcPr>
          <w:p w:rsidR="00000000" w:rsidRDefault="00000000">
            <w:pPr>
              <w:jc w:val="center"/>
              <w:rPr>
                <w:szCs w:val="32"/>
                <w:lang w:val="de-DE"/>
              </w:rPr>
            </w:pPr>
            <w:r>
              <w:rPr>
                <w:szCs w:val="32"/>
                <w:lang w:val="de-DE"/>
              </w:rPr>
              <w:t>35,5</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tabs>
                <w:tab w:val="decimal" w:pos="567"/>
              </w:tabs>
              <w:rPr>
                <w:szCs w:val="32"/>
                <w:lang w:val="de-DE"/>
              </w:rPr>
            </w:pPr>
            <w:r>
              <w:rPr>
                <w:szCs w:val="32"/>
                <w:lang w:val="de-DE"/>
              </w:rPr>
              <w:t>52,</w:t>
            </w:r>
            <w:r>
              <w:rPr>
                <w:szCs w:val="32"/>
                <w:lang w:val="nl-NL"/>
              </w:rPr>
              <w:t>29</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center"/>
              <w:rPr>
                <w:szCs w:val="32"/>
                <w:lang w:val="de-DE"/>
              </w:rPr>
            </w:pPr>
            <w:r>
              <w:rPr>
                <w:szCs w:val="32"/>
                <w:lang w:val="de-DE"/>
              </w:rPr>
              <w:t>54,6</w:t>
            </w:r>
          </w:p>
        </w:tc>
        <w:tc>
          <w:tcPr>
            <w:tcW w:w="1608" w:type="dxa"/>
            <w:tcBorders>
              <w:top w:val="single" w:sz="6" w:space="0" w:color="auto"/>
              <w:left w:val="single" w:sz="6" w:space="0" w:color="auto"/>
              <w:bottom w:val="single" w:sz="6" w:space="0" w:color="auto"/>
              <w:right w:val="single" w:sz="6" w:space="0" w:color="auto"/>
            </w:tcBorders>
          </w:tcPr>
          <w:p w:rsidR="00000000" w:rsidRDefault="00000000">
            <w:pPr>
              <w:tabs>
                <w:tab w:val="decimal" w:pos="761"/>
              </w:tabs>
              <w:rPr>
                <w:szCs w:val="32"/>
                <w:lang w:val="x-none"/>
              </w:rPr>
            </w:pPr>
            <w:r>
              <w:rPr>
                <w:szCs w:val="32"/>
                <w:lang w:val="de-DE"/>
              </w:rPr>
              <w:t>2,</w:t>
            </w:r>
            <w:r>
              <w:rPr>
                <w:bCs/>
                <w:szCs w:val="32"/>
                <w:lang w:val="en-GB"/>
              </w:rPr>
              <w:t>31</w:t>
            </w:r>
          </w:p>
        </w:tc>
      </w:tr>
      <w:tr w:rsidR="00000000">
        <w:tblPrEx>
          <w:tblCellMar>
            <w:top w:w="0" w:type="dxa"/>
            <w:bottom w:w="0" w:type="dxa"/>
          </w:tblCellMar>
        </w:tblPrEx>
        <w:trPr>
          <w:jc w:val="center"/>
        </w:trPr>
        <w:tc>
          <w:tcPr>
            <w:tcW w:w="1727" w:type="dxa"/>
            <w:tcBorders>
              <w:top w:val="single" w:sz="6" w:space="0" w:color="auto"/>
              <w:left w:val="single" w:sz="6" w:space="0" w:color="auto"/>
              <w:bottom w:val="nil"/>
              <w:right w:val="single" w:sz="6" w:space="0" w:color="auto"/>
            </w:tcBorders>
          </w:tcPr>
          <w:p w:rsidR="00000000" w:rsidRDefault="00000000">
            <w:pPr>
              <w:rPr>
                <w:szCs w:val="32"/>
                <w:lang w:val="de-DE"/>
              </w:rPr>
            </w:pPr>
            <w:r>
              <w:rPr>
                <w:szCs w:val="32"/>
                <w:lang w:val="de-DE"/>
              </w:rPr>
              <w:t>Fatick</w:t>
            </w:r>
          </w:p>
        </w:tc>
        <w:tc>
          <w:tcPr>
            <w:tcW w:w="1275" w:type="dxa"/>
            <w:tcBorders>
              <w:top w:val="single" w:sz="6" w:space="0" w:color="auto"/>
              <w:left w:val="single" w:sz="6" w:space="0" w:color="auto"/>
              <w:bottom w:val="nil"/>
              <w:right w:val="nil"/>
            </w:tcBorders>
          </w:tcPr>
          <w:p w:rsidR="00000000" w:rsidRDefault="00000000">
            <w:pPr>
              <w:jc w:val="center"/>
              <w:rPr>
                <w:szCs w:val="32"/>
                <w:lang w:val="de-DE"/>
              </w:rPr>
            </w:pPr>
            <w:r>
              <w:rPr>
                <w:szCs w:val="32"/>
                <w:lang w:val="de-DE"/>
              </w:rPr>
              <w:t>37,1</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tabs>
                <w:tab w:val="decimal" w:pos="567"/>
              </w:tabs>
              <w:rPr>
                <w:szCs w:val="32"/>
                <w:lang w:val="de-DE"/>
              </w:rPr>
            </w:pPr>
            <w:r>
              <w:rPr>
                <w:szCs w:val="32"/>
                <w:lang w:val="de-DE"/>
              </w:rPr>
              <w:t>43,</w:t>
            </w:r>
            <w:r>
              <w:rPr>
                <w:szCs w:val="32"/>
                <w:lang w:val="nl-NL"/>
              </w:rPr>
              <w:t>77</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center"/>
              <w:rPr>
                <w:szCs w:val="32"/>
                <w:lang w:val="de-DE"/>
              </w:rPr>
            </w:pPr>
            <w:r>
              <w:rPr>
                <w:szCs w:val="32"/>
                <w:lang w:val="de-DE"/>
              </w:rPr>
              <w:t>48,2</w:t>
            </w:r>
          </w:p>
        </w:tc>
        <w:tc>
          <w:tcPr>
            <w:tcW w:w="1608" w:type="dxa"/>
            <w:tcBorders>
              <w:top w:val="single" w:sz="6" w:space="0" w:color="auto"/>
              <w:left w:val="single" w:sz="6" w:space="0" w:color="auto"/>
              <w:bottom w:val="single" w:sz="6" w:space="0" w:color="auto"/>
              <w:right w:val="single" w:sz="6" w:space="0" w:color="auto"/>
            </w:tcBorders>
          </w:tcPr>
          <w:p w:rsidR="00000000" w:rsidRDefault="00000000">
            <w:pPr>
              <w:tabs>
                <w:tab w:val="decimal" w:pos="761"/>
              </w:tabs>
              <w:rPr>
                <w:szCs w:val="32"/>
                <w:lang w:val="x-none"/>
              </w:rPr>
            </w:pPr>
            <w:r>
              <w:rPr>
                <w:szCs w:val="32"/>
                <w:lang w:val="de-DE"/>
              </w:rPr>
              <w:t>4,</w:t>
            </w:r>
            <w:r>
              <w:rPr>
                <w:bCs/>
                <w:szCs w:val="32"/>
                <w:lang w:val="en-GB"/>
              </w:rPr>
              <w:t>43</w:t>
            </w:r>
          </w:p>
        </w:tc>
      </w:tr>
      <w:tr w:rsidR="00000000">
        <w:tblPrEx>
          <w:tblCellMar>
            <w:top w:w="0" w:type="dxa"/>
            <w:bottom w:w="0" w:type="dxa"/>
          </w:tblCellMar>
        </w:tblPrEx>
        <w:trPr>
          <w:jc w:val="center"/>
        </w:trPr>
        <w:tc>
          <w:tcPr>
            <w:tcW w:w="1727" w:type="dxa"/>
            <w:tcBorders>
              <w:top w:val="single" w:sz="6" w:space="0" w:color="auto"/>
              <w:left w:val="single" w:sz="6" w:space="0" w:color="auto"/>
              <w:bottom w:val="nil"/>
              <w:right w:val="single" w:sz="6" w:space="0" w:color="auto"/>
            </w:tcBorders>
          </w:tcPr>
          <w:p w:rsidR="00000000" w:rsidRDefault="00000000">
            <w:pPr>
              <w:rPr>
                <w:szCs w:val="32"/>
                <w:lang w:val="de-DE"/>
              </w:rPr>
            </w:pPr>
            <w:r>
              <w:rPr>
                <w:szCs w:val="32"/>
                <w:lang w:val="de-DE"/>
              </w:rPr>
              <w:t>Kolda</w:t>
            </w:r>
          </w:p>
        </w:tc>
        <w:tc>
          <w:tcPr>
            <w:tcW w:w="1275" w:type="dxa"/>
            <w:tcBorders>
              <w:top w:val="single" w:sz="6" w:space="0" w:color="auto"/>
              <w:left w:val="single" w:sz="6" w:space="0" w:color="auto"/>
              <w:bottom w:val="nil"/>
              <w:right w:val="nil"/>
            </w:tcBorders>
          </w:tcPr>
          <w:p w:rsidR="00000000" w:rsidRDefault="00000000">
            <w:pPr>
              <w:jc w:val="center"/>
              <w:rPr>
                <w:szCs w:val="32"/>
                <w:lang w:val="de-DE"/>
              </w:rPr>
            </w:pPr>
            <w:r>
              <w:rPr>
                <w:szCs w:val="32"/>
                <w:lang w:val="de-DE"/>
              </w:rPr>
              <w:t>43,9</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tabs>
                <w:tab w:val="decimal" w:pos="567"/>
              </w:tabs>
              <w:rPr>
                <w:szCs w:val="32"/>
                <w:lang w:val="de-DE"/>
              </w:rPr>
            </w:pPr>
            <w:r>
              <w:rPr>
                <w:szCs w:val="32"/>
                <w:lang w:val="de-DE"/>
              </w:rPr>
              <w:t>44,</w:t>
            </w:r>
            <w:r>
              <w:rPr>
                <w:szCs w:val="32"/>
                <w:lang w:val="nl-NL"/>
              </w:rPr>
              <w:t>38</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center"/>
              <w:rPr>
                <w:szCs w:val="32"/>
                <w:lang w:val="de-DE"/>
              </w:rPr>
            </w:pPr>
            <w:r>
              <w:rPr>
                <w:szCs w:val="32"/>
                <w:lang w:val="de-DE"/>
              </w:rPr>
              <w:t>50,2</w:t>
            </w:r>
          </w:p>
        </w:tc>
        <w:tc>
          <w:tcPr>
            <w:tcW w:w="1608" w:type="dxa"/>
            <w:tcBorders>
              <w:top w:val="single" w:sz="6" w:space="0" w:color="auto"/>
              <w:left w:val="single" w:sz="6" w:space="0" w:color="auto"/>
              <w:bottom w:val="single" w:sz="6" w:space="0" w:color="auto"/>
              <w:right w:val="single" w:sz="6" w:space="0" w:color="auto"/>
            </w:tcBorders>
          </w:tcPr>
          <w:p w:rsidR="00000000" w:rsidRDefault="00000000">
            <w:pPr>
              <w:tabs>
                <w:tab w:val="decimal" w:pos="761"/>
              </w:tabs>
              <w:rPr>
                <w:bCs/>
                <w:szCs w:val="32"/>
                <w:lang w:val="x-none"/>
              </w:rPr>
            </w:pPr>
            <w:r>
              <w:rPr>
                <w:bCs/>
                <w:szCs w:val="32"/>
                <w:lang w:val="de-DE"/>
              </w:rPr>
              <w:t>5,</w:t>
            </w:r>
            <w:r>
              <w:rPr>
                <w:bCs/>
                <w:szCs w:val="32"/>
              </w:rPr>
              <w:t>82</w:t>
            </w:r>
          </w:p>
        </w:tc>
      </w:tr>
      <w:tr w:rsidR="00000000">
        <w:tblPrEx>
          <w:tblCellMar>
            <w:top w:w="0" w:type="dxa"/>
            <w:bottom w:w="0" w:type="dxa"/>
          </w:tblCellMar>
        </w:tblPrEx>
        <w:trPr>
          <w:jc w:val="center"/>
        </w:trPr>
        <w:tc>
          <w:tcPr>
            <w:tcW w:w="1727"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left" w:pos="284"/>
              </w:tabs>
              <w:rPr>
                <w:bCs/>
                <w:szCs w:val="32"/>
                <w:lang w:val="de-DE"/>
              </w:rPr>
            </w:pPr>
            <w:r>
              <w:rPr>
                <w:b/>
                <w:szCs w:val="32"/>
                <w:lang w:val="de-DE"/>
              </w:rPr>
              <w:tab/>
              <w:t>Senegal</w:t>
            </w:r>
          </w:p>
        </w:tc>
        <w:tc>
          <w:tcPr>
            <w:tcW w:w="1275" w:type="dxa"/>
            <w:tcBorders>
              <w:top w:val="single" w:sz="6" w:space="0" w:color="auto"/>
              <w:left w:val="single" w:sz="6" w:space="0" w:color="auto"/>
              <w:bottom w:val="single" w:sz="6" w:space="0" w:color="auto"/>
              <w:right w:val="nil"/>
            </w:tcBorders>
          </w:tcPr>
          <w:p w:rsidR="00000000" w:rsidRDefault="00000000">
            <w:pPr>
              <w:jc w:val="center"/>
              <w:rPr>
                <w:b/>
                <w:szCs w:val="32"/>
              </w:rPr>
            </w:pPr>
            <w:r>
              <w:rPr>
                <w:b/>
                <w:szCs w:val="32"/>
              </w:rPr>
              <w:t>39,3</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tabs>
                <w:tab w:val="decimal" w:pos="567"/>
              </w:tabs>
              <w:rPr>
                <w:b/>
                <w:szCs w:val="32"/>
              </w:rPr>
            </w:pPr>
            <w:r>
              <w:rPr>
                <w:b/>
                <w:szCs w:val="32"/>
              </w:rPr>
              <w:t>41,6</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center"/>
              <w:rPr>
                <w:b/>
                <w:szCs w:val="32"/>
              </w:rPr>
            </w:pPr>
            <w:r>
              <w:rPr>
                <w:b/>
                <w:szCs w:val="32"/>
              </w:rPr>
              <w:t>50,4</w:t>
            </w:r>
          </w:p>
        </w:tc>
        <w:tc>
          <w:tcPr>
            <w:tcW w:w="1608" w:type="dxa"/>
            <w:tcBorders>
              <w:top w:val="single" w:sz="6" w:space="0" w:color="auto"/>
              <w:left w:val="single" w:sz="6" w:space="0" w:color="auto"/>
              <w:bottom w:val="single" w:sz="6" w:space="0" w:color="auto"/>
              <w:right w:val="single" w:sz="6" w:space="0" w:color="auto"/>
            </w:tcBorders>
          </w:tcPr>
          <w:p w:rsidR="00000000" w:rsidRDefault="00000000">
            <w:pPr>
              <w:tabs>
                <w:tab w:val="decimal" w:pos="761"/>
              </w:tabs>
              <w:rPr>
                <w:b/>
                <w:szCs w:val="32"/>
                <w:lang w:val="x-none"/>
              </w:rPr>
            </w:pPr>
            <w:r>
              <w:rPr>
                <w:b/>
                <w:szCs w:val="32"/>
              </w:rPr>
              <w:t>8,8</w:t>
            </w:r>
          </w:p>
        </w:tc>
      </w:tr>
    </w:tbl>
    <w:p w:rsidR="00000000" w:rsidRDefault="00000000">
      <w:pPr>
        <w:spacing w:before="220"/>
        <w:ind w:left="1106"/>
      </w:pPr>
      <w:r>
        <w:rPr>
          <w:i/>
          <w:iCs/>
        </w:rPr>
        <w:t xml:space="preserve">Fuente:  </w:t>
      </w:r>
      <w:r>
        <w:t xml:space="preserve">Estadísticas de la </w:t>
      </w:r>
      <w:proofErr w:type="spellStart"/>
      <w:r>
        <w:t>DPRE</w:t>
      </w:r>
      <w:proofErr w:type="spellEnd"/>
      <w:r>
        <w:t>, 2004.</w:t>
      </w:r>
    </w:p>
    <w:p w:rsidR="00000000" w:rsidRDefault="00000000">
      <w:pPr>
        <w:spacing w:before="400" w:after="220"/>
        <w:rPr>
          <w:b/>
          <w:bCs/>
          <w:i/>
          <w:iCs/>
        </w:rPr>
      </w:pPr>
      <w:r>
        <w:rPr>
          <w:b/>
          <w:bCs/>
          <w:i/>
          <w:iCs/>
        </w:rPr>
        <w:t>Tasa de éxito en el certificado de enseñanza primaria</w:t>
      </w:r>
    </w:p>
    <w:p w:rsidR="00000000" w:rsidRDefault="00000000">
      <w:pPr>
        <w:spacing w:after="220"/>
        <w:jc w:val="center"/>
        <w:rPr>
          <w:b/>
          <w:bCs/>
        </w:rPr>
      </w:pPr>
      <w:r>
        <w:rPr>
          <w:b/>
          <w:bCs/>
        </w:rPr>
        <w:t>Evolución de los resultados escolares entre 1990 y 2002</w:t>
      </w:r>
    </w:p>
    <w:tbl>
      <w:tblPr>
        <w:tblW w:w="5000" w:type="pct"/>
        <w:jc w:val="center"/>
        <w:tblCellMar>
          <w:left w:w="28" w:type="dxa"/>
          <w:right w:w="28" w:type="dxa"/>
        </w:tblCellMar>
        <w:tblLook w:val="0000" w:firstRow="0" w:lastRow="0" w:firstColumn="0" w:lastColumn="0" w:noHBand="0" w:noVBand="0"/>
      </w:tblPr>
      <w:tblGrid>
        <w:gridCol w:w="2564"/>
        <w:gridCol w:w="664"/>
        <w:gridCol w:w="599"/>
        <w:gridCol w:w="599"/>
        <w:gridCol w:w="599"/>
        <w:gridCol w:w="664"/>
        <w:gridCol w:w="599"/>
        <w:gridCol w:w="664"/>
        <w:gridCol w:w="599"/>
        <w:gridCol w:w="664"/>
        <w:gridCol w:w="599"/>
        <w:gridCol w:w="597"/>
      </w:tblGrid>
      <w:tr w:rsidR="00000000">
        <w:tblPrEx>
          <w:tblCellMar>
            <w:top w:w="0" w:type="dxa"/>
            <w:bottom w:w="0" w:type="dxa"/>
          </w:tblCellMar>
        </w:tblPrEx>
        <w:trPr>
          <w:cantSplit/>
          <w:jc w:val="center"/>
        </w:trPr>
        <w:tc>
          <w:tcPr>
            <w:tcW w:w="1363" w:type="pct"/>
            <w:vMerge w:val="restart"/>
            <w:tcBorders>
              <w:top w:val="single" w:sz="6" w:space="0" w:color="auto"/>
              <w:left w:val="single" w:sz="6" w:space="0" w:color="auto"/>
              <w:right w:val="single" w:sz="6" w:space="0" w:color="auto"/>
            </w:tcBorders>
          </w:tcPr>
          <w:p w:rsidR="00000000" w:rsidRDefault="00000000">
            <w:pPr>
              <w:widowControl w:val="0"/>
              <w:jc w:val="center"/>
              <w:rPr>
                <w:b/>
              </w:rPr>
            </w:pPr>
          </w:p>
        </w:tc>
        <w:tc>
          <w:tcPr>
            <w:tcW w:w="3637" w:type="pct"/>
            <w:gridSpan w:val="11"/>
            <w:tcBorders>
              <w:top w:val="single" w:sz="6" w:space="0" w:color="auto"/>
              <w:left w:val="nil"/>
              <w:right w:val="single" w:sz="6" w:space="0" w:color="auto"/>
            </w:tcBorders>
          </w:tcPr>
          <w:p w:rsidR="00000000" w:rsidRDefault="00000000">
            <w:pPr>
              <w:widowControl w:val="0"/>
              <w:jc w:val="center"/>
              <w:rPr>
                <w:b/>
                <w:snapToGrid w:val="0"/>
              </w:rPr>
            </w:pPr>
            <w:r>
              <w:rPr>
                <w:b/>
                <w:snapToGrid w:val="0"/>
              </w:rPr>
              <w:t>Año escolar</w:t>
            </w:r>
          </w:p>
        </w:tc>
      </w:tr>
      <w:tr w:rsidR="00000000">
        <w:tblPrEx>
          <w:tblCellMar>
            <w:top w:w="0" w:type="dxa"/>
            <w:bottom w:w="0" w:type="dxa"/>
          </w:tblCellMar>
        </w:tblPrEx>
        <w:trPr>
          <w:cantSplit/>
          <w:jc w:val="center"/>
        </w:trPr>
        <w:tc>
          <w:tcPr>
            <w:tcW w:w="1363" w:type="pct"/>
            <w:vMerge/>
            <w:tcBorders>
              <w:left w:val="single" w:sz="6" w:space="0" w:color="auto"/>
              <w:bottom w:val="single" w:sz="6" w:space="0" w:color="auto"/>
              <w:right w:val="single" w:sz="6" w:space="0" w:color="auto"/>
            </w:tcBorders>
          </w:tcPr>
          <w:p w:rsidR="00000000" w:rsidRDefault="00000000">
            <w:pPr>
              <w:widowControl w:val="0"/>
              <w:jc w:val="center"/>
              <w:rPr>
                <w:b/>
              </w:rPr>
            </w:pPr>
          </w:p>
        </w:tc>
        <w:tc>
          <w:tcPr>
            <w:tcW w:w="353" w:type="pct"/>
            <w:tcBorders>
              <w:top w:val="single" w:sz="6" w:space="0" w:color="auto"/>
              <w:left w:val="nil"/>
              <w:right w:val="single" w:sz="6" w:space="0" w:color="auto"/>
            </w:tcBorders>
          </w:tcPr>
          <w:p w:rsidR="00000000" w:rsidRDefault="00000000">
            <w:pPr>
              <w:widowControl w:val="0"/>
              <w:jc w:val="center"/>
              <w:rPr>
                <w:b/>
                <w:snapToGrid w:val="0"/>
              </w:rPr>
            </w:pPr>
            <w:r>
              <w:rPr>
                <w:b/>
                <w:snapToGrid w:val="0"/>
              </w:rPr>
              <w:t>1990</w:t>
            </w:r>
          </w:p>
        </w:tc>
        <w:tc>
          <w:tcPr>
            <w:tcW w:w="318" w:type="pct"/>
            <w:tcBorders>
              <w:top w:val="single" w:sz="6" w:space="0" w:color="auto"/>
              <w:left w:val="single" w:sz="6" w:space="0" w:color="auto"/>
              <w:right w:val="single" w:sz="6" w:space="0" w:color="auto"/>
            </w:tcBorders>
          </w:tcPr>
          <w:p w:rsidR="00000000" w:rsidRDefault="00000000">
            <w:pPr>
              <w:widowControl w:val="0"/>
              <w:jc w:val="center"/>
              <w:rPr>
                <w:b/>
                <w:snapToGrid w:val="0"/>
              </w:rPr>
            </w:pPr>
            <w:r>
              <w:rPr>
                <w:b/>
                <w:snapToGrid w:val="0"/>
              </w:rPr>
              <w:t>1992</w:t>
            </w:r>
          </w:p>
        </w:tc>
        <w:tc>
          <w:tcPr>
            <w:tcW w:w="318" w:type="pct"/>
            <w:tcBorders>
              <w:top w:val="single" w:sz="6" w:space="0" w:color="auto"/>
              <w:left w:val="single" w:sz="6" w:space="0" w:color="auto"/>
              <w:right w:val="single" w:sz="6" w:space="0" w:color="auto"/>
            </w:tcBorders>
          </w:tcPr>
          <w:p w:rsidR="00000000" w:rsidRDefault="00000000">
            <w:pPr>
              <w:widowControl w:val="0"/>
              <w:jc w:val="center"/>
              <w:rPr>
                <w:b/>
                <w:snapToGrid w:val="0"/>
              </w:rPr>
            </w:pPr>
            <w:r>
              <w:rPr>
                <w:b/>
                <w:snapToGrid w:val="0"/>
              </w:rPr>
              <w:t>1993</w:t>
            </w:r>
          </w:p>
        </w:tc>
        <w:tc>
          <w:tcPr>
            <w:tcW w:w="318" w:type="pct"/>
            <w:tcBorders>
              <w:top w:val="single" w:sz="6" w:space="0" w:color="auto"/>
              <w:left w:val="single" w:sz="6" w:space="0" w:color="auto"/>
              <w:right w:val="single" w:sz="6" w:space="0" w:color="auto"/>
            </w:tcBorders>
          </w:tcPr>
          <w:p w:rsidR="00000000" w:rsidRDefault="00000000">
            <w:pPr>
              <w:widowControl w:val="0"/>
              <w:jc w:val="center"/>
              <w:rPr>
                <w:b/>
                <w:snapToGrid w:val="0"/>
              </w:rPr>
            </w:pPr>
            <w:r>
              <w:rPr>
                <w:b/>
                <w:snapToGrid w:val="0"/>
              </w:rPr>
              <w:t>1994</w:t>
            </w:r>
          </w:p>
        </w:tc>
        <w:tc>
          <w:tcPr>
            <w:tcW w:w="353" w:type="pct"/>
            <w:tcBorders>
              <w:top w:val="single" w:sz="6" w:space="0" w:color="auto"/>
              <w:left w:val="single" w:sz="6" w:space="0" w:color="auto"/>
              <w:right w:val="single" w:sz="6" w:space="0" w:color="auto"/>
            </w:tcBorders>
          </w:tcPr>
          <w:p w:rsidR="00000000" w:rsidRDefault="00000000">
            <w:pPr>
              <w:widowControl w:val="0"/>
              <w:jc w:val="center"/>
              <w:rPr>
                <w:b/>
                <w:snapToGrid w:val="0"/>
              </w:rPr>
            </w:pPr>
            <w:r>
              <w:rPr>
                <w:b/>
                <w:snapToGrid w:val="0"/>
              </w:rPr>
              <w:t>1995</w:t>
            </w:r>
          </w:p>
        </w:tc>
        <w:tc>
          <w:tcPr>
            <w:tcW w:w="318" w:type="pct"/>
            <w:tcBorders>
              <w:top w:val="single" w:sz="6" w:space="0" w:color="auto"/>
              <w:left w:val="single" w:sz="6" w:space="0" w:color="auto"/>
              <w:right w:val="single" w:sz="6" w:space="0" w:color="auto"/>
            </w:tcBorders>
          </w:tcPr>
          <w:p w:rsidR="00000000" w:rsidRDefault="00000000">
            <w:pPr>
              <w:widowControl w:val="0"/>
              <w:jc w:val="center"/>
              <w:rPr>
                <w:b/>
                <w:snapToGrid w:val="0"/>
              </w:rPr>
            </w:pPr>
            <w:r>
              <w:rPr>
                <w:b/>
                <w:snapToGrid w:val="0"/>
              </w:rPr>
              <w:t>1997</w:t>
            </w:r>
          </w:p>
        </w:tc>
        <w:tc>
          <w:tcPr>
            <w:tcW w:w="353" w:type="pct"/>
            <w:tcBorders>
              <w:top w:val="single" w:sz="6" w:space="0" w:color="auto"/>
              <w:left w:val="single" w:sz="6" w:space="0" w:color="auto"/>
              <w:right w:val="single" w:sz="6" w:space="0" w:color="auto"/>
            </w:tcBorders>
          </w:tcPr>
          <w:p w:rsidR="00000000" w:rsidRDefault="00000000">
            <w:pPr>
              <w:widowControl w:val="0"/>
              <w:jc w:val="center"/>
              <w:rPr>
                <w:b/>
              </w:rPr>
            </w:pPr>
            <w:r>
              <w:rPr>
                <w:b/>
              </w:rPr>
              <w:t>1998</w:t>
            </w:r>
          </w:p>
        </w:tc>
        <w:tc>
          <w:tcPr>
            <w:tcW w:w="318" w:type="pct"/>
            <w:tcBorders>
              <w:top w:val="single" w:sz="6" w:space="0" w:color="auto"/>
              <w:left w:val="single" w:sz="6" w:space="0" w:color="auto"/>
              <w:right w:val="single" w:sz="6" w:space="0" w:color="auto"/>
            </w:tcBorders>
          </w:tcPr>
          <w:p w:rsidR="00000000" w:rsidRDefault="00000000">
            <w:pPr>
              <w:widowControl w:val="0"/>
              <w:jc w:val="center"/>
              <w:rPr>
                <w:b/>
                <w:snapToGrid w:val="0"/>
              </w:rPr>
            </w:pPr>
            <w:r>
              <w:rPr>
                <w:b/>
                <w:snapToGrid w:val="0"/>
              </w:rPr>
              <w:t>1999</w:t>
            </w:r>
          </w:p>
        </w:tc>
        <w:tc>
          <w:tcPr>
            <w:tcW w:w="353" w:type="pct"/>
            <w:tcBorders>
              <w:top w:val="single" w:sz="6" w:space="0" w:color="auto"/>
              <w:left w:val="single" w:sz="6" w:space="0" w:color="auto"/>
              <w:right w:val="single" w:sz="6" w:space="0" w:color="auto"/>
            </w:tcBorders>
          </w:tcPr>
          <w:p w:rsidR="00000000" w:rsidRDefault="00000000">
            <w:pPr>
              <w:widowControl w:val="0"/>
              <w:jc w:val="center"/>
              <w:rPr>
                <w:b/>
                <w:snapToGrid w:val="0"/>
              </w:rPr>
            </w:pPr>
            <w:r>
              <w:rPr>
                <w:b/>
                <w:snapToGrid w:val="0"/>
              </w:rPr>
              <w:t>2000</w:t>
            </w:r>
          </w:p>
        </w:tc>
        <w:tc>
          <w:tcPr>
            <w:tcW w:w="318" w:type="pct"/>
            <w:tcBorders>
              <w:top w:val="single" w:sz="6" w:space="0" w:color="auto"/>
              <w:left w:val="single" w:sz="6" w:space="0" w:color="auto"/>
              <w:right w:val="single" w:sz="6" w:space="0" w:color="auto"/>
            </w:tcBorders>
          </w:tcPr>
          <w:p w:rsidR="00000000" w:rsidRDefault="00000000">
            <w:pPr>
              <w:widowControl w:val="0"/>
              <w:jc w:val="center"/>
              <w:rPr>
                <w:b/>
                <w:snapToGrid w:val="0"/>
              </w:rPr>
            </w:pPr>
            <w:r>
              <w:rPr>
                <w:b/>
                <w:snapToGrid w:val="0"/>
              </w:rPr>
              <w:t>2001</w:t>
            </w:r>
          </w:p>
        </w:tc>
        <w:tc>
          <w:tcPr>
            <w:tcW w:w="316" w:type="pct"/>
            <w:tcBorders>
              <w:top w:val="single" w:sz="6" w:space="0" w:color="auto"/>
              <w:left w:val="single" w:sz="6" w:space="0" w:color="auto"/>
              <w:bottom w:val="single" w:sz="6" w:space="0" w:color="auto"/>
              <w:right w:val="single" w:sz="6" w:space="0" w:color="auto"/>
            </w:tcBorders>
          </w:tcPr>
          <w:p w:rsidR="00000000" w:rsidRDefault="00000000">
            <w:pPr>
              <w:widowControl w:val="0"/>
              <w:jc w:val="center"/>
              <w:rPr>
                <w:b/>
                <w:snapToGrid w:val="0"/>
              </w:rPr>
            </w:pPr>
            <w:r>
              <w:rPr>
                <w:b/>
                <w:snapToGrid w:val="0"/>
              </w:rPr>
              <w:t>2002</w:t>
            </w:r>
          </w:p>
        </w:tc>
      </w:tr>
      <w:tr w:rsidR="00000000">
        <w:tblPrEx>
          <w:tblCellMar>
            <w:top w:w="0" w:type="dxa"/>
            <w:bottom w:w="0" w:type="dxa"/>
          </w:tblCellMar>
        </w:tblPrEx>
        <w:trPr>
          <w:cantSplit/>
          <w:jc w:val="center"/>
        </w:trPr>
        <w:tc>
          <w:tcPr>
            <w:tcW w:w="1363" w:type="pct"/>
            <w:tcBorders>
              <w:top w:val="single" w:sz="6" w:space="0" w:color="auto"/>
              <w:left w:val="single" w:sz="6" w:space="0" w:color="auto"/>
              <w:bottom w:val="single" w:sz="6" w:space="0" w:color="auto"/>
              <w:right w:val="single" w:sz="2" w:space="0" w:color="000000"/>
            </w:tcBorders>
          </w:tcPr>
          <w:p w:rsidR="00000000" w:rsidRDefault="00000000">
            <w:pPr>
              <w:widowControl w:val="0"/>
              <w:rPr>
                <w:snapToGrid w:val="0"/>
              </w:rPr>
            </w:pPr>
            <w:r>
              <w:rPr>
                <w:snapToGrid w:val="0"/>
              </w:rPr>
              <w:t>Porcentaje de éxito MF</w:t>
            </w:r>
          </w:p>
        </w:tc>
        <w:tc>
          <w:tcPr>
            <w:tcW w:w="353" w:type="pct"/>
            <w:tcBorders>
              <w:top w:val="single" w:sz="6" w:space="0" w:color="auto"/>
              <w:left w:val="single" w:sz="6" w:space="0" w:color="auto"/>
              <w:bottom w:val="single" w:sz="6" w:space="0" w:color="auto"/>
              <w:right w:val="single" w:sz="6" w:space="0" w:color="auto"/>
            </w:tcBorders>
          </w:tcPr>
          <w:p w:rsidR="00000000" w:rsidRDefault="00000000">
            <w:pPr>
              <w:widowControl w:val="0"/>
              <w:jc w:val="center"/>
              <w:rPr>
                <w:snapToGrid w:val="0"/>
              </w:rPr>
            </w:pPr>
            <w:r>
              <w:rPr>
                <w:snapToGrid w:val="0"/>
              </w:rPr>
              <w:t>39,33</w:t>
            </w:r>
          </w:p>
        </w:tc>
        <w:tc>
          <w:tcPr>
            <w:tcW w:w="318" w:type="pct"/>
            <w:tcBorders>
              <w:top w:val="single" w:sz="6" w:space="0" w:color="auto"/>
              <w:left w:val="single" w:sz="6" w:space="0" w:color="auto"/>
              <w:bottom w:val="single" w:sz="6" w:space="0" w:color="auto"/>
              <w:right w:val="single" w:sz="6" w:space="0" w:color="auto"/>
            </w:tcBorders>
          </w:tcPr>
          <w:p w:rsidR="00000000" w:rsidRDefault="00000000">
            <w:pPr>
              <w:widowControl w:val="0"/>
              <w:jc w:val="center"/>
              <w:rPr>
                <w:snapToGrid w:val="0"/>
              </w:rPr>
            </w:pPr>
            <w:r>
              <w:rPr>
                <w:snapToGrid w:val="0"/>
              </w:rPr>
              <w:t>27,0</w:t>
            </w:r>
          </w:p>
        </w:tc>
        <w:tc>
          <w:tcPr>
            <w:tcW w:w="318" w:type="pct"/>
            <w:tcBorders>
              <w:top w:val="single" w:sz="6" w:space="0" w:color="auto"/>
              <w:left w:val="single" w:sz="6" w:space="0" w:color="auto"/>
              <w:bottom w:val="single" w:sz="6" w:space="0" w:color="auto"/>
              <w:right w:val="single" w:sz="6" w:space="0" w:color="auto"/>
            </w:tcBorders>
          </w:tcPr>
          <w:p w:rsidR="00000000" w:rsidRDefault="00000000">
            <w:pPr>
              <w:widowControl w:val="0"/>
              <w:jc w:val="center"/>
              <w:rPr>
                <w:snapToGrid w:val="0"/>
              </w:rPr>
            </w:pPr>
            <w:r>
              <w:rPr>
                <w:snapToGrid w:val="0"/>
              </w:rPr>
              <w:t>30,1</w:t>
            </w:r>
          </w:p>
        </w:tc>
        <w:tc>
          <w:tcPr>
            <w:tcW w:w="318" w:type="pct"/>
            <w:tcBorders>
              <w:top w:val="single" w:sz="6" w:space="0" w:color="auto"/>
              <w:left w:val="single" w:sz="6" w:space="0" w:color="auto"/>
              <w:bottom w:val="single" w:sz="6" w:space="0" w:color="auto"/>
              <w:right w:val="single" w:sz="6" w:space="0" w:color="auto"/>
            </w:tcBorders>
          </w:tcPr>
          <w:p w:rsidR="00000000" w:rsidRDefault="00000000">
            <w:pPr>
              <w:widowControl w:val="0"/>
              <w:jc w:val="center"/>
              <w:rPr>
                <w:snapToGrid w:val="0"/>
              </w:rPr>
            </w:pPr>
            <w:r>
              <w:rPr>
                <w:snapToGrid w:val="0"/>
              </w:rPr>
              <w:t>21,9</w:t>
            </w:r>
          </w:p>
        </w:tc>
        <w:tc>
          <w:tcPr>
            <w:tcW w:w="353" w:type="pct"/>
            <w:tcBorders>
              <w:top w:val="single" w:sz="6" w:space="0" w:color="auto"/>
              <w:left w:val="single" w:sz="6" w:space="0" w:color="auto"/>
              <w:bottom w:val="single" w:sz="6" w:space="0" w:color="auto"/>
              <w:right w:val="single" w:sz="6" w:space="0" w:color="auto"/>
            </w:tcBorders>
          </w:tcPr>
          <w:p w:rsidR="00000000" w:rsidRDefault="00000000">
            <w:pPr>
              <w:widowControl w:val="0"/>
              <w:jc w:val="center"/>
              <w:rPr>
                <w:snapToGrid w:val="0"/>
              </w:rPr>
            </w:pPr>
            <w:r>
              <w:rPr>
                <w:snapToGrid w:val="0"/>
              </w:rPr>
              <w:t>40,25</w:t>
            </w:r>
          </w:p>
        </w:tc>
        <w:tc>
          <w:tcPr>
            <w:tcW w:w="318" w:type="pct"/>
            <w:tcBorders>
              <w:top w:val="single" w:sz="6" w:space="0" w:color="auto"/>
              <w:left w:val="single" w:sz="6" w:space="0" w:color="auto"/>
              <w:bottom w:val="single" w:sz="6" w:space="0" w:color="auto"/>
              <w:right w:val="single" w:sz="6" w:space="0" w:color="auto"/>
            </w:tcBorders>
          </w:tcPr>
          <w:p w:rsidR="00000000" w:rsidRDefault="00000000">
            <w:pPr>
              <w:widowControl w:val="0"/>
              <w:jc w:val="center"/>
              <w:rPr>
                <w:snapToGrid w:val="0"/>
              </w:rPr>
            </w:pPr>
            <w:r>
              <w:rPr>
                <w:snapToGrid w:val="0"/>
              </w:rPr>
              <w:t>41,6</w:t>
            </w:r>
          </w:p>
        </w:tc>
        <w:tc>
          <w:tcPr>
            <w:tcW w:w="353" w:type="pct"/>
            <w:tcBorders>
              <w:top w:val="single" w:sz="6" w:space="0" w:color="auto"/>
              <w:left w:val="single" w:sz="6" w:space="0" w:color="auto"/>
              <w:bottom w:val="single" w:sz="6" w:space="0" w:color="auto"/>
              <w:right w:val="single" w:sz="6" w:space="0" w:color="auto"/>
            </w:tcBorders>
          </w:tcPr>
          <w:p w:rsidR="00000000" w:rsidRDefault="00000000">
            <w:pPr>
              <w:widowControl w:val="0"/>
              <w:jc w:val="center"/>
              <w:rPr>
                <w:snapToGrid w:val="0"/>
              </w:rPr>
            </w:pPr>
            <w:r>
              <w:rPr>
                <w:snapToGrid w:val="0"/>
              </w:rPr>
              <w:t>44,02</w:t>
            </w:r>
          </w:p>
        </w:tc>
        <w:tc>
          <w:tcPr>
            <w:tcW w:w="318" w:type="pct"/>
            <w:tcBorders>
              <w:top w:val="single" w:sz="6" w:space="0" w:color="auto"/>
              <w:left w:val="single" w:sz="6" w:space="0" w:color="auto"/>
              <w:bottom w:val="single" w:sz="6" w:space="0" w:color="auto"/>
              <w:right w:val="single" w:sz="6" w:space="0" w:color="auto"/>
            </w:tcBorders>
          </w:tcPr>
          <w:p w:rsidR="00000000" w:rsidRDefault="00000000">
            <w:pPr>
              <w:widowControl w:val="0"/>
              <w:jc w:val="center"/>
              <w:rPr>
                <w:snapToGrid w:val="0"/>
              </w:rPr>
            </w:pPr>
            <w:r>
              <w:rPr>
                <w:snapToGrid w:val="0"/>
              </w:rPr>
              <w:t>47,6</w:t>
            </w:r>
          </w:p>
        </w:tc>
        <w:tc>
          <w:tcPr>
            <w:tcW w:w="353" w:type="pct"/>
            <w:tcBorders>
              <w:top w:val="single" w:sz="6" w:space="0" w:color="auto"/>
              <w:left w:val="single" w:sz="6" w:space="0" w:color="auto"/>
              <w:bottom w:val="single" w:sz="6" w:space="0" w:color="auto"/>
              <w:right w:val="single" w:sz="6" w:space="0" w:color="auto"/>
            </w:tcBorders>
          </w:tcPr>
          <w:p w:rsidR="00000000" w:rsidRDefault="00000000">
            <w:pPr>
              <w:widowControl w:val="0"/>
              <w:jc w:val="center"/>
              <w:rPr>
                <w:snapToGrid w:val="0"/>
              </w:rPr>
            </w:pPr>
            <w:r>
              <w:rPr>
                <w:snapToGrid w:val="0"/>
              </w:rPr>
              <w:t>47,59</w:t>
            </w:r>
          </w:p>
        </w:tc>
        <w:tc>
          <w:tcPr>
            <w:tcW w:w="318" w:type="pct"/>
            <w:tcBorders>
              <w:top w:val="single" w:sz="6" w:space="0" w:color="auto"/>
              <w:left w:val="single" w:sz="6" w:space="0" w:color="auto"/>
              <w:bottom w:val="single" w:sz="6" w:space="0" w:color="auto"/>
              <w:right w:val="single" w:sz="6" w:space="0" w:color="auto"/>
            </w:tcBorders>
          </w:tcPr>
          <w:p w:rsidR="00000000" w:rsidRDefault="00000000">
            <w:pPr>
              <w:widowControl w:val="0"/>
              <w:jc w:val="center"/>
              <w:rPr>
                <w:snapToGrid w:val="0"/>
              </w:rPr>
            </w:pPr>
            <w:r>
              <w:rPr>
                <w:snapToGrid w:val="0"/>
              </w:rPr>
              <w:t>50,4</w:t>
            </w:r>
          </w:p>
        </w:tc>
        <w:tc>
          <w:tcPr>
            <w:tcW w:w="316" w:type="pct"/>
            <w:tcBorders>
              <w:top w:val="single" w:sz="6" w:space="0" w:color="auto"/>
              <w:left w:val="single" w:sz="6" w:space="0" w:color="auto"/>
              <w:bottom w:val="single" w:sz="6" w:space="0" w:color="auto"/>
              <w:right w:val="single" w:sz="6" w:space="0" w:color="auto"/>
            </w:tcBorders>
          </w:tcPr>
          <w:p w:rsidR="00000000" w:rsidRDefault="00000000">
            <w:pPr>
              <w:widowControl w:val="0"/>
              <w:jc w:val="center"/>
              <w:rPr>
                <w:snapToGrid w:val="0"/>
              </w:rPr>
            </w:pPr>
            <w:r>
              <w:rPr>
                <w:snapToGrid w:val="0"/>
              </w:rPr>
              <w:t>45,6</w:t>
            </w:r>
          </w:p>
        </w:tc>
      </w:tr>
    </w:tbl>
    <w:p w:rsidR="00000000" w:rsidRDefault="00000000">
      <w:pPr>
        <w:spacing w:before="220"/>
      </w:pPr>
      <w:r>
        <w:rPr>
          <w:i/>
          <w:iCs/>
        </w:rPr>
        <w:t xml:space="preserve">Fuente:  </w:t>
      </w:r>
      <w:r>
        <w:t xml:space="preserve">Anuarios de </w:t>
      </w:r>
      <w:proofErr w:type="spellStart"/>
      <w:r>
        <w:t>BSS/DPRE</w:t>
      </w:r>
      <w:proofErr w:type="spellEnd"/>
      <w:r>
        <w:t>, 2004.</w:t>
      </w:r>
    </w:p>
    <w:p w:rsidR="00000000" w:rsidRDefault="00000000">
      <w:pPr>
        <w:spacing w:before="400" w:after="220"/>
        <w:jc w:val="center"/>
        <w:rPr>
          <w:b/>
          <w:bCs/>
        </w:rPr>
      </w:pPr>
      <w:r>
        <w:rPr>
          <w:b/>
          <w:bCs/>
        </w:rPr>
        <w:t xml:space="preserve">Evolución de los resultados escolares obtenidos en el certificado </w:t>
      </w:r>
      <w:r>
        <w:rPr>
          <w:b/>
          <w:bCs/>
        </w:rPr>
        <w:br/>
        <w:t>de enseñanza primaria, por regiones</w:t>
      </w:r>
    </w:p>
    <w:tbl>
      <w:tblPr>
        <w:tblW w:w="0" w:type="auto"/>
        <w:jc w:val="center"/>
        <w:tblInd w:w="-816" w:type="dxa"/>
        <w:tblLayout w:type="fixed"/>
        <w:tblCellMar>
          <w:left w:w="30" w:type="dxa"/>
          <w:right w:w="30" w:type="dxa"/>
        </w:tblCellMar>
        <w:tblLook w:val="0000" w:firstRow="0" w:lastRow="0" w:firstColumn="0" w:lastColumn="0" w:noHBand="0" w:noVBand="0"/>
      </w:tblPr>
      <w:tblGrid>
        <w:gridCol w:w="1728"/>
        <w:gridCol w:w="1275"/>
        <w:gridCol w:w="1276"/>
        <w:gridCol w:w="1276"/>
        <w:gridCol w:w="1610"/>
      </w:tblGrid>
      <w:tr w:rsidR="00000000">
        <w:tblPrEx>
          <w:tblCellMar>
            <w:top w:w="0" w:type="dxa"/>
            <w:bottom w:w="0" w:type="dxa"/>
          </w:tblCellMar>
        </w:tblPrEx>
        <w:trPr>
          <w:cantSplit/>
          <w:tblHeader/>
          <w:jc w:val="center"/>
        </w:trPr>
        <w:tc>
          <w:tcPr>
            <w:tcW w:w="1728" w:type="dxa"/>
            <w:vMerge w:val="restart"/>
            <w:tcBorders>
              <w:top w:val="single" w:sz="6" w:space="0" w:color="auto"/>
              <w:left w:val="single" w:sz="6" w:space="0" w:color="auto"/>
              <w:right w:val="single" w:sz="6" w:space="0" w:color="auto"/>
            </w:tcBorders>
            <w:vAlign w:val="center"/>
          </w:tcPr>
          <w:p w:rsidR="00000000" w:rsidRDefault="00000000">
            <w:pPr>
              <w:widowControl w:val="0"/>
              <w:jc w:val="center"/>
              <w:rPr>
                <w:b/>
                <w:szCs w:val="32"/>
              </w:rPr>
            </w:pPr>
            <w:r>
              <w:rPr>
                <w:b/>
                <w:szCs w:val="32"/>
              </w:rPr>
              <w:t>Región</w:t>
            </w:r>
          </w:p>
        </w:tc>
        <w:tc>
          <w:tcPr>
            <w:tcW w:w="5437" w:type="dxa"/>
            <w:gridSpan w:val="4"/>
            <w:tcBorders>
              <w:top w:val="single" w:sz="6" w:space="0" w:color="auto"/>
              <w:left w:val="single" w:sz="6" w:space="0" w:color="auto"/>
              <w:bottom w:val="single" w:sz="6" w:space="0" w:color="auto"/>
              <w:right w:val="single" w:sz="6" w:space="0" w:color="auto"/>
            </w:tcBorders>
            <w:vAlign w:val="center"/>
          </w:tcPr>
          <w:p w:rsidR="00000000" w:rsidRDefault="00000000">
            <w:pPr>
              <w:widowControl w:val="0"/>
              <w:jc w:val="center"/>
              <w:rPr>
                <w:b/>
                <w:szCs w:val="32"/>
              </w:rPr>
            </w:pPr>
            <w:r>
              <w:rPr>
                <w:b/>
                <w:szCs w:val="32"/>
              </w:rPr>
              <w:t>Año escolar</w:t>
            </w:r>
          </w:p>
        </w:tc>
      </w:tr>
      <w:tr w:rsidR="00000000">
        <w:tblPrEx>
          <w:tblCellMar>
            <w:top w:w="0" w:type="dxa"/>
            <w:bottom w:w="0" w:type="dxa"/>
          </w:tblCellMar>
        </w:tblPrEx>
        <w:trPr>
          <w:cantSplit/>
          <w:tblHeader/>
          <w:jc w:val="center"/>
        </w:trPr>
        <w:tc>
          <w:tcPr>
            <w:tcW w:w="1728" w:type="dxa"/>
            <w:vMerge/>
            <w:tcBorders>
              <w:left w:val="single" w:sz="6" w:space="0" w:color="auto"/>
              <w:right w:val="single" w:sz="6" w:space="0" w:color="auto"/>
            </w:tcBorders>
            <w:vAlign w:val="center"/>
          </w:tcPr>
          <w:p w:rsidR="00000000" w:rsidRDefault="00000000">
            <w:pPr>
              <w:widowControl w:val="0"/>
              <w:jc w:val="center"/>
              <w:rPr>
                <w:b/>
                <w:szCs w:val="32"/>
              </w:rPr>
            </w:pPr>
          </w:p>
        </w:tc>
        <w:tc>
          <w:tcPr>
            <w:tcW w:w="1275" w:type="dxa"/>
            <w:tcBorders>
              <w:top w:val="single" w:sz="6" w:space="0" w:color="auto"/>
              <w:left w:val="single" w:sz="6" w:space="0" w:color="auto"/>
              <w:bottom w:val="single" w:sz="6" w:space="0" w:color="auto"/>
              <w:right w:val="single" w:sz="6" w:space="0" w:color="auto"/>
            </w:tcBorders>
            <w:vAlign w:val="center"/>
          </w:tcPr>
          <w:p w:rsidR="00000000" w:rsidRDefault="00000000">
            <w:pPr>
              <w:widowControl w:val="0"/>
              <w:jc w:val="center"/>
              <w:rPr>
                <w:b/>
                <w:szCs w:val="32"/>
              </w:rPr>
            </w:pPr>
            <w:r>
              <w:rPr>
                <w:b/>
                <w:szCs w:val="32"/>
              </w:rPr>
              <w:t>1990/91</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widowControl w:val="0"/>
              <w:jc w:val="center"/>
              <w:rPr>
                <w:b/>
                <w:szCs w:val="32"/>
              </w:rPr>
            </w:pPr>
            <w:r>
              <w:rPr>
                <w:b/>
                <w:szCs w:val="32"/>
              </w:rPr>
              <w:t>1996/97</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widowControl w:val="0"/>
              <w:jc w:val="center"/>
              <w:rPr>
                <w:b/>
                <w:szCs w:val="32"/>
              </w:rPr>
            </w:pPr>
            <w:r>
              <w:rPr>
                <w:b/>
                <w:szCs w:val="32"/>
              </w:rPr>
              <w:t>2000/01</w:t>
            </w:r>
          </w:p>
        </w:tc>
        <w:tc>
          <w:tcPr>
            <w:tcW w:w="1610" w:type="dxa"/>
            <w:tcBorders>
              <w:top w:val="single" w:sz="6" w:space="0" w:color="auto"/>
              <w:left w:val="single" w:sz="6" w:space="0" w:color="auto"/>
              <w:bottom w:val="single" w:sz="6" w:space="0" w:color="auto"/>
              <w:right w:val="single" w:sz="6" w:space="0" w:color="auto"/>
            </w:tcBorders>
            <w:vAlign w:val="center"/>
          </w:tcPr>
          <w:p w:rsidR="00000000" w:rsidRDefault="00000000">
            <w:pPr>
              <w:widowControl w:val="0"/>
              <w:jc w:val="center"/>
              <w:rPr>
                <w:b/>
                <w:szCs w:val="32"/>
              </w:rPr>
            </w:pPr>
            <w:r>
              <w:rPr>
                <w:b/>
                <w:szCs w:val="32"/>
              </w:rPr>
              <w:t>Diferencias (1996-2001)</w:t>
            </w:r>
          </w:p>
        </w:tc>
      </w:tr>
      <w:tr w:rsidR="00000000">
        <w:tblPrEx>
          <w:tblCellMar>
            <w:top w:w="0" w:type="dxa"/>
            <w:bottom w:w="0" w:type="dxa"/>
          </w:tblCellMar>
        </w:tblPrEx>
        <w:trPr>
          <w:jc w:val="center"/>
        </w:trPr>
        <w:tc>
          <w:tcPr>
            <w:tcW w:w="1728" w:type="dxa"/>
            <w:tcBorders>
              <w:top w:val="single" w:sz="6" w:space="0" w:color="auto"/>
              <w:left w:val="single" w:sz="6" w:space="0" w:color="auto"/>
              <w:bottom w:val="single" w:sz="6" w:space="0" w:color="auto"/>
              <w:right w:val="single" w:sz="6" w:space="0" w:color="auto"/>
            </w:tcBorders>
          </w:tcPr>
          <w:p w:rsidR="00000000" w:rsidRDefault="00000000">
            <w:pPr>
              <w:widowControl w:val="0"/>
              <w:rPr>
                <w:szCs w:val="32"/>
                <w:lang w:val="nl-NL"/>
              </w:rPr>
            </w:pPr>
            <w:r>
              <w:rPr>
                <w:szCs w:val="32"/>
                <w:lang w:val="nl-NL"/>
              </w:rPr>
              <w:t>Dakar</w:t>
            </w:r>
          </w:p>
        </w:tc>
        <w:tc>
          <w:tcPr>
            <w:tcW w:w="1275" w:type="dxa"/>
            <w:tcBorders>
              <w:top w:val="single" w:sz="6" w:space="0" w:color="auto"/>
              <w:left w:val="single" w:sz="6" w:space="0" w:color="auto"/>
              <w:bottom w:val="single" w:sz="6" w:space="0" w:color="auto"/>
              <w:right w:val="nil"/>
            </w:tcBorders>
          </w:tcPr>
          <w:p w:rsidR="00000000" w:rsidRDefault="00000000">
            <w:pPr>
              <w:keepNext/>
              <w:keepLines/>
              <w:jc w:val="center"/>
              <w:rPr>
                <w:szCs w:val="32"/>
                <w:lang w:val="nl-NL"/>
              </w:rPr>
            </w:pPr>
            <w:r>
              <w:rPr>
                <w:szCs w:val="32"/>
                <w:lang w:val="nl-NL"/>
              </w:rPr>
              <w:t>37,9</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ind w:right="396"/>
              <w:jc w:val="right"/>
              <w:rPr>
                <w:szCs w:val="32"/>
                <w:lang w:val="nl-NL"/>
              </w:rPr>
            </w:pPr>
            <w:r>
              <w:rPr>
                <w:szCs w:val="32"/>
                <w:lang w:val="nl-NL"/>
              </w:rPr>
              <w:t>…</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jc w:val="center"/>
              <w:rPr>
                <w:szCs w:val="32"/>
                <w:lang w:val="nl-NL"/>
              </w:rPr>
            </w:pPr>
            <w:r>
              <w:rPr>
                <w:szCs w:val="32"/>
                <w:lang w:val="nl-NL"/>
              </w:rPr>
              <w:t>53,2</w:t>
            </w:r>
          </w:p>
        </w:tc>
        <w:tc>
          <w:tcPr>
            <w:tcW w:w="1610"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decimal" w:pos="417"/>
              </w:tabs>
              <w:rPr>
                <w:szCs w:val="32"/>
                <w:lang w:val="nl-NL"/>
              </w:rPr>
            </w:pPr>
          </w:p>
        </w:tc>
      </w:tr>
      <w:tr w:rsidR="00000000">
        <w:tblPrEx>
          <w:tblCellMar>
            <w:top w:w="0" w:type="dxa"/>
            <w:bottom w:w="0" w:type="dxa"/>
          </w:tblCellMar>
        </w:tblPrEx>
        <w:trPr>
          <w:jc w:val="center"/>
        </w:trPr>
        <w:tc>
          <w:tcPr>
            <w:tcW w:w="1728" w:type="dxa"/>
            <w:tcBorders>
              <w:top w:val="single" w:sz="6" w:space="0" w:color="auto"/>
              <w:left w:val="single" w:sz="6" w:space="0" w:color="auto"/>
              <w:bottom w:val="single" w:sz="6" w:space="0" w:color="auto"/>
              <w:right w:val="single" w:sz="6" w:space="0" w:color="auto"/>
            </w:tcBorders>
          </w:tcPr>
          <w:p w:rsidR="00000000" w:rsidRDefault="00000000">
            <w:pPr>
              <w:widowControl w:val="0"/>
              <w:rPr>
                <w:szCs w:val="32"/>
                <w:lang w:val="nl-NL"/>
              </w:rPr>
            </w:pPr>
            <w:r>
              <w:rPr>
                <w:szCs w:val="32"/>
                <w:lang w:val="nl-NL"/>
              </w:rPr>
              <w:t>Ziguinchor</w:t>
            </w:r>
          </w:p>
        </w:tc>
        <w:tc>
          <w:tcPr>
            <w:tcW w:w="1275" w:type="dxa"/>
            <w:tcBorders>
              <w:top w:val="single" w:sz="6" w:space="0" w:color="auto"/>
              <w:left w:val="single" w:sz="6" w:space="0" w:color="auto"/>
              <w:bottom w:val="single" w:sz="6" w:space="0" w:color="auto"/>
              <w:right w:val="nil"/>
            </w:tcBorders>
          </w:tcPr>
          <w:p w:rsidR="00000000" w:rsidRDefault="00000000">
            <w:pPr>
              <w:keepNext/>
              <w:keepLines/>
              <w:jc w:val="center"/>
              <w:rPr>
                <w:szCs w:val="32"/>
                <w:lang w:val="nl-NL"/>
              </w:rPr>
            </w:pPr>
            <w:r>
              <w:rPr>
                <w:szCs w:val="32"/>
                <w:lang w:val="nl-NL"/>
              </w:rPr>
              <w:t>40,3</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672"/>
              </w:tabs>
              <w:rPr>
                <w:szCs w:val="32"/>
                <w:lang w:val="nl-NL"/>
              </w:rPr>
            </w:pPr>
            <w:r>
              <w:rPr>
                <w:szCs w:val="32"/>
                <w:lang w:val="nl-NL"/>
              </w:rPr>
              <w:t>46,</w:t>
            </w:r>
            <w:r>
              <w:rPr>
                <w:szCs w:val="32"/>
                <w:lang w:val="de-DE"/>
              </w:rPr>
              <w:t>08</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jc w:val="center"/>
              <w:rPr>
                <w:szCs w:val="32"/>
                <w:lang w:val="nl-NL"/>
              </w:rPr>
            </w:pPr>
            <w:r>
              <w:rPr>
                <w:szCs w:val="32"/>
                <w:lang w:val="nl-NL"/>
              </w:rPr>
              <w:t>50,4</w:t>
            </w:r>
          </w:p>
        </w:tc>
        <w:tc>
          <w:tcPr>
            <w:tcW w:w="1610"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698"/>
              </w:tabs>
              <w:rPr>
                <w:szCs w:val="32"/>
                <w:lang w:val="x-none"/>
              </w:rPr>
            </w:pPr>
            <w:r>
              <w:rPr>
                <w:szCs w:val="32"/>
                <w:lang w:val="nl-NL"/>
              </w:rPr>
              <w:t>4,32</w:t>
            </w:r>
          </w:p>
        </w:tc>
      </w:tr>
      <w:tr w:rsidR="00000000">
        <w:tblPrEx>
          <w:tblCellMar>
            <w:top w:w="0" w:type="dxa"/>
            <w:bottom w:w="0" w:type="dxa"/>
          </w:tblCellMar>
        </w:tblPrEx>
        <w:trPr>
          <w:jc w:val="center"/>
        </w:trPr>
        <w:tc>
          <w:tcPr>
            <w:tcW w:w="1728" w:type="dxa"/>
            <w:tcBorders>
              <w:top w:val="single" w:sz="6" w:space="0" w:color="auto"/>
              <w:left w:val="single" w:sz="6" w:space="0" w:color="auto"/>
              <w:bottom w:val="single" w:sz="6" w:space="0" w:color="auto"/>
              <w:right w:val="single" w:sz="6" w:space="0" w:color="auto"/>
            </w:tcBorders>
          </w:tcPr>
          <w:p w:rsidR="00000000" w:rsidRDefault="00000000">
            <w:pPr>
              <w:widowControl w:val="0"/>
              <w:rPr>
                <w:szCs w:val="32"/>
                <w:lang w:val="nl-NL"/>
              </w:rPr>
            </w:pPr>
            <w:r>
              <w:rPr>
                <w:szCs w:val="32"/>
                <w:lang w:val="nl-NL"/>
              </w:rPr>
              <w:t>Diourbel</w:t>
            </w:r>
          </w:p>
        </w:tc>
        <w:tc>
          <w:tcPr>
            <w:tcW w:w="1275" w:type="dxa"/>
            <w:tcBorders>
              <w:top w:val="single" w:sz="6" w:space="0" w:color="auto"/>
              <w:left w:val="single" w:sz="6" w:space="0" w:color="auto"/>
              <w:bottom w:val="single" w:sz="6" w:space="0" w:color="auto"/>
              <w:right w:val="nil"/>
            </w:tcBorders>
          </w:tcPr>
          <w:p w:rsidR="00000000" w:rsidRDefault="00000000">
            <w:pPr>
              <w:keepNext/>
              <w:keepLines/>
              <w:jc w:val="center"/>
              <w:rPr>
                <w:szCs w:val="32"/>
                <w:lang w:val="en-GB"/>
              </w:rPr>
            </w:pPr>
            <w:r>
              <w:rPr>
                <w:szCs w:val="32"/>
                <w:lang w:val="en-GB"/>
              </w:rPr>
              <w:t>27,7</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672"/>
              </w:tabs>
              <w:rPr>
                <w:szCs w:val="32"/>
                <w:lang w:val="en-GB"/>
              </w:rPr>
            </w:pPr>
            <w:r>
              <w:rPr>
                <w:szCs w:val="32"/>
                <w:lang w:val="en-GB"/>
              </w:rPr>
              <w:t>43,29</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jc w:val="center"/>
              <w:rPr>
                <w:bCs/>
                <w:szCs w:val="32"/>
                <w:lang w:val="en-GB"/>
              </w:rPr>
            </w:pPr>
            <w:r>
              <w:rPr>
                <w:bCs/>
                <w:szCs w:val="32"/>
                <w:lang w:val="en-GB"/>
              </w:rPr>
              <w:t>49,4</w:t>
            </w:r>
          </w:p>
        </w:tc>
        <w:tc>
          <w:tcPr>
            <w:tcW w:w="1610"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698"/>
              </w:tabs>
              <w:rPr>
                <w:bCs/>
                <w:szCs w:val="32"/>
                <w:lang w:val="x-none"/>
              </w:rPr>
            </w:pPr>
            <w:r>
              <w:rPr>
                <w:bCs/>
                <w:szCs w:val="32"/>
                <w:lang w:val="en-GB"/>
              </w:rPr>
              <w:t>6,11</w:t>
            </w:r>
          </w:p>
        </w:tc>
      </w:tr>
      <w:tr w:rsidR="00000000">
        <w:tblPrEx>
          <w:tblCellMar>
            <w:top w:w="0" w:type="dxa"/>
            <w:bottom w:w="0" w:type="dxa"/>
          </w:tblCellMar>
        </w:tblPrEx>
        <w:trPr>
          <w:jc w:val="center"/>
        </w:trPr>
        <w:tc>
          <w:tcPr>
            <w:tcW w:w="1728" w:type="dxa"/>
            <w:tcBorders>
              <w:top w:val="single" w:sz="6" w:space="0" w:color="auto"/>
              <w:left w:val="single" w:sz="6" w:space="0" w:color="auto"/>
              <w:bottom w:val="single" w:sz="6" w:space="0" w:color="auto"/>
              <w:right w:val="single" w:sz="6" w:space="0" w:color="auto"/>
            </w:tcBorders>
          </w:tcPr>
          <w:p w:rsidR="00000000" w:rsidRDefault="00000000">
            <w:pPr>
              <w:widowControl w:val="0"/>
              <w:rPr>
                <w:szCs w:val="32"/>
                <w:lang w:val="en-GB"/>
              </w:rPr>
            </w:pPr>
            <w:r>
              <w:rPr>
                <w:szCs w:val="32"/>
                <w:lang w:val="en-GB"/>
              </w:rPr>
              <w:t>St Louis</w:t>
            </w:r>
          </w:p>
        </w:tc>
        <w:tc>
          <w:tcPr>
            <w:tcW w:w="1275" w:type="dxa"/>
            <w:tcBorders>
              <w:top w:val="single" w:sz="6" w:space="0" w:color="auto"/>
              <w:left w:val="single" w:sz="6" w:space="0" w:color="auto"/>
              <w:bottom w:val="single" w:sz="6" w:space="0" w:color="auto"/>
              <w:right w:val="nil"/>
            </w:tcBorders>
          </w:tcPr>
          <w:p w:rsidR="00000000" w:rsidRDefault="00000000">
            <w:pPr>
              <w:keepNext/>
              <w:keepLines/>
              <w:jc w:val="center"/>
              <w:rPr>
                <w:szCs w:val="32"/>
                <w:lang w:val="en-GB"/>
              </w:rPr>
            </w:pPr>
            <w:r>
              <w:rPr>
                <w:szCs w:val="32"/>
                <w:lang w:val="en-GB"/>
              </w:rPr>
              <w:t>46,6</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672"/>
              </w:tabs>
              <w:rPr>
                <w:szCs w:val="32"/>
                <w:lang w:val="en-GB"/>
              </w:rPr>
            </w:pPr>
            <w:r>
              <w:rPr>
                <w:szCs w:val="32"/>
                <w:lang w:val="en-GB"/>
              </w:rPr>
              <w:t>45,99</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jc w:val="center"/>
              <w:rPr>
                <w:bCs/>
                <w:szCs w:val="32"/>
                <w:lang w:val="en-GB"/>
              </w:rPr>
            </w:pPr>
            <w:r>
              <w:rPr>
                <w:bCs/>
                <w:szCs w:val="32"/>
                <w:lang w:val="en-GB"/>
              </w:rPr>
              <w:t>56,4</w:t>
            </w:r>
          </w:p>
        </w:tc>
        <w:tc>
          <w:tcPr>
            <w:tcW w:w="1610"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698"/>
              </w:tabs>
              <w:rPr>
                <w:bCs/>
                <w:szCs w:val="32"/>
                <w:lang w:val="x-none"/>
              </w:rPr>
            </w:pPr>
            <w:r>
              <w:rPr>
                <w:bCs/>
                <w:szCs w:val="32"/>
                <w:lang w:val="en-GB"/>
              </w:rPr>
              <w:t>10,41</w:t>
            </w:r>
          </w:p>
        </w:tc>
      </w:tr>
      <w:tr w:rsidR="00000000">
        <w:tblPrEx>
          <w:tblCellMar>
            <w:top w:w="0" w:type="dxa"/>
            <w:bottom w:w="0" w:type="dxa"/>
          </w:tblCellMar>
        </w:tblPrEx>
        <w:trPr>
          <w:jc w:val="center"/>
        </w:trPr>
        <w:tc>
          <w:tcPr>
            <w:tcW w:w="1728" w:type="dxa"/>
            <w:tcBorders>
              <w:top w:val="single" w:sz="6" w:space="0" w:color="auto"/>
              <w:left w:val="single" w:sz="6" w:space="0" w:color="auto"/>
              <w:bottom w:val="single" w:sz="6" w:space="0" w:color="auto"/>
              <w:right w:val="single" w:sz="6" w:space="0" w:color="auto"/>
            </w:tcBorders>
          </w:tcPr>
          <w:p w:rsidR="00000000" w:rsidRDefault="00000000">
            <w:pPr>
              <w:widowControl w:val="0"/>
              <w:rPr>
                <w:szCs w:val="32"/>
                <w:lang w:val="en-GB"/>
              </w:rPr>
            </w:pPr>
            <w:proofErr w:type="spellStart"/>
            <w:r>
              <w:rPr>
                <w:szCs w:val="32"/>
                <w:lang w:val="en-GB"/>
              </w:rPr>
              <w:t>Tamba</w:t>
            </w:r>
            <w:proofErr w:type="spellEnd"/>
          </w:p>
        </w:tc>
        <w:tc>
          <w:tcPr>
            <w:tcW w:w="1275" w:type="dxa"/>
            <w:tcBorders>
              <w:top w:val="single" w:sz="6" w:space="0" w:color="auto"/>
              <w:left w:val="single" w:sz="6" w:space="0" w:color="auto"/>
              <w:bottom w:val="single" w:sz="6" w:space="0" w:color="auto"/>
              <w:right w:val="nil"/>
            </w:tcBorders>
          </w:tcPr>
          <w:p w:rsidR="00000000" w:rsidRDefault="00000000">
            <w:pPr>
              <w:keepNext/>
              <w:keepLines/>
              <w:jc w:val="center"/>
              <w:rPr>
                <w:szCs w:val="32"/>
                <w:lang w:val="en-GB"/>
              </w:rPr>
            </w:pPr>
            <w:r>
              <w:rPr>
                <w:szCs w:val="32"/>
                <w:lang w:val="en-GB"/>
              </w:rPr>
              <w:t>41,2</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672"/>
              </w:tabs>
              <w:rPr>
                <w:szCs w:val="32"/>
                <w:lang w:val="en-GB"/>
              </w:rPr>
            </w:pPr>
            <w:r>
              <w:rPr>
                <w:szCs w:val="32"/>
                <w:lang w:val="en-GB"/>
              </w:rPr>
              <w:t>40,</w:t>
            </w:r>
            <w:r>
              <w:rPr>
                <w:szCs w:val="32"/>
                <w:lang w:val="nl-NL"/>
              </w:rPr>
              <w:t>52</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jc w:val="center"/>
              <w:rPr>
                <w:szCs w:val="32"/>
                <w:lang w:val="en-GB"/>
              </w:rPr>
            </w:pPr>
            <w:r>
              <w:rPr>
                <w:szCs w:val="32"/>
                <w:lang w:val="en-GB"/>
              </w:rPr>
              <w:t>39,3</w:t>
            </w:r>
          </w:p>
        </w:tc>
        <w:tc>
          <w:tcPr>
            <w:tcW w:w="1610"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698"/>
              </w:tabs>
              <w:rPr>
                <w:szCs w:val="32"/>
                <w:lang w:val="x-none"/>
              </w:rPr>
            </w:pPr>
            <w:r>
              <w:rPr>
                <w:szCs w:val="32"/>
                <w:lang w:val="en-GB"/>
              </w:rPr>
              <w:t>-1,</w:t>
            </w:r>
            <w:r>
              <w:rPr>
                <w:bCs/>
                <w:szCs w:val="32"/>
                <w:lang w:val="en-GB"/>
              </w:rPr>
              <w:t>22</w:t>
            </w:r>
          </w:p>
        </w:tc>
      </w:tr>
      <w:tr w:rsidR="00000000">
        <w:tblPrEx>
          <w:tblCellMar>
            <w:top w:w="0" w:type="dxa"/>
            <w:bottom w:w="0" w:type="dxa"/>
          </w:tblCellMar>
        </w:tblPrEx>
        <w:trPr>
          <w:jc w:val="center"/>
        </w:trPr>
        <w:tc>
          <w:tcPr>
            <w:tcW w:w="1728" w:type="dxa"/>
            <w:tcBorders>
              <w:top w:val="single" w:sz="6" w:space="0" w:color="auto"/>
              <w:left w:val="single" w:sz="6" w:space="0" w:color="auto"/>
              <w:bottom w:val="single" w:sz="6" w:space="0" w:color="auto"/>
              <w:right w:val="single" w:sz="6" w:space="0" w:color="auto"/>
            </w:tcBorders>
          </w:tcPr>
          <w:p w:rsidR="00000000" w:rsidRDefault="00000000">
            <w:pPr>
              <w:widowControl w:val="0"/>
              <w:rPr>
                <w:szCs w:val="32"/>
                <w:lang w:val="en-GB"/>
              </w:rPr>
            </w:pPr>
            <w:proofErr w:type="spellStart"/>
            <w:r>
              <w:rPr>
                <w:szCs w:val="32"/>
                <w:lang w:val="en-GB"/>
              </w:rPr>
              <w:t>Kaolack</w:t>
            </w:r>
            <w:proofErr w:type="spellEnd"/>
          </w:p>
        </w:tc>
        <w:tc>
          <w:tcPr>
            <w:tcW w:w="1275" w:type="dxa"/>
            <w:tcBorders>
              <w:top w:val="single" w:sz="6" w:space="0" w:color="auto"/>
              <w:left w:val="single" w:sz="6" w:space="0" w:color="auto"/>
              <w:bottom w:val="single" w:sz="6" w:space="0" w:color="auto"/>
              <w:right w:val="nil"/>
            </w:tcBorders>
          </w:tcPr>
          <w:p w:rsidR="00000000" w:rsidRDefault="00000000">
            <w:pPr>
              <w:keepNext/>
              <w:keepLines/>
              <w:jc w:val="center"/>
              <w:rPr>
                <w:szCs w:val="32"/>
                <w:lang w:val="en-GB"/>
              </w:rPr>
            </w:pPr>
            <w:r>
              <w:rPr>
                <w:szCs w:val="32"/>
                <w:lang w:val="en-GB"/>
              </w:rPr>
              <w:t>39,9</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672"/>
              </w:tabs>
              <w:rPr>
                <w:szCs w:val="32"/>
                <w:lang w:val="en-GB"/>
              </w:rPr>
            </w:pPr>
            <w:r>
              <w:rPr>
                <w:szCs w:val="32"/>
                <w:lang w:val="en-GB"/>
              </w:rPr>
              <w:t>42,</w:t>
            </w:r>
            <w:r>
              <w:rPr>
                <w:szCs w:val="32"/>
                <w:lang w:val="nl-NL"/>
              </w:rPr>
              <w:t>34</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jc w:val="center"/>
              <w:rPr>
                <w:szCs w:val="32"/>
                <w:lang w:val="en-GB"/>
              </w:rPr>
            </w:pPr>
            <w:r>
              <w:rPr>
                <w:szCs w:val="32"/>
                <w:lang w:val="en-GB"/>
              </w:rPr>
              <w:t>45,8</w:t>
            </w:r>
          </w:p>
        </w:tc>
        <w:tc>
          <w:tcPr>
            <w:tcW w:w="1610"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698"/>
              </w:tabs>
              <w:rPr>
                <w:szCs w:val="32"/>
                <w:lang w:val="x-none"/>
              </w:rPr>
            </w:pPr>
            <w:r>
              <w:rPr>
                <w:szCs w:val="32"/>
                <w:lang w:val="en-GB"/>
              </w:rPr>
              <w:t>3,</w:t>
            </w:r>
            <w:r>
              <w:rPr>
                <w:bCs/>
                <w:szCs w:val="32"/>
                <w:lang w:val="en-GB"/>
              </w:rPr>
              <w:t>46</w:t>
            </w:r>
          </w:p>
        </w:tc>
      </w:tr>
      <w:tr w:rsidR="00000000">
        <w:tblPrEx>
          <w:tblCellMar>
            <w:top w:w="0" w:type="dxa"/>
            <w:bottom w:w="0" w:type="dxa"/>
          </w:tblCellMar>
        </w:tblPrEx>
        <w:trPr>
          <w:jc w:val="center"/>
        </w:trPr>
        <w:tc>
          <w:tcPr>
            <w:tcW w:w="1728" w:type="dxa"/>
            <w:tcBorders>
              <w:top w:val="single" w:sz="6" w:space="0" w:color="auto"/>
              <w:left w:val="single" w:sz="6" w:space="0" w:color="auto"/>
              <w:bottom w:val="single" w:sz="6" w:space="0" w:color="auto"/>
              <w:right w:val="single" w:sz="6" w:space="0" w:color="auto"/>
            </w:tcBorders>
          </w:tcPr>
          <w:p w:rsidR="00000000" w:rsidRDefault="00000000">
            <w:pPr>
              <w:widowControl w:val="0"/>
              <w:rPr>
                <w:szCs w:val="32"/>
                <w:lang w:val="en-GB"/>
              </w:rPr>
            </w:pPr>
            <w:proofErr w:type="spellStart"/>
            <w:r>
              <w:rPr>
                <w:szCs w:val="32"/>
                <w:lang w:val="en-GB"/>
              </w:rPr>
              <w:t>Thiès</w:t>
            </w:r>
            <w:proofErr w:type="spellEnd"/>
          </w:p>
        </w:tc>
        <w:tc>
          <w:tcPr>
            <w:tcW w:w="1275" w:type="dxa"/>
            <w:tcBorders>
              <w:top w:val="single" w:sz="6" w:space="0" w:color="auto"/>
              <w:left w:val="single" w:sz="6" w:space="0" w:color="auto"/>
              <w:bottom w:val="single" w:sz="6" w:space="0" w:color="auto"/>
              <w:right w:val="nil"/>
            </w:tcBorders>
          </w:tcPr>
          <w:p w:rsidR="00000000" w:rsidRDefault="00000000">
            <w:pPr>
              <w:keepNext/>
              <w:keepLines/>
              <w:jc w:val="center"/>
              <w:rPr>
                <w:szCs w:val="32"/>
                <w:lang w:val="en-GB"/>
              </w:rPr>
            </w:pPr>
            <w:r>
              <w:rPr>
                <w:szCs w:val="32"/>
                <w:lang w:val="en-GB"/>
              </w:rPr>
              <w:t>40,9</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672"/>
              </w:tabs>
              <w:rPr>
                <w:szCs w:val="32"/>
                <w:lang w:val="en-GB"/>
              </w:rPr>
            </w:pPr>
            <w:r>
              <w:rPr>
                <w:szCs w:val="32"/>
                <w:lang w:val="en-GB"/>
              </w:rPr>
              <w:t>42,</w:t>
            </w:r>
            <w:r>
              <w:rPr>
                <w:szCs w:val="32"/>
                <w:lang w:val="nl-NL"/>
              </w:rPr>
              <w:t>71</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jc w:val="center"/>
              <w:rPr>
                <w:szCs w:val="32"/>
                <w:lang w:val="en-GB"/>
              </w:rPr>
            </w:pPr>
            <w:r>
              <w:rPr>
                <w:szCs w:val="32"/>
                <w:lang w:val="en-GB"/>
              </w:rPr>
              <w:t>46,8</w:t>
            </w:r>
          </w:p>
        </w:tc>
        <w:tc>
          <w:tcPr>
            <w:tcW w:w="1610"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698"/>
              </w:tabs>
              <w:rPr>
                <w:szCs w:val="32"/>
                <w:lang w:val="x-none"/>
              </w:rPr>
            </w:pPr>
            <w:r>
              <w:rPr>
                <w:szCs w:val="32"/>
                <w:lang w:val="en-GB"/>
              </w:rPr>
              <w:t>4,09</w:t>
            </w:r>
          </w:p>
        </w:tc>
      </w:tr>
      <w:tr w:rsidR="00000000">
        <w:tblPrEx>
          <w:tblCellMar>
            <w:top w:w="0" w:type="dxa"/>
            <w:bottom w:w="0" w:type="dxa"/>
          </w:tblCellMar>
        </w:tblPrEx>
        <w:trPr>
          <w:jc w:val="center"/>
        </w:trPr>
        <w:tc>
          <w:tcPr>
            <w:tcW w:w="1728" w:type="dxa"/>
            <w:tcBorders>
              <w:top w:val="single" w:sz="6" w:space="0" w:color="auto"/>
              <w:left w:val="single" w:sz="6" w:space="0" w:color="auto"/>
              <w:bottom w:val="single" w:sz="6" w:space="0" w:color="auto"/>
              <w:right w:val="single" w:sz="6" w:space="0" w:color="auto"/>
            </w:tcBorders>
          </w:tcPr>
          <w:p w:rsidR="00000000" w:rsidRDefault="00000000">
            <w:pPr>
              <w:widowControl w:val="0"/>
              <w:rPr>
                <w:szCs w:val="32"/>
                <w:lang w:val="en-GB"/>
              </w:rPr>
            </w:pPr>
            <w:proofErr w:type="spellStart"/>
            <w:r>
              <w:rPr>
                <w:szCs w:val="32"/>
                <w:lang w:val="en-GB"/>
              </w:rPr>
              <w:t>Louga</w:t>
            </w:r>
            <w:proofErr w:type="spellEnd"/>
          </w:p>
        </w:tc>
        <w:tc>
          <w:tcPr>
            <w:tcW w:w="1275" w:type="dxa"/>
            <w:tcBorders>
              <w:top w:val="single" w:sz="6" w:space="0" w:color="auto"/>
              <w:left w:val="single" w:sz="6" w:space="0" w:color="auto"/>
              <w:bottom w:val="single" w:sz="6" w:space="0" w:color="auto"/>
              <w:right w:val="nil"/>
            </w:tcBorders>
          </w:tcPr>
          <w:p w:rsidR="00000000" w:rsidRDefault="00000000">
            <w:pPr>
              <w:keepNext/>
              <w:keepLines/>
              <w:jc w:val="center"/>
              <w:rPr>
                <w:szCs w:val="32"/>
                <w:lang w:val="de-DE"/>
              </w:rPr>
            </w:pPr>
            <w:r>
              <w:rPr>
                <w:szCs w:val="32"/>
                <w:lang w:val="de-DE"/>
              </w:rPr>
              <w:t>35,5</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672"/>
              </w:tabs>
              <w:rPr>
                <w:szCs w:val="32"/>
                <w:lang w:val="de-DE"/>
              </w:rPr>
            </w:pPr>
            <w:r>
              <w:rPr>
                <w:szCs w:val="32"/>
                <w:lang w:val="de-DE"/>
              </w:rPr>
              <w:t>52,29</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jc w:val="center"/>
              <w:rPr>
                <w:szCs w:val="32"/>
                <w:lang w:val="de-DE"/>
              </w:rPr>
            </w:pPr>
            <w:r>
              <w:rPr>
                <w:szCs w:val="32"/>
                <w:lang w:val="de-DE"/>
              </w:rPr>
              <w:t>54,6</w:t>
            </w:r>
          </w:p>
        </w:tc>
        <w:tc>
          <w:tcPr>
            <w:tcW w:w="1610"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698"/>
              </w:tabs>
              <w:rPr>
                <w:szCs w:val="32"/>
                <w:lang w:val="x-none"/>
              </w:rPr>
            </w:pPr>
            <w:r>
              <w:rPr>
                <w:szCs w:val="32"/>
                <w:lang w:val="de-DE"/>
              </w:rPr>
              <w:t>2,</w:t>
            </w:r>
            <w:r>
              <w:rPr>
                <w:bCs/>
                <w:szCs w:val="32"/>
                <w:lang w:val="en-GB"/>
              </w:rPr>
              <w:t>31</w:t>
            </w:r>
          </w:p>
        </w:tc>
      </w:tr>
      <w:tr w:rsidR="00000000">
        <w:tblPrEx>
          <w:tblCellMar>
            <w:top w:w="0" w:type="dxa"/>
            <w:bottom w:w="0" w:type="dxa"/>
          </w:tblCellMar>
        </w:tblPrEx>
        <w:trPr>
          <w:jc w:val="center"/>
        </w:trPr>
        <w:tc>
          <w:tcPr>
            <w:tcW w:w="1728" w:type="dxa"/>
            <w:tcBorders>
              <w:top w:val="single" w:sz="6" w:space="0" w:color="auto"/>
              <w:left w:val="single" w:sz="6" w:space="0" w:color="auto"/>
              <w:bottom w:val="nil"/>
              <w:right w:val="single" w:sz="6" w:space="0" w:color="auto"/>
            </w:tcBorders>
          </w:tcPr>
          <w:p w:rsidR="00000000" w:rsidRDefault="00000000">
            <w:pPr>
              <w:widowControl w:val="0"/>
              <w:rPr>
                <w:szCs w:val="32"/>
                <w:lang w:val="de-DE"/>
              </w:rPr>
            </w:pPr>
            <w:r>
              <w:rPr>
                <w:szCs w:val="32"/>
                <w:lang w:val="de-DE"/>
              </w:rPr>
              <w:t>Fatick</w:t>
            </w:r>
          </w:p>
        </w:tc>
        <w:tc>
          <w:tcPr>
            <w:tcW w:w="1275" w:type="dxa"/>
            <w:tcBorders>
              <w:top w:val="single" w:sz="6" w:space="0" w:color="auto"/>
              <w:left w:val="single" w:sz="6" w:space="0" w:color="auto"/>
              <w:bottom w:val="nil"/>
              <w:right w:val="nil"/>
            </w:tcBorders>
          </w:tcPr>
          <w:p w:rsidR="00000000" w:rsidRDefault="00000000">
            <w:pPr>
              <w:keepNext/>
              <w:keepLines/>
              <w:jc w:val="center"/>
              <w:rPr>
                <w:szCs w:val="32"/>
                <w:lang w:val="de-DE"/>
              </w:rPr>
            </w:pPr>
            <w:r>
              <w:rPr>
                <w:szCs w:val="32"/>
                <w:lang w:val="de-DE"/>
              </w:rPr>
              <w:t>37,1</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672"/>
              </w:tabs>
              <w:rPr>
                <w:szCs w:val="32"/>
                <w:lang w:val="de-DE"/>
              </w:rPr>
            </w:pPr>
            <w:r>
              <w:rPr>
                <w:szCs w:val="32"/>
                <w:lang w:val="de-DE"/>
              </w:rPr>
              <w:t>43,77</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jc w:val="center"/>
              <w:rPr>
                <w:szCs w:val="32"/>
                <w:lang w:val="de-DE"/>
              </w:rPr>
            </w:pPr>
            <w:r>
              <w:rPr>
                <w:szCs w:val="32"/>
                <w:lang w:val="de-DE"/>
              </w:rPr>
              <w:t>48,2</w:t>
            </w:r>
          </w:p>
        </w:tc>
        <w:tc>
          <w:tcPr>
            <w:tcW w:w="1610"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698"/>
              </w:tabs>
              <w:rPr>
                <w:szCs w:val="32"/>
                <w:lang w:val="x-none"/>
              </w:rPr>
            </w:pPr>
            <w:r>
              <w:rPr>
                <w:szCs w:val="32"/>
                <w:lang w:val="de-DE"/>
              </w:rPr>
              <w:t>4,43</w:t>
            </w:r>
          </w:p>
        </w:tc>
      </w:tr>
      <w:tr w:rsidR="00000000">
        <w:tblPrEx>
          <w:tblCellMar>
            <w:top w:w="0" w:type="dxa"/>
            <w:bottom w:w="0" w:type="dxa"/>
          </w:tblCellMar>
        </w:tblPrEx>
        <w:trPr>
          <w:jc w:val="center"/>
        </w:trPr>
        <w:tc>
          <w:tcPr>
            <w:tcW w:w="1728" w:type="dxa"/>
            <w:tcBorders>
              <w:top w:val="single" w:sz="6" w:space="0" w:color="auto"/>
              <w:left w:val="single" w:sz="6" w:space="0" w:color="auto"/>
              <w:bottom w:val="nil"/>
              <w:right w:val="single" w:sz="6" w:space="0" w:color="auto"/>
            </w:tcBorders>
          </w:tcPr>
          <w:p w:rsidR="00000000" w:rsidRDefault="00000000">
            <w:pPr>
              <w:widowControl w:val="0"/>
              <w:rPr>
                <w:szCs w:val="32"/>
                <w:lang w:val="de-DE"/>
              </w:rPr>
            </w:pPr>
            <w:r>
              <w:rPr>
                <w:szCs w:val="32"/>
                <w:lang w:val="de-DE"/>
              </w:rPr>
              <w:t>Kolda</w:t>
            </w:r>
          </w:p>
        </w:tc>
        <w:tc>
          <w:tcPr>
            <w:tcW w:w="1275" w:type="dxa"/>
            <w:tcBorders>
              <w:top w:val="single" w:sz="6" w:space="0" w:color="auto"/>
              <w:left w:val="single" w:sz="6" w:space="0" w:color="auto"/>
              <w:bottom w:val="nil"/>
              <w:right w:val="nil"/>
            </w:tcBorders>
          </w:tcPr>
          <w:p w:rsidR="00000000" w:rsidRDefault="00000000">
            <w:pPr>
              <w:keepNext/>
              <w:keepLines/>
              <w:jc w:val="center"/>
              <w:rPr>
                <w:szCs w:val="32"/>
                <w:lang w:val="de-DE"/>
              </w:rPr>
            </w:pPr>
            <w:r>
              <w:rPr>
                <w:szCs w:val="32"/>
                <w:lang w:val="de-DE"/>
              </w:rPr>
              <w:t>43,9</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672"/>
              </w:tabs>
              <w:rPr>
                <w:szCs w:val="32"/>
                <w:lang w:val="de-DE"/>
              </w:rPr>
            </w:pPr>
            <w:r>
              <w:rPr>
                <w:szCs w:val="32"/>
                <w:lang w:val="de-DE"/>
              </w:rPr>
              <w:t>44,38</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jc w:val="center"/>
              <w:rPr>
                <w:szCs w:val="32"/>
                <w:lang w:val="de-DE"/>
              </w:rPr>
            </w:pPr>
            <w:r>
              <w:rPr>
                <w:szCs w:val="32"/>
                <w:lang w:val="de-DE"/>
              </w:rPr>
              <w:t>50,2</w:t>
            </w:r>
          </w:p>
        </w:tc>
        <w:tc>
          <w:tcPr>
            <w:tcW w:w="1610"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698"/>
              </w:tabs>
              <w:rPr>
                <w:bCs/>
                <w:szCs w:val="32"/>
                <w:lang w:val="x-none"/>
              </w:rPr>
            </w:pPr>
            <w:r>
              <w:rPr>
                <w:bCs/>
                <w:szCs w:val="32"/>
                <w:lang w:val="de-DE"/>
              </w:rPr>
              <w:t>5,</w:t>
            </w:r>
            <w:r>
              <w:rPr>
                <w:bCs/>
                <w:szCs w:val="32"/>
              </w:rPr>
              <w:t>82</w:t>
            </w:r>
          </w:p>
        </w:tc>
      </w:tr>
      <w:tr w:rsidR="00000000">
        <w:tblPrEx>
          <w:tblCellMar>
            <w:top w:w="0" w:type="dxa"/>
            <w:bottom w:w="0" w:type="dxa"/>
          </w:tblCellMar>
        </w:tblPrEx>
        <w:trPr>
          <w:jc w:val="center"/>
        </w:trPr>
        <w:tc>
          <w:tcPr>
            <w:tcW w:w="1728"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left" w:pos="284"/>
              </w:tabs>
              <w:rPr>
                <w:b/>
                <w:szCs w:val="32"/>
                <w:lang w:val="de-DE"/>
              </w:rPr>
            </w:pPr>
            <w:r>
              <w:rPr>
                <w:b/>
                <w:szCs w:val="32"/>
                <w:lang w:val="de-DE"/>
              </w:rPr>
              <w:tab/>
              <w:t>Senegal</w:t>
            </w:r>
          </w:p>
        </w:tc>
        <w:tc>
          <w:tcPr>
            <w:tcW w:w="1275" w:type="dxa"/>
            <w:tcBorders>
              <w:top w:val="single" w:sz="6" w:space="0" w:color="auto"/>
              <w:left w:val="single" w:sz="6" w:space="0" w:color="auto"/>
              <w:bottom w:val="single" w:sz="6" w:space="0" w:color="auto"/>
              <w:right w:val="nil"/>
            </w:tcBorders>
          </w:tcPr>
          <w:p w:rsidR="00000000" w:rsidRDefault="00000000">
            <w:pPr>
              <w:keepNext/>
              <w:keepLines/>
              <w:jc w:val="center"/>
              <w:rPr>
                <w:b/>
                <w:szCs w:val="32"/>
              </w:rPr>
            </w:pPr>
            <w:r>
              <w:rPr>
                <w:b/>
                <w:szCs w:val="32"/>
              </w:rPr>
              <w:t>39,3</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672"/>
              </w:tabs>
              <w:rPr>
                <w:b/>
                <w:szCs w:val="32"/>
              </w:rPr>
            </w:pPr>
            <w:r>
              <w:rPr>
                <w:b/>
                <w:szCs w:val="32"/>
              </w:rPr>
              <w:t>41,6</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jc w:val="center"/>
              <w:rPr>
                <w:b/>
                <w:szCs w:val="32"/>
              </w:rPr>
            </w:pPr>
            <w:r>
              <w:rPr>
                <w:b/>
                <w:szCs w:val="32"/>
              </w:rPr>
              <w:t>50,4</w:t>
            </w:r>
          </w:p>
        </w:tc>
        <w:tc>
          <w:tcPr>
            <w:tcW w:w="1610"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decimal" w:pos="698"/>
              </w:tabs>
              <w:rPr>
                <w:b/>
                <w:szCs w:val="32"/>
                <w:lang w:val="x-none"/>
              </w:rPr>
            </w:pPr>
            <w:r>
              <w:rPr>
                <w:b/>
                <w:szCs w:val="32"/>
              </w:rPr>
              <w:t>8,8</w:t>
            </w:r>
          </w:p>
        </w:tc>
      </w:tr>
    </w:tbl>
    <w:p w:rsidR="00000000" w:rsidRDefault="00000000">
      <w:pPr>
        <w:spacing w:before="240" w:after="480"/>
        <w:ind w:left="1094"/>
      </w:pPr>
      <w:r>
        <w:rPr>
          <w:i/>
          <w:iCs/>
        </w:rPr>
        <w:t xml:space="preserve">Fuente:  </w:t>
      </w:r>
      <w:r>
        <w:t xml:space="preserve">Anuarios de </w:t>
      </w:r>
      <w:proofErr w:type="spellStart"/>
      <w:r>
        <w:t>BSS/DPRE</w:t>
      </w:r>
      <w:proofErr w:type="spellEnd"/>
      <w:r>
        <w:t>, 2004.</w:t>
      </w:r>
    </w:p>
    <w:p w:rsidR="00000000" w:rsidRDefault="00000000">
      <w:pPr>
        <w:spacing w:after="240"/>
        <w:rPr>
          <w:b/>
          <w:bCs/>
        </w:rPr>
      </w:pPr>
      <w:r>
        <w:rPr>
          <w:b/>
          <w:bCs/>
        </w:rPr>
        <w:t>Acceso a la enseñanza media</w:t>
      </w:r>
    </w:p>
    <w:p w:rsidR="00000000" w:rsidRDefault="00000000">
      <w:pPr>
        <w:spacing w:after="240"/>
        <w:rPr>
          <w:b/>
          <w:bCs/>
          <w:i/>
          <w:iCs/>
        </w:rPr>
      </w:pPr>
      <w:r>
        <w:rPr>
          <w:b/>
          <w:bCs/>
          <w:i/>
          <w:iCs/>
        </w:rPr>
        <w:t>Tasa de transición de la enseñanza primaria a la enseñanza media</w:t>
      </w:r>
    </w:p>
    <w:p w:rsidR="00000000" w:rsidRDefault="00000000">
      <w:pPr>
        <w:spacing w:after="240"/>
      </w:pPr>
      <w:r>
        <w:t>59.</w:t>
      </w:r>
      <w:r>
        <w:tab/>
        <w:t>Entre 1995/96 y 2000/01, la tasa de transición pasó de 30,95 a 38,9%, es decir, una tasa de aumento medio anual de 4,7%.  A lo largo del período, se registró un aumento medio anual de 7,68% (de 29,32 a 37%) en el caso de las niñas, frente a 12,87% (de 27,13 a 40,8%) en el caso de los niños.</w:t>
      </w:r>
    </w:p>
    <w:p w:rsidR="00000000" w:rsidRDefault="00000000">
      <w:pPr>
        <w:spacing w:after="240"/>
      </w:pPr>
      <w:r>
        <w:t>60.</w:t>
      </w:r>
      <w:r>
        <w:tab/>
        <w:t>En 2001/02, la tasa de transición global es de 39,2%:  40,5% en el caso de los niños y 37,3% en el caso de las niñas.</w:t>
      </w:r>
    </w:p>
    <w:p w:rsidR="00000000" w:rsidRDefault="00000000">
      <w:pPr>
        <w:spacing w:after="240"/>
        <w:rPr>
          <w:b/>
          <w:bCs/>
          <w:i/>
          <w:iCs/>
        </w:rPr>
      </w:pPr>
      <w:r>
        <w:rPr>
          <w:b/>
          <w:bCs/>
          <w:i/>
          <w:iCs/>
        </w:rPr>
        <w:t>Tasa bruta de escolarización</w:t>
      </w:r>
    </w:p>
    <w:p w:rsidR="00000000" w:rsidRDefault="00000000">
      <w:pPr>
        <w:spacing w:after="240"/>
        <w:jc w:val="center"/>
        <w:rPr>
          <w:b/>
          <w:bCs/>
        </w:rPr>
      </w:pPr>
      <w:r>
        <w:rPr>
          <w:b/>
          <w:bCs/>
        </w:rPr>
        <w:t>Evolución de la tasa entre 1997/98 y 2002</w:t>
      </w:r>
    </w:p>
    <w:tbl>
      <w:tblPr>
        <w:tblW w:w="7469" w:type="dxa"/>
        <w:jc w:val="center"/>
        <w:tblInd w:w="-205" w:type="dxa"/>
        <w:tblLayout w:type="fixed"/>
        <w:tblCellMar>
          <w:left w:w="68" w:type="dxa"/>
          <w:right w:w="68" w:type="dxa"/>
        </w:tblCellMar>
        <w:tblLook w:val="0000" w:firstRow="0" w:lastRow="0" w:firstColumn="0" w:lastColumn="0" w:noHBand="0" w:noVBand="0"/>
      </w:tblPr>
      <w:tblGrid>
        <w:gridCol w:w="1600"/>
        <w:gridCol w:w="616"/>
        <w:gridCol w:w="1050"/>
        <w:gridCol w:w="1051"/>
        <w:gridCol w:w="1050"/>
        <w:gridCol w:w="1051"/>
        <w:gridCol w:w="1051"/>
      </w:tblGrid>
      <w:tr w:rsidR="00000000">
        <w:trPr>
          <w:trHeight w:val="20"/>
          <w:jc w:val="center"/>
        </w:trPr>
        <w:tc>
          <w:tcPr>
            <w:tcW w:w="16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szCs w:val="19"/>
              </w:rPr>
            </w:pPr>
            <w:r>
              <w:rPr>
                <w:b/>
                <w:szCs w:val="19"/>
              </w:rPr>
              <w:t>Sexo</w:t>
            </w:r>
          </w:p>
        </w:tc>
        <w:tc>
          <w:tcPr>
            <w:tcW w:w="616" w:type="dxa"/>
            <w:tcBorders>
              <w:top w:val="single" w:sz="4" w:space="0" w:color="auto"/>
              <w:left w:val="nil"/>
              <w:bottom w:val="single" w:sz="4" w:space="0" w:color="auto"/>
              <w:right w:val="single" w:sz="4" w:space="0" w:color="auto"/>
            </w:tcBorders>
            <w:vAlign w:val="center"/>
          </w:tcPr>
          <w:p w:rsidR="00000000" w:rsidRDefault="00000000">
            <w:pPr>
              <w:jc w:val="center"/>
              <w:rPr>
                <w:b/>
                <w:szCs w:val="19"/>
              </w:rPr>
            </w:pPr>
            <w:r>
              <w:rPr>
                <w:b/>
                <w:szCs w:val="19"/>
              </w:rPr>
              <w:t>1993</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szCs w:val="19"/>
              </w:rPr>
            </w:pPr>
            <w:r>
              <w:rPr>
                <w:b/>
                <w:szCs w:val="19"/>
              </w:rPr>
              <w:t>1997/98</w:t>
            </w:r>
          </w:p>
        </w:tc>
        <w:tc>
          <w:tcPr>
            <w:tcW w:w="1051" w:type="dxa"/>
            <w:tcBorders>
              <w:top w:val="single" w:sz="4" w:space="0" w:color="auto"/>
              <w:left w:val="nil"/>
              <w:bottom w:val="single" w:sz="4" w:space="0" w:color="auto"/>
              <w:right w:val="single" w:sz="4" w:space="0" w:color="auto"/>
            </w:tcBorders>
            <w:vAlign w:val="center"/>
          </w:tcPr>
          <w:p w:rsidR="00000000" w:rsidRDefault="00000000">
            <w:pPr>
              <w:jc w:val="center"/>
              <w:rPr>
                <w:b/>
                <w:szCs w:val="19"/>
              </w:rPr>
            </w:pPr>
            <w:r>
              <w:rPr>
                <w:b/>
                <w:szCs w:val="19"/>
              </w:rPr>
              <w:t>1998/99</w:t>
            </w:r>
          </w:p>
        </w:tc>
        <w:tc>
          <w:tcPr>
            <w:tcW w:w="1050" w:type="dxa"/>
            <w:tcBorders>
              <w:top w:val="single" w:sz="4" w:space="0" w:color="auto"/>
              <w:left w:val="nil"/>
              <w:bottom w:val="single" w:sz="4" w:space="0" w:color="auto"/>
              <w:right w:val="single" w:sz="4" w:space="0" w:color="auto"/>
            </w:tcBorders>
            <w:vAlign w:val="center"/>
          </w:tcPr>
          <w:p w:rsidR="00000000" w:rsidRDefault="00000000">
            <w:pPr>
              <w:jc w:val="center"/>
              <w:rPr>
                <w:b/>
                <w:szCs w:val="19"/>
              </w:rPr>
            </w:pPr>
            <w:r>
              <w:rPr>
                <w:b/>
                <w:szCs w:val="19"/>
              </w:rPr>
              <w:t>1999/00</w:t>
            </w:r>
          </w:p>
        </w:tc>
        <w:tc>
          <w:tcPr>
            <w:tcW w:w="1051" w:type="dxa"/>
            <w:tcBorders>
              <w:top w:val="single" w:sz="4" w:space="0" w:color="auto"/>
              <w:left w:val="nil"/>
              <w:bottom w:val="single" w:sz="4" w:space="0" w:color="auto"/>
              <w:right w:val="single" w:sz="4" w:space="0" w:color="auto"/>
            </w:tcBorders>
            <w:vAlign w:val="center"/>
          </w:tcPr>
          <w:p w:rsidR="00000000" w:rsidRDefault="00000000">
            <w:pPr>
              <w:jc w:val="center"/>
              <w:rPr>
                <w:b/>
                <w:szCs w:val="19"/>
              </w:rPr>
            </w:pPr>
            <w:r>
              <w:rPr>
                <w:b/>
                <w:szCs w:val="19"/>
              </w:rPr>
              <w:t>2000/01</w:t>
            </w:r>
          </w:p>
        </w:tc>
        <w:tc>
          <w:tcPr>
            <w:tcW w:w="1051" w:type="dxa"/>
            <w:tcBorders>
              <w:top w:val="single" w:sz="4" w:space="0" w:color="auto"/>
              <w:left w:val="nil"/>
              <w:bottom w:val="single" w:sz="4" w:space="0" w:color="auto"/>
              <w:right w:val="single" w:sz="4" w:space="0" w:color="auto"/>
            </w:tcBorders>
            <w:vAlign w:val="center"/>
          </w:tcPr>
          <w:p w:rsidR="00000000" w:rsidRDefault="00000000">
            <w:pPr>
              <w:jc w:val="center"/>
              <w:rPr>
                <w:b/>
                <w:szCs w:val="19"/>
              </w:rPr>
            </w:pPr>
            <w:r>
              <w:rPr>
                <w:b/>
                <w:szCs w:val="19"/>
              </w:rPr>
              <w:t>2001/02</w:t>
            </w:r>
          </w:p>
        </w:tc>
      </w:tr>
      <w:tr w:rsidR="00000000">
        <w:trPr>
          <w:trHeight w:val="20"/>
          <w:jc w:val="center"/>
        </w:trPr>
        <w:tc>
          <w:tcPr>
            <w:tcW w:w="1600" w:type="dxa"/>
            <w:tcBorders>
              <w:top w:val="nil"/>
              <w:left w:val="single" w:sz="4" w:space="0" w:color="auto"/>
              <w:bottom w:val="single" w:sz="4" w:space="0" w:color="auto"/>
              <w:right w:val="single" w:sz="4" w:space="0" w:color="auto"/>
            </w:tcBorders>
          </w:tcPr>
          <w:p w:rsidR="00000000" w:rsidRDefault="00000000">
            <w:pPr>
              <w:rPr>
                <w:szCs w:val="19"/>
              </w:rPr>
            </w:pPr>
            <w:r>
              <w:rPr>
                <w:szCs w:val="19"/>
              </w:rPr>
              <w:t>Niños + niñas</w:t>
            </w:r>
          </w:p>
        </w:tc>
        <w:tc>
          <w:tcPr>
            <w:tcW w:w="616" w:type="dxa"/>
            <w:tcBorders>
              <w:top w:val="single" w:sz="4" w:space="0" w:color="auto"/>
              <w:left w:val="nil"/>
              <w:bottom w:val="single" w:sz="4" w:space="0" w:color="auto"/>
              <w:right w:val="single" w:sz="4" w:space="0" w:color="auto"/>
            </w:tcBorders>
          </w:tcPr>
          <w:p w:rsidR="00000000" w:rsidRDefault="00000000">
            <w:pPr>
              <w:rPr>
                <w:szCs w:val="19"/>
                <w:lang w:val="fr-CA"/>
              </w:rPr>
            </w:pPr>
          </w:p>
        </w:tc>
        <w:tc>
          <w:tcPr>
            <w:tcW w:w="1050" w:type="dxa"/>
            <w:tcBorders>
              <w:top w:val="nil"/>
              <w:left w:val="single" w:sz="4" w:space="0" w:color="auto"/>
              <w:bottom w:val="single" w:sz="4" w:space="0" w:color="auto"/>
              <w:right w:val="single" w:sz="4" w:space="0" w:color="auto"/>
            </w:tcBorders>
          </w:tcPr>
          <w:p w:rsidR="00000000" w:rsidRDefault="00000000">
            <w:pPr>
              <w:tabs>
                <w:tab w:val="decimal" w:pos="493"/>
              </w:tabs>
              <w:jc w:val="both"/>
              <w:rPr>
                <w:szCs w:val="19"/>
              </w:rPr>
            </w:pPr>
            <w:r>
              <w:rPr>
                <w:szCs w:val="19"/>
              </w:rPr>
              <w:t>20,6</w:t>
            </w:r>
          </w:p>
        </w:tc>
        <w:tc>
          <w:tcPr>
            <w:tcW w:w="1051" w:type="dxa"/>
            <w:tcBorders>
              <w:top w:val="nil"/>
              <w:left w:val="nil"/>
              <w:bottom w:val="single" w:sz="4" w:space="0" w:color="auto"/>
              <w:right w:val="single" w:sz="4" w:space="0" w:color="auto"/>
            </w:tcBorders>
          </w:tcPr>
          <w:p w:rsidR="00000000" w:rsidRDefault="00000000">
            <w:pPr>
              <w:tabs>
                <w:tab w:val="decimal" w:pos="493"/>
              </w:tabs>
              <w:jc w:val="both"/>
              <w:rPr>
                <w:szCs w:val="19"/>
              </w:rPr>
            </w:pPr>
            <w:r>
              <w:rPr>
                <w:szCs w:val="19"/>
              </w:rPr>
              <w:t>22,1</w:t>
            </w:r>
          </w:p>
        </w:tc>
        <w:tc>
          <w:tcPr>
            <w:tcW w:w="1050" w:type="dxa"/>
            <w:tcBorders>
              <w:top w:val="nil"/>
              <w:left w:val="nil"/>
              <w:bottom w:val="single" w:sz="4" w:space="0" w:color="auto"/>
              <w:right w:val="single" w:sz="4" w:space="0" w:color="auto"/>
            </w:tcBorders>
          </w:tcPr>
          <w:p w:rsidR="00000000" w:rsidRDefault="00000000">
            <w:pPr>
              <w:tabs>
                <w:tab w:val="decimal" w:pos="493"/>
              </w:tabs>
              <w:jc w:val="both"/>
              <w:rPr>
                <w:szCs w:val="19"/>
              </w:rPr>
            </w:pPr>
            <w:r>
              <w:rPr>
                <w:szCs w:val="19"/>
              </w:rPr>
              <w:t>22,9</w:t>
            </w:r>
          </w:p>
        </w:tc>
        <w:tc>
          <w:tcPr>
            <w:tcW w:w="1051" w:type="dxa"/>
            <w:tcBorders>
              <w:top w:val="nil"/>
              <w:left w:val="nil"/>
              <w:bottom w:val="single" w:sz="4" w:space="0" w:color="auto"/>
              <w:right w:val="single" w:sz="4" w:space="0" w:color="auto"/>
            </w:tcBorders>
          </w:tcPr>
          <w:p w:rsidR="00000000" w:rsidRDefault="00000000">
            <w:pPr>
              <w:tabs>
                <w:tab w:val="decimal" w:pos="493"/>
              </w:tabs>
              <w:jc w:val="both"/>
              <w:rPr>
                <w:szCs w:val="19"/>
              </w:rPr>
            </w:pPr>
            <w:r>
              <w:rPr>
                <w:szCs w:val="19"/>
              </w:rPr>
              <w:t>23,1</w:t>
            </w:r>
          </w:p>
        </w:tc>
        <w:tc>
          <w:tcPr>
            <w:tcW w:w="1051" w:type="dxa"/>
            <w:tcBorders>
              <w:top w:val="nil"/>
              <w:left w:val="nil"/>
              <w:bottom w:val="single" w:sz="4" w:space="0" w:color="auto"/>
              <w:right w:val="single" w:sz="4" w:space="0" w:color="auto"/>
            </w:tcBorders>
          </w:tcPr>
          <w:p w:rsidR="00000000" w:rsidRDefault="00000000">
            <w:pPr>
              <w:tabs>
                <w:tab w:val="decimal" w:pos="371"/>
              </w:tabs>
              <w:jc w:val="both"/>
              <w:rPr>
                <w:szCs w:val="19"/>
              </w:rPr>
            </w:pPr>
            <w:r>
              <w:rPr>
                <w:szCs w:val="19"/>
              </w:rPr>
              <w:t>24,4</w:t>
            </w:r>
          </w:p>
        </w:tc>
      </w:tr>
      <w:tr w:rsidR="00000000">
        <w:trPr>
          <w:trHeight w:val="20"/>
          <w:jc w:val="center"/>
        </w:trPr>
        <w:tc>
          <w:tcPr>
            <w:tcW w:w="1600" w:type="dxa"/>
            <w:tcBorders>
              <w:top w:val="nil"/>
              <w:left w:val="single" w:sz="4" w:space="0" w:color="auto"/>
              <w:bottom w:val="single" w:sz="4" w:space="0" w:color="auto"/>
              <w:right w:val="single" w:sz="4" w:space="0" w:color="auto"/>
            </w:tcBorders>
          </w:tcPr>
          <w:p w:rsidR="00000000" w:rsidRDefault="00000000">
            <w:pPr>
              <w:rPr>
                <w:szCs w:val="19"/>
              </w:rPr>
            </w:pPr>
            <w:r>
              <w:rPr>
                <w:szCs w:val="19"/>
              </w:rPr>
              <w:t>Niños</w:t>
            </w:r>
          </w:p>
        </w:tc>
        <w:tc>
          <w:tcPr>
            <w:tcW w:w="616" w:type="dxa"/>
            <w:tcBorders>
              <w:top w:val="single" w:sz="4" w:space="0" w:color="auto"/>
              <w:left w:val="nil"/>
              <w:bottom w:val="single" w:sz="4" w:space="0" w:color="auto"/>
              <w:right w:val="single" w:sz="4" w:space="0" w:color="auto"/>
            </w:tcBorders>
          </w:tcPr>
          <w:p w:rsidR="00000000" w:rsidRDefault="00000000">
            <w:pPr>
              <w:rPr>
                <w:szCs w:val="19"/>
              </w:rPr>
            </w:pPr>
          </w:p>
        </w:tc>
        <w:tc>
          <w:tcPr>
            <w:tcW w:w="1050" w:type="dxa"/>
            <w:tcBorders>
              <w:top w:val="nil"/>
              <w:left w:val="single" w:sz="4" w:space="0" w:color="auto"/>
              <w:bottom w:val="single" w:sz="4" w:space="0" w:color="auto"/>
              <w:right w:val="single" w:sz="4" w:space="0" w:color="auto"/>
            </w:tcBorders>
          </w:tcPr>
          <w:p w:rsidR="00000000" w:rsidRDefault="00000000">
            <w:pPr>
              <w:tabs>
                <w:tab w:val="decimal" w:pos="493"/>
              </w:tabs>
              <w:jc w:val="both"/>
              <w:rPr>
                <w:szCs w:val="19"/>
              </w:rPr>
            </w:pPr>
            <w:r>
              <w:rPr>
                <w:szCs w:val="19"/>
              </w:rPr>
              <w:t>26,2</w:t>
            </w:r>
          </w:p>
        </w:tc>
        <w:tc>
          <w:tcPr>
            <w:tcW w:w="1051" w:type="dxa"/>
            <w:tcBorders>
              <w:top w:val="nil"/>
              <w:left w:val="nil"/>
              <w:bottom w:val="single" w:sz="4" w:space="0" w:color="auto"/>
              <w:right w:val="single" w:sz="4" w:space="0" w:color="auto"/>
            </w:tcBorders>
          </w:tcPr>
          <w:p w:rsidR="00000000" w:rsidRDefault="00000000">
            <w:pPr>
              <w:tabs>
                <w:tab w:val="decimal" w:pos="493"/>
              </w:tabs>
              <w:jc w:val="both"/>
              <w:rPr>
                <w:szCs w:val="19"/>
              </w:rPr>
            </w:pPr>
            <w:r>
              <w:rPr>
                <w:szCs w:val="19"/>
              </w:rPr>
              <w:t>27,7</w:t>
            </w:r>
          </w:p>
        </w:tc>
        <w:tc>
          <w:tcPr>
            <w:tcW w:w="1050" w:type="dxa"/>
            <w:tcBorders>
              <w:top w:val="nil"/>
              <w:left w:val="nil"/>
              <w:bottom w:val="single" w:sz="4" w:space="0" w:color="auto"/>
              <w:right w:val="single" w:sz="4" w:space="0" w:color="auto"/>
            </w:tcBorders>
          </w:tcPr>
          <w:p w:rsidR="00000000" w:rsidRDefault="00000000">
            <w:pPr>
              <w:tabs>
                <w:tab w:val="decimal" w:pos="493"/>
              </w:tabs>
              <w:jc w:val="both"/>
              <w:rPr>
                <w:szCs w:val="19"/>
              </w:rPr>
            </w:pPr>
            <w:r>
              <w:rPr>
                <w:szCs w:val="19"/>
              </w:rPr>
              <w:t>28,6</w:t>
            </w:r>
          </w:p>
        </w:tc>
        <w:tc>
          <w:tcPr>
            <w:tcW w:w="1051" w:type="dxa"/>
            <w:tcBorders>
              <w:top w:val="nil"/>
              <w:left w:val="nil"/>
              <w:bottom w:val="single" w:sz="4" w:space="0" w:color="auto"/>
              <w:right w:val="single" w:sz="4" w:space="0" w:color="auto"/>
            </w:tcBorders>
          </w:tcPr>
          <w:p w:rsidR="00000000" w:rsidRDefault="00000000">
            <w:pPr>
              <w:tabs>
                <w:tab w:val="decimal" w:pos="493"/>
              </w:tabs>
              <w:jc w:val="both"/>
              <w:rPr>
                <w:szCs w:val="19"/>
              </w:rPr>
            </w:pPr>
            <w:r>
              <w:rPr>
                <w:szCs w:val="19"/>
              </w:rPr>
              <w:t>28,7</w:t>
            </w:r>
          </w:p>
        </w:tc>
        <w:tc>
          <w:tcPr>
            <w:tcW w:w="1051" w:type="dxa"/>
            <w:tcBorders>
              <w:top w:val="nil"/>
              <w:left w:val="nil"/>
              <w:bottom w:val="single" w:sz="4" w:space="0" w:color="auto"/>
              <w:right w:val="single" w:sz="4" w:space="0" w:color="auto"/>
            </w:tcBorders>
          </w:tcPr>
          <w:p w:rsidR="00000000" w:rsidRDefault="00000000">
            <w:pPr>
              <w:tabs>
                <w:tab w:val="decimal" w:pos="371"/>
              </w:tabs>
              <w:jc w:val="both"/>
              <w:rPr>
                <w:szCs w:val="19"/>
              </w:rPr>
            </w:pPr>
            <w:r>
              <w:rPr>
                <w:szCs w:val="19"/>
              </w:rPr>
              <w:t>29,8</w:t>
            </w:r>
          </w:p>
        </w:tc>
      </w:tr>
      <w:tr w:rsidR="00000000">
        <w:trPr>
          <w:trHeight w:val="20"/>
          <w:jc w:val="center"/>
        </w:trPr>
        <w:tc>
          <w:tcPr>
            <w:tcW w:w="1600" w:type="dxa"/>
            <w:tcBorders>
              <w:top w:val="nil"/>
              <w:left w:val="single" w:sz="4" w:space="0" w:color="auto"/>
              <w:bottom w:val="single" w:sz="4" w:space="0" w:color="auto"/>
              <w:right w:val="single" w:sz="4" w:space="0" w:color="auto"/>
            </w:tcBorders>
          </w:tcPr>
          <w:p w:rsidR="00000000" w:rsidRDefault="00000000">
            <w:pPr>
              <w:rPr>
                <w:szCs w:val="19"/>
              </w:rPr>
            </w:pPr>
            <w:r>
              <w:rPr>
                <w:szCs w:val="19"/>
              </w:rPr>
              <w:t>Niñas</w:t>
            </w:r>
          </w:p>
        </w:tc>
        <w:tc>
          <w:tcPr>
            <w:tcW w:w="616" w:type="dxa"/>
            <w:tcBorders>
              <w:top w:val="single" w:sz="4" w:space="0" w:color="auto"/>
              <w:left w:val="nil"/>
              <w:bottom w:val="single" w:sz="4" w:space="0" w:color="auto"/>
              <w:right w:val="single" w:sz="4" w:space="0" w:color="auto"/>
            </w:tcBorders>
          </w:tcPr>
          <w:p w:rsidR="00000000" w:rsidRDefault="00000000">
            <w:pPr>
              <w:rPr>
                <w:szCs w:val="19"/>
              </w:rPr>
            </w:pPr>
          </w:p>
        </w:tc>
        <w:tc>
          <w:tcPr>
            <w:tcW w:w="1050" w:type="dxa"/>
            <w:tcBorders>
              <w:top w:val="nil"/>
              <w:left w:val="single" w:sz="4" w:space="0" w:color="auto"/>
              <w:bottom w:val="single" w:sz="4" w:space="0" w:color="auto"/>
              <w:right w:val="single" w:sz="4" w:space="0" w:color="auto"/>
            </w:tcBorders>
          </w:tcPr>
          <w:p w:rsidR="00000000" w:rsidRDefault="00000000">
            <w:pPr>
              <w:tabs>
                <w:tab w:val="decimal" w:pos="493"/>
              </w:tabs>
              <w:jc w:val="both"/>
              <w:rPr>
                <w:szCs w:val="19"/>
              </w:rPr>
            </w:pPr>
            <w:r>
              <w:rPr>
                <w:szCs w:val="19"/>
              </w:rPr>
              <w:t>15,4</w:t>
            </w:r>
          </w:p>
        </w:tc>
        <w:tc>
          <w:tcPr>
            <w:tcW w:w="1051" w:type="dxa"/>
            <w:tcBorders>
              <w:top w:val="nil"/>
              <w:left w:val="nil"/>
              <w:bottom w:val="single" w:sz="4" w:space="0" w:color="auto"/>
              <w:right w:val="single" w:sz="4" w:space="0" w:color="auto"/>
            </w:tcBorders>
          </w:tcPr>
          <w:p w:rsidR="00000000" w:rsidRDefault="00000000">
            <w:pPr>
              <w:tabs>
                <w:tab w:val="decimal" w:pos="493"/>
              </w:tabs>
              <w:jc w:val="both"/>
              <w:rPr>
                <w:szCs w:val="19"/>
              </w:rPr>
            </w:pPr>
            <w:r>
              <w:rPr>
                <w:szCs w:val="19"/>
              </w:rPr>
              <w:t>16,8</w:t>
            </w:r>
          </w:p>
        </w:tc>
        <w:tc>
          <w:tcPr>
            <w:tcW w:w="1050" w:type="dxa"/>
            <w:tcBorders>
              <w:top w:val="nil"/>
              <w:left w:val="nil"/>
              <w:bottom w:val="single" w:sz="4" w:space="0" w:color="auto"/>
              <w:right w:val="single" w:sz="4" w:space="0" w:color="auto"/>
            </w:tcBorders>
          </w:tcPr>
          <w:p w:rsidR="00000000" w:rsidRDefault="00000000">
            <w:pPr>
              <w:tabs>
                <w:tab w:val="decimal" w:pos="493"/>
              </w:tabs>
              <w:jc w:val="both"/>
              <w:rPr>
                <w:szCs w:val="19"/>
              </w:rPr>
            </w:pPr>
            <w:r>
              <w:rPr>
                <w:szCs w:val="19"/>
              </w:rPr>
              <w:t>17,6</w:t>
            </w:r>
          </w:p>
        </w:tc>
        <w:tc>
          <w:tcPr>
            <w:tcW w:w="1051" w:type="dxa"/>
            <w:tcBorders>
              <w:top w:val="nil"/>
              <w:left w:val="nil"/>
              <w:bottom w:val="single" w:sz="4" w:space="0" w:color="auto"/>
              <w:right w:val="single" w:sz="4" w:space="0" w:color="auto"/>
            </w:tcBorders>
          </w:tcPr>
          <w:p w:rsidR="00000000" w:rsidRDefault="00000000">
            <w:pPr>
              <w:tabs>
                <w:tab w:val="decimal" w:pos="493"/>
              </w:tabs>
              <w:jc w:val="both"/>
              <w:rPr>
                <w:szCs w:val="19"/>
              </w:rPr>
            </w:pPr>
            <w:r>
              <w:rPr>
                <w:szCs w:val="19"/>
              </w:rPr>
              <w:t>17,9</w:t>
            </w:r>
          </w:p>
        </w:tc>
        <w:tc>
          <w:tcPr>
            <w:tcW w:w="1051" w:type="dxa"/>
            <w:tcBorders>
              <w:top w:val="nil"/>
              <w:left w:val="nil"/>
              <w:bottom w:val="single" w:sz="4" w:space="0" w:color="auto"/>
              <w:right w:val="single" w:sz="4" w:space="0" w:color="auto"/>
            </w:tcBorders>
          </w:tcPr>
          <w:p w:rsidR="00000000" w:rsidRDefault="00000000">
            <w:pPr>
              <w:tabs>
                <w:tab w:val="decimal" w:pos="371"/>
              </w:tabs>
              <w:jc w:val="both"/>
              <w:rPr>
                <w:szCs w:val="19"/>
              </w:rPr>
            </w:pPr>
            <w:r>
              <w:rPr>
                <w:szCs w:val="19"/>
              </w:rPr>
              <w:t>19,3</w:t>
            </w:r>
          </w:p>
        </w:tc>
      </w:tr>
      <w:tr w:rsidR="00000000">
        <w:trPr>
          <w:trHeight w:val="20"/>
          <w:jc w:val="center"/>
        </w:trPr>
        <w:tc>
          <w:tcPr>
            <w:tcW w:w="1600" w:type="dxa"/>
            <w:tcBorders>
              <w:top w:val="nil"/>
              <w:left w:val="single" w:sz="4" w:space="0" w:color="auto"/>
              <w:bottom w:val="single" w:sz="4" w:space="0" w:color="auto"/>
              <w:right w:val="single" w:sz="4" w:space="0" w:color="auto"/>
            </w:tcBorders>
          </w:tcPr>
          <w:p w:rsidR="00000000" w:rsidRDefault="00000000">
            <w:pPr>
              <w:rPr>
                <w:szCs w:val="19"/>
              </w:rPr>
            </w:pPr>
            <w:r>
              <w:rPr>
                <w:szCs w:val="19"/>
              </w:rPr>
              <w:t>Niñas/niños</w:t>
            </w:r>
          </w:p>
        </w:tc>
        <w:tc>
          <w:tcPr>
            <w:tcW w:w="616" w:type="dxa"/>
            <w:tcBorders>
              <w:top w:val="single" w:sz="4" w:space="0" w:color="auto"/>
              <w:left w:val="nil"/>
              <w:bottom w:val="single" w:sz="4" w:space="0" w:color="auto"/>
              <w:right w:val="single" w:sz="4" w:space="0" w:color="auto"/>
            </w:tcBorders>
          </w:tcPr>
          <w:p w:rsidR="00000000" w:rsidRDefault="00000000">
            <w:pPr>
              <w:rPr>
                <w:szCs w:val="19"/>
              </w:rPr>
            </w:pPr>
          </w:p>
        </w:tc>
        <w:tc>
          <w:tcPr>
            <w:tcW w:w="1050" w:type="dxa"/>
            <w:tcBorders>
              <w:top w:val="nil"/>
              <w:left w:val="single" w:sz="4" w:space="0" w:color="auto"/>
              <w:bottom w:val="single" w:sz="4" w:space="0" w:color="auto"/>
              <w:right w:val="single" w:sz="4" w:space="0" w:color="auto"/>
            </w:tcBorders>
          </w:tcPr>
          <w:p w:rsidR="00000000" w:rsidRDefault="00000000">
            <w:pPr>
              <w:tabs>
                <w:tab w:val="decimal" w:pos="493"/>
              </w:tabs>
              <w:jc w:val="both"/>
              <w:rPr>
                <w:szCs w:val="19"/>
              </w:rPr>
            </w:pPr>
            <w:r>
              <w:rPr>
                <w:szCs w:val="19"/>
              </w:rPr>
              <w:t>0,59</w:t>
            </w:r>
          </w:p>
        </w:tc>
        <w:tc>
          <w:tcPr>
            <w:tcW w:w="1051" w:type="dxa"/>
            <w:tcBorders>
              <w:top w:val="nil"/>
              <w:left w:val="nil"/>
              <w:bottom w:val="single" w:sz="4" w:space="0" w:color="auto"/>
              <w:right w:val="single" w:sz="4" w:space="0" w:color="auto"/>
            </w:tcBorders>
          </w:tcPr>
          <w:p w:rsidR="00000000" w:rsidRDefault="00000000">
            <w:pPr>
              <w:tabs>
                <w:tab w:val="decimal" w:pos="493"/>
              </w:tabs>
              <w:jc w:val="both"/>
              <w:rPr>
                <w:szCs w:val="19"/>
              </w:rPr>
            </w:pPr>
            <w:r>
              <w:rPr>
                <w:szCs w:val="19"/>
              </w:rPr>
              <w:t>0,61</w:t>
            </w:r>
          </w:p>
        </w:tc>
        <w:tc>
          <w:tcPr>
            <w:tcW w:w="1050" w:type="dxa"/>
            <w:tcBorders>
              <w:top w:val="nil"/>
              <w:left w:val="nil"/>
              <w:bottom w:val="single" w:sz="4" w:space="0" w:color="auto"/>
              <w:right w:val="single" w:sz="4" w:space="0" w:color="auto"/>
            </w:tcBorders>
          </w:tcPr>
          <w:p w:rsidR="00000000" w:rsidRDefault="00000000">
            <w:pPr>
              <w:tabs>
                <w:tab w:val="decimal" w:pos="493"/>
              </w:tabs>
              <w:jc w:val="both"/>
              <w:rPr>
                <w:szCs w:val="19"/>
              </w:rPr>
            </w:pPr>
            <w:r>
              <w:rPr>
                <w:szCs w:val="19"/>
              </w:rPr>
              <w:t>0,62</w:t>
            </w:r>
          </w:p>
        </w:tc>
        <w:tc>
          <w:tcPr>
            <w:tcW w:w="1051" w:type="dxa"/>
            <w:tcBorders>
              <w:top w:val="nil"/>
              <w:left w:val="nil"/>
              <w:bottom w:val="single" w:sz="4" w:space="0" w:color="auto"/>
              <w:right w:val="single" w:sz="4" w:space="0" w:color="auto"/>
            </w:tcBorders>
          </w:tcPr>
          <w:p w:rsidR="00000000" w:rsidRDefault="00000000">
            <w:pPr>
              <w:tabs>
                <w:tab w:val="decimal" w:pos="493"/>
              </w:tabs>
              <w:jc w:val="both"/>
              <w:rPr>
                <w:szCs w:val="19"/>
              </w:rPr>
            </w:pPr>
            <w:r>
              <w:rPr>
                <w:szCs w:val="19"/>
              </w:rPr>
              <w:t>0,62</w:t>
            </w:r>
          </w:p>
        </w:tc>
        <w:tc>
          <w:tcPr>
            <w:tcW w:w="1051" w:type="dxa"/>
            <w:tcBorders>
              <w:top w:val="nil"/>
              <w:left w:val="nil"/>
              <w:bottom w:val="single" w:sz="4" w:space="0" w:color="auto"/>
              <w:right w:val="single" w:sz="4" w:space="0" w:color="auto"/>
            </w:tcBorders>
          </w:tcPr>
          <w:p w:rsidR="00000000" w:rsidRDefault="00000000">
            <w:pPr>
              <w:tabs>
                <w:tab w:val="decimal" w:pos="371"/>
              </w:tabs>
              <w:jc w:val="both"/>
              <w:rPr>
                <w:szCs w:val="19"/>
              </w:rPr>
            </w:pPr>
            <w:r>
              <w:rPr>
                <w:szCs w:val="19"/>
              </w:rPr>
              <w:t>0,648</w:t>
            </w:r>
          </w:p>
        </w:tc>
      </w:tr>
    </w:tbl>
    <w:p w:rsidR="00000000" w:rsidRDefault="00000000">
      <w:pPr>
        <w:spacing w:before="240" w:after="240"/>
        <w:ind w:left="960"/>
        <w:jc w:val="both"/>
      </w:pPr>
      <w:r>
        <w:rPr>
          <w:i/>
          <w:iCs/>
        </w:rPr>
        <w:t>Fuente</w:t>
      </w:r>
      <w:r>
        <w:t xml:space="preserve">:  Anuarios de </w:t>
      </w:r>
      <w:proofErr w:type="spellStart"/>
      <w:r>
        <w:t>BSS/DPRE</w:t>
      </w:r>
      <w:proofErr w:type="spellEnd"/>
      <w:r>
        <w:t>, 2003.</w:t>
      </w:r>
    </w:p>
    <w:p w:rsidR="00000000" w:rsidRDefault="00000000">
      <w:pPr>
        <w:spacing w:before="480" w:after="240"/>
      </w:pPr>
      <w:r>
        <w:t>61.</w:t>
      </w:r>
      <w:r>
        <w:tab/>
        <w:t>Entre 1997/98 y 2001/02, la tasa ganó 4,2 puntos.  Dicha tasa ha progresado con regularidad, tanto en general, como en los niños y las niñas.  La paridad entre unos y otras no ha evolucionado en absoluto en este período.</w:t>
      </w:r>
    </w:p>
    <w:p w:rsidR="00000000" w:rsidRDefault="00000000">
      <w:pPr>
        <w:spacing w:after="240"/>
      </w:pPr>
      <w:r>
        <w:t>62.</w:t>
      </w:r>
      <w:r>
        <w:tab/>
        <w:t>En 2001/02, la red del subsector de la enseñanza media se componía de 435 institutos, 224 de ellos públicos.  Hay en estos establecimientos 2.753 aulas, 1.551 de ellas en establecimientos públicos.</w:t>
      </w:r>
    </w:p>
    <w:p w:rsidR="00000000" w:rsidRDefault="00000000">
      <w:pPr>
        <w:spacing w:after="240"/>
      </w:pPr>
      <w:r>
        <w:t>63.</w:t>
      </w:r>
      <w:r>
        <w:tab/>
        <w:t>En 2002, el número total de alumnos era de 213.309, 156.391 de ellos en establecimientos públicos.  La proporción de niñas en establecimientos públicos es de 38,3 y de 48,0% en establecimientos privados.  En 1999/00 había 455 institutos, 220 de ellos públicos.  Ese mismo año, el número de alumnos era de 132.575 en establecimientos públicos y de 53.563 en establecimientos privados; la proporción de niñas en establecimientos públicos y privados era de 36,78 y 46,96% respectivamente.</w:t>
      </w:r>
    </w:p>
    <w:p w:rsidR="00000000" w:rsidRDefault="00000000">
      <w:pPr>
        <w:spacing w:after="240"/>
      </w:pPr>
      <w:r>
        <w:t>64.</w:t>
      </w:r>
      <w:r>
        <w:tab/>
        <w:t>En 2000/01, de los 463 establecimientos de enseñanza media, sólo 84, 12 de ellos privados, estaban en zona rural.  Ese mismo año, el número de alumnos en establecimientos situados en zona rural era de 7.281, es decir, el 10,6% del alumnado total de la enseñanza media.  Las niñas constituían el 30,5% del alumnado en zona rural en 2000/01.</w:t>
      </w:r>
    </w:p>
    <w:p w:rsidR="00000000" w:rsidRDefault="00000000">
      <w:pPr>
        <w:spacing w:after="240"/>
      </w:pPr>
      <w:r>
        <w:t>65.</w:t>
      </w:r>
      <w:r>
        <w:tab/>
        <w:t>La tasa de crecimiento medio anual del número de alumnos en la enseñanza media ha sido de 8,2% en este período.  El aumento es más importante en las niñas que en los niños y en el sector público que en el sector privado.  El índice niñas/niños pasa de 0,63 a 0,69, es decir, 0,06 a favor de las niñas.  En el sector privado se ha alcanzado casi la paridad, pero habrá que seguir desplegando un esfuerzo a este respecto en el sector público.</w:t>
      </w:r>
    </w:p>
    <w:p w:rsidR="00000000" w:rsidRDefault="00000000">
      <w:pPr>
        <w:spacing w:after="240"/>
      </w:pPr>
      <w:r>
        <w:t>66.</w:t>
      </w:r>
      <w:r>
        <w:tab/>
        <w:t>Si bien el índice de paridad es favorable a los niños en establecimientos públicos, en los establecimientos privados se alcanzó casi la paridad en 2001/02.  La tendencia se ha consolidado en 2003 (datos de la Dirección de la Planificación y la Reforma de la Educación (</w:t>
      </w:r>
      <w:proofErr w:type="spellStart"/>
      <w:r>
        <w:t>DPRE</w:t>
      </w:r>
      <w:proofErr w:type="spellEnd"/>
      <w:r>
        <w:t>)).</w:t>
      </w:r>
    </w:p>
    <w:p w:rsidR="00000000" w:rsidRDefault="00000000">
      <w:pPr>
        <w:spacing w:after="240"/>
        <w:rPr>
          <w:b/>
          <w:bCs/>
        </w:rPr>
      </w:pPr>
      <w:r>
        <w:rPr>
          <w:b/>
          <w:bCs/>
        </w:rPr>
        <w:t>Acceso a la enseñanza secundaria general</w:t>
      </w:r>
    </w:p>
    <w:p w:rsidR="00000000" w:rsidRDefault="00000000">
      <w:pPr>
        <w:spacing w:after="240"/>
        <w:rPr>
          <w:b/>
          <w:bCs/>
          <w:i/>
          <w:iCs/>
        </w:rPr>
      </w:pPr>
      <w:r>
        <w:rPr>
          <w:b/>
          <w:bCs/>
          <w:i/>
          <w:iCs/>
        </w:rPr>
        <w:t>Tasa de transición de la enseñanza mediana a la enseñanza secundaria</w:t>
      </w:r>
    </w:p>
    <w:p w:rsidR="00000000" w:rsidRDefault="00000000">
      <w:pPr>
        <w:spacing w:after="240"/>
      </w:pPr>
      <w:r>
        <w:t>67.</w:t>
      </w:r>
      <w:r>
        <w:tab/>
        <w:t>Entre 1995/96 y 2000/01, la tasa de transición pasó de 55,37 a 52,23%, es decir, una tasa de crecimiento medio anual de -1%.  La tasa de transición de las niñas registró una tasa de crecimiento medio anual de -0,7% (de 52,03 a 50,16%).  En el caso de los niños, la tasa de crecimiento medio anual es de -1,2% al año (de 57,36 a 54,10%).</w:t>
      </w:r>
    </w:p>
    <w:p w:rsidR="00000000" w:rsidRDefault="00000000">
      <w:pPr>
        <w:spacing w:before="240" w:after="240"/>
        <w:rPr>
          <w:b/>
          <w:bCs/>
          <w:i/>
          <w:iCs/>
        </w:rPr>
      </w:pPr>
      <w:r>
        <w:rPr>
          <w:b/>
          <w:bCs/>
          <w:i/>
          <w:iCs/>
        </w:rPr>
        <w:t>Tasa bruta de escolarización</w:t>
      </w:r>
    </w:p>
    <w:p w:rsidR="00000000" w:rsidRDefault="00000000">
      <w:pPr>
        <w:spacing w:after="240"/>
        <w:jc w:val="center"/>
        <w:rPr>
          <w:b/>
          <w:bCs/>
        </w:rPr>
      </w:pPr>
      <w:r>
        <w:rPr>
          <w:b/>
          <w:bCs/>
        </w:rPr>
        <w:t>Evolución de esta tasa entre 1997/98 y 2000</w:t>
      </w:r>
    </w:p>
    <w:p w:rsidR="00000000" w:rsidRDefault="00000000">
      <w:pPr>
        <w:spacing w:after="240"/>
        <w:jc w:val="center"/>
        <w:rPr>
          <w:b/>
          <w:bCs/>
        </w:rPr>
      </w:pPr>
      <w:r>
        <w:t>(En porcentaje)</w:t>
      </w:r>
    </w:p>
    <w:tbl>
      <w:tblPr>
        <w:tblW w:w="4252" w:type="pct"/>
        <w:jc w:val="center"/>
        <w:tblInd w:w="710" w:type="dxa"/>
        <w:tblCellMar>
          <w:left w:w="68" w:type="dxa"/>
          <w:right w:w="68" w:type="dxa"/>
        </w:tblCellMar>
        <w:tblLook w:val="0000" w:firstRow="0" w:lastRow="0" w:firstColumn="0" w:lastColumn="0" w:noHBand="0" w:noVBand="0"/>
      </w:tblPr>
      <w:tblGrid>
        <w:gridCol w:w="1165"/>
        <w:gridCol w:w="1090"/>
        <w:gridCol w:w="1091"/>
        <w:gridCol w:w="1090"/>
        <w:gridCol w:w="1091"/>
        <w:gridCol w:w="1091"/>
        <w:gridCol w:w="1453"/>
      </w:tblGrid>
      <w:tr w:rsidR="00000000">
        <w:trPr>
          <w:trHeight w:val="255"/>
          <w:jc w:val="center"/>
        </w:trPr>
        <w:tc>
          <w:tcPr>
            <w:tcW w:w="722" w:type="pct"/>
            <w:tcBorders>
              <w:top w:val="single" w:sz="4" w:space="0" w:color="auto"/>
              <w:left w:val="single" w:sz="4" w:space="0" w:color="auto"/>
              <w:bottom w:val="single" w:sz="4" w:space="0" w:color="auto"/>
              <w:right w:val="single" w:sz="4" w:space="0" w:color="auto"/>
            </w:tcBorders>
            <w:vAlign w:val="center"/>
          </w:tcPr>
          <w:p w:rsidR="00000000" w:rsidRDefault="00000000">
            <w:pPr>
              <w:widowControl w:val="0"/>
              <w:jc w:val="center"/>
              <w:rPr>
                <w:b/>
                <w:szCs w:val="19"/>
              </w:rPr>
            </w:pPr>
            <w:r>
              <w:rPr>
                <w:b/>
                <w:szCs w:val="19"/>
              </w:rPr>
              <w:t>Sexo</w:t>
            </w:r>
          </w:p>
        </w:tc>
        <w:tc>
          <w:tcPr>
            <w:tcW w:w="675" w:type="pct"/>
            <w:tcBorders>
              <w:top w:val="single" w:sz="4" w:space="0" w:color="auto"/>
              <w:left w:val="nil"/>
              <w:bottom w:val="single" w:sz="4" w:space="0" w:color="auto"/>
              <w:right w:val="single" w:sz="4" w:space="0" w:color="auto"/>
            </w:tcBorders>
            <w:vAlign w:val="center"/>
          </w:tcPr>
          <w:p w:rsidR="00000000" w:rsidRDefault="00000000">
            <w:pPr>
              <w:keepNext/>
              <w:keepLines/>
              <w:jc w:val="center"/>
              <w:rPr>
                <w:b/>
                <w:szCs w:val="19"/>
              </w:rPr>
            </w:pPr>
            <w:r>
              <w:rPr>
                <w:b/>
                <w:szCs w:val="19"/>
              </w:rPr>
              <w:t>1997/98</w:t>
            </w:r>
          </w:p>
        </w:tc>
        <w:tc>
          <w:tcPr>
            <w:tcW w:w="676" w:type="pct"/>
            <w:tcBorders>
              <w:top w:val="single" w:sz="4" w:space="0" w:color="auto"/>
              <w:left w:val="nil"/>
              <w:bottom w:val="single" w:sz="4" w:space="0" w:color="auto"/>
              <w:right w:val="single" w:sz="4" w:space="0" w:color="auto"/>
            </w:tcBorders>
            <w:vAlign w:val="center"/>
          </w:tcPr>
          <w:p w:rsidR="00000000" w:rsidRDefault="00000000">
            <w:pPr>
              <w:widowControl w:val="0"/>
              <w:jc w:val="center"/>
              <w:rPr>
                <w:b/>
                <w:szCs w:val="19"/>
              </w:rPr>
            </w:pPr>
            <w:r>
              <w:rPr>
                <w:b/>
                <w:szCs w:val="19"/>
              </w:rPr>
              <w:t>1998/99</w:t>
            </w:r>
          </w:p>
        </w:tc>
        <w:tc>
          <w:tcPr>
            <w:tcW w:w="675" w:type="pct"/>
            <w:tcBorders>
              <w:top w:val="single" w:sz="4" w:space="0" w:color="auto"/>
              <w:left w:val="nil"/>
              <w:bottom w:val="single" w:sz="4" w:space="0" w:color="auto"/>
              <w:right w:val="single" w:sz="4" w:space="0" w:color="auto"/>
            </w:tcBorders>
            <w:vAlign w:val="center"/>
          </w:tcPr>
          <w:p w:rsidR="00000000" w:rsidRDefault="00000000">
            <w:pPr>
              <w:widowControl w:val="0"/>
              <w:jc w:val="center"/>
              <w:rPr>
                <w:b/>
                <w:szCs w:val="19"/>
              </w:rPr>
            </w:pPr>
            <w:r>
              <w:rPr>
                <w:b/>
                <w:szCs w:val="19"/>
              </w:rPr>
              <w:t>1999/00</w:t>
            </w:r>
          </w:p>
        </w:tc>
        <w:tc>
          <w:tcPr>
            <w:tcW w:w="676" w:type="pct"/>
            <w:tcBorders>
              <w:top w:val="single" w:sz="4" w:space="0" w:color="auto"/>
              <w:left w:val="nil"/>
              <w:bottom w:val="single" w:sz="4" w:space="0" w:color="auto"/>
              <w:right w:val="single" w:sz="4" w:space="0" w:color="auto"/>
            </w:tcBorders>
            <w:vAlign w:val="center"/>
          </w:tcPr>
          <w:p w:rsidR="00000000" w:rsidRDefault="00000000">
            <w:pPr>
              <w:widowControl w:val="0"/>
              <w:jc w:val="center"/>
              <w:rPr>
                <w:b/>
                <w:szCs w:val="19"/>
              </w:rPr>
            </w:pPr>
            <w:r>
              <w:rPr>
                <w:b/>
                <w:szCs w:val="19"/>
              </w:rPr>
              <w:t>2000/01</w:t>
            </w:r>
          </w:p>
        </w:tc>
        <w:tc>
          <w:tcPr>
            <w:tcW w:w="676" w:type="pct"/>
            <w:tcBorders>
              <w:top w:val="single" w:sz="4" w:space="0" w:color="auto"/>
              <w:left w:val="nil"/>
              <w:bottom w:val="single" w:sz="4" w:space="0" w:color="auto"/>
              <w:right w:val="single" w:sz="4" w:space="0" w:color="auto"/>
            </w:tcBorders>
            <w:vAlign w:val="center"/>
          </w:tcPr>
          <w:p w:rsidR="00000000" w:rsidRDefault="00000000">
            <w:pPr>
              <w:widowControl w:val="0"/>
              <w:jc w:val="center"/>
              <w:rPr>
                <w:b/>
                <w:szCs w:val="19"/>
              </w:rPr>
            </w:pPr>
            <w:r>
              <w:rPr>
                <w:b/>
                <w:szCs w:val="19"/>
              </w:rPr>
              <w:t>2001/02</w:t>
            </w:r>
          </w:p>
        </w:tc>
        <w:tc>
          <w:tcPr>
            <w:tcW w:w="900" w:type="pct"/>
            <w:tcBorders>
              <w:top w:val="single" w:sz="4" w:space="0" w:color="auto"/>
              <w:left w:val="nil"/>
              <w:bottom w:val="single" w:sz="4" w:space="0" w:color="auto"/>
              <w:right w:val="single" w:sz="4" w:space="0" w:color="auto"/>
            </w:tcBorders>
            <w:vAlign w:val="center"/>
          </w:tcPr>
          <w:p w:rsidR="00000000" w:rsidRDefault="00000000">
            <w:pPr>
              <w:widowControl w:val="0"/>
              <w:jc w:val="center"/>
              <w:rPr>
                <w:b/>
                <w:szCs w:val="19"/>
              </w:rPr>
            </w:pPr>
            <w:r>
              <w:rPr>
                <w:b/>
                <w:szCs w:val="19"/>
              </w:rPr>
              <w:t>Tasa de crecimiento medio anual</w:t>
            </w:r>
          </w:p>
        </w:tc>
      </w:tr>
      <w:tr w:rsidR="00000000">
        <w:trPr>
          <w:jc w:val="center"/>
        </w:trPr>
        <w:tc>
          <w:tcPr>
            <w:tcW w:w="722" w:type="pct"/>
            <w:tcBorders>
              <w:top w:val="nil"/>
              <w:left w:val="single" w:sz="4" w:space="0" w:color="auto"/>
              <w:bottom w:val="single" w:sz="4" w:space="0" w:color="auto"/>
              <w:right w:val="single" w:sz="4" w:space="0" w:color="auto"/>
            </w:tcBorders>
          </w:tcPr>
          <w:p w:rsidR="00000000" w:rsidRDefault="00000000">
            <w:pPr>
              <w:widowControl w:val="0"/>
              <w:rPr>
                <w:szCs w:val="19"/>
                <w:lang w:val="en-US"/>
              </w:rPr>
            </w:pPr>
            <w:r>
              <w:rPr>
                <w:szCs w:val="19"/>
                <w:lang w:val="en-US"/>
              </w:rPr>
              <w:t>MF</w:t>
            </w:r>
          </w:p>
        </w:tc>
        <w:tc>
          <w:tcPr>
            <w:tcW w:w="675" w:type="pct"/>
            <w:tcBorders>
              <w:top w:val="nil"/>
              <w:left w:val="nil"/>
              <w:bottom w:val="single" w:sz="4" w:space="0" w:color="auto"/>
              <w:right w:val="single" w:sz="4" w:space="0" w:color="auto"/>
            </w:tcBorders>
          </w:tcPr>
          <w:p w:rsidR="00000000" w:rsidRDefault="00000000">
            <w:pPr>
              <w:keepNext/>
              <w:keepLines/>
              <w:ind w:right="227"/>
              <w:jc w:val="right"/>
              <w:rPr>
                <w:szCs w:val="19"/>
                <w:lang w:val="en-US"/>
              </w:rPr>
            </w:pPr>
            <w:r>
              <w:rPr>
                <w:szCs w:val="19"/>
                <w:lang w:val="en-US"/>
              </w:rPr>
              <w:t>8,90</w:t>
            </w:r>
          </w:p>
        </w:tc>
        <w:tc>
          <w:tcPr>
            <w:tcW w:w="676" w:type="pct"/>
            <w:tcBorders>
              <w:top w:val="nil"/>
              <w:left w:val="nil"/>
              <w:bottom w:val="single" w:sz="4" w:space="0" w:color="auto"/>
              <w:right w:val="single" w:sz="4" w:space="0" w:color="auto"/>
            </w:tcBorders>
          </w:tcPr>
          <w:p w:rsidR="00000000" w:rsidRDefault="00000000">
            <w:pPr>
              <w:keepNext/>
              <w:keepLines/>
              <w:ind w:right="227"/>
              <w:jc w:val="right"/>
              <w:rPr>
                <w:bCs/>
                <w:szCs w:val="19"/>
                <w:lang w:val="en-US"/>
              </w:rPr>
            </w:pPr>
            <w:r>
              <w:rPr>
                <w:bCs/>
                <w:szCs w:val="19"/>
                <w:lang w:val="en-US"/>
              </w:rPr>
              <w:t>9,00</w:t>
            </w:r>
          </w:p>
        </w:tc>
        <w:tc>
          <w:tcPr>
            <w:tcW w:w="675" w:type="pct"/>
            <w:tcBorders>
              <w:top w:val="nil"/>
              <w:left w:val="nil"/>
              <w:bottom w:val="single" w:sz="4" w:space="0" w:color="auto"/>
              <w:right w:val="single" w:sz="4" w:space="0" w:color="auto"/>
            </w:tcBorders>
          </w:tcPr>
          <w:p w:rsidR="00000000" w:rsidRDefault="00000000">
            <w:pPr>
              <w:keepNext/>
              <w:keepLines/>
              <w:ind w:right="227"/>
              <w:jc w:val="right"/>
              <w:rPr>
                <w:szCs w:val="19"/>
                <w:lang w:val="en-US"/>
              </w:rPr>
            </w:pPr>
            <w:r>
              <w:rPr>
                <w:szCs w:val="19"/>
                <w:lang w:val="en-US"/>
              </w:rPr>
              <w:t>8,60</w:t>
            </w:r>
          </w:p>
        </w:tc>
        <w:tc>
          <w:tcPr>
            <w:tcW w:w="676" w:type="pct"/>
            <w:tcBorders>
              <w:top w:val="nil"/>
              <w:left w:val="nil"/>
              <w:bottom w:val="single" w:sz="4" w:space="0" w:color="auto"/>
              <w:right w:val="single" w:sz="4" w:space="0" w:color="auto"/>
            </w:tcBorders>
          </w:tcPr>
          <w:p w:rsidR="00000000" w:rsidRDefault="00000000">
            <w:pPr>
              <w:keepNext/>
              <w:keepLines/>
              <w:ind w:right="227"/>
              <w:jc w:val="right"/>
              <w:rPr>
                <w:szCs w:val="19"/>
                <w:lang w:val="en-US"/>
              </w:rPr>
            </w:pPr>
            <w:r>
              <w:rPr>
                <w:szCs w:val="19"/>
                <w:lang w:val="en-US"/>
              </w:rPr>
              <w:t>8,60</w:t>
            </w:r>
          </w:p>
        </w:tc>
        <w:tc>
          <w:tcPr>
            <w:tcW w:w="676" w:type="pct"/>
            <w:tcBorders>
              <w:top w:val="nil"/>
              <w:left w:val="nil"/>
              <w:bottom w:val="single" w:sz="4" w:space="0" w:color="auto"/>
              <w:right w:val="single" w:sz="4" w:space="0" w:color="auto"/>
            </w:tcBorders>
          </w:tcPr>
          <w:p w:rsidR="00000000" w:rsidRDefault="00000000">
            <w:pPr>
              <w:keepNext/>
              <w:keepLines/>
              <w:ind w:right="227"/>
              <w:jc w:val="right"/>
              <w:rPr>
                <w:szCs w:val="19"/>
                <w:lang w:val="en-US"/>
              </w:rPr>
            </w:pPr>
            <w:r>
              <w:rPr>
                <w:szCs w:val="19"/>
                <w:lang w:val="en-US"/>
              </w:rPr>
              <w:t>9,60</w:t>
            </w:r>
          </w:p>
        </w:tc>
        <w:tc>
          <w:tcPr>
            <w:tcW w:w="900" w:type="pct"/>
            <w:tcBorders>
              <w:top w:val="nil"/>
              <w:left w:val="nil"/>
              <w:bottom w:val="single" w:sz="4" w:space="0" w:color="auto"/>
              <w:right w:val="single" w:sz="4" w:space="0" w:color="auto"/>
            </w:tcBorders>
          </w:tcPr>
          <w:p w:rsidR="00000000" w:rsidRDefault="00000000">
            <w:pPr>
              <w:keepNext/>
              <w:keepLines/>
              <w:jc w:val="center"/>
              <w:rPr>
                <w:szCs w:val="19"/>
                <w:lang w:val="en-US"/>
              </w:rPr>
            </w:pPr>
            <w:r>
              <w:rPr>
                <w:szCs w:val="19"/>
                <w:lang w:val="en-US"/>
              </w:rPr>
              <w:t>1,91</w:t>
            </w:r>
          </w:p>
        </w:tc>
      </w:tr>
      <w:tr w:rsidR="00000000">
        <w:trPr>
          <w:trHeight w:val="255"/>
          <w:jc w:val="center"/>
        </w:trPr>
        <w:tc>
          <w:tcPr>
            <w:tcW w:w="722" w:type="pct"/>
            <w:tcBorders>
              <w:top w:val="nil"/>
              <w:left w:val="single" w:sz="4" w:space="0" w:color="auto"/>
              <w:bottom w:val="single" w:sz="4" w:space="0" w:color="auto"/>
              <w:right w:val="single" w:sz="4" w:space="0" w:color="auto"/>
            </w:tcBorders>
          </w:tcPr>
          <w:p w:rsidR="00000000" w:rsidRDefault="00000000">
            <w:pPr>
              <w:widowControl w:val="0"/>
              <w:rPr>
                <w:szCs w:val="19"/>
                <w:lang w:val="en-US"/>
              </w:rPr>
            </w:pPr>
            <w:r>
              <w:rPr>
                <w:szCs w:val="19"/>
                <w:lang w:val="en-US"/>
              </w:rPr>
              <w:t>M</w:t>
            </w:r>
          </w:p>
        </w:tc>
        <w:tc>
          <w:tcPr>
            <w:tcW w:w="675" w:type="pct"/>
            <w:tcBorders>
              <w:top w:val="nil"/>
              <w:left w:val="nil"/>
              <w:bottom w:val="single" w:sz="4" w:space="0" w:color="auto"/>
              <w:right w:val="single" w:sz="4" w:space="0" w:color="auto"/>
            </w:tcBorders>
          </w:tcPr>
          <w:p w:rsidR="00000000" w:rsidRDefault="00000000">
            <w:pPr>
              <w:keepNext/>
              <w:keepLines/>
              <w:ind w:right="227"/>
              <w:jc w:val="right"/>
              <w:rPr>
                <w:szCs w:val="19"/>
                <w:lang w:val="en-US"/>
              </w:rPr>
            </w:pPr>
            <w:r>
              <w:rPr>
                <w:szCs w:val="19"/>
                <w:lang w:val="en-US"/>
              </w:rPr>
              <w:t>12,40</w:t>
            </w:r>
          </w:p>
        </w:tc>
        <w:tc>
          <w:tcPr>
            <w:tcW w:w="676" w:type="pct"/>
            <w:tcBorders>
              <w:top w:val="nil"/>
              <w:left w:val="nil"/>
              <w:bottom w:val="single" w:sz="4" w:space="0" w:color="auto"/>
              <w:right w:val="single" w:sz="4" w:space="0" w:color="auto"/>
            </w:tcBorders>
          </w:tcPr>
          <w:p w:rsidR="00000000" w:rsidRDefault="00000000">
            <w:pPr>
              <w:keepNext/>
              <w:keepLines/>
              <w:ind w:right="227"/>
              <w:jc w:val="right"/>
              <w:rPr>
                <w:szCs w:val="19"/>
                <w:lang w:val="en-US"/>
              </w:rPr>
            </w:pPr>
            <w:r>
              <w:rPr>
                <w:szCs w:val="19"/>
                <w:lang w:val="en-US"/>
              </w:rPr>
              <w:t>12,00</w:t>
            </w:r>
          </w:p>
        </w:tc>
        <w:tc>
          <w:tcPr>
            <w:tcW w:w="675" w:type="pct"/>
            <w:tcBorders>
              <w:top w:val="nil"/>
              <w:left w:val="nil"/>
              <w:bottom w:val="single" w:sz="4" w:space="0" w:color="auto"/>
              <w:right w:val="single" w:sz="4" w:space="0" w:color="auto"/>
            </w:tcBorders>
          </w:tcPr>
          <w:p w:rsidR="00000000" w:rsidRDefault="00000000">
            <w:pPr>
              <w:keepNext/>
              <w:keepLines/>
              <w:ind w:right="227"/>
              <w:jc w:val="right"/>
              <w:rPr>
                <w:szCs w:val="19"/>
                <w:lang w:val="en-US"/>
              </w:rPr>
            </w:pPr>
            <w:r>
              <w:rPr>
                <w:szCs w:val="19"/>
                <w:lang w:val="en-US"/>
              </w:rPr>
              <w:t>11,50</w:t>
            </w:r>
          </w:p>
        </w:tc>
        <w:tc>
          <w:tcPr>
            <w:tcW w:w="676" w:type="pct"/>
            <w:tcBorders>
              <w:top w:val="nil"/>
              <w:left w:val="nil"/>
              <w:bottom w:val="single" w:sz="4" w:space="0" w:color="auto"/>
              <w:right w:val="single" w:sz="4" w:space="0" w:color="auto"/>
            </w:tcBorders>
          </w:tcPr>
          <w:p w:rsidR="00000000" w:rsidRDefault="00000000">
            <w:pPr>
              <w:keepNext/>
              <w:keepLines/>
              <w:ind w:right="227"/>
              <w:jc w:val="right"/>
              <w:rPr>
                <w:szCs w:val="19"/>
                <w:lang w:val="en-US"/>
              </w:rPr>
            </w:pPr>
            <w:r>
              <w:rPr>
                <w:szCs w:val="19"/>
                <w:lang w:val="en-US"/>
              </w:rPr>
              <w:t>11,50</w:t>
            </w:r>
          </w:p>
        </w:tc>
        <w:tc>
          <w:tcPr>
            <w:tcW w:w="676" w:type="pct"/>
            <w:tcBorders>
              <w:top w:val="nil"/>
              <w:left w:val="nil"/>
              <w:bottom w:val="single" w:sz="4" w:space="0" w:color="auto"/>
              <w:right w:val="single" w:sz="4" w:space="0" w:color="auto"/>
            </w:tcBorders>
          </w:tcPr>
          <w:p w:rsidR="00000000" w:rsidRDefault="00000000">
            <w:pPr>
              <w:keepNext/>
              <w:keepLines/>
              <w:ind w:right="227"/>
              <w:jc w:val="right"/>
              <w:rPr>
                <w:szCs w:val="19"/>
                <w:lang w:val="en-US"/>
              </w:rPr>
            </w:pPr>
            <w:r>
              <w:rPr>
                <w:szCs w:val="19"/>
                <w:lang w:val="en-US"/>
              </w:rPr>
              <w:t>13,00</w:t>
            </w:r>
          </w:p>
        </w:tc>
        <w:tc>
          <w:tcPr>
            <w:tcW w:w="900" w:type="pct"/>
            <w:tcBorders>
              <w:top w:val="nil"/>
              <w:left w:val="nil"/>
              <w:bottom w:val="single" w:sz="4" w:space="0" w:color="auto"/>
              <w:right w:val="single" w:sz="4" w:space="0" w:color="auto"/>
            </w:tcBorders>
          </w:tcPr>
          <w:p w:rsidR="00000000" w:rsidRDefault="00000000">
            <w:pPr>
              <w:keepNext/>
              <w:keepLines/>
              <w:jc w:val="center"/>
              <w:rPr>
                <w:szCs w:val="19"/>
                <w:lang w:val="en-US"/>
              </w:rPr>
            </w:pPr>
            <w:r>
              <w:rPr>
                <w:szCs w:val="19"/>
                <w:lang w:val="en-US"/>
              </w:rPr>
              <w:t>1,19</w:t>
            </w:r>
          </w:p>
        </w:tc>
      </w:tr>
      <w:tr w:rsidR="00000000">
        <w:trPr>
          <w:trHeight w:val="255"/>
          <w:jc w:val="center"/>
        </w:trPr>
        <w:tc>
          <w:tcPr>
            <w:tcW w:w="722" w:type="pct"/>
            <w:tcBorders>
              <w:top w:val="nil"/>
              <w:left w:val="single" w:sz="4" w:space="0" w:color="auto"/>
              <w:bottom w:val="single" w:sz="4" w:space="0" w:color="auto"/>
              <w:right w:val="single" w:sz="4" w:space="0" w:color="auto"/>
            </w:tcBorders>
          </w:tcPr>
          <w:p w:rsidR="00000000" w:rsidRDefault="00000000">
            <w:pPr>
              <w:widowControl w:val="0"/>
              <w:rPr>
                <w:szCs w:val="19"/>
                <w:lang w:val="en-US"/>
              </w:rPr>
            </w:pPr>
            <w:r>
              <w:rPr>
                <w:szCs w:val="19"/>
                <w:lang w:val="en-US"/>
              </w:rPr>
              <w:t>F</w:t>
            </w:r>
          </w:p>
        </w:tc>
        <w:tc>
          <w:tcPr>
            <w:tcW w:w="675" w:type="pct"/>
            <w:tcBorders>
              <w:top w:val="nil"/>
              <w:left w:val="nil"/>
              <w:bottom w:val="single" w:sz="4" w:space="0" w:color="auto"/>
              <w:right w:val="single" w:sz="4" w:space="0" w:color="auto"/>
            </w:tcBorders>
          </w:tcPr>
          <w:p w:rsidR="00000000" w:rsidRDefault="00000000">
            <w:pPr>
              <w:keepNext/>
              <w:keepLines/>
              <w:ind w:right="227"/>
              <w:jc w:val="right"/>
              <w:rPr>
                <w:szCs w:val="19"/>
              </w:rPr>
            </w:pPr>
            <w:r>
              <w:rPr>
                <w:szCs w:val="19"/>
              </w:rPr>
              <w:t>5,90</w:t>
            </w:r>
          </w:p>
        </w:tc>
        <w:tc>
          <w:tcPr>
            <w:tcW w:w="676" w:type="pct"/>
            <w:tcBorders>
              <w:top w:val="nil"/>
              <w:left w:val="nil"/>
              <w:bottom w:val="single" w:sz="4" w:space="0" w:color="auto"/>
              <w:right w:val="single" w:sz="4" w:space="0" w:color="auto"/>
            </w:tcBorders>
          </w:tcPr>
          <w:p w:rsidR="00000000" w:rsidRDefault="00000000">
            <w:pPr>
              <w:widowControl w:val="0"/>
              <w:ind w:right="227"/>
              <w:jc w:val="right"/>
              <w:rPr>
                <w:szCs w:val="19"/>
              </w:rPr>
            </w:pPr>
            <w:r>
              <w:rPr>
                <w:szCs w:val="19"/>
              </w:rPr>
              <w:t>6,00</w:t>
            </w:r>
          </w:p>
        </w:tc>
        <w:tc>
          <w:tcPr>
            <w:tcW w:w="675" w:type="pct"/>
            <w:tcBorders>
              <w:top w:val="nil"/>
              <w:left w:val="nil"/>
              <w:bottom w:val="single" w:sz="4" w:space="0" w:color="auto"/>
              <w:right w:val="single" w:sz="4" w:space="0" w:color="auto"/>
            </w:tcBorders>
          </w:tcPr>
          <w:p w:rsidR="00000000" w:rsidRDefault="00000000">
            <w:pPr>
              <w:keepNext/>
              <w:keepLines/>
              <w:ind w:right="227"/>
              <w:jc w:val="right"/>
              <w:rPr>
                <w:szCs w:val="19"/>
              </w:rPr>
            </w:pPr>
            <w:r>
              <w:rPr>
                <w:szCs w:val="19"/>
              </w:rPr>
              <w:t>6,10</w:t>
            </w:r>
          </w:p>
        </w:tc>
        <w:tc>
          <w:tcPr>
            <w:tcW w:w="676" w:type="pct"/>
            <w:tcBorders>
              <w:top w:val="nil"/>
              <w:left w:val="nil"/>
              <w:bottom w:val="single" w:sz="4" w:space="0" w:color="auto"/>
              <w:right w:val="single" w:sz="4" w:space="0" w:color="auto"/>
            </w:tcBorders>
          </w:tcPr>
          <w:p w:rsidR="00000000" w:rsidRDefault="00000000">
            <w:pPr>
              <w:keepNext/>
              <w:keepLines/>
              <w:ind w:right="227"/>
              <w:jc w:val="right"/>
              <w:rPr>
                <w:szCs w:val="19"/>
              </w:rPr>
            </w:pPr>
            <w:r>
              <w:rPr>
                <w:szCs w:val="19"/>
              </w:rPr>
              <w:t>6,00</w:t>
            </w:r>
          </w:p>
        </w:tc>
        <w:tc>
          <w:tcPr>
            <w:tcW w:w="676" w:type="pct"/>
            <w:tcBorders>
              <w:top w:val="nil"/>
              <w:left w:val="nil"/>
              <w:bottom w:val="single" w:sz="4" w:space="0" w:color="auto"/>
              <w:right w:val="single" w:sz="4" w:space="0" w:color="auto"/>
            </w:tcBorders>
          </w:tcPr>
          <w:p w:rsidR="00000000" w:rsidRDefault="00000000">
            <w:pPr>
              <w:keepNext/>
              <w:keepLines/>
              <w:ind w:right="227"/>
              <w:jc w:val="right"/>
              <w:rPr>
                <w:szCs w:val="19"/>
              </w:rPr>
            </w:pPr>
            <w:r>
              <w:rPr>
                <w:szCs w:val="19"/>
              </w:rPr>
              <w:t>6,60</w:t>
            </w:r>
          </w:p>
        </w:tc>
        <w:tc>
          <w:tcPr>
            <w:tcW w:w="900" w:type="pct"/>
            <w:tcBorders>
              <w:top w:val="nil"/>
              <w:left w:val="nil"/>
              <w:bottom w:val="single" w:sz="4" w:space="0" w:color="auto"/>
              <w:right w:val="single" w:sz="4" w:space="0" w:color="auto"/>
            </w:tcBorders>
          </w:tcPr>
          <w:p w:rsidR="00000000" w:rsidRDefault="00000000">
            <w:pPr>
              <w:keepNext/>
              <w:keepLines/>
              <w:jc w:val="center"/>
              <w:rPr>
                <w:szCs w:val="19"/>
              </w:rPr>
            </w:pPr>
            <w:r>
              <w:rPr>
                <w:szCs w:val="19"/>
              </w:rPr>
              <w:t>2,84</w:t>
            </w:r>
          </w:p>
        </w:tc>
      </w:tr>
    </w:tbl>
    <w:p w:rsidR="00000000" w:rsidRDefault="00000000">
      <w:pPr>
        <w:spacing w:before="480" w:after="240"/>
      </w:pPr>
      <w:r>
        <w:t>68.</w:t>
      </w:r>
      <w:r>
        <w:tab/>
        <w:t>La tasa de crecimiento medio anual de la tasa bruta de escolarización fue de 1,91%.  La progresión en el caso de las niñas (2,84%) fue más rápida que en el caso de los niños (1,19%).</w:t>
      </w:r>
    </w:p>
    <w:p w:rsidR="00000000" w:rsidRDefault="00000000">
      <w:pPr>
        <w:spacing w:after="240"/>
      </w:pPr>
      <w:r>
        <w:t>69.</w:t>
      </w:r>
      <w:r>
        <w:tab/>
        <w:t>A lo largo del período, el índice niñas/niños pasó de 0,5 a 0,6 en establecimientos públicos y de 0,9 a 0,7 en establecimientos privados.</w:t>
      </w:r>
    </w:p>
    <w:p w:rsidR="00000000" w:rsidRDefault="00000000">
      <w:pPr>
        <w:widowControl w:val="0"/>
        <w:spacing w:after="240"/>
        <w:jc w:val="center"/>
        <w:rPr>
          <w:b/>
          <w:bCs/>
        </w:rPr>
      </w:pPr>
      <w:r>
        <w:rPr>
          <w:b/>
          <w:bCs/>
        </w:rPr>
        <w:t>Evolución del índice niñas/niños</w:t>
      </w:r>
    </w:p>
    <w:tbl>
      <w:tblPr>
        <w:tblW w:w="3010" w:type="pct"/>
        <w:jc w:val="center"/>
        <w:tblInd w:w="2668" w:type="dxa"/>
        <w:tblCellMar>
          <w:left w:w="68" w:type="dxa"/>
          <w:right w:w="68" w:type="dxa"/>
        </w:tblCellMar>
        <w:tblLook w:val="0000" w:firstRow="0" w:lastRow="0" w:firstColumn="0" w:lastColumn="0" w:noHBand="0" w:noVBand="0"/>
      </w:tblPr>
      <w:tblGrid>
        <w:gridCol w:w="1660"/>
        <w:gridCol w:w="1560"/>
        <w:gridCol w:w="1440"/>
        <w:gridCol w:w="1054"/>
      </w:tblGrid>
      <w:tr w:rsidR="00000000">
        <w:trPr>
          <w:cantSplit/>
          <w:trHeight w:val="20"/>
          <w:jc w:val="center"/>
        </w:trPr>
        <w:tc>
          <w:tcPr>
            <w:tcW w:w="1453" w:type="pct"/>
            <w:vMerge w:val="restart"/>
            <w:tcBorders>
              <w:top w:val="single" w:sz="4" w:space="0" w:color="auto"/>
              <w:left w:val="single" w:sz="4" w:space="0" w:color="auto"/>
              <w:bottom w:val="single" w:sz="4" w:space="0" w:color="000000"/>
              <w:right w:val="single" w:sz="4" w:space="0" w:color="auto"/>
            </w:tcBorders>
            <w:vAlign w:val="center"/>
          </w:tcPr>
          <w:p w:rsidR="00000000" w:rsidRDefault="00000000">
            <w:pPr>
              <w:keepNext/>
              <w:keepLines/>
              <w:jc w:val="center"/>
              <w:rPr>
                <w:b/>
                <w:bCs/>
              </w:rPr>
            </w:pPr>
            <w:r>
              <w:rPr>
                <w:b/>
                <w:bCs/>
              </w:rPr>
              <w:t>Años</w:t>
            </w:r>
          </w:p>
        </w:tc>
        <w:tc>
          <w:tcPr>
            <w:tcW w:w="3547" w:type="pct"/>
            <w:gridSpan w:val="3"/>
            <w:tcBorders>
              <w:top w:val="single" w:sz="4" w:space="0" w:color="auto"/>
              <w:left w:val="nil"/>
              <w:bottom w:val="single" w:sz="4" w:space="0" w:color="auto"/>
              <w:right w:val="single" w:sz="4" w:space="0" w:color="auto"/>
            </w:tcBorders>
            <w:noWrap/>
            <w:vAlign w:val="center"/>
          </w:tcPr>
          <w:p w:rsidR="00000000" w:rsidRDefault="00000000">
            <w:pPr>
              <w:keepNext/>
              <w:keepLines/>
              <w:jc w:val="center"/>
              <w:rPr>
                <w:b/>
                <w:bCs/>
              </w:rPr>
            </w:pPr>
            <w:r>
              <w:rPr>
                <w:b/>
                <w:bCs/>
              </w:rPr>
              <w:t>Índice niñas/niños</w:t>
            </w:r>
          </w:p>
        </w:tc>
      </w:tr>
      <w:tr w:rsidR="00000000">
        <w:trPr>
          <w:cantSplit/>
          <w:trHeight w:val="20"/>
          <w:jc w:val="center"/>
        </w:trPr>
        <w:tc>
          <w:tcPr>
            <w:tcW w:w="1453" w:type="pct"/>
            <w:vMerge/>
            <w:tcBorders>
              <w:top w:val="single" w:sz="4" w:space="0" w:color="auto"/>
              <w:left w:val="single" w:sz="4" w:space="0" w:color="auto"/>
              <w:bottom w:val="single" w:sz="4" w:space="0" w:color="000000"/>
              <w:right w:val="single" w:sz="4" w:space="0" w:color="auto"/>
            </w:tcBorders>
            <w:vAlign w:val="center"/>
          </w:tcPr>
          <w:p w:rsidR="00000000" w:rsidRDefault="00000000">
            <w:pPr>
              <w:widowControl w:val="0"/>
              <w:jc w:val="center"/>
              <w:rPr>
                <w:b/>
                <w:bCs/>
              </w:rPr>
            </w:pPr>
          </w:p>
        </w:tc>
        <w:tc>
          <w:tcPr>
            <w:tcW w:w="1365" w:type="pct"/>
            <w:tcBorders>
              <w:top w:val="nil"/>
              <w:left w:val="nil"/>
              <w:bottom w:val="single" w:sz="4" w:space="0" w:color="auto"/>
              <w:right w:val="single" w:sz="4" w:space="0" w:color="auto"/>
            </w:tcBorders>
            <w:vAlign w:val="center"/>
          </w:tcPr>
          <w:p w:rsidR="00000000" w:rsidRDefault="00000000">
            <w:pPr>
              <w:widowControl w:val="0"/>
              <w:jc w:val="center"/>
              <w:rPr>
                <w:b/>
                <w:bCs/>
              </w:rPr>
            </w:pPr>
            <w:r>
              <w:rPr>
                <w:b/>
                <w:bCs/>
              </w:rPr>
              <w:t>Público</w:t>
            </w:r>
          </w:p>
        </w:tc>
        <w:tc>
          <w:tcPr>
            <w:tcW w:w="1260" w:type="pct"/>
            <w:tcBorders>
              <w:top w:val="nil"/>
              <w:left w:val="nil"/>
              <w:bottom w:val="single" w:sz="4" w:space="0" w:color="auto"/>
              <w:right w:val="single" w:sz="4" w:space="0" w:color="auto"/>
            </w:tcBorders>
            <w:vAlign w:val="center"/>
          </w:tcPr>
          <w:p w:rsidR="00000000" w:rsidRDefault="00000000">
            <w:pPr>
              <w:widowControl w:val="0"/>
              <w:jc w:val="center"/>
              <w:rPr>
                <w:b/>
                <w:bCs/>
              </w:rPr>
            </w:pPr>
            <w:r>
              <w:rPr>
                <w:b/>
                <w:bCs/>
              </w:rPr>
              <w:t>Privado</w:t>
            </w:r>
          </w:p>
        </w:tc>
        <w:tc>
          <w:tcPr>
            <w:tcW w:w="922" w:type="pct"/>
            <w:tcBorders>
              <w:top w:val="nil"/>
              <w:left w:val="nil"/>
              <w:bottom w:val="single" w:sz="4" w:space="0" w:color="auto"/>
              <w:right w:val="single" w:sz="4" w:space="0" w:color="auto"/>
            </w:tcBorders>
            <w:vAlign w:val="center"/>
          </w:tcPr>
          <w:p w:rsidR="00000000" w:rsidRDefault="00000000">
            <w:pPr>
              <w:widowControl w:val="0"/>
              <w:jc w:val="center"/>
              <w:rPr>
                <w:b/>
                <w:bCs/>
              </w:rPr>
            </w:pPr>
            <w:r>
              <w:rPr>
                <w:b/>
                <w:bCs/>
              </w:rPr>
              <w:t>Total</w:t>
            </w:r>
          </w:p>
        </w:tc>
      </w:tr>
      <w:tr w:rsidR="00000000">
        <w:trPr>
          <w:trHeight w:val="20"/>
          <w:jc w:val="center"/>
        </w:trPr>
        <w:tc>
          <w:tcPr>
            <w:tcW w:w="1453" w:type="pct"/>
            <w:tcBorders>
              <w:top w:val="nil"/>
              <w:left w:val="single" w:sz="4" w:space="0" w:color="auto"/>
              <w:bottom w:val="single" w:sz="4" w:space="0" w:color="auto"/>
              <w:right w:val="single" w:sz="4" w:space="0" w:color="auto"/>
            </w:tcBorders>
          </w:tcPr>
          <w:p w:rsidR="00000000" w:rsidRDefault="00000000">
            <w:pPr>
              <w:widowControl w:val="0"/>
              <w:jc w:val="center"/>
            </w:pPr>
            <w:r>
              <w:t>1997/98</w:t>
            </w:r>
          </w:p>
        </w:tc>
        <w:tc>
          <w:tcPr>
            <w:tcW w:w="1365" w:type="pct"/>
            <w:tcBorders>
              <w:top w:val="nil"/>
              <w:left w:val="nil"/>
              <w:bottom w:val="single" w:sz="4" w:space="0" w:color="auto"/>
              <w:right w:val="single" w:sz="4" w:space="0" w:color="auto"/>
            </w:tcBorders>
            <w:noWrap/>
            <w:vAlign w:val="bottom"/>
          </w:tcPr>
          <w:p w:rsidR="00000000" w:rsidRDefault="00000000">
            <w:pPr>
              <w:widowControl w:val="0"/>
              <w:jc w:val="center"/>
            </w:pPr>
            <w:r>
              <w:t>0,5</w:t>
            </w:r>
          </w:p>
        </w:tc>
        <w:tc>
          <w:tcPr>
            <w:tcW w:w="1260" w:type="pct"/>
            <w:tcBorders>
              <w:top w:val="nil"/>
              <w:left w:val="nil"/>
              <w:bottom w:val="single" w:sz="4" w:space="0" w:color="auto"/>
              <w:right w:val="single" w:sz="4" w:space="0" w:color="auto"/>
            </w:tcBorders>
            <w:noWrap/>
            <w:vAlign w:val="bottom"/>
          </w:tcPr>
          <w:p w:rsidR="00000000" w:rsidRDefault="00000000">
            <w:pPr>
              <w:widowControl w:val="0"/>
              <w:jc w:val="center"/>
            </w:pPr>
            <w:r>
              <w:t>0,9</w:t>
            </w:r>
          </w:p>
        </w:tc>
        <w:tc>
          <w:tcPr>
            <w:tcW w:w="922" w:type="pct"/>
            <w:tcBorders>
              <w:top w:val="nil"/>
              <w:left w:val="nil"/>
              <w:bottom w:val="single" w:sz="4" w:space="0" w:color="auto"/>
              <w:right w:val="single" w:sz="4" w:space="0" w:color="auto"/>
            </w:tcBorders>
            <w:noWrap/>
            <w:vAlign w:val="bottom"/>
          </w:tcPr>
          <w:p w:rsidR="00000000" w:rsidRDefault="00000000">
            <w:pPr>
              <w:widowControl w:val="0"/>
              <w:jc w:val="center"/>
            </w:pPr>
            <w:r>
              <w:t>0,6</w:t>
            </w:r>
          </w:p>
        </w:tc>
      </w:tr>
      <w:tr w:rsidR="00000000">
        <w:trPr>
          <w:trHeight w:val="20"/>
          <w:jc w:val="center"/>
        </w:trPr>
        <w:tc>
          <w:tcPr>
            <w:tcW w:w="1453" w:type="pct"/>
            <w:tcBorders>
              <w:top w:val="nil"/>
              <w:left w:val="single" w:sz="4" w:space="0" w:color="auto"/>
              <w:bottom w:val="single" w:sz="4" w:space="0" w:color="auto"/>
              <w:right w:val="single" w:sz="4" w:space="0" w:color="auto"/>
            </w:tcBorders>
          </w:tcPr>
          <w:p w:rsidR="00000000" w:rsidRDefault="00000000">
            <w:pPr>
              <w:widowControl w:val="0"/>
              <w:jc w:val="center"/>
            </w:pPr>
            <w:r>
              <w:t>1998/99</w:t>
            </w:r>
          </w:p>
        </w:tc>
        <w:tc>
          <w:tcPr>
            <w:tcW w:w="1365" w:type="pct"/>
            <w:tcBorders>
              <w:top w:val="nil"/>
              <w:left w:val="nil"/>
              <w:bottom w:val="single" w:sz="4" w:space="0" w:color="auto"/>
              <w:right w:val="single" w:sz="4" w:space="0" w:color="auto"/>
            </w:tcBorders>
            <w:noWrap/>
            <w:vAlign w:val="bottom"/>
          </w:tcPr>
          <w:p w:rsidR="00000000" w:rsidRDefault="00000000">
            <w:pPr>
              <w:widowControl w:val="0"/>
              <w:jc w:val="center"/>
            </w:pPr>
            <w:r>
              <w:t>0,5</w:t>
            </w:r>
          </w:p>
        </w:tc>
        <w:tc>
          <w:tcPr>
            <w:tcW w:w="1260" w:type="pct"/>
            <w:tcBorders>
              <w:top w:val="nil"/>
              <w:left w:val="nil"/>
              <w:bottom w:val="single" w:sz="4" w:space="0" w:color="auto"/>
              <w:right w:val="single" w:sz="4" w:space="0" w:color="auto"/>
            </w:tcBorders>
            <w:noWrap/>
            <w:vAlign w:val="bottom"/>
          </w:tcPr>
          <w:p w:rsidR="00000000" w:rsidRDefault="00000000">
            <w:pPr>
              <w:widowControl w:val="0"/>
              <w:jc w:val="center"/>
            </w:pPr>
            <w:r>
              <w:t>0,8</w:t>
            </w:r>
          </w:p>
        </w:tc>
        <w:tc>
          <w:tcPr>
            <w:tcW w:w="922" w:type="pct"/>
            <w:tcBorders>
              <w:top w:val="nil"/>
              <w:left w:val="nil"/>
              <w:bottom w:val="single" w:sz="4" w:space="0" w:color="auto"/>
              <w:right w:val="single" w:sz="4" w:space="0" w:color="auto"/>
            </w:tcBorders>
            <w:noWrap/>
            <w:vAlign w:val="bottom"/>
          </w:tcPr>
          <w:p w:rsidR="00000000" w:rsidRDefault="00000000">
            <w:pPr>
              <w:widowControl w:val="0"/>
              <w:jc w:val="center"/>
            </w:pPr>
            <w:r>
              <w:t>0,6</w:t>
            </w:r>
          </w:p>
        </w:tc>
      </w:tr>
      <w:tr w:rsidR="00000000">
        <w:trPr>
          <w:trHeight w:val="20"/>
          <w:jc w:val="center"/>
        </w:trPr>
        <w:tc>
          <w:tcPr>
            <w:tcW w:w="1453" w:type="pct"/>
            <w:tcBorders>
              <w:top w:val="nil"/>
              <w:left w:val="single" w:sz="4" w:space="0" w:color="auto"/>
              <w:bottom w:val="single" w:sz="4" w:space="0" w:color="auto"/>
              <w:right w:val="single" w:sz="4" w:space="0" w:color="auto"/>
            </w:tcBorders>
          </w:tcPr>
          <w:p w:rsidR="00000000" w:rsidRDefault="00000000">
            <w:pPr>
              <w:widowControl w:val="0"/>
              <w:jc w:val="center"/>
            </w:pPr>
            <w:r>
              <w:t>1999/00</w:t>
            </w:r>
          </w:p>
        </w:tc>
        <w:tc>
          <w:tcPr>
            <w:tcW w:w="1365" w:type="pct"/>
            <w:tcBorders>
              <w:top w:val="nil"/>
              <w:left w:val="nil"/>
              <w:bottom w:val="single" w:sz="4" w:space="0" w:color="auto"/>
              <w:right w:val="single" w:sz="4" w:space="0" w:color="auto"/>
            </w:tcBorders>
            <w:noWrap/>
            <w:vAlign w:val="bottom"/>
          </w:tcPr>
          <w:p w:rsidR="00000000" w:rsidRDefault="00000000">
            <w:pPr>
              <w:widowControl w:val="0"/>
              <w:jc w:val="center"/>
            </w:pPr>
            <w:r>
              <w:t>0,6</w:t>
            </w:r>
          </w:p>
        </w:tc>
        <w:tc>
          <w:tcPr>
            <w:tcW w:w="1260" w:type="pct"/>
            <w:tcBorders>
              <w:top w:val="nil"/>
              <w:left w:val="nil"/>
              <w:bottom w:val="single" w:sz="4" w:space="0" w:color="auto"/>
              <w:right w:val="single" w:sz="4" w:space="0" w:color="auto"/>
            </w:tcBorders>
            <w:noWrap/>
            <w:vAlign w:val="bottom"/>
          </w:tcPr>
          <w:p w:rsidR="00000000" w:rsidRDefault="00000000">
            <w:pPr>
              <w:widowControl w:val="0"/>
              <w:jc w:val="center"/>
            </w:pPr>
            <w:r>
              <w:t>0,9</w:t>
            </w:r>
          </w:p>
        </w:tc>
        <w:tc>
          <w:tcPr>
            <w:tcW w:w="922" w:type="pct"/>
            <w:tcBorders>
              <w:top w:val="nil"/>
              <w:left w:val="nil"/>
              <w:bottom w:val="single" w:sz="4" w:space="0" w:color="auto"/>
              <w:right w:val="single" w:sz="4" w:space="0" w:color="auto"/>
            </w:tcBorders>
            <w:noWrap/>
            <w:vAlign w:val="bottom"/>
          </w:tcPr>
          <w:p w:rsidR="00000000" w:rsidRDefault="00000000">
            <w:pPr>
              <w:widowControl w:val="0"/>
              <w:jc w:val="center"/>
            </w:pPr>
            <w:r>
              <w:t>0,6</w:t>
            </w:r>
          </w:p>
        </w:tc>
      </w:tr>
      <w:tr w:rsidR="00000000">
        <w:trPr>
          <w:trHeight w:val="20"/>
          <w:jc w:val="center"/>
        </w:trPr>
        <w:tc>
          <w:tcPr>
            <w:tcW w:w="1453" w:type="pct"/>
            <w:tcBorders>
              <w:top w:val="nil"/>
              <w:left w:val="single" w:sz="4" w:space="0" w:color="auto"/>
              <w:bottom w:val="single" w:sz="4" w:space="0" w:color="auto"/>
              <w:right w:val="single" w:sz="4" w:space="0" w:color="auto"/>
            </w:tcBorders>
          </w:tcPr>
          <w:p w:rsidR="00000000" w:rsidRDefault="00000000">
            <w:pPr>
              <w:widowControl w:val="0"/>
              <w:jc w:val="center"/>
            </w:pPr>
            <w:r>
              <w:t>2000/01</w:t>
            </w:r>
          </w:p>
        </w:tc>
        <w:tc>
          <w:tcPr>
            <w:tcW w:w="1365" w:type="pct"/>
            <w:tcBorders>
              <w:top w:val="nil"/>
              <w:left w:val="nil"/>
              <w:bottom w:val="single" w:sz="4" w:space="0" w:color="auto"/>
              <w:right w:val="single" w:sz="4" w:space="0" w:color="auto"/>
            </w:tcBorders>
            <w:noWrap/>
            <w:vAlign w:val="bottom"/>
          </w:tcPr>
          <w:p w:rsidR="00000000" w:rsidRDefault="00000000">
            <w:pPr>
              <w:widowControl w:val="0"/>
              <w:jc w:val="center"/>
            </w:pPr>
            <w:r>
              <w:t>0,6</w:t>
            </w:r>
          </w:p>
        </w:tc>
        <w:tc>
          <w:tcPr>
            <w:tcW w:w="1260" w:type="pct"/>
            <w:tcBorders>
              <w:top w:val="nil"/>
              <w:left w:val="nil"/>
              <w:bottom w:val="single" w:sz="4" w:space="0" w:color="auto"/>
              <w:right w:val="single" w:sz="4" w:space="0" w:color="auto"/>
            </w:tcBorders>
            <w:noWrap/>
            <w:vAlign w:val="bottom"/>
          </w:tcPr>
          <w:p w:rsidR="00000000" w:rsidRDefault="00000000">
            <w:pPr>
              <w:widowControl w:val="0"/>
              <w:jc w:val="center"/>
            </w:pPr>
            <w:r>
              <w:t>0,9</w:t>
            </w:r>
          </w:p>
        </w:tc>
        <w:tc>
          <w:tcPr>
            <w:tcW w:w="922" w:type="pct"/>
            <w:tcBorders>
              <w:top w:val="nil"/>
              <w:left w:val="nil"/>
              <w:bottom w:val="single" w:sz="4" w:space="0" w:color="auto"/>
              <w:right w:val="single" w:sz="4" w:space="0" w:color="auto"/>
            </w:tcBorders>
            <w:noWrap/>
            <w:vAlign w:val="bottom"/>
          </w:tcPr>
          <w:p w:rsidR="00000000" w:rsidRDefault="00000000">
            <w:pPr>
              <w:widowControl w:val="0"/>
              <w:jc w:val="center"/>
            </w:pPr>
            <w:r>
              <w:t>0,6</w:t>
            </w:r>
          </w:p>
        </w:tc>
      </w:tr>
      <w:tr w:rsidR="00000000">
        <w:trPr>
          <w:trHeight w:val="20"/>
          <w:jc w:val="center"/>
        </w:trPr>
        <w:tc>
          <w:tcPr>
            <w:tcW w:w="1453" w:type="pct"/>
            <w:tcBorders>
              <w:top w:val="nil"/>
              <w:left w:val="single" w:sz="4" w:space="0" w:color="auto"/>
              <w:bottom w:val="single" w:sz="4" w:space="0" w:color="auto"/>
              <w:right w:val="single" w:sz="4" w:space="0" w:color="auto"/>
            </w:tcBorders>
          </w:tcPr>
          <w:p w:rsidR="00000000" w:rsidRDefault="00000000">
            <w:pPr>
              <w:widowControl w:val="0"/>
              <w:jc w:val="center"/>
            </w:pPr>
            <w:r>
              <w:t>2001/02</w:t>
            </w:r>
          </w:p>
        </w:tc>
        <w:tc>
          <w:tcPr>
            <w:tcW w:w="1365" w:type="pct"/>
            <w:tcBorders>
              <w:top w:val="nil"/>
              <w:left w:val="nil"/>
              <w:bottom w:val="single" w:sz="4" w:space="0" w:color="auto"/>
              <w:right w:val="single" w:sz="4" w:space="0" w:color="auto"/>
            </w:tcBorders>
            <w:noWrap/>
            <w:vAlign w:val="bottom"/>
          </w:tcPr>
          <w:p w:rsidR="00000000" w:rsidRDefault="00000000">
            <w:pPr>
              <w:widowControl w:val="0"/>
              <w:jc w:val="center"/>
            </w:pPr>
            <w:r>
              <w:t>0,6</w:t>
            </w:r>
          </w:p>
        </w:tc>
        <w:tc>
          <w:tcPr>
            <w:tcW w:w="1260" w:type="pct"/>
            <w:tcBorders>
              <w:top w:val="nil"/>
              <w:left w:val="nil"/>
              <w:bottom w:val="single" w:sz="4" w:space="0" w:color="auto"/>
              <w:right w:val="single" w:sz="4" w:space="0" w:color="auto"/>
            </w:tcBorders>
            <w:noWrap/>
            <w:vAlign w:val="bottom"/>
          </w:tcPr>
          <w:p w:rsidR="00000000" w:rsidRDefault="00000000">
            <w:pPr>
              <w:widowControl w:val="0"/>
              <w:jc w:val="center"/>
            </w:pPr>
            <w:r>
              <w:t>0,7</w:t>
            </w:r>
          </w:p>
        </w:tc>
        <w:tc>
          <w:tcPr>
            <w:tcW w:w="922" w:type="pct"/>
            <w:tcBorders>
              <w:top w:val="nil"/>
              <w:left w:val="nil"/>
              <w:bottom w:val="single" w:sz="4" w:space="0" w:color="auto"/>
              <w:right w:val="single" w:sz="4" w:space="0" w:color="auto"/>
            </w:tcBorders>
            <w:noWrap/>
            <w:vAlign w:val="bottom"/>
          </w:tcPr>
          <w:p w:rsidR="00000000" w:rsidRDefault="00000000">
            <w:pPr>
              <w:widowControl w:val="0"/>
              <w:jc w:val="center"/>
            </w:pPr>
            <w:r>
              <w:t>0,6</w:t>
            </w:r>
          </w:p>
        </w:tc>
      </w:tr>
    </w:tbl>
    <w:p w:rsidR="00000000" w:rsidRDefault="00000000">
      <w:pPr>
        <w:keepNext/>
        <w:spacing w:before="480" w:after="240"/>
        <w:rPr>
          <w:b/>
          <w:bCs/>
        </w:rPr>
      </w:pPr>
      <w:r>
        <w:rPr>
          <w:b/>
          <w:bCs/>
        </w:rPr>
        <w:t>Financiación de la enseñanza</w:t>
      </w:r>
    </w:p>
    <w:p w:rsidR="00000000" w:rsidRDefault="00000000">
      <w:pPr>
        <w:keepNext/>
        <w:spacing w:after="200"/>
        <w:jc w:val="center"/>
        <w:rPr>
          <w:b/>
          <w:bCs/>
          <w:sz w:val="20"/>
        </w:rPr>
      </w:pPr>
      <w:r>
        <w:rPr>
          <w:b/>
          <w:bCs/>
          <w:sz w:val="20"/>
        </w:rPr>
        <w:t>Plan de financiación de la enseñanza pública por fuente</w:t>
      </w:r>
    </w:p>
    <w:p w:rsidR="00000000" w:rsidRDefault="00000000">
      <w:pPr>
        <w:keepNext/>
        <w:spacing w:after="200"/>
        <w:jc w:val="center"/>
      </w:pPr>
      <w:r>
        <w:rPr>
          <w:sz w:val="20"/>
        </w:rPr>
        <w:t>(En millones de dólares de los EE.UU.)</w:t>
      </w:r>
    </w:p>
    <w:tbl>
      <w:tblPr>
        <w:tblW w:w="9452" w:type="dxa"/>
        <w:jc w:val="center"/>
        <w:tblLayout w:type="fixed"/>
        <w:tblCellMar>
          <w:left w:w="57" w:type="dxa"/>
          <w:right w:w="57" w:type="dxa"/>
        </w:tblCellMar>
        <w:tblLook w:val="0000" w:firstRow="0" w:lastRow="0" w:firstColumn="0" w:lastColumn="0" w:noHBand="0" w:noVBand="0"/>
      </w:tblPr>
      <w:tblGrid>
        <w:gridCol w:w="4489"/>
        <w:gridCol w:w="768"/>
        <w:gridCol w:w="768"/>
        <w:gridCol w:w="768"/>
        <w:gridCol w:w="768"/>
        <w:gridCol w:w="768"/>
        <w:gridCol w:w="1123"/>
      </w:tblGrid>
      <w:tr w:rsidR="00000000">
        <w:trPr>
          <w:jc w:val="center"/>
        </w:trPr>
        <w:tc>
          <w:tcPr>
            <w:tcW w:w="4489" w:type="dxa"/>
            <w:tcBorders>
              <w:top w:val="single" w:sz="4" w:space="0" w:color="auto"/>
              <w:left w:val="single" w:sz="4" w:space="0" w:color="auto"/>
              <w:bottom w:val="single" w:sz="4" w:space="0" w:color="000000"/>
              <w:right w:val="single" w:sz="4" w:space="0" w:color="auto"/>
            </w:tcBorders>
            <w:noWrap/>
            <w:vAlign w:val="center"/>
          </w:tcPr>
          <w:p w:rsidR="00000000" w:rsidRDefault="00000000">
            <w:pPr>
              <w:keepNext/>
              <w:widowControl w:val="0"/>
              <w:jc w:val="center"/>
              <w:rPr>
                <w:rFonts w:eastAsia="Arial Unicode MS"/>
                <w:b/>
                <w:bCs/>
                <w:sz w:val="20"/>
                <w:szCs w:val="18"/>
              </w:rPr>
            </w:pPr>
            <w:r>
              <w:rPr>
                <w:b/>
                <w:bCs/>
                <w:sz w:val="20"/>
                <w:szCs w:val="18"/>
              </w:rPr>
              <w:t>Origen</w:t>
            </w:r>
          </w:p>
        </w:tc>
        <w:tc>
          <w:tcPr>
            <w:tcW w:w="768" w:type="dxa"/>
            <w:tcBorders>
              <w:top w:val="single" w:sz="4" w:space="0" w:color="auto"/>
              <w:left w:val="single" w:sz="4" w:space="0" w:color="auto"/>
              <w:bottom w:val="single" w:sz="4" w:space="0" w:color="000000"/>
              <w:right w:val="single" w:sz="4" w:space="0" w:color="auto"/>
            </w:tcBorders>
            <w:noWrap/>
            <w:vAlign w:val="center"/>
          </w:tcPr>
          <w:p w:rsidR="00000000" w:rsidRDefault="00000000">
            <w:pPr>
              <w:keepNext/>
              <w:widowControl w:val="0"/>
              <w:jc w:val="center"/>
              <w:rPr>
                <w:rFonts w:eastAsia="Arial Unicode MS"/>
                <w:b/>
                <w:bCs/>
                <w:sz w:val="20"/>
                <w:szCs w:val="18"/>
              </w:rPr>
            </w:pPr>
            <w:r>
              <w:rPr>
                <w:b/>
                <w:bCs/>
                <w:sz w:val="20"/>
              </w:rPr>
              <w:t>1998</w:t>
            </w:r>
          </w:p>
        </w:tc>
        <w:tc>
          <w:tcPr>
            <w:tcW w:w="768" w:type="dxa"/>
            <w:tcBorders>
              <w:top w:val="single" w:sz="4" w:space="0" w:color="auto"/>
              <w:left w:val="single" w:sz="4" w:space="0" w:color="auto"/>
              <w:bottom w:val="single" w:sz="4" w:space="0" w:color="000000"/>
              <w:right w:val="single" w:sz="4" w:space="0" w:color="auto"/>
            </w:tcBorders>
            <w:noWrap/>
            <w:vAlign w:val="center"/>
          </w:tcPr>
          <w:p w:rsidR="00000000" w:rsidRDefault="00000000">
            <w:pPr>
              <w:keepNext/>
              <w:widowControl w:val="0"/>
              <w:jc w:val="center"/>
              <w:rPr>
                <w:rFonts w:eastAsia="Arial Unicode MS"/>
                <w:b/>
                <w:bCs/>
                <w:sz w:val="20"/>
                <w:szCs w:val="18"/>
              </w:rPr>
            </w:pPr>
            <w:r>
              <w:rPr>
                <w:b/>
                <w:bCs/>
                <w:sz w:val="20"/>
              </w:rPr>
              <w:t>2000</w:t>
            </w:r>
          </w:p>
        </w:tc>
        <w:tc>
          <w:tcPr>
            <w:tcW w:w="768" w:type="dxa"/>
            <w:tcBorders>
              <w:top w:val="single" w:sz="4" w:space="0" w:color="auto"/>
              <w:left w:val="single" w:sz="4" w:space="0" w:color="auto"/>
              <w:bottom w:val="single" w:sz="4" w:space="0" w:color="000000"/>
              <w:right w:val="single" w:sz="4" w:space="0" w:color="auto"/>
            </w:tcBorders>
            <w:noWrap/>
            <w:vAlign w:val="center"/>
          </w:tcPr>
          <w:p w:rsidR="00000000" w:rsidRDefault="00000000">
            <w:pPr>
              <w:keepNext/>
              <w:widowControl w:val="0"/>
              <w:jc w:val="center"/>
              <w:rPr>
                <w:rFonts w:eastAsia="Arial Unicode MS"/>
                <w:b/>
                <w:bCs/>
                <w:sz w:val="20"/>
                <w:szCs w:val="18"/>
              </w:rPr>
            </w:pPr>
            <w:r>
              <w:rPr>
                <w:b/>
                <w:bCs/>
                <w:sz w:val="20"/>
              </w:rPr>
              <w:t>2001</w:t>
            </w:r>
          </w:p>
        </w:tc>
        <w:tc>
          <w:tcPr>
            <w:tcW w:w="768" w:type="dxa"/>
            <w:tcBorders>
              <w:top w:val="single" w:sz="4" w:space="0" w:color="auto"/>
              <w:left w:val="single" w:sz="4" w:space="0" w:color="auto"/>
              <w:bottom w:val="single" w:sz="4" w:space="0" w:color="000000"/>
              <w:right w:val="single" w:sz="4" w:space="0" w:color="auto"/>
            </w:tcBorders>
            <w:noWrap/>
            <w:vAlign w:val="center"/>
          </w:tcPr>
          <w:p w:rsidR="00000000" w:rsidRDefault="00000000">
            <w:pPr>
              <w:keepNext/>
              <w:widowControl w:val="0"/>
              <w:jc w:val="center"/>
              <w:rPr>
                <w:rFonts w:eastAsia="Arial Unicode MS"/>
                <w:b/>
                <w:bCs/>
                <w:sz w:val="20"/>
                <w:szCs w:val="18"/>
              </w:rPr>
            </w:pPr>
            <w:r>
              <w:rPr>
                <w:b/>
                <w:bCs/>
                <w:sz w:val="20"/>
              </w:rPr>
              <w:t>2002</w:t>
            </w:r>
          </w:p>
        </w:tc>
        <w:tc>
          <w:tcPr>
            <w:tcW w:w="768" w:type="dxa"/>
            <w:tcBorders>
              <w:top w:val="single" w:sz="4" w:space="0" w:color="auto"/>
              <w:left w:val="single" w:sz="4" w:space="0" w:color="auto"/>
              <w:bottom w:val="single" w:sz="4" w:space="0" w:color="000000"/>
              <w:right w:val="single" w:sz="4" w:space="0" w:color="auto"/>
            </w:tcBorders>
            <w:noWrap/>
            <w:vAlign w:val="center"/>
          </w:tcPr>
          <w:p w:rsidR="00000000" w:rsidRDefault="00000000">
            <w:pPr>
              <w:keepNext/>
              <w:widowControl w:val="0"/>
              <w:jc w:val="center"/>
              <w:rPr>
                <w:rFonts w:eastAsia="Arial Unicode MS"/>
                <w:b/>
                <w:bCs/>
                <w:sz w:val="20"/>
                <w:szCs w:val="18"/>
              </w:rPr>
            </w:pPr>
            <w:r>
              <w:rPr>
                <w:b/>
                <w:bCs/>
                <w:sz w:val="20"/>
              </w:rPr>
              <w:t>2003</w:t>
            </w:r>
          </w:p>
        </w:tc>
        <w:tc>
          <w:tcPr>
            <w:tcW w:w="1123" w:type="dxa"/>
            <w:tcBorders>
              <w:top w:val="single" w:sz="4" w:space="0" w:color="auto"/>
              <w:left w:val="nil"/>
              <w:bottom w:val="single" w:sz="4" w:space="0" w:color="auto"/>
              <w:right w:val="single" w:sz="4" w:space="0" w:color="auto"/>
            </w:tcBorders>
            <w:noWrap/>
            <w:vAlign w:val="center"/>
          </w:tcPr>
          <w:p w:rsidR="00000000" w:rsidRDefault="00000000">
            <w:pPr>
              <w:keepNext/>
              <w:widowControl w:val="0"/>
              <w:jc w:val="center"/>
              <w:rPr>
                <w:rFonts w:eastAsia="Arial Unicode MS"/>
                <w:b/>
                <w:bCs/>
                <w:sz w:val="20"/>
                <w:szCs w:val="18"/>
              </w:rPr>
            </w:pPr>
            <w:r>
              <w:rPr>
                <w:b/>
                <w:bCs/>
                <w:sz w:val="20"/>
              </w:rPr>
              <w:t>Total</w:t>
            </w:r>
          </w:p>
          <w:p w:rsidR="00000000" w:rsidRDefault="00000000">
            <w:pPr>
              <w:keepNext/>
              <w:widowControl w:val="0"/>
              <w:jc w:val="center"/>
              <w:rPr>
                <w:rFonts w:eastAsia="Arial Unicode MS"/>
                <w:b/>
                <w:bCs/>
                <w:sz w:val="20"/>
                <w:szCs w:val="18"/>
              </w:rPr>
            </w:pPr>
            <w:r>
              <w:rPr>
                <w:b/>
                <w:bCs/>
                <w:sz w:val="20"/>
              </w:rPr>
              <w:t>(2000-2003)</w:t>
            </w:r>
          </w:p>
        </w:tc>
      </w:tr>
      <w:tr w:rsidR="00000000">
        <w:trPr>
          <w:trHeight w:val="255"/>
          <w:jc w:val="center"/>
        </w:trPr>
        <w:tc>
          <w:tcPr>
            <w:tcW w:w="4489" w:type="dxa"/>
            <w:tcBorders>
              <w:top w:val="nil"/>
              <w:left w:val="single" w:sz="4" w:space="0" w:color="auto"/>
              <w:bottom w:val="single" w:sz="4" w:space="0" w:color="auto"/>
              <w:right w:val="single" w:sz="4" w:space="0" w:color="auto"/>
            </w:tcBorders>
            <w:noWrap/>
            <w:vAlign w:val="bottom"/>
          </w:tcPr>
          <w:p w:rsidR="00000000" w:rsidRDefault="00000000">
            <w:pPr>
              <w:keepNext/>
              <w:rPr>
                <w:rFonts w:eastAsia="Arial Unicode MS"/>
                <w:b/>
                <w:sz w:val="20"/>
                <w:szCs w:val="18"/>
              </w:rPr>
            </w:pPr>
            <w:r>
              <w:rPr>
                <w:b/>
                <w:sz w:val="20"/>
              </w:rPr>
              <w:t>Gastos de funcionamiento (millones de dólares)</w:t>
            </w:r>
          </w:p>
        </w:tc>
        <w:tc>
          <w:tcPr>
            <w:tcW w:w="768" w:type="dxa"/>
            <w:tcBorders>
              <w:top w:val="nil"/>
              <w:left w:val="nil"/>
              <w:bottom w:val="single" w:sz="4" w:space="0" w:color="auto"/>
              <w:right w:val="single" w:sz="4" w:space="0" w:color="auto"/>
            </w:tcBorders>
            <w:noWrap/>
            <w:vAlign w:val="bottom"/>
          </w:tcPr>
          <w:p w:rsidR="00000000" w:rsidRDefault="00000000">
            <w:pPr>
              <w:keepNext/>
              <w:tabs>
                <w:tab w:val="decimal" w:pos="425"/>
              </w:tabs>
              <w:rPr>
                <w:rFonts w:eastAsia="Arial Unicode MS"/>
                <w:b/>
                <w:sz w:val="20"/>
                <w:szCs w:val="18"/>
              </w:rPr>
            </w:pPr>
            <w:r>
              <w:rPr>
                <w:b/>
                <w:sz w:val="20"/>
              </w:rPr>
              <w:t>149,14</w:t>
            </w:r>
          </w:p>
        </w:tc>
        <w:tc>
          <w:tcPr>
            <w:tcW w:w="768" w:type="dxa"/>
            <w:tcBorders>
              <w:top w:val="nil"/>
              <w:left w:val="nil"/>
              <w:bottom w:val="single" w:sz="4" w:space="0" w:color="auto"/>
              <w:right w:val="single" w:sz="4" w:space="0" w:color="auto"/>
            </w:tcBorders>
            <w:noWrap/>
            <w:vAlign w:val="bottom"/>
          </w:tcPr>
          <w:p w:rsidR="00000000" w:rsidRDefault="00000000">
            <w:pPr>
              <w:keepNext/>
              <w:tabs>
                <w:tab w:val="decimal" w:pos="425"/>
              </w:tabs>
              <w:rPr>
                <w:b/>
                <w:sz w:val="20"/>
              </w:rPr>
            </w:pPr>
            <w:r>
              <w:rPr>
                <w:b/>
                <w:sz w:val="20"/>
              </w:rPr>
              <w:t>173,65</w:t>
            </w:r>
          </w:p>
        </w:tc>
        <w:tc>
          <w:tcPr>
            <w:tcW w:w="768" w:type="dxa"/>
            <w:tcBorders>
              <w:top w:val="nil"/>
              <w:left w:val="nil"/>
              <w:bottom w:val="single" w:sz="4" w:space="0" w:color="auto"/>
              <w:right w:val="single" w:sz="4" w:space="0" w:color="auto"/>
            </w:tcBorders>
            <w:noWrap/>
            <w:vAlign w:val="bottom"/>
          </w:tcPr>
          <w:p w:rsidR="00000000" w:rsidRDefault="00000000">
            <w:pPr>
              <w:keepNext/>
              <w:tabs>
                <w:tab w:val="decimal" w:pos="425"/>
              </w:tabs>
              <w:rPr>
                <w:b/>
                <w:sz w:val="20"/>
              </w:rPr>
            </w:pPr>
            <w:r>
              <w:rPr>
                <w:b/>
                <w:sz w:val="20"/>
              </w:rPr>
              <w:t>182,77</w:t>
            </w:r>
          </w:p>
        </w:tc>
        <w:tc>
          <w:tcPr>
            <w:tcW w:w="768" w:type="dxa"/>
            <w:tcBorders>
              <w:top w:val="nil"/>
              <w:left w:val="nil"/>
              <w:bottom w:val="single" w:sz="4" w:space="0" w:color="auto"/>
              <w:right w:val="single" w:sz="4" w:space="0" w:color="auto"/>
            </w:tcBorders>
            <w:noWrap/>
            <w:vAlign w:val="bottom"/>
          </w:tcPr>
          <w:p w:rsidR="00000000" w:rsidRDefault="00000000">
            <w:pPr>
              <w:keepNext/>
              <w:tabs>
                <w:tab w:val="decimal" w:pos="425"/>
              </w:tabs>
              <w:rPr>
                <w:b/>
                <w:sz w:val="20"/>
              </w:rPr>
            </w:pPr>
            <w:r>
              <w:rPr>
                <w:b/>
                <w:sz w:val="20"/>
              </w:rPr>
              <w:t>191,93</w:t>
            </w:r>
          </w:p>
        </w:tc>
        <w:tc>
          <w:tcPr>
            <w:tcW w:w="768" w:type="dxa"/>
            <w:tcBorders>
              <w:top w:val="nil"/>
              <w:left w:val="nil"/>
              <w:bottom w:val="single" w:sz="4" w:space="0" w:color="auto"/>
              <w:right w:val="single" w:sz="4" w:space="0" w:color="auto"/>
            </w:tcBorders>
            <w:noWrap/>
            <w:vAlign w:val="bottom"/>
          </w:tcPr>
          <w:p w:rsidR="00000000" w:rsidRDefault="00000000">
            <w:pPr>
              <w:keepNext/>
              <w:tabs>
                <w:tab w:val="decimal" w:pos="425"/>
              </w:tabs>
              <w:rPr>
                <w:b/>
                <w:sz w:val="20"/>
              </w:rPr>
            </w:pPr>
            <w:r>
              <w:rPr>
                <w:b/>
                <w:sz w:val="20"/>
              </w:rPr>
              <w:t>200,87</w:t>
            </w:r>
          </w:p>
        </w:tc>
        <w:tc>
          <w:tcPr>
            <w:tcW w:w="1123" w:type="dxa"/>
            <w:tcBorders>
              <w:top w:val="nil"/>
              <w:left w:val="nil"/>
              <w:bottom w:val="single" w:sz="4" w:space="0" w:color="auto"/>
              <w:right w:val="single" w:sz="4" w:space="0" w:color="auto"/>
            </w:tcBorders>
            <w:noWrap/>
            <w:vAlign w:val="bottom"/>
          </w:tcPr>
          <w:p w:rsidR="00000000" w:rsidRDefault="00000000">
            <w:pPr>
              <w:keepNext/>
              <w:tabs>
                <w:tab w:val="decimal" w:pos="585"/>
              </w:tabs>
              <w:jc w:val="both"/>
              <w:rPr>
                <w:rFonts w:eastAsia="Arial Unicode MS"/>
                <w:b/>
                <w:sz w:val="20"/>
                <w:szCs w:val="18"/>
              </w:rPr>
            </w:pPr>
            <w:r>
              <w:rPr>
                <w:b/>
                <w:sz w:val="20"/>
              </w:rPr>
              <w:t>749,22</w:t>
            </w:r>
          </w:p>
        </w:tc>
      </w:tr>
      <w:tr w:rsidR="00000000">
        <w:trPr>
          <w:trHeight w:val="255"/>
          <w:jc w:val="center"/>
        </w:trPr>
        <w:tc>
          <w:tcPr>
            <w:tcW w:w="4489" w:type="dxa"/>
            <w:tcBorders>
              <w:top w:val="nil"/>
              <w:left w:val="single" w:sz="4" w:space="0" w:color="auto"/>
              <w:bottom w:val="single" w:sz="4" w:space="0" w:color="auto"/>
              <w:right w:val="single" w:sz="4" w:space="0" w:color="auto"/>
            </w:tcBorders>
            <w:noWrap/>
            <w:vAlign w:val="bottom"/>
          </w:tcPr>
          <w:p w:rsidR="00000000" w:rsidRDefault="00000000">
            <w:pPr>
              <w:widowControl w:val="0"/>
              <w:rPr>
                <w:rFonts w:eastAsia="Arial Unicode MS"/>
                <w:b/>
                <w:sz w:val="20"/>
                <w:szCs w:val="18"/>
              </w:rPr>
            </w:pPr>
            <w:r>
              <w:rPr>
                <w:b/>
                <w:sz w:val="20"/>
                <w:szCs w:val="18"/>
              </w:rPr>
              <w:t>Porcentaje de funcionamiento/total general</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rFonts w:eastAsia="Arial Unicode MS"/>
                <w:b/>
                <w:sz w:val="20"/>
                <w:szCs w:val="18"/>
              </w:rPr>
            </w:pPr>
            <w:r>
              <w:rPr>
                <w:b/>
                <w:sz w:val="20"/>
                <w:szCs w:val="18"/>
              </w:rPr>
              <w:t>90,2</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b/>
                <w:sz w:val="20"/>
              </w:rPr>
            </w:pPr>
            <w:r>
              <w:rPr>
                <w:b/>
                <w:sz w:val="20"/>
              </w:rPr>
              <w:t>76,7</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b/>
                <w:sz w:val="20"/>
              </w:rPr>
            </w:pPr>
            <w:r>
              <w:rPr>
                <w:b/>
                <w:sz w:val="20"/>
              </w:rPr>
              <w:t>79,5</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b/>
                <w:sz w:val="20"/>
              </w:rPr>
            </w:pPr>
            <w:r>
              <w:rPr>
                <w:b/>
                <w:sz w:val="20"/>
              </w:rPr>
              <w:t>83,0</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b/>
                <w:sz w:val="20"/>
              </w:rPr>
            </w:pPr>
            <w:r>
              <w:rPr>
                <w:b/>
                <w:sz w:val="20"/>
              </w:rPr>
              <w:t>83,9</w:t>
            </w:r>
          </w:p>
        </w:tc>
        <w:tc>
          <w:tcPr>
            <w:tcW w:w="1123" w:type="dxa"/>
            <w:tcBorders>
              <w:top w:val="nil"/>
              <w:left w:val="nil"/>
              <w:bottom w:val="single" w:sz="4" w:space="0" w:color="auto"/>
              <w:right w:val="single" w:sz="4" w:space="0" w:color="auto"/>
            </w:tcBorders>
            <w:noWrap/>
            <w:vAlign w:val="bottom"/>
          </w:tcPr>
          <w:p w:rsidR="00000000" w:rsidRDefault="00000000">
            <w:pPr>
              <w:widowControl w:val="0"/>
              <w:tabs>
                <w:tab w:val="decimal" w:pos="585"/>
              </w:tabs>
              <w:jc w:val="both"/>
              <w:rPr>
                <w:rFonts w:eastAsia="Arial Unicode MS"/>
                <w:b/>
                <w:sz w:val="20"/>
                <w:szCs w:val="18"/>
              </w:rPr>
            </w:pPr>
            <w:r>
              <w:rPr>
                <w:b/>
                <w:sz w:val="20"/>
                <w:szCs w:val="18"/>
              </w:rPr>
              <w:t>80,9</w:t>
            </w:r>
          </w:p>
        </w:tc>
      </w:tr>
      <w:tr w:rsidR="00000000">
        <w:trPr>
          <w:trHeight w:val="255"/>
          <w:jc w:val="center"/>
        </w:trPr>
        <w:tc>
          <w:tcPr>
            <w:tcW w:w="4489" w:type="dxa"/>
            <w:tcBorders>
              <w:top w:val="nil"/>
              <w:left w:val="single" w:sz="4" w:space="0" w:color="auto"/>
              <w:bottom w:val="single" w:sz="4" w:space="0" w:color="auto"/>
              <w:right w:val="single" w:sz="4" w:space="0" w:color="auto"/>
            </w:tcBorders>
            <w:noWrap/>
            <w:vAlign w:val="bottom"/>
          </w:tcPr>
          <w:p w:rsidR="00000000" w:rsidRDefault="00000000">
            <w:pPr>
              <w:widowControl w:val="0"/>
              <w:ind w:left="397"/>
              <w:rPr>
                <w:rFonts w:eastAsia="Arial Unicode MS"/>
                <w:sz w:val="20"/>
                <w:szCs w:val="18"/>
              </w:rPr>
            </w:pPr>
            <w:r>
              <w:rPr>
                <w:sz w:val="20"/>
                <w:szCs w:val="18"/>
              </w:rPr>
              <w:t>Parte del Estado (porcentaje)</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rFonts w:eastAsia="Arial Unicode MS"/>
                <w:sz w:val="20"/>
                <w:szCs w:val="18"/>
              </w:rPr>
            </w:pPr>
            <w:r>
              <w:rPr>
                <w:sz w:val="20"/>
              </w:rPr>
              <w:t>96,7</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95,4</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89</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89,3</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89,9</w:t>
            </w:r>
          </w:p>
        </w:tc>
        <w:tc>
          <w:tcPr>
            <w:tcW w:w="1123" w:type="dxa"/>
            <w:tcBorders>
              <w:top w:val="nil"/>
              <w:left w:val="nil"/>
              <w:bottom w:val="single" w:sz="4" w:space="0" w:color="auto"/>
              <w:right w:val="single" w:sz="4" w:space="0" w:color="auto"/>
            </w:tcBorders>
            <w:noWrap/>
            <w:vAlign w:val="bottom"/>
          </w:tcPr>
          <w:p w:rsidR="00000000" w:rsidRDefault="00000000">
            <w:pPr>
              <w:widowControl w:val="0"/>
              <w:tabs>
                <w:tab w:val="decimal" w:pos="585"/>
              </w:tabs>
              <w:jc w:val="both"/>
              <w:rPr>
                <w:rFonts w:eastAsia="Arial Unicode MS"/>
                <w:sz w:val="20"/>
                <w:szCs w:val="18"/>
              </w:rPr>
            </w:pPr>
            <w:r>
              <w:rPr>
                <w:sz w:val="20"/>
              </w:rPr>
              <w:t>90,8</w:t>
            </w:r>
          </w:p>
        </w:tc>
      </w:tr>
      <w:tr w:rsidR="00000000">
        <w:trPr>
          <w:trHeight w:val="255"/>
          <w:jc w:val="center"/>
        </w:trPr>
        <w:tc>
          <w:tcPr>
            <w:tcW w:w="4489" w:type="dxa"/>
            <w:tcBorders>
              <w:top w:val="nil"/>
              <w:left w:val="single" w:sz="4" w:space="0" w:color="auto"/>
              <w:bottom w:val="single" w:sz="4" w:space="0" w:color="auto"/>
              <w:right w:val="single" w:sz="4" w:space="0" w:color="auto"/>
            </w:tcBorders>
            <w:noWrap/>
            <w:vAlign w:val="bottom"/>
          </w:tcPr>
          <w:p w:rsidR="00000000" w:rsidRDefault="00000000">
            <w:pPr>
              <w:widowControl w:val="0"/>
              <w:ind w:left="397"/>
              <w:rPr>
                <w:rFonts w:eastAsia="Arial Unicode MS"/>
                <w:sz w:val="20"/>
                <w:szCs w:val="18"/>
              </w:rPr>
            </w:pPr>
            <w:r>
              <w:rPr>
                <w:sz w:val="20"/>
              </w:rPr>
              <w:t>Familias (porcentaje)</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rFonts w:eastAsia="Arial Unicode MS"/>
                <w:sz w:val="20"/>
                <w:szCs w:val="18"/>
              </w:rPr>
            </w:pPr>
            <w:r>
              <w:rPr>
                <w:sz w:val="20"/>
              </w:rPr>
              <w:t>3</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4</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4,6</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5,1</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5,5</w:t>
            </w:r>
          </w:p>
        </w:tc>
        <w:tc>
          <w:tcPr>
            <w:tcW w:w="1123" w:type="dxa"/>
            <w:tcBorders>
              <w:top w:val="nil"/>
              <w:left w:val="nil"/>
              <w:bottom w:val="single" w:sz="4" w:space="0" w:color="auto"/>
              <w:right w:val="single" w:sz="4" w:space="0" w:color="auto"/>
            </w:tcBorders>
            <w:noWrap/>
            <w:vAlign w:val="bottom"/>
          </w:tcPr>
          <w:p w:rsidR="00000000" w:rsidRDefault="00000000">
            <w:pPr>
              <w:widowControl w:val="0"/>
              <w:tabs>
                <w:tab w:val="decimal" w:pos="585"/>
              </w:tabs>
              <w:jc w:val="both"/>
              <w:rPr>
                <w:rFonts w:eastAsia="Arial Unicode MS"/>
                <w:sz w:val="20"/>
                <w:szCs w:val="18"/>
              </w:rPr>
            </w:pPr>
            <w:r>
              <w:rPr>
                <w:sz w:val="20"/>
              </w:rPr>
              <w:t>4,8</w:t>
            </w:r>
          </w:p>
        </w:tc>
      </w:tr>
      <w:tr w:rsidR="00000000">
        <w:trPr>
          <w:trHeight w:val="255"/>
          <w:jc w:val="center"/>
        </w:trPr>
        <w:tc>
          <w:tcPr>
            <w:tcW w:w="4489" w:type="dxa"/>
            <w:tcBorders>
              <w:top w:val="nil"/>
              <w:left w:val="single" w:sz="4" w:space="0" w:color="auto"/>
              <w:bottom w:val="single" w:sz="4" w:space="0" w:color="auto"/>
              <w:right w:val="single" w:sz="4" w:space="0" w:color="auto"/>
            </w:tcBorders>
            <w:noWrap/>
            <w:vAlign w:val="bottom"/>
          </w:tcPr>
          <w:p w:rsidR="00000000" w:rsidRDefault="00000000">
            <w:pPr>
              <w:widowControl w:val="0"/>
              <w:ind w:left="397"/>
              <w:rPr>
                <w:rFonts w:eastAsia="Arial Unicode MS"/>
                <w:sz w:val="20"/>
                <w:szCs w:val="18"/>
              </w:rPr>
            </w:pPr>
            <w:r>
              <w:rPr>
                <w:sz w:val="20"/>
              </w:rPr>
              <w:t>Comunidades locales (porcentaje)</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rFonts w:eastAsia="Arial Unicode MS"/>
                <w:sz w:val="20"/>
                <w:szCs w:val="18"/>
              </w:rPr>
            </w:pPr>
            <w:r>
              <w:rPr>
                <w:sz w:val="20"/>
              </w:rPr>
              <w:t>0,3</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0,3</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0,3</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0,3</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0,3</w:t>
            </w:r>
          </w:p>
        </w:tc>
        <w:tc>
          <w:tcPr>
            <w:tcW w:w="1123" w:type="dxa"/>
            <w:tcBorders>
              <w:top w:val="nil"/>
              <w:left w:val="nil"/>
              <w:bottom w:val="single" w:sz="4" w:space="0" w:color="auto"/>
              <w:right w:val="single" w:sz="4" w:space="0" w:color="auto"/>
            </w:tcBorders>
            <w:noWrap/>
            <w:vAlign w:val="bottom"/>
          </w:tcPr>
          <w:p w:rsidR="00000000" w:rsidRDefault="00000000">
            <w:pPr>
              <w:widowControl w:val="0"/>
              <w:tabs>
                <w:tab w:val="decimal" w:pos="585"/>
              </w:tabs>
              <w:jc w:val="both"/>
              <w:rPr>
                <w:rFonts w:eastAsia="Arial Unicode MS"/>
                <w:sz w:val="20"/>
                <w:szCs w:val="18"/>
              </w:rPr>
            </w:pPr>
            <w:r>
              <w:rPr>
                <w:sz w:val="20"/>
              </w:rPr>
              <w:t>0,3</w:t>
            </w:r>
          </w:p>
        </w:tc>
      </w:tr>
      <w:tr w:rsidR="00000000">
        <w:trPr>
          <w:trHeight w:val="255"/>
          <w:jc w:val="center"/>
        </w:trPr>
        <w:tc>
          <w:tcPr>
            <w:tcW w:w="4489" w:type="dxa"/>
            <w:tcBorders>
              <w:top w:val="nil"/>
              <w:left w:val="single" w:sz="4" w:space="0" w:color="auto"/>
              <w:bottom w:val="single" w:sz="4" w:space="0" w:color="auto"/>
              <w:right w:val="single" w:sz="4" w:space="0" w:color="auto"/>
            </w:tcBorders>
            <w:noWrap/>
            <w:vAlign w:val="bottom"/>
          </w:tcPr>
          <w:p w:rsidR="00000000" w:rsidRDefault="00000000">
            <w:pPr>
              <w:widowControl w:val="0"/>
              <w:ind w:left="397"/>
              <w:rPr>
                <w:rFonts w:eastAsia="Arial Unicode MS"/>
                <w:sz w:val="20"/>
                <w:szCs w:val="18"/>
              </w:rPr>
            </w:pPr>
            <w:r>
              <w:rPr>
                <w:sz w:val="20"/>
              </w:rPr>
              <w:t>Asociados externos (porcentaje)</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rFonts w:eastAsia="Arial Unicode MS"/>
                <w:sz w:val="20"/>
                <w:szCs w:val="18"/>
              </w:rPr>
            </w:pPr>
            <w:r>
              <w:rPr>
                <w:sz w:val="20"/>
              </w:rPr>
              <w:t>0</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0,3</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6,1</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5,2</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4,3</w:t>
            </w:r>
          </w:p>
        </w:tc>
        <w:tc>
          <w:tcPr>
            <w:tcW w:w="1123" w:type="dxa"/>
            <w:tcBorders>
              <w:top w:val="nil"/>
              <w:left w:val="nil"/>
              <w:bottom w:val="single" w:sz="4" w:space="0" w:color="auto"/>
              <w:right w:val="single" w:sz="4" w:space="0" w:color="auto"/>
            </w:tcBorders>
            <w:noWrap/>
            <w:vAlign w:val="bottom"/>
          </w:tcPr>
          <w:p w:rsidR="00000000" w:rsidRDefault="00000000">
            <w:pPr>
              <w:widowControl w:val="0"/>
              <w:tabs>
                <w:tab w:val="decimal" w:pos="585"/>
              </w:tabs>
              <w:jc w:val="both"/>
              <w:rPr>
                <w:rFonts w:eastAsia="Arial Unicode MS"/>
                <w:sz w:val="20"/>
                <w:szCs w:val="18"/>
              </w:rPr>
            </w:pPr>
            <w:r>
              <w:rPr>
                <w:sz w:val="20"/>
              </w:rPr>
              <w:t>4</w:t>
            </w:r>
          </w:p>
        </w:tc>
      </w:tr>
      <w:tr w:rsidR="00000000">
        <w:trPr>
          <w:trHeight w:val="255"/>
          <w:jc w:val="center"/>
        </w:trPr>
        <w:tc>
          <w:tcPr>
            <w:tcW w:w="4489" w:type="dxa"/>
            <w:tcBorders>
              <w:top w:val="nil"/>
              <w:left w:val="single" w:sz="4" w:space="0" w:color="auto"/>
              <w:bottom w:val="single" w:sz="4" w:space="0" w:color="auto"/>
              <w:right w:val="single" w:sz="4" w:space="0" w:color="auto"/>
            </w:tcBorders>
            <w:noWrap/>
            <w:vAlign w:val="bottom"/>
          </w:tcPr>
          <w:p w:rsidR="00000000" w:rsidRDefault="00000000">
            <w:pPr>
              <w:widowControl w:val="0"/>
              <w:rPr>
                <w:rFonts w:eastAsia="Arial Unicode MS"/>
                <w:b/>
                <w:sz w:val="20"/>
                <w:szCs w:val="18"/>
              </w:rPr>
            </w:pPr>
            <w:r>
              <w:rPr>
                <w:b/>
                <w:sz w:val="20"/>
              </w:rPr>
              <w:t>Gastos de inversión (millones de dólares)</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rFonts w:eastAsia="Arial Unicode MS"/>
                <w:b/>
                <w:sz w:val="20"/>
                <w:szCs w:val="18"/>
              </w:rPr>
            </w:pPr>
            <w:r>
              <w:rPr>
                <w:b/>
                <w:sz w:val="20"/>
              </w:rPr>
              <w:t>16,15</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b/>
                <w:sz w:val="20"/>
              </w:rPr>
            </w:pPr>
            <w:r>
              <w:rPr>
                <w:b/>
                <w:sz w:val="20"/>
              </w:rPr>
              <w:t>52,8</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b/>
                <w:sz w:val="20"/>
              </w:rPr>
            </w:pPr>
            <w:r>
              <w:rPr>
                <w:b/>
                <w:sz w:val="20"/>
              </w:rPr>
              <w:t>46,22</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b/>
                <w:sz w:val="20"/>
              </w:rPr>
            </w:pPr>
            <w:r>
              <w:rPr>
                <w:b/>
                <w:sz w:val="20"/>
              </w:rPr>
              <w:t>39,22</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b/>
                <w:sz w:val="20"/>
              </w:rPr>
            </w:pPr>
            <w:r>
              <w:rPr>
                <w:b/>
                <w:sz w:val="20"/>
              </w:rPr>
              <w:t>38,58</w:t>
            </w:r>
          </w:p>
        </w:tc>
        <w:tc>
          <w:tcPr>
            <w:tcW w:w="1123" w:type="dxa"/>
            <w:tcBorders>
              <w:top w:val="nil"/>
              <w:left w:val="nil"/>
              <w:bottom w:val="single" w:sz="4" w:space="0" w:color="auto"/>
              <w:right w:val="single" w:sz="4" w:space="0" w:color="auto"/>
            </w:tcBorders>
            <w:noWrap/>
            <w:vAlign w:val="bottom"/>
          </w:tcPr>
          <w:p w:rsidR="00000000" w:rsidRDefault="00000000">
            <w:pPr>
              <w:widowControl w:val="0"/>
              <w:tabs>
                <w:tab w:val="decimal" w:pos="585"/>
              </w:tabs>
              <w:jc w:val="both"/>
              <w:rPr>
                <w:rFonts w:eastAsia="Arial Unicode MS"/>
                <w:b/>
                <w:sz w:val="20"/>
                <w:szCs w:val="18"/>
              </w:rPr>
            </w:pPr>
            <w:r>
              <w:rPr>
                <w:b/>
                <w:sz w:val="20"/>
              </w:rPr>
              <w:t>176,82</w:t>
            </w:r>
          </w:p>
        </w:tc>
      </w:tr>
      <w:tr w:rsidR="00000000">
        <w:trPr>
          <w:trHeight w:val="255"/>
          <w:jc w:val="center"/>
        </w:trPr>
        <w:tc>
          <w:tcPr>
            <w:tcW w:w="4489" w:type="dxa"/>
            <w:tcBorders>
              <w:top w:val="nil"/>
              <w:left w:val="single" w:sz="4" w:space="0" w:color="auto"/>
              <w:bottom w:val="single" w:sz="4" w:space="0" w:color="auto"/>
              <w:right w:val="single" w:sz="4" w:space="0" w:color="auto"/>
            </w:tcBorders>
            <w:noWrap/>
            <w:vAlign w:val="bottom"/>
          </w:tcPr>
          <w:p w:rsidR="00000000" w:rsidRDefault="00000000">
            <w:pPr>
              <w:widowControl w:val="0"/>
              <w:rPr>
                <w:rFonts w:eastAsia="Arial Unicode MS"/>
                <w:b/>
                <w:sz w:val="20"/>
                <w:szCs w:val="18"/>
              </w:rPr>
            </w:pPr>
            <w:r>
              <w:rPr>
                <w:b/>
                <w:sz w:val="20"/>
              </w:rPr>
              <w:t>Porcentaje de</w:t>
            </w:r>
            <w:r>
              <w:rPr>
                <w:b/>
                <w:sz w:val="20"/>
                <w:szCs w:val="18"/>
              </w:rPr>
              <w:t xml:space="preserve"> inversión/total general</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rFonts w:eastAsia="Arial Unicode MS"/>
                <w:b/>
                <w:sz w:val="20"/>
                <w:szCs w:val="18"/>
              </w:rPr>
            </w:pPr>
            <w:r>
              <w:rPr>
                <w:b/>
                <w:sz w:val="20"/>
                <w:szCs w:val="18"/>
              </w:rPr>
              <w:t>9,8</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b/>
                <w:sz w:val="20"/>
              </w:rPr>
            </w:pPr>
            <w:r>
              <w:rPr>
                <w:b/>
                <w:sz w:val="20"/>
              </w:rPr>
              <w:t>23,3</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b/>
                <w:sz w:val="20"/>
              </w:rPr>
            </w:pPr>
            <w:r>
              <w:rPr>
                <w:b/>
                <w:sz w:val="20"/>
              </w:rPr>
              <w:t>20,1</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b/>
                <w:sz w:val="20"/>
              </w:rPr>
            </w:pPr>
            <w:r>
              <w:rPr>
                <w:b/>
                <w:sz w:val="20"/>
              </w:rPr>
              <w:t>17,0</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b/>
                <w:sz w:val="20"/>
              </w:rPr>
            </w:pPr>
            <w:r>
              <w:rPr>
                <w:b/>
                <w:sz w:val="20"/>
              </w:rPr>
              <w:t>16,1</w:t>
            </w:r>
          </w:p>
        </w:tc>
        <w:tc>
          <w:tcPr>
            <w:tcW w:w="1123" w:type="dxa"/>
            <w:tcBorders>
              <w:top w:val="nil"/>
              <w:left w:val="nil"/>
              <w:bottom w:val="single" w:sz="4" w:space="0" w:color="auto"/>
              <w:right w:val="single" w:sz="4" w:space="0" w:color="auto"/>
            </w:tcBorders>
            <w:noWrap/>
            <w:vAlign w:val="bottom"/>
          </w:tcPr>
          <w:p w:rsidR="00000000" w:rsidRDefault="00000000">
            <w:pPr>
              <w:widowControl w:val="0"/>
              <w:tabs>
                <w:tab w:val="decimal" w:pos="585"/>
              </w:tabs>
              <w:jc w:val="both"/>
              <w:rPr>
                <w:rFonts w:eastAsia="Arial Unicode MS"/>
                <w:b/>
                <w:sz w:val="20"/>
                <w:szCs w:val="18"/>
              </w:rPr>
            </w:pPr>
            <w:r>
              <w:rPr>
                <w:b/>
                <w:sz w:val="20"/>
                <w:szCs w:val="18"/>
              </w:rPr>
              <w:t>19,1</w:t>
            </w:r>
          </w:p>
        </w:tc>
      </w:tr>
      <w:tr w:rsidR="00000000">
        <w:trPr>
          <w:trHeight w:val="255"/>
          <w:jc w:val="center"/>
        </w:trPr>
        <w:tc>
          <w:tcPr>
            <w:tcW w:w="4489" w:type="dxa"/>
            <w:tcBorders>
              <w:top w:val="nil"/>
              <w:left w:val="single" w:sz="4" w:space="0" w:color="auto"/>
              <w:bottom w:val="single" w:sz="4" w:space="0" w:color="auto"/>
              <w:right w:val="single" w:sz="4" w:space="0" w:color="auto"/>
            </w:tcBorders>
            <w:noWrap/>
            <w:vAlign w:val="bottom"/>
          </w:tcPr>
          <w:p w:rsidR="00000000" w:rsidRDefault="00000000">
            <w:pPr>
              <w:widowControl w:val="0"/>
              <w:ind w:left="397"/>
              <w:rPr>
                <w:rFonts w:eastAsia="Arial Unicode MS"/>
                <w:sz w:val="20"/>
                <w:szCs w:val="18"/>
              </w:rPr>
            </w:pPr>
            <w:r>
              <w:rPr>
                <w:sz w:val="20"/>
              </w:rPr>
              <w:t>Estado (</w:t>
            </w:r>
            <w:r>
              <w:rPr>
                <w:sz w:val="20"/>
                <w:szCs w:val="18"/>
              </w:rPr>
              <w:t>porcentaje</w:t>
            </w:r>
            <w:r>
              <w:rPr>
                <w:sz w:val="20"/>
              </w:rPr>
              <w:t>)</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rFonts w:eastAsia="Arial Unicode MS"/>
                <w:sz w:val="20"/>
                <w:szCs w:val="18"/>
              </w:rPr>
            </w:pPr>
            <w:r>
              <w:rPr>
                <w:sz w:val="20"/>
              </w:rPr>
              <w:t>61,7</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26,6</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29,6</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36,5</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38,9</w:t>
            </w:r>
          </w:p>
        </w:tc>
        <w:tc>
          <w:tcPr>
            <w:tcW w:w="1123" w:type="dxa"/>
            <w:tcBorders>
              <w:top w:val="nil"/>
              <w:left w:val="nil"/>
              <w:bottom w:val="single" w:sz="4" w:space="0" w:color="auto"/>
              <w:right w:val="single" w:sz="4" w:space="0" w:color="auto"/>
            </w:tcBorders>
            <w:noWrap/>
            <w:vAlign w:val="bottom"/>
          </w:tcPr>
          <w:p w:rsidR="00000000" w:rsidRDefault="00000000">
            <w:pPr>
              <w:widowControl w:val="0"/>
              <w:tabs>
                <w:tab w:val="decimal" w:pos="585"/>
              </w:tabs>
              <w:jc w:val="both"/>
              <w:rPr>
                <w:rFonts w:eastAsia="Arial Unicode MS"/>
                <w:sz w:val="20"/>
                <w:szCs w:val="18"/>
              </w:rPr>
            </w:pPr>
            <w:r>
              <w:rPr>
                <w:sz w:val="20"/>
              </w:rPr>
              <w:t>32,3</w:t>
            </w:r>
          </w:p>
        </w:tc>
      </w:tr>
      <w:tr w:rsidR="00000000">
        <w:trPr>
          <w:trHeight w:val="255"/>
          <w:jc w:val="center"/>
        </w:trPr>
        <w:tc>
          <w:tcPr>
            <w:tcW w:w="4489" w:type="dxa"/>
            <w:tcBorders>
              <w:top w:val="nil"/>
              <w:left w:val="single" w:sz="4" w:space="0" w:color="auto"/>
              <w:bottom w:val="single" w:sz="4" w:space="0" w:color="auto"/>
              <w:right w:val="single" w:sz="4" w:space="0" w:color="auto"/>
            </w:tcBorders>
            <w:noWrap/>
            <w:vAlign w:val="bottom"/>
          </w:tcPr>
          <w:p w:rsidR="00000000" w:rsidRDefault="00000000">
            <w:pPr>
              <w:widowControl w:val="0"/>
              <w:ind w:left="397"/>
              <w:rPr>
                <w:rFonts w:eastAsia="Arial Unicode MS"/>
                <w:sz w:val="20"/>
                <w:szCs w:val="18"/>
              </w:rPr>
            </w:pPr>
            <w:r>
              <w:rPr>
                <w:sz w:val="20"/>
              </w:rPr>
              <w:t xml:space="preserve">Comunidades </w:t>
            </w:r>
            <w:r>
              <w:rPr>
                <w:sz w:val="20"/>
                <w:szCs w:val="18"/>
              </w:rPr>
              <w:t>locales</w:t>
            </w:r>
            <w:r>
              <w:rPr>
                <w:sz w:val="20"/>
              </w:rPr>
              <w:t xml:space="preserve"> (porcentaje)</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rFonts w:eastAsia="Arial Unicode MS"/>
                <w:sz w:val="20"/>
                <w:szCs w:val="18"/>
              </w:rPr>
            </w:pPr>
            <w:r>
              <w:rPr>
                <w:sz w:val="20"/>
              </w:rPr>
              <w:t>10,9</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4</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5</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6,4</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7,1</w:t>
            </w:r>
          </w:p>
        </w:tc>
        <w:tc>
          <w:tcPr>
            <w:tcW w:w="1123" w:type="dxa"/>
            <w:tcBorders>
              <w:top w:val="nil"/>
              <w:left w:val="nil"/>
              <w:bottom w:val="single" w:sz="4" w:space="0" w:color="auto"/>
              <w:right w:val="single" w:sz="4" w:space="0" w:color="auto"/>
            </w:tcBorders>
            <w:noWrap/>
            <w:vAlign w:val="bottom"/>
          </w:tcPr>
          <w:p w:rsidR="00000000" w:rsidRDefault="00000000">
            <w:pPr>
              <w:widowControl w:val="0"/>
              <w:tabs>
                <w:tab w:val="decimal" w:pos="585"/>
              </w:tabs>
              <w:jc w:val="both"/>
              <w:rPr>
                <w:rFonts w:eastAsia="Arial Unicode MS"/>
                <w:sz w:val="20"/>
                <w:szCs w:val="18"/>
              </w:rPr>
            </w:pPr>
            <w:r>
              <w:rPr>
                <w:sz w:val="20"/>
              </w:rPr>
              <w:t>5,5</w:t>
            </w:r>
          </w:p>
        </w:tc>
      </w:tr>
      <w:tr w:rsidR="00000000">
        <w:trPr>
          <w:trHeight w:val="255"/>
          <w:jc w:val="center"/>
        </w:trPr>
        <w:tc>
          <w:tcPr>
            <w:tcW w:w="4489" w:type="dxa"/>
            <w:tcBorders>
              <w:top w:val="nil"/>
              <w:left w:val="single" w:sz="4" w:space="0" w:color="auto"/>
              <w:bottom w:val="single" w:sz="4" w:space="0" w:color="auto"/>
              <w:right w:val="single" w:sz="4" w:space="0" w:color="auto"/>
            </w:tcBorders>
            <w:noWrap/>
            <w:vAlign w:val="bottom"/>
          </w:tcPr>
          <w:p w:rsidR="00000000" w:rsidRDefault="00000000">
            <w:pPr>
              <w:widowControl w:val="0"/>
              <w:ind w:left="397"/>
              <w:rPr>
                <w:rFonts w:eastAsia="Arial Unicode MS"/>
                <w:sz w:val="20"/>
                <w:szCs w:val="18"/>
              </w:rPr>
            </w:pPr>
            <w:r>
              <w:rPr>
                <w:sz w:val="20"/>
              </w:rPr>
              <w:t xml:space="preserve">Asociados </w:t>
            </w:r>
            <w:r>
              <w:rPr>
                <w:sz w:val="20"/>
                <w:szCs w:val="18"/>
              </w:rPr>
              <w:t>externos</w:t>
            </w:r>
            <w:r>
              <w:rPr>
                <w:sz w:val="20"/>
              </w:rPr>
              <w:t xml:space="preserve"> (porcentaje)</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rFonts w:eastAsia="Arial Unicode MS"/>
                <w:sz w:val="20"/>
                <w:szCs w:val="18"/>
              </w:rPr>
            </w:pPr>
            <w:r>
              <w:rPr>
                <w:sz w:val="20"/>
              </w:rPr>
              <w:t>27,4</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69,4</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65,5</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57,1</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54</w:t>
            </w:r>
          </w:p>
        </w:tc>
        <w:tc>
          <w:tcPr>
            <w:tcW w:w="1123" w:type="dxa"/>
            <w:tcBorders>
              <w:top w:val="nil"/>
              <w:left w:val="nil"/>
              <w:bottom w:val="single" w:sz="4" w:space="0" w:color="auto"/>
              <w:right w:val="single" w:sz="4" w:space="0" w:color="auto"/>
            </w:tcBorders>
            <w:noWrap/>
            <w:vAlign w:val="bottom"/>
          </w:tcPr>
          <w:p w:rsidR="00000000" w:rsidRDefault="00000000">
            <w:pPr>
              <w:widowControl w:val="0"/>
              <w:tabs>
                <w:tab w:val="decimal" w:pos="585"/>
              </w:tabs>
              <w:jc w:val="both"/>
              <w:rPr>
                <w:rFonts w:eastAsia="Arial Unicode MS"/>
                <w:sz w:val="20"/>
                <w:szCs w:val="18"/>
              </w:rPr>
            </w:pPr>
            <w:r>
              <w:rPr>
                <w:sz w:val="20"/>
              </w:rPr>
              <w:t>62,3</w:t>
            </w:r>
          </w:p>
        </w:tc>
      </w:tr>
      <w:tr w:rsidR="00000000">
        <w:trPr>
          <w:trHeight w:val="255"/>
          <w:jc w:val="center"/>
        </w:trPr>
        <w:tc>
          <w:tcPr>
            <w:tcW w:w="4489" w:type="dxa"/>
            <w:tcBorders>
              <w:top w:val="nil"/>
              <w:left w:val="single" w:sz="4" w:space="0" w:color="auto"/>
              <w:bottom w:val="single" w:sz="4" w:space="0" w:color="auto"/>
              <w:right w:val="single" w:sz="4" w:space="0" w:color="auto"/>
            </w:tcBorders>
            <w:noWrap/>
            <w:vAlign w:val="bottom"/>
          </w:tcPr>
          <w:p w:rsidR="00000000" w:rsidRDefault="00000000">
            <w:pPr>
              <w:widowControl w:val="0"/>
              <w:rPr>
                <w:rFonts w:eastAsia="Arial Unicode MS"/>
                <w:b/>
                <w:sz w:val="20"/>
                <w:szCs w:val="18"/>
              </w:rPr>
            </w:pPr>
            <w:r>
              <w:rPr>
                <w:b/>
                <w:sz w:val="20"/>
                <w:szCs w:val="18"/>
              </w:rPr>
              <w:t>Total general (millones de dólares)</w:t>
            </w:r>
          </w:p>
        </w:tc>
        <w:tc>
          <w:tcPr>
            <w:tcW w:w="768" w:type="dxa"/>
            <w:tcBorders>
              <w:top w:val="nil"/>
              <w:left w:val="nil"/>
              <w:bottom w:val="single" w:sz="4" w:space="0" w:color="auto"/>
              <w:right w:val="single" w:sz="4" w:space="0" w:color="auto"/>
            </w:tcBorders>
            <w:vAlign w:val="bottom"/>
          </w:tcPr>
          <w:p w:rsidR="00000000" w:rsidRDefault="00000000">
            <w:pPr>
              <w:widowControl w:val="0"/>
              <w:tabs>
                <w:tab w:val="decimal" w:pos="425"/>
              </w:tabs>
              <w:rPr>
                <w:rFonts w:eastAsia="Arial Unicode MS"/>
                <w:b/>
                <w:sz w:val="20"/>
                <w:szCs w:val="18"/>
              </w:rPr>
            </w:pPr>
            <w:r>
              <w:rPr>
                <w:b/>
                <w:sz w:val="20"/>
              </w:rPr>
              <w:t>165,3</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b/>
                <w:sz w:val="20"/>
              </w:rPr>
            </w:pPr>
            <w:r>
              <w:rPr>
                <w:b/>
                <w:sz w:val="20"/>
              </w:rPr>
              <w:t>226,46</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b/>
                <w:sz w:val="20"/>
              </w:rPr>
            </w:pPr>
            <w:r>
              <w:rPr>
                <w:b/>
                <w:sz w:val="20"/>
              </w:rPr>
              <w:t>229,99</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b/>
                <w:sz w:val="20"/>
              </w:rPr>
            </w:pPr>
            <w:r>
              <w:rPr>
                <w:b/>
                <w:sz w:val="20"/>
              </w:rPr>
              <w:t>231,15</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b/>
                <w:sz w:val="20"/>
              </w:rPr>
            </w:pPr>
            <w:r>
              <w:rPr>
                <w:b/>
                <w:sz w:val="20"/>
              </w:rPr>
              <w:t>239,45</w:t>
            </w:r>
          </w:p>
        </w:tc>
        <w:tc>
          <w:tcPr>
            <w:tcW w:w="1123" w:type="dxa"/>
            <w:tcBorders>
              <w:top w:val="nil"/>
              <w:left w:val="nil"/>
              <w:bottom w:val="single" w:sz="4" w:space="0" w:color="auto"/>
              <w:right w:val="single" w:sz="4" w:space="0" w:color="auto"/>
            </w:tcBorders>
            <w:noWrap/>
            <w:vAlign w:val="bottom"/>
          </w:tcPr>
          <w:p w:rsidR="00000000" w:rsidRDefault="00000000">
            <w:pPr>
              <w:widowControl w:val="0"/>
              <w:tabs>
                <w:tab w:val="decimal" w:pos="585"/>
              </w:tabs>
              <w:jc w:val="both"/>
              <w:rPr>
                <w:rFonts w:eastAsia="Arial Unicode MS"/>
                <w:b/>
                <w:sz w:val="20"/>
                <w:szCs w:val="18"/>
              </w:rPr>
            </w:pPr>
            <w:r>
              <w:rPr>
                <w:b/>
                <w:sz w:val="20"/>
              </w:rPr>
              <w:t>926,04</w:t>
            </w:r>
          </w:p>
        </w:tc>
      </w:tr>
      <w:tr w:rsidR="00000000">
        <w:trPr>
          <w:trHeight w:val="255"/>
          <w:jc w:val="center"/>
        </w:trPr>
        <w:tc>
          <w:tcPr>
            <w:tcW w:w="4489" w:type="dxa"/>
            <w:tcBorders>
              <w:top w:val="nil"/>
              <w:left w:val="single" w:sz="4" w:space="0" w:color="auto"/>
              <w:bottom w:val="single" w:sz="4" w:space="0" w:color="auto"/>
              <w:right w:val="single" w:sz="4" w:space="0" w:color="auto"/>
            </w:tcBorders>
            <w:noWrap/>
            <w:vAlign w:val="bottom"/>
          </w:tcPr>
          <w:p w:rsidR="00000000" w:rsidRDefault="00000000">
            <w:pPr>
              <w:widowControl w:val="0"/>
              <w:ind w:left="397"/>
              <w:rPr>
                <w:sz w:val="20"/>
                <w:szCs w:val="18"/>
              </w:rPr>
            </w:pPr>
            <w:r>
              <w:rPr>
                <w:sz w:val="20"/>
                <w:szCs w:val="18"/>
              </w:rPr>
              <w:t>Estado (porcentaje)</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rFonts w:eastAsia="Arial Unicode MS"/>
                <w:sz w:val="20"/>
                <w:szCs w:val="18"/>
              </w:rPr>
            </w:pPr>
            <w:r>
              <w:rPr>
                <w:sz w:val="20"/>
              </w:rPr>
              <w:t>93,3</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79,4</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76,7</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80,4</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81,7</w:t>
            </w:r>
          </w:p>
        </w:tc>
        <w:tc>
          <w:tcPr>
            <w:tcW w:w="1123" w:type="dxa"/>
            <w:tcBorders>
              <w:top w:val="nil"/>
              <w:left w:val="nil"/>
              <w:bottom w:val="single" w:sz="4" w:space="0" w:color="auto"/>
              <w:right w:val="single" w:sz="4" w:space="0" w:color="auto"/>
            </w:tcBorders>
            <w:noWrap/>
            <w:vAlign w:val="bottom"/>
          </w:tcPr>
          <w:p w:rsidR="00000000" w:rsidRDefault="00000000">
            <w:pPr>
              <w:widowControl w:val="0"/>
              <w:tabs>
                <w:tab w:val="decimal" w:pos="585"/>
              </w:tabs>
              <w:jc w:val="both"/>
              <w:rPr>
                <w:rFonts w:eastAsia="Arial Unicode MS"/>
                <w:sz w:val="20"/>
                <w:szCs w:val="18"/>
              </w:rPr>
            </w:pPr>
            <w:r>
              <w:rPr>
                <w:sz w:val="20"/>
              </w:rPr>
              <w:t>79,6</w:t>
            </w:r>
          </w:p>
        </w:tc>
      </w:tr>
      <w:tr w:rsidR="00000000">
        <w:trPr>
          <w:trHeight w:val="255"/>
          <w:jc w:val="center"/>
        </w:trPr>
        <w:tc>
          <w:tcPr>
            <w:tcW w:w="4489" w:type="dxa"/>
            <w:tcBorders>
              <w:top w:val="nil"/>
              <w:left w:val="single" w:sz="4" w:space="0" w:color="auto"/>
              <w:bottom w:val="single" w:sz="4" w:space="0" w:color="auto"/>
              <w:right w:val="single" w:sz="4" w:space="0" w:color="auto"/>
            </w:tcBorders>
            <w:noWrap/>
            <w:vAlign w:val="bottom"/>
          </w:tcPr>
          <w:p w:rsidR="00000000" w:rsidRDefault="00000000">
            <w:pPr>
              <w:widowControl w:val="0"/>
              <w:ind w:left="397"/>
              <w:rPr>
                <w:sz w:val="20"/>
                <w:szCs w:val="18"/>
              </w:rPr>
            </w:pPr>
            <w:r>
              <w:rPr>
                <w:sz w:val="20"/>
                <w:szCs w:val="18"/>
              </w:rPr>
              <w:t>Familias (porcentaje)</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rFonts w:eastAsia="Arial Unicode MS"/>
                <w:sz w:val="20"/>
                <w:szCs w:val="18"/>
              </w:rPr>
            </w:pPr>
            <w:r>
              <w:rPr>
                <w:sz w:val="20"/>
              </w:rPr>
              <w:t>2,7</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3,1</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3,6</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4,2</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4,6</w:t>
            </w:r>
          </w:p>
        </w:tc>
        <w:tc>
          <w:tcPr>
            <w:tcW w:w="1123" w:type="dxa"/>
            <w:tcBorders>
              <w:top w:val="nil"/>
              <w:left w:val="nil"/>
              <w:bottom w:val="single" w:sz="4" w:space="0" w:color="auto"/>
              <w:right w:val="single" w:sz="4" w:space="0" w:color="auto"/>
            </w:tcBorders>
            <w:noWrap/>
            <w:vAlign w:val="bottom"/>
          </w:tcPr>
          <w:p w:rsidR="00000000" w:rsidRDefault="00000000">
            <w:pPr>
              <w:widowControl w:val="0"/>
              <w:tabs>
                <w:tab w:val="decimal" w:pos="585"/>
              </w:tabs>
              <w:jc w:val="both"/>
              <w:rPr>
                <w:rFonts w:eastAsia="Arial Unicode MS"/>
                <w:sz w:val="20"/>
                <w:szCs w:val="18"/>
              </w:rPr>
            </w:pPr>
            <w:r>
              <w:rPr>
                <w:sz w:val="20"/>
              </w:rPr>
              <w:t>3,9</w:t>
            </w:r>
          </w:p>
        </w:tc>
      </w:tr>
      <w:tr w:rsidR="00000000">
        <w:trPr>
          <w:trHeight w:val="255"/>
          <w:jc w:val="center"/>
        </w:trPr>
        <w:tc>
          <w:tcPr>
            <w:tcW w:w="4489" w:type="dxa"/>
            <w:tcBorders>
              <w:top w:val="nil"/>
              <w:left w:val="single" w:sz="4" w:space="0" w:color="auto"/>
              <w:bottom w:val="single" w:sz="4" w:space="0" w:color="auto"/>
              <w:right w:val="single" w:sz="4" w:space="0" w:color="auto"/>
            </w:tcBorders>
            <w:noWrap/>
            <w:vAlign w:val="bottom"/>
          </w:tcPr>
          <w:p w:rsidR="00000000" w:rsidRDefault="00000000">
            <w:pPr>
              <w:widowControl w:val="0"/>
              <w:ind w:left="397"/>
              <w:rPr>
                <w:sz w:val="20"/>
                <w:szCs w:val="18"/>
              </w:rPr>
            </w:pPr>
            <w:r>
              <w:rPr>
                <w:sz w:val="20"/>
                <w:szCs w:val="18"/>
              </w:rPr>
              <w:t>Comunidades locales (porcentaje)</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rFonts w:eastAsia="Arial Unicode MS"/>
                <w:sz w:val="20"/>
                <w:szCs w:val="18"/>
              </w:rPr>
            </w:pPr>
            <w:r>
              <w:rPr>
                <w:sz w:val="20"/>
              </w:rPr>
              <w:t>1,3</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1,2</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1,3</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1,4</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1,4</w:t>
            </w:r>
          </w:p>
        </w:tc>
        <w:tc>
          <w:tcPr>
            <w:tcW w:w="1123" w:type="dxa"/>
            <w:tcBorders>
              <w:top w:val="nil"/>
              <w:left w:val="nil"/>
              <w:bottom w:val="single" w:sz="4" w:space="0" w:color="auto"/>
              <w:right w:val="single" w:sz="4" w:space="0" w:color="auto"/>
            </w:tcBorders>
            <w:noWrap/>
            <w:vAlign w:val="bottom"/>
          </w:tcPr>
          <w:p w:rsidR="00000000" w:rsidRDefault="00000000">
            <w:pPr>
              <w:widowControl w:val="0"/>
              <w:tabs>
                <w:tab w:val="decimal" w:pos="585"/>
              </w:tabs>
              <w:jc w:val="both"/>
              <w:rPr>
                <w:rFonts w:eastAsia="Arial Unicode MS"/>
                <w:sz w:val="20"/>
                <w:szCs w:val="18"/>
              </w:rPr>
            </w:pPr>
            <w:r>
              <w:rPr>
                <w:sz w:val="20"/>
              </w:rPr>
              <w:t>1,3</w:t>
            </w:r>
          </w:p>
        </w:tc>
      </w:tr>
      <w:tr w:rsidR="00000000">
        <w:trPr>
          <w:trHeight w:val="255"/>
          <w:jc w:val="center"/>
        </w:trPr>
        <w:tc>
          <w:tcPr>
            <w:tcW w:w="4489" w:type="dxa"/>
            <w:tcBorders>
              <w:top w:val="nil"/>
              <w:left w:val="single" w:sz="4" w:space="0" w:color="auto"/>
              <w:bottom w:val="single" w:sz="4" w:space="0" w:color="auto"/>
              <w:right w:val="single" w:sz="4" w:space="0" w:color="auto"/>
            </w:tcBorders>
            <w:noWrap/>
            <w:vAlign w:val="bottom"/>
          </w:tcPr>
          <w:p w:rsidR="00000000" w:rsidRDefault="00000000">
            <w:pPr>
              <w:widowControl w:val="0"/>
              <w:ind w:left="397"/>
              <w:rPr>
                <w:rFonts w:eastAsia="Arial Unicode MS"/>
                <w:sz w:val="20"/>
                <w:szCs w:val="18"/>
              </w:rPr>
            </w:pPr>
            <w:r>
              <w:rPr>
                <w:sz w:val="20"/>
              </w:rPr>
              <w:t xml:space="preserve">Asociados </w:t>
            </w:r>
            <w:r>
              <w:rPr>
                <w:sz w:val="20"/>
                <w:szCs w:val="18"/>
              </w:rPr>
              <w:t>externos</w:t>
            </w:r>
            <w:r>
              <w:rPr>
                <w:sz w:val="20"/>
              </w:rPr>
              <w:t xml:space="preserve"> (porcentaje)</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rFonts w:eastAsia="Arial Unicode MS"/>
                <w:sz w:val="20"/>
                <w:szCs w:val="18"/>
              </w:rPr>
            </w:pPr>
            <w:r>
              <w:rPr>
                <w:sz w:val="20"/>
              </w:rPr>
              <w:t>2,7</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16,4</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18</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14</w:t>
            </w:r>
          </w:p>
        </w:tc>
        <w:tc>
          <w:tcPr>
            <w:tcW w:w="768" w:type="dxa"/>
            <w:tcBorders>
              <w:top w:val="nil"/>
              <w:left w:val="nil"/>
              <w:bottom w:val="single" w:sz="4" w:space="0" w:color="auto"/>
              <w:right w:val="single" w:sz="4" w:space="0" w:color="auto"/>
            </w:tcBorders>
            <w:noWrap/>
            <w:vAlign w:val="bottom"/>
          </w:tcPr>
          <w:p w:rsidR="00000000" w:rsidRDefault="00000000">
            <w:pPr>
              <w:widowControl w:val="0"/>
              <w:tabs>
                <w:tab w:val="decimal" w:pos="425"/>
              </w:tabs>
              <w:rPr>
                <w:sz w:val="20"/>
              </w:rPr>
            </w:pPr>
            <w:r>
              <w:rPr>
                <w:sz w:val="20"/>
              </w:rPr>
              <w:t>12,3</w:t>
            </w:r>
          </w:p>
        </w:tc>
        <w:tc>
          <w:tcPr>
            <w:tcW w:w="1123" w:type="dxa"/>
            <w:tcBorders>
              <w:top w:val="nil"/>
              <w:left w:val="nil"/>
              <w:bottom w:val="single" w:sz="4" w:space="0" w:color="auto"/>
              <w:right w:val="single" w:sz="4" w:space="0" w:color="auto"/>
            </w:tcBorders>
            <w:noWrap/>
            <w:vAlign w:val="bottom"/>
          </w:tcPr>
          <w:p w:rsidR="00000000" w:rsidRDefault="00000000">
            <w:pPr>
              <w:widowControl w:val="0"/>
              <w:tabs>
                <w:tab w:val="decimal" w:pos="585"/>
              </w:tabs>
              <w:jc w:val="both"/>
              <w:rPr>
                <w:rFonts w:eastAsia="Arial Unicode MS"/>
                <w:sz w:val="20"/>
                <w:szCs w:val="18"/>
              </w:rPr>
            </w:pPr>
            <w:r>
              <w:rPr>
                <w:sz w:val="20"/>
              </w:rPr>
              <w:t>15,2</w:t>
            </w:r>
          </w:p>
        </w:tc>
      </w:tr>
    </w:tbl>
    <w:p w:rsidR="00000000" w:rsidRDefault="00000000">
      <w:pPr>
        <w:spacing w:before="200" w:after="400"/>
        <w:rPr>
          <w:sz w:val="20"/>
        </w:rPr>
      </w:pPr>
      <w:r>
        <w:rPr>
          <w:i/>
          <w:iCs/>
          <w:sz w:val="20"/>
        </w:rPr>
        <w:t>Fuente</w:t>
      </w:r>
      <w:r>
        <w:rPr>
          <w:sz w:val="20"/>
        </w:rPr>
        <w:t>:  Banco Mundial/CREA (2002).</w:t>
      </w:r>
    </w:p>
    <w:p w:rsidR="00000000" w:rsidRDefault="00000000">
      <w:pPr>
        <w:spacing w:after="240"/>
      </w:pPr>
      <w:r>
        <w:t>70.</w:t>
      </w:r>
      <w:r>
        <w:tab/>
        <w:t>A lo largo del período, la parte del presupuesto de inversión pasó de 9,8% del gasto total en 1998 a 16,1% en 2003.  Esencialmente, los gastos de inversión se sufragan con fondos procedentes de fuentes de financiación externas.</w:t>
      </w:r>
    </w:p>
    <w:p w:rsidR="00000000" w:rsidRDefault="00000000">
      <w:pPr>
        <w:spacing w:after="240"/>
      </w:pPr>
      <w:r>
        <w:t>71.</w:t>
      </w:r>
      <w:r>
        <w:tab/>
        <w:t>La parte de los asociados externos en el presupuesto de inversión ha pasado de 27,4% en 1998 a 54% en 2003.  En 2000 era de 69,4% y en 2001 de 65,5%.</w:t>
      </w:r>
    </w:p>
    <w:p w:rsidR="00000000" w:rsidRDefault="00000000">
      <w:pPr>
        <w:spacing w:after="240"/>
      </w:pPr>
      <w:r>
        <w:t>72.</w:t>
      </w:r>
      <w:r>
        <w:tab/>
        <w:t>La parte de los gastos de funcionamiento ha pasado de 90,3% en 1998 a 83,9% en 2003.</w:t>
      </w:r>
    </w:p>
    <w:p w:rsidR="00000000" w:rsidRDefault="00000000">
      <w:pPr>
        <w:spacing w:after="240"/>
      </w:pPr>
      <w:r>
        <w:t>73.</w:t>
      </w:r>
      <w:r>
        <w:tab/>
        <w:t>La parte de las colectividades locales en el presupuesto de enseñanza sigue siendo pequeña.  De 1,3% en 1998 ha pasado a 1,4% en 2003.</w:t>
      </w:r>
    </w:p>
    <w:p w:rsidR="00000000" w:rsidRDefault="00000000">
      <w:pPr>
        <w:spacing w:after="240"/>
      </w:pPr>
      <w:r>
        <w:t>74.</w:t>
      </w:r>
      <w:r>
        <w:tab/>
        <w:t>A lo largo del período la contribución de las familias se ha casi duplicado.  De 2,7% en 1998 ha pasado a 4,6% en 2003.</w:t>
      </w:r>
    </w:p>
    <w:p w:rsidR="00000000" w:rsidRDefault="00000000">
      <w:pPr>
        <w:spacing w:after="240"/>
      </w:pPr>
      <w:r>
        <w:t>75.</w:t>
      </w:r>
      <w:r>
        <w:tab/>
        <w:t xml:space="preserve">En 2003, el presupuesto de educación nacional era de 165 </w:t>
      </w:r>
      <w:proofErr w:type="spellStart"/>
      <w:r>
        <w:t>millardos</w:t>
      </w:r>
      <w:proofErr w:type="spellEnd"/>
      <w:r>
        <w:t xml:space="preserve"> de francos CFA, es decir, el 35% del presupuesto general del Estado.</w:t>
      </w:r>
    </w:p>
    <w:p w:rsidR="00000000" w:rsidRDefault="00000000">
      <w:pPr>
        <w:spacing w:after="240"/>
      </w:pPr>
      <w:r>
        <w:t>76.</w:t>
      </w:r>
      <w:r>
        <w:tab/>
        <w:t>Pese a esta enorme parte consagrada a la educación (35% del presupuesto general), la limitación de los recursos financieros sigue siendo un escollo a causa del elevado número de niños de edad preescolar y escolar, una buena mitad de los cuales no va a la escuela por falta de infraestructura y de otros medios, en particular humanos y logísticos.</w:t>
      </w:r>
    </w:p>
    <w:p w:rsidR="00000000" w:rsidRDefault="00000000">
      <w:pPr>
        <w:spacing w:after="240"/>
        <w:jc w:val="center"/>
        <w:rPr>
          <w:b/>
          <w:bCs/>
        </w:rPr>
      </w:pPr>
      <w:r>
        <w:rPr>
          <w:b/>
          <w:bCs/>
        </w:rPr>
        <w:t>Composición económica de los gastos públicos de funcionamiento</w:t>
      </w:r>
    </w:p>
    <w:p w:rsidR="00000000" w:rsidRDefault="00000000">
      <w:pPr>
        <w:spacing w:after="240"/>
        <w:jc w:val="center"/>
      </w:pPr>
      <w:r>
        <w:t>(En millones de francos CFA)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5306"/>
        <w:gridCol w:w="1395"/>
        <w:gridCol w:w="1395"/>
        <w:gridCol w:w="1395"/>
      </w:tblGrid>
      <w:tr w:rsidR="00000000">
        <w:trPr>
          <w:trHeight w:val="20"/>
          <w:jc w:val="center"/>
        </w:trPr>
        <w:tc>
          <w:tcPr>
            <w:tcW w:w="2795" w:type="pct"/>
            <w:noWrap/>
            <w:vAlign w:val="center"/>
          </w:tcPr>
          <w:p w:rsidR="00000000" w:rsidRDefault="00000000">
            <w:pPr>
              <w:widowControl w:val="0"/>
              <w:jc w:val="center"/>
              <w:rPr>
                <w:b/>
              </w:rPr>
            </w:pPr>
            <w:r>
              <w:rPr>
                <w:b/>
              </w:rPr>
              <w:t>Niveles</w:t>
            </w:r>
          </w:p>
        </w:tc>
        <w:tc>
          <w:tcPr>
            <w:tcW w:w="735" w:type="pct"/>
            <w:noWrap/>
            <w:vAlign w:val="bottom"/>
          </w:tcPr>
          <w:p w:rsidR="00000000" w:rsidRDefault="00000000">
            <w:pPr>
              <w:widowControl w:val="0"/>
              <w:jc w:val="center"/>
              <w:rPr>
                <w:rFonts w:eastAsia="Arial Unicode MS"/>
                <w:b/>
              </w:rPr>
            </w:pPr>
            <w:r>
              <w:rPr>
                <w:rFonts w:eastAsia="Arial Unicode MS"/>
                <w:b/>
              </w:rPr>
              <w:t>2001</w:t>
            </w:r>
          </w:p>
        </w:tc>
        <w:tc>
          <w:tcPr>
            <w:tcW w:w="735" w:type="pct"/>
            <w:noWrap/>
            <w:vAlign w:val="bottom"/>
          </w:tcPr>
          <w:p w:rsidR="00000000" w:rsidRDefault="00000000">
            <w:pPr>
              <w:widowControl w:val="0"/>
              <w:jc w:val="center"/>
              <w:rPr>
                <w:rFonts w:eastAsia="Arial Unicode MS"/>
                <w:b/>
              </w:rPr>
            </w:pPr>
            <w:r>
              <w:rPr>
                <w:rFonts w:eastAsia="Arial Unicode MS"/>
                <w:b/>
              </w:rPr>
              <w:t>2002</w:t>
            </w:r>
          </w:p>
        </w:tc>
        <w:tc>
          <w:tcPr>
            <w:tcW w:w="735" w:type="pct"/>
            <w:noWrap/>
            <w:vAlign w:val="bottom"/>
          </w:tcPr>
          <w:p w:rsidR="00000000" w:rsidRDefault="00000000">
            <w:pPr>
              <w:widowControl w:val="0"/>
              <w:jc w:val="center"/>
              <w:rPr>
                <w:rFonts w:eastAsia="Arial Unicode MS"/>
                <w:b/>
              </w:rPr>
            </w:pPr>
            <w:r>
              <w:rPr>
                <w:rFonts w:eastAsia="Arial Unicode MS"/>
                <w:b/>
              </w:rPr>
              <w:t>2003</w:t>
            </w:r>
          </w:p>
        </w:tc>
      </w:tr>
      <w:tr w:rsidR="00000000">
        <w:trPr>
          <w:trHeight w:val="20"/>
          <w:jc w:val="center"/>
        </w:trPr>
        <w:tc>
          <w:tcPr>
            <w:tcW w:w="2795" w:type="pct"/>
            <w:noWrap/>
            <w:vAlign w:val="bottom"/>
          </w:tcPr>
          <w:p w:rsidR="00000000" w:rsidRDefault="00000000">
            <w:pPr>
              <w:widowControl w:val="0"/>
              <w:rPr>
                <w:rFonts w:eastAsia="Arial Unicode MS"/>
                <w:b/>
              </w:rPr>
            </w:pPr>
            <w:r>
              <w:rPr>
                <w:b/>
              </w:rPr>
              <w:t>Enseñanza preescolar</w:t>
            </w:r>
          </w:p>
        </w:tc>
        <w:tc>
          <w:tcPr>
            <w:tcW w:w="735" w:type="pct"/>
            <w:noWrap/>
            <w:vAlign w:val="bottom"/>
          </w:tcPr>
          <w:p w:rsidR="00000000" w:rsidRDefault="00000000">
            <w:pPr>
              <w:widowControl w:val="0"/>
              <w:tabs>
                <w:tab w:val="decimal" w:pos="964"/>
              </w:tabs>
              <w:jc w:val="right"/>
              <w:rPr>
                <w:rFonts w:eastAsia="Arial Unicode MS"/>
                <w:b/>
              </w:rPr>
            </w:pPr>
          </w:p>
        </w:tc>
        <w:tc>
          <w:tcPr>
            <w:tcW w:w="735" w:type="pct"/>
            <w:noWrap/>
            <w:vAlign w:val="bottom"/>
          </w:tcPr>
          <w:p w:rsidR="00000000" w:rsidRDefault="00000000">
            <w:pPr>
              <w:widowControl w:val="0"/>
              <w:tabs>
                <w:tab w:val="decimal" w:pos="964"/>
              </w:tabs>
              <w:jc w:val="right"/>
              <w:rPr>
                <w:rFonts w:eastAsia="Arial Unicode MS"/>
                <w:b/>
              </w:rPr>
            </w:pPr>
          </w:p>
        </w:tc>
        <w:tc>
          <w:tcPr>
            <w:tcW w:w="735" w:type="pct"/>
            <w:noWrap/>
            <w:vAlign w:val="bottom"/>
          </w:tcPr>
          <w:p w:rsidR="00000000" w:rsidRDefault="00000000">
            <w:pPr>
              <w:widowControl w:val="0"/>
              <w:tabs>
                <w:tab w:val="decimal" w:pos="964"/>
              </w:tabs>
              <w:jc w:val="right"/>
              <w:rPr>
                <w:rFonts w:eastAsia="Arial Unicode MS"/>
                <w:b/>
              </w:rPr>
            </w:pPr>
          </w:p>
        </w:tc>
      </w:tr>
      <w:tr w:rsidR="00000000">
        <w:trPr>
          <w:trHeight w:val="20"/>
          <w:jc w:val="center"/>
        </w:trPr>
        <w:tc>
          <w:tcPr>
            <w:tcW w:w="2795" w:type="pct"/>
            <w:noWrap/>
            <w:vAlign w:val="bottom"/>
          </w:tcPr>
          <w:p w:rsidR="00000000" w:rsidRDefault="00000000">
            <w:pPr>
              <w:widowControl w:val="0"/>
              <w:tabs>
                <w:tab w:val="left" w:pos="221"/>
              </w:tabs>
              <w:ind w:left="284"/>
              <w:rPr>
                <w:rFonts w:eastAsia="Arial Unicode MS"/>
              </w:rPr>
            </w:pPr>
            <w:r>
              <w:t>Gastos de personal</w:t>
            </w:r>
          </w:p>
        </w:tc>
        <w:tc>
          <w:tcPr>
            <w:tcW w:w="735" w:type="pct"/>
            <w:noWrap/>
            <w:vAlign w:val="bottom"/>
          </w:tcPr>
          <w:p w:rsidR="00000000" w:rsidRDefault="00000000">
            <w:pPr>
              <w:widowControl w:val="0"/>
              <w:tabs>
                <w:tab w:val="decimal" w:pos="964"/>
              </w:tabs>
            </w:pPr>
            <w:r>
              <w:t>630</w:t>
            </w:r>
          </w:p>
        </w:tc>
        <w:tc>
          <w:tcPr>
            <w:tcW w:w="735" w:type="pct"/>
            <w:noWrap/>
            <w:vAlign w:val="bottom"/>
          </w:tcPr>
          <w:p w:rsidR="00000000" w:rsidRDefault="00000000">
            <w:pPr>
              <w:widowControl w:val="0"/>
              <w:tabs>
                <w:tab w:val="decimal" w:pos="964"/>
              </w:tabs>
            </w:pPr>
            <w:r>
              <w:t>624</w:t>
            </w:r>
          </w:p>
        </w:tc>
        <w:tc>
          <w:tcPr>
            <w:tcW w:w="735" w:type="pct"/>
            <w:noWrap/>
            <w:vAlign w:val="bottom"/>
          </w:tcPr>
          <w:p w:rsidR="00000000" w:rsidRDefault="00000000">
            <w:pPr>
              <w:widowControl w:val="0"/>
              <w:tabs>
                <w:tab w:val="decimal" w:pos="964"/>
              </w:tabs>
            </w:pPr>
            <w:r>
              <w:t>751</w:t>
            </w:r>
          </w:p>
        </w:tc>
      </w:tr>
      <w:tr w:rsidR="00000000">
        <w:trPr>
          <w:trHeight w:val="20"/>
          <w:jc w:val="center"/>
        </w:trPr>
        <w:tc>
          <w:tcPr>
            <w:tcW w:w="2795" w:type="pct"/>
            <w:noWrap/>
            <w:vAlign w:val="bottom"/>
          </w:tcPr>
          <w:p w:rsidR="00000000" w:rsidRDefault="00000000">
            <w:pPr>
              <w:widowControl w:val="0"/>
              <w:ind w:left="284"/>
              <w:rPr>
                <w:rFonts w:eastAsia="Arial Unicode MS"/>
              </w:rPr>
            </w:pPr>
            <w:r>
              <w:t>Adquisición de bienes y servicios</w:t>
            </w:r>
          </w:p>
        </w:tc>
        <w:tc>
          <w:tcPr>
            <w:tcW w:w="735" w:type="pct"/>
            <w:noWrap/>
            <w:vAlign w:val="bottom"/>
          </w:tcPr>
          <w:p w:rsidR="00000000" w:rsidRDefault="00000000">
            <w:pPr>
              <w:widowControl w:val="0"/>
              <w:tabs>
                <w:tab w:val="decimal" w:pos="964"/>
              </w:tabs>
            </w:pPr>
            <w:r>
              <w:t>106</w:t>
            </w:r>
          </w:p>
        </w:tc>
        <w:tc>
          <w:tcPr>
            <w:tcW w:w="735" w:type="pct"/>
            <w:noWrap/>
            <w:vAlign w:val="bottom"/>
          </w:tcPr>
          <w:p w:rsidR="00000000" w:rsidRDefault="00000000">
            <w:pPr>
              <w:widowControl w:val="0"/>
              <w:tabs>
                <w:tab w:val="decimal" w:pos="964"/>
              </w:tabs>
            </w:pPr>
            <w:r>
              <w:t>159</w:t>
            </w:r>
          </w:p>
        </w:tc>
        <w:tc>
          <w:tcPr>
            <w:tcW w:w="735" w:type="pct"/>
            <w:noWrap/>
            <w:vAlign w:val="bottom"/>
          </w:tcPr>
          <w:p w:rsidR="00000000" w:rsidRDefault="00000000">
            <w:pPr>
              <w:widowControl w:val="0"/>
              <w:tabs>
                <w:tab w:val="decimal" w:pos="964"/>
              </w:tabs>
            </w:pPr>
            <w:r>
              <w:t>540</w:t>
            </w:r>
          </w:p>
        </w:tc>
      </w:tr>
      <w:tr w:rsidR="00000000">
        <w:trPr>
          <w:trHeight w:val="20"/>
          <w:jc w:val="center"/>
        </w:trPr>
        <w:tc>
          <w:tcPr>
            <w:tcW w:w="2795" w:type="pct"/>
            <w:noWrap/>
            <w:vAlign w:val="bottom"/>
          </w:tcPr>
          <w:p w:rsidR="00000000" w:rsidRDefault="00000000">
            <w:pPr>
              <w:widowControl w:val="0"/>
              <w:ind w:left="284"/>
              <w:rPr>
                <w:rFonts w:eastAsia="Arial Unicode MS"/>
              </w:rPr>
            </w:pPr>
            <w:r>
              <w:t>Gastos de transferencia y subvenciones</w:t>
            </w: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r>
              <w:t>50</w:t>
            </w:r>
          </w:p>
        </w:tc>
        <w:tc>
          <w:tcPr>
            <w:tcW w:w="735" w:type="pct"/>
            <w:noWrap/>
            <w:vAlign w:val="bottom"/>
          </w:tcPr>
          <w:p w:rsidR="00000000" w:rsidRDefault="00000000">
            <w:pPr>
              <w:widowControl w:val="0"/>
              <w:tabs>
                <w:tab w:val="decimal" w:pos="964"/>
              </w:tabs>
            </w:pPr>
          </w:p>
        </w:tc>
      </w:tr>
      <w:tr w:rsidR="00000000">
        <w:trPr>
          <w:trHeight w:val="20"/>
          <w:jc w:val="center"/>
        </w:trPr>
        <w:tc>
          <w:tcPr>
            <w:tcW w:w="2795" w:type="pct"/>
            <w:noWrap/>
            <w:vAlign w:val="bottom"/>
          </w:tcPr>
          <w:p w:rsidR="00000000" w:rsidRDefault="00000000">
            <w:pPr>
              <w:widowControl w:val="0"/>
              <w:tabs>
                <w:tab w:val="left" w:pos="337"/>
              </w:tabs>
              <w:ind w:left="284"/>
              <w:rPr>
                <w:rFonts w:eastAsia="Arial Unicode MS"/>
                <w:b/>
              </w:rPr>
            </w:pPr>
            <w:r>
              <w:rPr>
                <w:b/>
              </w:rPr>
              <w:t>Subtotal</w:t>
            </w:r>
          </w:p>
        </w:tc>
        <w:tc>
          <w:tcPr>
            <w:tcW w:w="735" w:type="pct"/>
            <w:noWrap/>
            <w:vAlign w:val="bottom"/>
          </w:tcPr>
          <w:p w:rsidR="00000000" w:rsidRDefault="00000000">
            <w:pPr>
              <w:widowControl w:val="0"/>
              <w:tabs>
                <w:tab w:val="decimal" w:pos="964"/>
              </w:tabs>
              <w:rPr>
                <w:b/>
              </w:rPr>
            </w:pPr>
            <w:r>
              <w:rPr>
                <w:b/>
              </w:rPr>
              <w:t>736</w:t>
            </w:r>
          </w:p>
        </w:tc>
        <w:tc>
          <w:tcPr>
            <w:tcW w:w="735" w:type="pct"/>
            <w:noWrap/>
            <w:vAlign w:val="bottom"/>
          </w:tcPr>
          <w:p w:rsidR="00000000" w:rsidRDefault="00000000">
            <w:pPr>
              <w:widowControl w:val="0"/>
              <w:tabs>
                <w:tab w:val="decimal" w:pos="964"/>
              </w:tabs>
              <w:rPr>
                <w:b/>
              </w:rPr>
            </w:pPr>
            <w:r>
              <w:rPr>
                <w:b/>
              </w:rPr>
              <w:t>833</w:t>
            </w:r>
          </w:p>
        </w:tc>
        <w:tc>
          <w:tcPr>
            <w:tcW w:w="735" w:type="pct"/>
            <w:noWrap/>
            <w:vAlign w:val="bottom"/>
          </w:tcPr>
          <w:p w:rsidR="00000000" w:rsidRDefault="00000000">
            <w:pPr>
              <w:widowControl w:val="0"/>
              <w:tabs>
                <w:tab w:val="decimal" w:pos="964"/>
              </w:tabs>
              <w:rPr>
                <w:b/>
              </w:rPr>
            </w:pPr>
            <w:r>
              <w:rPr>
                <w:b/>
              </w:rPr>
              <w:t>1.291</w:t>
            </w:r>
          </w:p>
        </w:tc>
      </w:tr>
      <w:tr w:rsidR="00000000">
        <w:trPr>
          <w:trHeight w:val="20"/>
          <w:jc w:val="center"/>
        </w:trPr>
        <w:tc>
          <w:tcPr>
            <w:tcW w:w="2795" w:type="pct"/>
            <w:noWrap/>
            <w:vAlign w:val="bottom"/>
          </w:tcPr>
          <w:p w:rsidR="00000000" w:rsidRDefault="00000000">
            <w:pPr>
              <w:widowControl w:val="0"/>
              <w:rPr>
                <w:rFonts w:eastAsia="Arial Unicode MS"/>
                <w:b/>
              </w:rPr>
            </w:pPr>
            <w:r>
              <w:rPr>
                <w:b/>
              </w:rPr>
              <w:t>Alfabetización</w:t>
            </w: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p>
        </w:tc>
      </w:tr>
      <w:tr w:rsidR="00000000">
        <w:trPr>
          <w:trHeight w:val="20"/>
          <w:jc w:val="center"/>
        </w:trPr>
        <w:tc>
          <w:tcPr>
            <w:tcW w:w="2795" w:type="pct"/>
            <w:noWrap/>
            <w:vAlign w:val="bottom"/>
          </w:tcPr>
          <w:p w:rsidR="00000000" w:rsidRDefault="00000000">
            <w:pPr>
              <w:widowControl w:val="0"/>
              <w:tabs>
                <w:tab w:val="left" w:pos="221"/>
              </w:tabs>
              <w:ind w:left="284"/>
              <w:rPr>
                <w:rFonts w:eastAsia="Arial Unicode MS"/>
              </w:rPr>
            </w:pPr>
            <w:r>
              <w:t>Gastos de personal</w:t>
            </w: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r>
              <w:t>229</w:t>
            </w:r>
          </w:p>
        </w:tc>
      </w:tr>
      <w:tr w:rsidR="00000000">
        <w:trPr>
          <w:trHeight w:val="20"/>
          <w:jc w:val="center"/>
        </w:trPr>
        <w:tc>
          <w:tcPr>
            <w:tcW w:w="2795" w:type="pct"/>
            <w:noWrap/>
            <w:vAlign w:val="bottom"/>
          </w:tcPr>
          <w:p w:rsidR="00000000" w:rsidRDefault="00000000">
            <w:pPr>
              <w:widowControl w:val="0"/>
              <w:tabs>
                <w:tab w:val="left" w:pos="221"/>
              </w:tabs>
              <w:ind w:left="284"/>
              <w:rPr>
                <w:rFonts w:eastAsia="Arial Unicode MS"/>
              </w:rPr>
            </w:pPr>
            <w:r>
              <w:t>Adquisición de bienes y servicios</w:t>
            </w: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r>
              <w:t>27</w:t>
            </w:r>
          </w:p>
        </w:tc>
      </w:tr>
      <w:tr w:rsidR="00000000">
        <w:trPr>
          <w:trHeight w:val="20"/>
          <w:jc w:val="center"/>
        </w:trPr>
        <w:tc>
          <w:tcPr>
            <w:tcW w:w="2795" w:type="pct"/>
            <w:noWrap/>
            <w:vAlign w:val="bottom"/>
          </w:tcPr>
          <w:p w:rsidR="00000000" w:rsidRDefault="00000000">
            <w:pPr>
              <w:widowControl w:val="0"/>
              <w:tabs>
                <w:tab w:val="left" w:pos="221"/>
              </w:tabs>
              <w:ind w:left="284"/>
              <w:rPr>
                <w:rFonts w:eastAsia="Arial Unicode MS"/>
              </w:rPr>
            </w:pPr>
            <w:r>
              <w:t>Gastos de transferencia y subvenciones</w:t>
            </w: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p>
        </w:tc>
      </w:tr>
      <w:tr w:rsidR="00000000">
        <w:trPr>
          <w:trHeight w:val="20"/>
          <w:jc w:val="center"/>
        </w:trPr>
        <w:tc>
          <w:tcPr>
            <w:tcW w:w="2795" w:type="pct"/>
            <w:noWrap/>
            <w:vAlign w:val="bottom"/>
          </w:tcPr>
          <w:p w:rsidR="00000000" w:rsidRDefault="00000000">
            <w:pPr>
              <w:widowControl w:val="0"/>
              <w:tabs>
                <w:tab w:val="left" w:pos="337"/>
              </w:tabs>
              <w:ind w:left="284"/>
              <w:rPr>
                <w:rFonts w:eastAsia="Arial Unicode MS"/>
                <w:b/>
                <w:lang w:val="es-ES_tradnl"/>
              </w:rPr>
            </w:pPr>
            <w:r>
              <w:rPr>
                <w:b/>
                <w:lang w:val="es-ES_tradnl"/>
              </w:rPr>
              <w:t>Subtotal</w:t>
            </w:r>
          </w:p>
        </w:tc>
        <w:tc>
          <w:tcPr>
            <w:tcW w:w="735" w:type="pct"/>
            <w:noWrap/>
            <w:vAlign w:val="bottom"/>
          </w:tcPr>
          <w:p w:rsidR="00000000" w:rsidRDefault="00000000">
            <w:pPr>
              <w:widowControl w:val="0"/>
              <w:tabs>
                <w:tab w:val="decimal" w:pos="964"/>
              </w:tabs>
              <w:rPr>
                <w:b/>
              </w:rPr>
            </w:pPr>
          </w:p>
        </w:tc>
        <w:tc>
          <w:tcPr>
            <w:tcW w:w="735" w:type="pct"/>
            <w:noWrap/>
            <w:vAlign w:val="bottom"/>
          </w:tcPr>
          <w:p w:rsidR="00000000" w:rsidRDefault="00000000">
            <w:pPr>
              <w:widowControl w:val="0"/>
              <w:tabs>
                <w:tab w:val="decimal" w:pos="964"/>
              </w:tabs>
              <w:rPr>
                <w:b/>
              </w:rPr>
            </w:pPr>
          </w:p>
        </w:tc>
        <w:tc>
          <w:tcPr>
            <w:tcW w:w="735" w:type="pct"/>
            <w:noWrap/>
            <w:vAlign w:val="bottom"/>
          </w:tcPr>
          <w:p w:rsidR="00000000" w:rsidRDefault="00000000">
            <w:pPr>
              <w:widowControl w:val="0"/>
              <w:tabs>
                <w:tab w:val="decimal" w:pos="964"/>
              </w:tabs>
              <w:rPr>
                <w:b/>
              </w:rPr>
            </w:pPr>
            <w:r>
              <w:rPr>
                <w:b/>
              </w:rPr>
              <w:t>256</w:t>
            </w:r>
          </w:p>
        </w:tc>
      </w:tr>
      <w:tr w:rsidR="00000000">
        <w:trPr>
          <w:trHeight w:val="20"/>
          <w:jc w:val="center"/>
        </w:trPr>
        <w:tc>
          <w:tcPr>
            <w:tcW w:w="2795" w:type="pct"/>
            <w:noWrap/>
            <w:vAlign w:val="bottom"/>
          </w:tcPr>
          <w:p w:rsidR="00000000" w:rsidRDefault="00000000">
            <w:pPr>
              <w:widowControl w:val="0"/>
              <w:rPr>
                <w:rFonts w:eastAsia="Arial Unicode MS"/>
                <w:b/>
              </w:rPr>
            </w:pPr>
            <w:r>
              <w:rPr>
                <w:b/>
              </w:rPr>
              <w:t>Enseñanza primaria</w:t>
            </w: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p>
        </w:tc>
      </w:tr>
      <w:tr w:rsidR="00000000">
        <w:trPr>
          <w:trHeight w:val="20"/>
          <w:jc w:val="center"/>
        </w:trPr>
        <w:tc>
          <w:tcPr>
            <w:tcW w:w="2795" w:type="pct"/>
            <w:noWrap/>
            <w:vAlign w:val="bottom"/>
          </w:tcPr>
          <w:p w:rsidR="00000000" w:rsidRDefault="00000000">
            <w:pPr>
              <w:widowControl w:val="0"/>
              <w:tabs>
                <w:tab w:val="left" w:pos="221"/>
              </w:tabs>
              <w:ind w:left="284"/>
              <w:rPr>
                <w:rFonts w:eastAsia="Arial Unicode MS"/>
              </w:rPr>
            </w:pPr>
            <w:r>
              <w:t>Gastos de personal</w:t>
            </w:r>
          </w:p>
        </w:tc>
        <w:tc>
          <w:tcPr>
            <w:tcW w:w="735" w:type="pct"/>
            <w:noWrap/>
            <w:vAlign w:val="bottom"/>
          </w:tcPr>
          <w:p w:rsidR="00000000" w:rsidRDefault="00000000">
            <w:pPr>
              <w:widowControl w:val="0"/>
              <w:tabs>
                <w:tab w:val="decimal" w:pos="964"/>
              </w:tabs>
            </w:pPr>
            <w:r>
              <w:t>41.530</w:t>
            </w:r>
          </w:p>
        </w:tc>
        <w:tc>
          <w:tcPr>
            <w:tcW w:w="735" w:type="pct"/>
            <w:noWrap/>
            <w:vAlign w:val="bottom"/>
          </w:tcPr>
          <w:p w:rsidR="00000000" w:rsidRDefault="00000000">
            <w:pPr>
              <w:widowControl w:val="0"/>
              <w:tabs>
                <w:tab w:val="decimal" w:pos="964"/>
              </w:tabs>
            </w:pPr>
            <w:r>
              <w:t>48.509</w:t>
            </w:r>
          </w:p>
        </w:tc>
        <w:tc>
          <w:tcPr>
            <w:tcW w:w="735" w:type="pct"/>
            <w:noWrap/>
            <w:vAlign w:val="bottom"/>
          </w:tcPr>
          <w:p w:rsidR="00000000" w:rsidRDefault="00000000">
            <w:pPr>
              <w:widowControl w:val="0"/>
              <w:tabs>
                <w:tab w:val="decimal" w:pos="964"/>
              </w:tabs>
            </w:pPr>
            <w:r>
              <w:t>55.005</w:t>
            </w:r>
          </w:p>
        </w:tc>
      </w:tr>
      <w:tr w:rsidR="00000000">
        <w:trPr>
          <w:trHeight w:val="20"/>
          <w:jc w:val="center"/>
        </w:trPr>
        <w:tc>
          <w:tcPr>
            <w:tcW w:w="2795" w:type="pct"/>
            <w:noWrap/>
            <w:vAlign w:val="bottom"/>
          </w:tcPr>
          <w:p w:rsidR="00000000" w:rsidRDefault="00000000">
            <w:pPr>
              <w:widowControl w:val="0"/>
              <w:tabs>
                <w:tab w:val="left" w:pos="221"/>
              </w:tabs>
              <w:ind w:left="284"/>
              <w:rPr>
                <w:rFonts w:eastAsia="Arial Unicode MS"/>
              </w:rPr>
            </w:pPr>
            <w:r>
              <w:t>Adquisición de bienes y servicios</w:t>
            </w:r>
          </w:p>
        </w:tc>
        <w:tc>
          <w:tcPr>
            <w:tcW w:w="735" w:type="pct"/>
            <w:noWrap/>
            <w:vAlign w:val="bottom"/>
          </w:tcPr>
          <w:p w:rsidR="00000000" w:rsidRDefault="00000000">
            <w:pPr>
              <w:widowControl w:val="0"/>
              <w:tabs>
                <w:tab w:val="decimal" w:pos="964"/>
              </w:tabs>
            </w:pPr>
            <w:r>
              <w:t>127</w:t>
            </w:r>
          </w:p>
        </w:tc>
        <w:tc>
          <w:tcPr>
            <w:tcW w:w="735" w:type="pct"/>
            <w:noWrap/>
            <w:vAlign w:val="bottom"/>
          </w:tcPr>
          <w:p w:rsidR="00000000" w:rsidRDefault="00000000">
            <w:pPr>
              <w:widowControl w:val="0"/>
              <w:tabs>
                <w:tab w:val="decimal" w:pos="964"/>
              </w:tabs>
            </w:pPr>
            <w:r>
              <w:t>149</w:t>
            </w:r>
          </w:p>
        </w:tc>
        <w:tc>
          <w:tcPr>
            <w:tcW w:w="735" w:type="pct"/>
            <w:noWrap/>
            <w:vAlign w:val="bottom"/>
          </w:tcPr>
          <w:p w:rsidR="00000000" w:rsidRDefault="00000000">
            <w:pPr>
              <w:widowControl w:val="0"/>
              <w:tabs>
                <w:tab w:val="decimal" w:pos="964"/>
              </w:tabs>
            </w:pPr>
            <w:r>
              <w:t>1.642</w:t>
            </w:r>
          </w:p>
        </w:tc>
      </w:tr>
      <w:tr w:rsidR="00000000">
        <w:trPr>
          <w:trHeight w:val="20"/>
          <w:jc w:val="center"/>
        </w:trPr>
        <w:tc>
          <w:tcPr>
            <w:tcW w:w="2795" w:type="pct"/>
            <w:noWrap/>
            <w:vAlign w:val="bottom"/>
          </w:tcPr>
          <w:p w:rsidR="00000000" w:rsidRDefault="00000000">
            <w:pPr>
              <w:widowControl w:val="0"/>
              <w:tabs>
                <w:tab w:val="left" w:pos="221"/>
              </w:tabs>
              <w:ind w:left="284"/>
              <w:rPr>
                <w:rFonts w:eastAsia="Arial Unicode MS"/>
              </w:rPr>
            </w:pPr>
            <w:r>
              <w:t>Gastos de transferencia y subvenciones</w:t>
            </w: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p>
        </w:tc>
      </w:tr>
      <w:tr w:rsidR="00000000">
        <w:trPr>
          <w:trHeight w:val="20"/>
          <w:jc w:val="center"/>
        </w:trPr>
        <w:tc>
          <w:tcPr>
            <w:tcW w:w="2795" w:type="pct"/>
            <w:noWrap/>
            <w:vAlign w:val="bottom"/>
          </w:tcPr>
          <w:p w:rsidR="00000000" w:rsidRDefault="00000000">
            <w:pPr>
              <w:widowControl w:val="0"/>
              <w:tabs>
                <w:tab w:val="left" w:pos="337"/>
              </w:tabs>
              <w:ind w:left="284"/>
              <w:rPr>
                <w:rFonts w:eastAsia="Arial Unicode MS"/>
                <w:b/>
              </w:rPr>
            </w:pPr>
            <w:r>
              <w:rPr>
                <w:b/>
              </w:rPr>
              <w:t>Subtotal</w:t>
            </w:r>
          </w:p>
        </w:tc>
        <w:tc>
          <w:tcPr>
            <w:tcW w:w="735" w:type="pct"/>
            <w:noWrap/>
            <w:vAlign w:val="bottom"/>
          </w:tcPr>
          <w:p w:rsidR="00000000" w:rsidRDefault="00000000">
            <w:pPr>
              <w:widowControl w:val="0"/>
              <w:tabs>
                <w:tab w:val="decimal" w:pos="964"/>
              </w:tabs>
              <w:rPr>
                <w:b/>
              </w:rPr>
            </w:pPr>
            <w:r>
              <w:rPr>
                <w:b/>
              </w:rPr>
              <w:t>41.657</w:t>
            </w:r>
          </w:p>
        </w:tc>
        <w:tc>
          <w:tcPr>
            <w:tcW w:w="735" w:type="pct"/>
            <w:noWrap/>
            <w:vAlign w:val="bottom"/>
          </w:tcPr>
          <w:p w:rsidR="00000000" w:rsidRDefault="00000000">
            <w:pPr>
              <w:widowControl w:val="0"/>
              <w:tabs>
                <w:tab w:val="decimal" w:pos="964"/>
              </w:tabs>
              <w:rPr>
                <w:b/>
              </w:rPr>
            </w:pPr>
            <w:r>
              <w:rPr>
                <w:b/>
              </w:rPr>
              <w:t>48.658</w:t>
            </w:r>
          </w:p>
        </w:tc>
        <w:tc>
          <w:tcPr>
            <w:tcW w:w="735" w:type="pct"/>
            <w:noWrap/>
            <w:vAlign w:val="bottom"/>
          </w:tcPr>
          <w:p w:rsidR="00000000" w:rsidRDefault="00000000">
            <w:pPr>
              <w:widowControl w:val="0"/>
              <w:tabs>
                <w:tab w:val="decimal" w:pos="964"/>
              </w:tabs>
              <w:rPr>
                <w:b/>
              </w:rPr>
            </w:pPr>
            <w:r>
              <w:rPr>
                <w:b/>
              </w:rPr>
              <w:t>56.647</w:t>
            </w:r>
          </w:p>
        </w:tc>
      </w:tr>
      <w:tr w:rsidR="00000000">
        <w:trPr>
          <w:trHeight w:val="20"/>
          <w:jc w:val="center"/>
        </w:trPr>
        <w:tc>
          <w:tcPr>
            <w:tcW w:w="2795" w:type="pct"/>
            <w:noWrap/>
            <w:vAlign w:val="bottom"/>
          </w:tcPr>
          <w:p w:rsidR="00000000" w:rsidRDefault="00000000">
            <w:pPr>
              <w:widowControl w:val="0"/>
              <w:rPr>
                <w:rFonts w:eastAsia="Arial Unicode MS"/>
                <w:b/>
              </w:rPr>
            </w:pPr>
            <w:r>
              <w:rPr>
                <w:b/>
              </w:rPr>
              <w:t>Enseñanza media</w:t>
            </w: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p>
        </w:tc>
      </w:tr>
      <w:tr w:rsidR="00000000">
        <w:trPr>
          <w:trHeight w:val="20"/>
          <w:jc w:val="center"/>
        </w:trPr>
        <w:tc>
          <w:tcPr>
            <w:tcW w:w="2795" w:type="pct"/>
            <w:noWrap/>
            <w:vAlign w:val="bottom"/>
          </w:tcPr>
          <w:p w:rsidR="00000000" w:rsidRDefault="00000000">
            <w:pPr>
              <w:widowControl w:val="0"/>
              <w:tabs>
                <w:tab w:val="left" w:pos="221"/>
              </w:tabs>
              <w:ind w:left="284"/>
              <w:rPr>
                <w:rFonts w:eastAsia="Arial Unicode MS"/>
              </w:rPr>
            </w:pPr>
            <w:r>
              <w:t>Gastos de personal</w:t>
            </w:r>
          </w:p>
        </w:tc>
        <w:tc>
          <w:tcPr>
            <w:tcW w:w="735" w:type="pct"/>
            <w:noWrap/>
            <w:vAlign w:val="bottom"/>
          </w:tcPr>
          <w:p w:rsidR="00000000" w:rsidRDefault="00000000">
            <w:pPr>
              <w:widowControl w:val="0"/>
              <w:tabs>
                <w:tab w:val="decimal" w:pos="964"/>
              </w:tabs>
            </w:pPr>
            <w:r>
              <w:t>12.588</w:t>
            </w:r>
          </w:p>
        </w:tc>
        <w:tc>
          <w:tcPr>
            <w:tcW w:w="735" w:type="pct"/>
            <w:noWrap/>
            <w:vAlign w:val="bottom"/>
          </w:tcPr>
          <w:p w:rsidR="00000000" w:rsidRDefault="00000000">
            <w:pPr>
              <w:widowControl w:val="0"/>
              <w:tabs>
                <w:tab w:val="decimal" w:pos="964"/>
              </w:tabs>
            </w:pPr>
            <w:r>
              <w:t>11.770</w:t>
            </w:r>
          </w:p>
        </w:tc>
        <w:tc>
          <w:tcPr>
            <w:tcW w:w="735" w:type="pct"/>
            <w:noWrap/>
            <w:vAlign w:val="bottom"/>
          </w:tcPr>
          <w:p w:rsidR="00000000" w:rsidRDefault="00000000">
            <w:pPr>
              <w:widowControl w:val="0"/>
              <w:tabs>
                <w:tab w:val="decimal" w:pos="964"/>
              </w:tabs>
            </w:pPr>
            <w:r>
              <w:t>8.222</w:t>
            </w:r>
          </w:p>
        </w:tc>
      </w:tr>
      <w:tr w:rsidR="00000000">
        <w:trPr>
          <w:trHeight w:val="20"/>
          <w:jc w:val="center"/>
        </w:trPr>
        <w:tc>
          <w:tcPr>
            <w:tcW w:w="2795" w:type="pct"/>
            <w:noWrap/>
            <w:vAlign w:val="bottom"/>
          </w:tcPr>
          <w:p w:rsidR="00000000" w:rsidRDefault="00000000">
            <w:pPr>
              <w:widowControl w:val="0"/>
              <w:tabs>
                <w:tab w:val="left" w:pos="221"/>
              </w:tabs>
              <w:ind w:left="284"/>
              <w:rPr>
                <w:rFonts w:eastAsia="Arial Unicode MS"/>
              </w:rPr>
            </w:pPr>
            <w:r>
              <w:t>Adquisición de bienes y servicios</w:t>
            </w:r>
          </w:p>
        </w:tc>
        <w:tc>
          <w:tcPr>
            <w:tcW w:w="735" w:type="pct"/>
            <w:noWrap/>
            <w:vAlign w:val="bottom"/>
          </w:tcPr>
          <w:p w:rsidR="00000000" w:rsidRDefault="00000000">
            <w:pPr>
              <w:widowControl w:val="0"/>
              <w:tabs>
                <w:tab w:val="decimal" w:pos="964"/>
              </w:tabs>
            </w:pPr>
            <w:r>
              <w:t>526</w:t>
            </w:r>
          </w:p>
        </w:tc>
        <w:tc>
          <w:tcPr>
            <w:tcW w:w="735" w:type="pct"/>
            <w:noWrap/>
            <w:vAlign w:val="bottom"/>
          </w:tcPr>
          <w:p w:rsidR="00000000" w:rsidRDefault="00000000">
            <w:pPr>
              <w:widowControl w:val="0"/>
              <w:tabs>
                <w:tab w:val="decimal" w:pos="964"/>
              </w:tabs>
            </w:pPr>
            <w:r>
              <w:t>492</w:t>
            </w:r>
          </w:p>
        </w:tc>
        <w:tc>
          <w:tcPr>
            <w:tcW w:w="735" w:type="pct"/>
            <w:noWrap/>
            <w:vAlign w:val="bottom"/>
          </w:tcPr>
          <w:p w:rsidR="00000000" w:rsidRDefault="00000000">
            <w:pPr>
              <w:widowControl w:val="0"/>
              <w:tabs>
                <w:tab w:val="decimal" w:pos="964"/>
              </w:tabs>
            </w:pPr>
            <w:r>
              <w:t>1.310</w:t>
            </w:r>
          </w:p>
        </w:tc>
      </w:tr>
      <w:tr w:rsidR="00000000">
        <w:trPr>
          <w:trHeight w:val="20"/>
          <w:jc w:val="center"/>
        </w:trPr>
        <w:tc>
          <w:tcPr>
            <w:tcW w:w="2795" w:type="pct"/>
            <w:noWrap/>
            <w:vAlign w:val="bottom"/>
          </w:tcPr>
          <w:p w:rsidR="00000000" w:rsidRDefault="00000000">
            <w:pPr>
              <w:widowControl w:val="0"/>
              <w:tabs>
                <w:tab w:val="left" w:pos="221"/>
              </w:tabs>
              <w:ind w:left="284"/>
              <w:rPr>
                <w:rFonts w:eastAsia="Arial Unicode MS"/>
              </w:rPr>
            </w:pPr>
            <w:r>
              <w:t>Gastos de transferencia y subvenciones</w:t>
            </w:r>
          </w:p>
        </w:tc>
        <w:tc>
          <w:tcPr>
            <w:tcW w:w="735" w:type="pct"/>
            <w:noWrap/>
            <w:vAlign w:val="bottom"/>
          </w:tcPr>
          <w:p w:rsidR="00000000" w:rsidRDefault="00000000">
            <w:pPr>
              <w:widowControl w:val="0"/>
              <w:tabs>
                <w:tab w:val="decimal" w:pos="964"/>
              </w:tabs>
            </w:pPr>
            <w:r>
              <w:t>10</w:t>
            </w:r>
          </w:p>
        </w:tc>
        <w:tc>
          <w:tcPr>
            <w:tcW w:w="735" w:type="pct"/>
            <w:noWrap/>
            <w:vAlign w:val="bottom"/>
          </w:tcPr>
          <w:p w:rsidR="00000000" w:rsidRDefault="00000000">
            <w:pPr>
              <w:widowControl w:val="0"/>
              <w:tabs>
                <w:tab w:val="decimal" w:pos="964"/>
              </w:tabs>
            </w:pPr>
            <w:r>
              <w:t>9</w:t>
            </w:r>
          </w:p>
        </w:tc>
        <w:tc>
          <w:tcPr>
            <w:tcW w:w="735" w:type="pct"/>
            <w:noWrap/>
            <w:vAlign w:val="bottom"/>
          </w:tcPr>
          <w:p w:rsidR="00000000" w:rsidRDefault="00000000">
            <w:pPr>
              <w:widowControl w:val="0"/>
              <w:tabs>
                <w:tab w:val="decimal" w:pos="964"/>
              </w:tabs>
            </w:pPr>
            <w:r>
              <w:t>4</w:t>
            </w:r>
          </w:p>
        </w:tc>
      </w:tr>
      <w:tr w:rsidR="00000000">
        <w:trPr>
          <w:trHeight w:val="20"/>
          <w:jc w:val="center"/>
        </w:trPr>
        <w:tc>
          <w:tcPr>
            <w:tcW w:w="2795" w:type="pct"/>
            <w:noWrap/>
            <w:vAlign w:val="bottom"/>
          </w:tcPr>
          <w:p w:rsidR="00000000" w:rsidRDefault="00000000">
            <w:pPr>
              <w:widowControl w:val="0"/>
              <w:tabs>
                <w:tab w:val="left" w:pos="337"/>
              </w:tabs>
              <w:ind w:left="284"/>
              <w:rPr>
                <w:rFonts w:eastAsia="Arial Unicode MS"/>
                <w:b/>
              </w:rPr>
            </w:pPr>
            <w:r>
              <w:rPr>
                <w:b/>
              </w:rPr>
              <w:t>Subtotal</w:t>
            </w:r>
          </w:p>
        </w:tc>
        <w:tc>
          <w:tcPr>
            <w:tcW w:w="735" w:type="pct"/>
            <w:noWrap/>
            <w:vAlign w:val="bottom"/>
          </w:tcPr>
          <w:p w:rsidR="00000000" w:rsidRDefault="00000000">
            <w:pPr>
              <w:widowControl w:val="0"/>
              <w:tabs>
                <w:tab w:val="decimal" w:pos="964"/>
              </w:tabs>
              <w:rPr>
                <w:b/>
              </w:rPr>
            </w:pPr>
            <w:r>
              <w:rPr>
                <w:b/>
              </w:rPr>
              <w:t>13.124</w:t>
            </w:r>
          </w:p>
        </w:tc>
        <w:tc>
          <w:tcPr>
            <w:tcW w:w="735" w:type="pct"/>
            <w:noWrap/>
            <w:vAlign w:val="bottom"/>
          </w:tcPr>
          <w:p w:rsidR="00000000" w:rsidRDefault="00000000">
            <w:pPr>
              <w:widowControl w:val="0"/>
              <w:tabs>
                <w:tab w:val="decimal" w:pos="964"/>
              </w:tabs>
              <w:rPr>
                <w:b/>
              </w:rPr>
            </w:pPr>
            <w:r>
              <w:rPr>
                <w:b/>
              </w:rPr>
              <w:t>12.271</w:t>
            </w:r>
          </w:p>
        </w:tc>
        <w:tc>
          <w:tcPr>
            <w:tcW w:w="735" w:type="pct"/>
            <w:noWrap/>
            <w:vAlign w:val="bottom"/>
          </w:tcPr>
          <w:p w:rsidR="00000000" w:rsidRDefault="00000000">
            <w:pPr>
              <w:widowControl w:val="0"/>
              <w:tabs>
                <w:tab w:val="decimal" w:pos="964"/>
              </w:tabs>
              <w:rPr>
                <w:b/>
              </w:rPr>
            </w:pPr>
            <w:r>
              <w:rPr>
                <w:b/>
              </w:rPr>
              <w:t>9.536</w:t>
            </w:r>
          </w:p>
        </w:tc>
      </w:tr>
      <w:tr w:rsidR="00000000">
        <w:trPr>
          <w:trHeight w:val="20"/>
          <w:jc w:val="center"/>
        </w:trPr>
        <w:tc>
          <w:tcPr>
            <w:tcW w:w="2795" w:type="pct"/>
            <w:noWrap/>
            <w:vAlign w:val="bottom"/>
          </w:tcPr>
          <w:p w:rsidR="00000000" w:rsidRDefault="00000000">
            <w:pPr>
              <w:widowControl w:val="0"/>
              <w:rPr>
                <w:rFonts w:eastAsia="Arial Unicode MS"/>
                <w:b/>
              </w:rPr>
            </w:pPr>
            <w:r>
              <w:rPr>
                <w:b/>
              </w:rPr>
              <w:t>Enseñanza secundaria</w:t>
            </w: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p>
        </w:tc>
      </w:tr>
      <w:tr w:rsidR="00000000">
        <w:trPr>
          <w:trHeight w:val="20"/>
          <w:jc w:val="center"/>
        </w:trPr>
        <w:tc>
          <w:tcPr>
            <w:tcW w:w="2795" w:type="pct"/>
            <w:noWrap/>
            <w:vAlign w:val="bottom"/>
          </w:tcPr>
          <w:p w:rsidR="00000000" w:rsidRDefault="00000000">
            <w:pPr>
              <w:widowControl w:val="0"/>
              <w:tabs>
                <w:tab w:val="left" w:pos="221"/>
              </w:tabs>
              <w:ind w:left="284"/>
              <w:rPr>
                <w:rFonts w:eastAsia="Arial Unicode MS"/>
              </w:rPr>
            </w:pPr>
            <w:r>
              <w:t>Gastos de personal</w:t>
            </w:r>
          </w:p>
        </w:tc>
        <w:tc>
          <w:tcPr>
            <w:tcW w:w="735" w:type="pct"/>
            <w:noWrap/>
            <w:vAlign w:val="bottom"/>
          </w:tcPr>
          <w:p w:rsidR="00000000" w:rsidRDefault="00000000">
            <w:pPr>
              <w:widowControl w:val="0"/>
              <w:tabs>
                <w:tab w:val="decimal" w:pos="964"/>
              </w:tabs>
            </w:pPr>
            <w:r>
              <w:t>10.802</w:t>
            </w:r>
          </w:p>
        </w:tc>
        <w:tc>
          <w:tcPr>
            <w:tcW w:w="735" w:type="pct"/>
            <w:noWrap/>
            <w:vAlign w:val="bottom"/>
          </w:tcPr>
          <w:p w:rsidR="00000000" w:rsidRDefault="00000000">
            <w:pPr>
              <w:widowControl w:val="0"/>
              <w:tabs>
                <w:tab w:val="decimal" w:pos="964"/>
              </w:tabs>
            </w:pPr>
            <w:r>
              <w:t>11.406</w:t>
            </w:r>
          </w:p>
        </w:tc>
        <w:tc>
          <w:tcPr>
            <w:tcW w:w="735" w:type="pct"/>
            <w:noWrap/>
            <w:vAlign w:val="bottom"/>
          </w:tcPr>
          <w:p w:rsidR="00000000" w:rsidRDefault="00000000">
            <w:pPr>
              <w:widowControl w:val="0"/>
              <w:tabs>
                <w:tab w:val="decimal" w:pos="964"/>
              </w:tabs>
            </w:pPr>
            <w:r>
              <w:t>13.512</w:t>
            </w:r>
          </w:p>
        </w:tc>
      </w:tr>
      <w:tr w:rsidR="00000000">
        <w:trPr>
          <w:trHeight w:val="20"/>
          <w:jc w:val="center"/>
        </w:trPr>
        <w:tc>
          <w:tcPr>
            <w:tcW w:w="2795" w:type="pct"/>
            <w:noWrap/>
            <w:vAlign w:val="bottom"/>
          </w:tcPr>
          <w:p w:rsidR="00000000" w:rsidRDefault="00000000">
            <w:pPr>
              <w:widowControl w:val="0"/>
              <w:tabs>
                <w:tab w:val="left" w:pos="221"/>
              </w:tabs>
              <w:ind w:left="284"/>
              <w:rPr>
                <w:rFonts w:eastAsia="Arial Unicode MS"/>
              </w:rPr>
            </w:pPr>
            <w:r>
              <w:t>Adquisición de bienes y servicios</w:t>
            </w:r>
          </w:p>
        </w:tc>
        <w:tc>
          <w:tcPr>
            <w:tcW w:w="735" w:type="pct"/>
            <w:noWrap/>
            <w:vAlign w:val="bottom"/>
          </w:tcPr>
          <w:p w:rsidR="00000000" w:rsidRDefault="00000000">
            <w:pPr>
              <w:widowControl w:val="0"/>
              <w:tabs>
                <w:tab w:val="decimal" w:pos="964"/>
              </w:tabs>
            </w:pPr>
            <w:r>
              <w:t>977</w:t>
            </w:r>
          </w:p>
        </w:tc>
        <w:tc>
          <w:tcPr>
            <w:tcW w:w="735" w:type="pct"/>
            <w:noWrap/>
            <w:vAlign w:val="bottom"/>
          </w:tcPr>
          <w:p w:rsidR="00000000" w:rsidRDefault="00000000">
            <w:pPr>
              <w:widowControl w:val="0"/>
              <w:tabs>
                <w:tab w:val="decimal" w:pos="964"/>
              </w:tabs>
            </w:pPr>
            <w:r>
              <w:t>1.080</w:t>
            </w:r>
          </w:p>
        </w:tc>
        <w:tc>
          <w:tcPr>
            <w:tcW w:w="735" w:type="pct"/>
            <w:noWrap/>
            <w:vAlign w:val="bottom"/>
          </w:tcPr>
          <w:p w:rsidR="00000000" w:rsidRDefault="00000000">
            <w:pPr>
              <w:widowControl w:val="0"/>
              <w:tabs>
                <w:tab w:val="decimal" w:pos="964"/>
              </w:tabs>
            </w:pPr>
            <w:r>
              <w:t>1.353</w:t>
            </w:r>
          </w:p>
        </w:tc>
      </w:tr>
      <w:tr w:rsidR="00000000">
        <w:trPr>
          <w:trHeight w:val="20"/>
          <w:jc w:val="center"/>
        </w:trPr>
        <w:tc>
          <w:tcPr>
            <w:tcW w:w="2795" w:type="pct"/>
            <w:noWrap/>
            <w:vAlign w:val="bottom"/>
          </w:tcPr>
          <w:p w:rsidR="00000000" w:rsidRDefault="00000000">
            <w:pPr>
              <w:widowControl w:val="0"/>
              <w:tabs>
                <w:tab w:val="left" w:pos="221"/>
              </w:tabs>
              <w:ind w:left="284"/>
              <w:rPr>
                <w:rFonts w:eastAsia="Arial Unicode MS"/>
              </w:rPr>
            </w:pPr>
            <w:r>
              <w:t>Gastos de transferencia y subvenciones</w:t>
            </w: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r>
              <w:t>7.999</w:t>
            </w:r>
          </w:p>
        </w:tc>
      </w:tr>
      <w:tr w:rsidR="00000000">
        <w:trPr>
          <w:trHeight w:val="20"/>
          <w:jc w:val="center"/>
        </w:trPr>
        <w:tc>
          <w:tcPr>
            <w:tcW w:w="2795" w:type="pct"/>
            <w:noWrap/>
            <w:vAlign w:val="bottom"/>
          </w:tcPr>
          <w:p w:rsidR="00000000" w:rsidRDefault="00000000">
            <w:pPr>
              <w:widowControl w:val="0"/>
              <w:tabs>
                <w:tab w:val="left" w:pos="337"/>
              </w:tabs>
              <w:ind w:left="284"/>
              <w:rPr>
                <w:rFonts w:eastAsia="Arial Unicode MS"/>
                <w:b/>
              </w:rPr>
            </w:pPr>
            <w:r>
              <w:rPr>
                <w:b/>
                <w:lang w:val="es-ES_tradnl"/>
              </w:rPr>
              <w:t>Subtotal</w:t>
            </w:r>
          </w:p>
        </w:tc>
        <w:tc>
          <w:tcPr>
            <w:tcW w:w="735" w:type="pct"/>
            <w:noWrap/>
            <w:vAlign w:val="bottom"/>
          </w:tcPr>
          <w:p w:rsidR="00000000" w:rsidRDefault="00000000">
            <w:pPr>
              <w:widowControl w:val="0"/>
              <w:tabs>
                <w:tab w:val="decimal" w:pos="964"/>
              </w:tabs>
              <w:rPr>
                <w:b/>
              </w:rPr>
            </w:pPr>
            <w:r>
              <w:rPr>
                <w:b/>
              </w:rPr>
              <w:t>11.779</w:t>
            </w:r>
          </w:p>
        </w:tc>
        <w:tc>
          <w:tcPr>
            <w:tcW w:w="735" w:type="pct"/>
            <w:noWrap/>
            <w:vAlign w:val="bottom"/>
          </w:tcPr>
          <w:p w:rsidR="00000000" w:rsidRDefault="00000000">
            <w:pPr>
              <w:widowControl w:val="0"/>
              <w:tabs>
                <w:tab w:val="decimal" w:pos="964"/>
              </w:tabs>
              <w:rPr>
                <w:b/>
              </w:rPr>
            </w:pPr>
            <w:r>
              <w:rPr>
                <w:b/>
              </w:rPr>
              <w:t>12.486</w:t>
            </w:r>
          </w:p>
        </w:tc>
        <w:tc>
          <w:tcPr>
            <w:tcW w:w="735" w:type="pct"/>
            <w:noWrap/>
            <w:vAlign w:val="bottom"/>
          </w:tcPr>
          <w:p w:rsidR="00000000" w:rsidRDefault="00000000">
            <w:pPr>
              <w:widowControl w:val="0"/>
              <w:tabs>
                <w:tab w:val="decimal" w:pos="964"/>
              </w:tabs>
              <w:rPr>
                <w:b/>
              </w:rPr>
            </w:pPr>
            <w:r>
              <w:rPr>
                <w:b/>
              </w:rPr>
              <w:t>22.864</w:t>
            </w:r>
          </w:p>
        </w:tc>
      </w:tr>
      <w:tr w:rsidR="00000000">
        <w:trPr>
          <w:trHeight w:val="20"/>
          <w:jc w:val="center"/>
        </w:trPr>
        <w:tc>
          <w:tcPr>
            <w:tcW w:w="2795" w:type="pct"/>
            <w:noWrap/>
            <w:vAlign w:val="bottom"/>
          </w:tcPr>
          <w:p w:rsidR="00000000" w:rsidRDefault="00000000">
            <w:pPr>
              <w:keepNext/>
              <w:keepLines/>
              <w:widowControl w:val="0"/>
              <w:rPr>
                <w:rFonts w:eastAsia="Arial Unicode MS"/>
                <w:b/>
              </w:rPr>
            </w:pPr>
            <w:r>
              <w:rPr>
                <w:b/>
              </w:rPr>
              <w:t>Todos los subsectores</w:t>
            </w: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p>
        </w:tc>
        <w:tc>
          <w:tcPr>
            <w:tcW w:w="735" w:type="pct"/>
            <w:noWrap/>
            <w:vAlign w:val="bottom"/>
          </w:tcPr>
          <w:p w:rsidR="00000000" w:rsidRDefault="00000000">
            <w:pPr>
              <w:widowControl w:val="0"/>
              <w:tabs>
                <w:tab w:val="decimal" w:pos="964"/>
              </w:tabs>
            </w:pPr>
          </w:p>
        </w:tc>
      </w:tr>
      <w:tr w:rsidR="00000000">
        <w:trPr>
          <w:trHeight w:val="20"/>
          <w:jc w:val="center"/>
        </w:trPr>
        <w:tc>
          <w:tcPr>
            <w:tcW w:w="2795" w:type="pct"/>
            <w:noWrap/>
            <w:vAlign w:val="bottom"/>
          </w:tcPr>
          <w:p w:rsidR="00000000" w:rsidRDefault="00000000">
            <w:pPr>
              <w:widowControl w:val="0"/>
              <w:tabs>
                <w:tab w:val="left" w:pos="221"/>
              </w:tabs>
              <w:ind w:left="284"/>
              <w:rPr>
                <w:rFonts w:eastAsia="Arial Unicode MS"/>
              </w:rPr>
            </w:pPr>
            <w:r>
              <w:t>Gastos de personal</w:t>
            </w:r>
          </w:p>
        </w:tc>
        <w:tc>
          <w:tcPr>
            <w:tcW w:w="735" w:type="pct"/>
            <w:noWrap/>
            <w:vAlign w:val="bottom"/>
          </w:tcPr>
          <w:p w:rsidR="00000000" w:rsidRDefault="00000000">
            <w:pPr>
              <w:widowControl w:val="0"/>
              <w:tabs>
                <w:tab w:val="decimal" w:pos="964"/>
              </w:tabs>
            </w:pPr>
            <w:r>
              <w:t>65.550</w:t>
            </w:r>
          </w:p>
        </w:tc>
        <w:tc>
          <w:tcPr>
            <w:tcW w:w="735" w:type="pct"/>
            <w:noWrap/>
            <w:vAlign w:val="bottom"/>
          </w:tcPr>
          <w:p w:rsidR="00000000" w:rsidRDefault="00000000">
            <w:pPr>
              <w:widowControl w:val="0"/>
              <w:tabs>
                <w:tab w:val="decimal" w:pos="964"/>
              </w:tabs>
            </w:pPr>
            <w:r>
              <w:t>72.309</w:t>
            </w:r>
          </w:p>
        </w:tc>
        <w:tc>
          <w:tcPr>
            <w:tcW w:w="735" w:type="pct"/>
            <w:noWrap/>
            <w:vAlign w:val="bottom"/>
          </w:tcPr>
          <w:p w:rsidR="00000000" w:rsidRDefault="00000000">
            <w:pPr>
              <w:widowControl w:val="0"/>
              <w:tabs>
                <w:tab w:val="decimal" w:pos="964"/>
              </w:tabs>
            </w:pPr>
            <w:r>
              <w:t>77.719</w:t>
            </w:r>
          </w:p>
        </w:tc>
      </w:tr>
      <w:tr w:rsidR="00000000">
        <w:trPr>
          <w:trHeight w:val="20"/>
          <w:jc w:val="center"/>
        </w:trPr>
        <w:tc>
          <w:tcPr>
            <w:tcW w:w="2795" w:type="pct"/>
            <w:noWrap/>
            <w:vAlign w:val="bottom"/>
          </w:tcPr>
          <w:p w:rsidR="00000000" w:rsidRDefault="00000000">
            <w:pPr>
              <w:widowControl w:val="0"/>
              <w:tabs>
                <w:tab w:val="left" w:pos="221"/>
              </w:tabs>
              <w:ind w:left="284"/>
              <w:rPr>
                <w:rFonts w:eastAsia="Arial Unicode MS"/>
              </w:rPr>
            </w:pPr>
            <w:r>
              <w:t>Adquisición de bienes y servicios</w:t>
            </w:r>
          </w:p>
        </w:tc>
        <w:tc>
          <w:tcPr>
            <w:tcW w:w="735" w:type="pct"/>
            <w:noWrap/>
            <w:vAlign w:val="bottom"/>
          </w:tcPr>
          <w:p w:rsidR="00000000" w:rsidRDefault="00000000">
            <w:pPr>
              <w:widowControl w:val="0"/>
              <w:tabs>
                <w:tab w:val="decimal" w:pos="964"/>
              </w:tabs>
            </w:pPr>
            <w:r>
              <w:t>1.736</w:t>
            </w:r>
          </w:p>
        </w:tc>
        <w:tc>
          <w:tcPr>
            <w:tcW w:w="735" w:type="pct"/>
            <w:noWrap/>
            <w:vAlign w:val="bottom"/>
          </w:tcPr>
          <w:p w:rsidR="00000000" w:rsidRDefault="00000000">
            <w:pPr>
              <w:widowControl w:val="0"/>
              <w:tabs>
                <w:tab w:val="decimal" w:pos="964"/>
              </w:tabs>
            </w:pPr>
            <w:r>
              <w:t>1.880</w:t>
            </w:r>
          </w:p>
        </w:tc>
        <w:tc>
          <w:tcPr>
            <w:tcW w:w="735" w:type="pct"/>
            <w:noWrap/>
            <w:vAlign w:val="bottom"/>
          </w:tcPr>
          <w:p w:rsidR="00000000" w:rsidRDefault="00000000">
            <w:pPr>
              <w:widowControl w:val="0"/>
              <w:tabs>
                <w:tab w:val="decimal" w:pos="964"/>
              </w:tabs>
            </w:pPr>
            <w:r>
              <w:t>4.872</w:t>
            </w:r>
          </w:p>
        </w:tc>
      </w:tr>
      <w:tr w:rsidR="00000000">
        <w:trPr>
          <w:trHeight w:val="20"/>
          <w:jc w:val="center"/>
        </w:trPr>
        <w:tc>
          <w:tcPr>
            <w:tcW w:w="2795" w:type="pct"/>
            <w:noWrap/>
            <w:vAlign w:val="bottom"/>
          </w:tcPr>
          <w:p w:rsidR="00000000" w:rsidRDefault="00000000">
            <w:pPr>
              <w:widowControl w:val="0"/>
              <w:tabs>
                <w:tab w:val="left" w:pos="221"/>
              </w:tabs>
              <w:ind w:left="284"/>
              <w:rPr>
                <w:rFonts w:eastAsia="Arial Unicode MS"/>
              </w:rPr>
            </w:pPr>
            <w:r>
              <w:t>Gastos de transferencia y subvenciones</w:t>
            </w:r>
          </w:p>
        </w:tc>
        <w:tc>
          <w:tcPr>
            <w:tcW w:w="735" w:type="pct"/>
            <w:noWrap/>
            <w:vAlign w:val="bottom"/>
          </w:tcPr>
          <w:p w:rsidR="00000000" w:rsidRDefault="00000000">
            <w:pPr>
              <w:widowControl w:val="0"/>
              <w:tabs>
                <w:tab w:val="decimal" w:pos="964"/>
              </w:tabs>
            </w:pPr>
            <w:r>
              <w:t>10</w:t>
            </w:r>
          </w:p>
        </w:tc>
        <w:tc>
          <w:tcPr>
            <w:tcW w:w="735" w:type="pct"/>
            <w:noWrap/>
            <w:vAlign w:val="bottom"/>
          </w:tcPr>
          <w:p w:rsidR="00000000" w:rsidRDefault="00000000">
            <w:pPr>
              <w:widowControl w:val="0"/>
              <w:tabs>
                <w:tab w:val="decimal" w:pos="964"/>
              </w:tabs>
            </w:pPr>
            <w:r>
              <w:t>59</w:t>
            </w:r>
          </w:p>
        </w:tc>
        <w:tc>
          <w:tcPr>
            <w:tcW w:w="735" w:type="pct"/>
            <w:noWrap/>
            <w:vAlign w:val="bottom"/>
          </w:tcPr>
          <w:p w:rsidR="00000000" w:rsidRDefault="00000000">
            <w:pPr>
              <w:widowControl w:val="0"/>
              <w:tabs>
                <w:tab w:val="decimal" w:pos="964"/>
              </w:tabs>
            </w:pPr>
            <w:r>
              <w:t>8.003</w:t>
            </w:r>
          </w:p>
        </w:tc>
      </w:tr>
      <w:tr w:rsidR="00000000">
        <w:trPr>
          <w:trHeight w:val="20"/>
          <w:jc w:val="center"/>
        </w:trPr>
        <w:tc>
          <w:tcPr>
            <w:tcW w:w="2795" w:type="pct"/>
            <w:noWrap/>
            <w:vAlign w:val="bottom"/>
          </w:tcPr>
          <w:p w:rsidR="00000000" w:rsidRDefault="00000000">
            <w:pPr>
              <w:widowControl w:val="0"/>
              <w:ind w:left="567"/>
              <w:rPr>
                <w:rFonts w:eastAsia="Arial Unicode MS"/>
                <w:b/>
              </w:rPr>
            </w:pPr>
            <w:r>
              <w:rPr>
                <w:b/>
              </w:rPr>
              <w:t>Total</w:t>
            </w:r>
          </w:p>
        </w:tc>
        <w:tc>
          <w:tcPr>
            <w:tcW w:w="735" w:type="pct"/>
            <w:noWrap/>
            <w:vAlign w:val="bottom"/>
          </w:tcPr>
          <w:p w:rsidR="00000000" w:rsidRDefault="00000000">
            <w:pPr>
              <w:widowControl w:val="0"/>
              <w:tabs>
                <w:tab w:val="decimal" w:pos="964"/>
              </w:tabs>
            </w:pPr>
            <w:r>
              <w:t>67.296</w:t>
            </w:r>
          </w:p>
        </w:tc>
        <w:tc>
          <w:tcPr>
            <w:tcW w:w="735" w:type="pct"/>
            <w:noWrap/>
            <w:vAlign w:val="bottom"/>
          </w:tcPr>
          <w:p w:rsidR="00000000" w:rsidRDefault="00000000">
            <w:pPr>
              <w:widowControl w:val="0"/>
              <w:tabs>
                <w:tab w:val="decimal" w:pos="964"/>
              </w:tabs>
            </w:pPr>
            <w:r>
              <w:t>74.248</w:t>
            </w:r>
          </w:p>
        </w:tc>
        <w:tc>
          <w:tcPr>
            <w:tcW w:w="735" w:type="pct"/>
            <w:noWrap/>
            <w:vAlign w:val="bottom"/>
          </w:tcPr>
          <w:p w:rsidR="00000000" w:rsidRDefault="00000000">
            <w:pPr>
              <w:widowControl w:val="0"/>
              <w:tabs>
                <w:tab w:val="decimal" w:pos="964"/>
              </w:tabs>
            </w:pPr>
            <w:r>
              <w:t>90.594</w:t>
            </w:r>
          </w:p>
        </w:tc>
      </w:tr>
    </w:tbl>
    <w:p w:rsidR="00000000" w:rsidRDefault="00000000">
      <w:pPr>
        <w:spacing w:before="240" w:after="480"/>
      </w:pPr>
      <w:r>
        <w:rPr>
          <w:i/>
          <w:iCs/>
        </w:rPr>
        <w:t>Fuent</w:t>
      </w:r>
      <w:r>
        <w:t xml:space="preserve">e:  CREA (2003) y estadísticas de la </w:t>
      </w:r>
      <w:proofErr w:type="spellStart"/>
      <w:r>
        <w:t>DPRE</w:t>
      </w:r>
      <w:proofErr w:type="spellEnd"/>
      <w:r>
        <w:t xml:space="preserve"> (2003).</w:t>
      </w:r>
    </w:p>
    <w:p w:rsidR="00000000" w:rsidRDefault="00000000">
      <w:pPr>
        <w:spacing w:after="240"/>
      </w:pPr>
      <w:r>
        <w:t>77.</w:t>
      </w:r>
      <w:r>
        <w:tab/>
        <w:t>En el cuadro se observa que los gastos de personal constituyen la parte esencial del gasto de funcionamiento.  En 2001 y 2002, los gastos de personal representaban el 97,4% de los gastos de funcionamiento de los subsectores preescolar, de alfabetización, de enseñanza primaria, de enseñanza media y de enseñanza secundaria.  En 2003, la parte correspondiente a los gastos de personal es de 85,8%.</w:t>
      </w:r>
    </w:p>
    <w:p w:rsidR="00000000" w:rsidRDefault="00000000">
      <w:pPr>
        <w:keepNext/>
        <w:spacing w:after="240"/>
        <w:jc w:val="center"/>
        <w:rPr>
          <w:b/>
          <w:bCs/>
        </w:rPr>
      </w:pPr>
      <w:r>
        <w:rPr>
          <w:b/>
          <w:bCs/>
        </w:rPr>
        <w:t>Composición económica de los gastos públicos de funcionamiento</w:t>
      </w:r>
    </w:p>
    <w:p w:rsidR="00000000" w:rsidRDefault="00000000">
      <w:pPr>
        <w:spacing w:after="240"/>
        <w:jc w:val="center"/>
      </w:pPr>
      <w:r>
        <w:t>(En porcentaje de los gastos totales por nivel)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5738"/>
        <w:gridCol w:w="1251"/>
        <w:gridCol w:w="1251"/>
        <w:gridCol w:w="1251"/>
      </w:tblGrid>
      <w:tr w:rsidR="00000000">
        <w:trPr>
          <w:cantSplit/>
          <w:trHeight w:val="20"/>
          <w:jc w:val="center"/>
        </w:trPr>
        <w:tc>
          <w:tcPr>
            <w:tcW w:w="3023" w:type="pct"/>
            <w:noWrap/>
            <w:vAlign w:val="center"/>
          </w:tcPr>
          <w:p w:rsidR="00000000" w:rsidRDefault="00000000">
            <w:pPr>
              <w:widowControl w:val="0"/>
              <w:jc w:val="center"/>
              <w:rPr>
                <w:b/>
              </w:rPr>
            </w:pPr>
            <w:r>
              <w:rPr>
                <w:b/>
              </w:rPr>
              <w:t>Niveles</w:t>
            </w:r>
          </w:p>
        </w:tc>
        <w:tc>
          <w:tcPr>
            <w:tcW w:w="659" w:type="pct"/>
            <w:noWrap/>
            <w:vAlign w:val="center"/>
          </w:tcPr>
          <w:p w:rsidR="00000000" w:rsidRDefault="00000000">
            <w:pPr>
              <w:widowControl w:val="0"/>
              <w:jc w:val="center"/>
              <w:rPr>
                <w:rFonts w:eastAsia="Arial Unicode MS"/>
                <w:b/>
                <w:bCs/>
              </w:rPr>
            </w:pPr>
            <w:r>
              <w:rPr>
                <w:rFonts w:eastAsia="Arial Unicode MS"/>
                <w:b/>
                <w:bCs/>
              </w:rPr>
              <w:t>2001</w:t>
            </w:r>
          </w:p>
        </w:tc>
        <w:tc>
          <w:tcPr>
            <w:tcW w:w="659" w:type="pct"/>
            <w:noWrap/>
            <w:vAlign w:val="center"/>
          </w:tcPr>
          <w:p w:rsidR="00000000" w:rsidRDefault="00000000">
            <w:pPr>
              <w:widowControl w:val="0"/>
              <w:jc w:val="center"/>
              <w:rPr>
                <w:rFonts w:eastAsia="Arial Unicode MS"/>
                <w:b/>
                <w:bCs/>
              </w:rPr>
            </w:pPr>
            <w:r>
              <w:rPr>
                <w:rFonts w:eastAsia="Arial Unicode MS"/>
                <w:b/>
                <w:bCs/>
              </w:rPr>
              <w:t>2002</w:t>
            </w:r>
          </w:p>
        </w:tc>
        <w:tc>
          <w:tcPr>
            <w:tcW w:w="659" w:type="pct"/>
            <w:noWrap/>
            <w:vAlign w:val="center"/>
          </w:tcPr>
          <w:p w:rsidR="00000000" w:rsidRDefault="00000000">
            <w:pPr>
              <w:widowControl w:val="0"/>
              <w:jc w:val="center"/>
              <w:rPr>
                <w:rFonts w:eastAsia="Arial Unicode MS"/>
                <w:b/>
                <w:bCs/>
              </w:rPr>
            </w:pPr>
            <w:r>
              <w:rPr>
                <w:rFonts w:eastAsia="Arial Unicode MS"/>
                <w:b/>
                <w:bCs/>
              </w:rPr>
              <w:t>2003</w:t>
            </w:r>
          </w:p>
        </w:tc>
      </w:tr>
      <w:tr w:rsidR="00000000">
        <w:trPr>
          <w:cantSplit/>
          <w:trHeight w:val="20"/>
          <w:jc w:val="center"/>
        </w:trPr>
        <w:tc>
          <w:tcPr>
            <w:tcW w:w="3023" w:type="pct"/>
            <w:noWrap/>
            <w:vAlign w:val="bottom"/>
          </w:tcPr>
          <w:p w:rsidR="00000000" w:rsidRDefault="00000000">
            <w:pPr>
              <w:widowControl w:val="0"/>
              <w:rPr>
                <w:rFonts w:eastAsia="Arial Unicode MS"/>
                <w:b/>
              </w:rPr>
            </w:pPr>
            <w:r>
              <w:rPr>
                <w:b/>
              </w:rPr>
              <w:t>Enseñanza preescolar</w:t>
            </w:r>
          </w:p>
        </w:tc>
        <w:tc>
          <w:tcPr>
            <w:tcW w:w="659" w:type="pct"/>
            <w:noWrap/>
            <w:vAlign w:val="bottom"/>
          </w:tcPr>
          <w:p w:rsidR="00000000" w:rsidRDefault="00000000">
            <w:pPr>
              <w:widowControl w:val="0"/>
              <w:jc w:val="right"/>
              <w:rPr>
                <w:rFonts w:eastAsia="Arial Unicode MS"/>
                <w:b/>
                <w:bCs/>
              </w:rPr>
            </w:pPr>
          </w:p>
        </w:tc>
        <w:tc>
          <w:tcPr>
            <w:tcW w:w="659" w:type="pct"/>
            <w:noWrap/>
            <w:vAlign w:val="bottom"/>
          </w:tcPr>
          <w:p w:rsidR="00000000" w:rsidRDefault="00000000">
            <w:pPr>
              <w:widowControl w:val="0"/>
              <w:jc w:val="right"/>
              <w:rPr>
                <w:rFonts w:eastAsia="Arial Unicode MS"/>
                <w:b/>
                <w:bCs/>
              </w:rPr>
            </w:pPr>
          </w:p>
        </w:tc>
        <w:tc>
          <w:tcPr>
            <w:tcW w:w="659" w:type="pct"/>
            <w:noWrap/>
            <w:vAlign w:val="bottom"/>
          </w:tcPr>
          <w:p w:rsidR="00000000" w:rsidRDefault="00000000">
            <w:pPr>
              <w:widowControl w:val="0"/>
              <w:jc w:val="right"/>
              <w:rPr>
                <w:rFonts w:eastAsia="Arial Unicode MS"/>
                <w:b/>
                <w:bCs/>
              </w:rPr>
            </w:pPr>
          </w:p>
        </w:tc>
      </w:tr>
      <w:tr w:rsidR="00000000">
        <w:trPr>
          <w:cantSplit/>
          <w:trHeight w:val="20"/>
          <w:jc w:val="center"/>
        </w:trPr>
        <w:tc>
          <w:tcPr>
            <w:tcW w:w="3023" w:type="pct"/>
            <w:noWrap/>
            <w:vAlign w:val="bottom"/>
          </w:tcPr>
          <w:p w:rsidR="00000000" w:rsidRDefault="00000000">
            <w:pPr>
              <w:widowControl w:val="0"/>
              <w:ind w:left="284"/>
              <w:rPr>
                <w:rFonts w:eastAsia="Arial Unicode MS"/>
              </w:rPr>
            </w:pPr>
            <w:r>
              <w:t>Gastos de personal</w:t>
            </w:r>
          </w:p>
        </w:tc>
        <w:tc>
          <w:tcPr>
            <w:tcW w:w="659" w:type="pct"/>
            <w:noWrap/>
            <w:vAlign w:val="bottom"/>
          </w:tcPr>
          <w:p w:rsidR="00000000" w:rsidRDefault="00000000">
            <w:pPr>
              <w:widowControl w:val="0"/>
              <w:tabs>
                <w:tab w:val="decimal" w:pos="680"/>
              </w:tabs>
              <w:jc w:val="both"/>
            </w:pPr>
            <w:r>
              <w:t>85,6</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74,9</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58,2</w:t>
            </w:r>
          </w:p>
        </w:tc>
      </w:tr>
      <w:tr w:rsidR="00000000">
        <w:trPr>
          <w:cantSplit/>
          <w:trHeight w:val="20"/>
          <w:jc w:val="center"/>
        </w:trPr>
        <w:tc>
          <w:tcPr>
            <w:tcW w:w="3023" w:type="pct"/>
            <w:noWrap/>
            <w:vAlign w:val="bottom"/>
          </w:tcPr>
          <w:p w:rsidR="00000000" w:rsidRDefault="00000000">
            <w:pPr>
              <w:widowControl w:val="0"/>
              <w:ind w:left="284"/>
              <w:rPr>
                <w:rFonts w:eastAsia="Arial Unicode MS"/>
              </w:rPr>
            </w:pPr>
            <w:r>
              <w:t>Adquisición de bienes y servicios</w:t>
            </w:r>
          </w:p>
        </w:tc>
        <w:tc>
          <w:tcPr>
            <w:tcW w:w="659" w:type="pct"/>
            <w:noWrap/>
            <w:vAlign w:val="bottom"/>
          </w:tcPr>
          <w:p w:rsidR="00000000" w:rsidRDefault="00000000">
            <w:pPr>
              <w:widowControl w:val="0"/>
              <w:tabs>
                <w:tab w:val="decimal" w:pos="680"/>
              </w:tabs>
              <w:jc w:val="both"/>
            </w:pPr>
            <w:r>
              <w:t>14,4</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19,1</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41,8</w:t>
            </w:r>
          </w:p>
        </w:tc>
      </w:tr>
      <w:tr w:rsidR="00000000">
        <w:trPr>
          <w:cantSplit/>
          <w:trHeight w:val="20"/>
          <w:jc w:val="center"/>
        </w:trPr>
        <w:tc>
          <w:tcPr>
            <w:tcW w:w="3023" w:type="pct"/>
            <w:noWrap/>
            <w:vAlign w:val="bottom"/>
          </w:tcPr>
          <w:p w:rsidR="00000000" w:rsidRDefault="00000000">
            <w:pPr>
              <w:widowControl w:val="0"/>
              <w:ind w:left="284"/>
              <w:rPr>
                <w:rFonts w:eastAsia="Arial Unicode MS"/>
              </w:rPr>
            </w:pPr>
            <w:r>
              <w:t>Gastos de transferencia y subvenciones</w:t>
            </w:r>
          </w:p>
        </w:tc>
        <w:tc>
          <w:tcPr>
            <w:tcW w:w="659" w:type="pct"/>
            <w:noWrap/>
            <w:vAlign w:val="bottom"/>
          </w:tcPr>
          <w:p w:rsidR="00000000" w:rsidRDefault="00000000">
            <w:pPr>
              <w:widowControl w:val="0"/>
              <w:tabs>
                <w:tab w:val="decimal" w:pos="680"/>
              </w:tabs>
              <w:jc w:val="both"/>
            </w:pPr>
            <w:r>
              <w:t>0,0</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6,0</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0,0</w:t>
            </w:r>
          </w:p>
        </w:tc>
      </w:tr>
      <w:tr w:rsidR="00000000">
        <w:trPr>
          <w:cantSplit/>
          <w:trHeight w:val="20"/>
          <w:jc w:val="center"/>
        </w:trPr>
        <w:tc>
          <w:tcPr>
            <w:tcW w:w="3023" w:type="pct"/>
            <w:noWrap/>
            <w:vAlign w:val="bottom"/>
          </w:tcPr>
          <w:p w:rsidR="00000000" w:rsidRDefault="00000000">
            <w:pPr>
              <w:widowControl w:val="0"/>
              <w:tabs>
                <w:tab w:val="left" w:pos="326"/>
              </w:tabs>
              <w:ind w:left="567"/>
              <w:rPr>
                <w:b/>
                <w:bCs/>
              </w:rPr>
            </w:pPr>
            <w:r>
              <w:rPr>
                <w:b/>
                <w:bCs/>
              </w:rPr>
              <w:t>Total</w:t>
            </w:r>
          </w:p>
        </w:tc>
        <w:tc>
          <w:tcPr>
            <w:tcW w:w="659" w:type="pct"/>
            <w:noWrap/>
            <w:vAlign w:val="bottom"/>
          </w:tcPr>
          <w:p w:rsidR="00000000" w:rsidRDefault="00000000">
            <w:pPr>
              <w:widowControl w:val="0"/>
              <w:tabs>
                <w:tab w:val="decimal" w:pos="680"/>
              </w:tabs>
              <w:jc w:val="both"/>
              <w:rPr>
                <w:rFonts w:eastAsia="Arial Unicode MS"/>
                <w:b/>
                <w:bCs/>
              </w:rPr>
            </w:pPr>
            <w:r>
              <w:rPr>
                <w:b/>
                <w:bCs/>
              </w:rPr>
              <w:t>100</w:t>
            </w:r>
          </w:p>
        </w:tc>
        <w:tc>
          <w:tcPr>
            <w:tcW w:w="659" w:type="pct"/>
            <w:noWrap/>
            <w:vAlign w:val="bottom"/>
          </w:tcPr>
          <w:p w:rsidR="00000000" w:rsidRDefault="00000000">
            <w:pPr>
              <w:widowControl w:val="0"/>
              <w:tabs>
                <w:tab w:val="decimal" w:pos="680"/>
              </w:tabs>
              <w:jc w:val="both"/>
              <w:rPr>
                <w:rFonts w:eastAsia="Arial Unicode MS"/>
                <w:b/>
                <w:bCs/>
              </w:rPr>
            </w:pPr>
            <w:r>
              <w:rPr>
                <w:rFonts w:eastAsia="Arial Unicode MS"/>
                <w:b/>
                <w:bCs/>
              </w:rPr>
              <w:t>100</w:t>
            </w:r>
          </w:p>
        </w:tc>
        <w:tc>
          <w:tcPr>
            <w:tcW w:w="659" w:type="pct"/>
            <w:noWrap/>
            <w:vAlign w:val="bottom"/>
          </w:tcPr>
          <w:p w:rsidR="00000000" w:rsidRDefault="00000000">
            <w:pPr>
              <w:widowControl w:val="0"/>
              <w:tabs>
                <w:tab w:val="decimal" w:pos="680"/>
              </w:tabs>
              <w:jc w:val="both"/>
              <w:rPr>
                <w:rFonts w:eastAsia="Arial Unicode MS"/>
                <w:b/>
                <w:bCs/>
              </w:rPr>
            </w:pPr>
            <w:r>
              <w:rPr>
                <w:rFonts w:eastAsia="Arial Unicode MS"/>
                <w:b/>
                <w:bCs/>
              </w:rPr>
              <w:t>100</w:t>
            </w:r>
          </w:p>
        </w:tc>
      </w:tr>
      <w:tr w:rsidR="00000000">
        <w:trPr>
          <w:cantSplit/>
          <w:trHeight w:val="20"/>
          <w:jc w:val="center"/>
        </w:trPr>
        <w:tc>
          <w:tcPr>
            <w:tcW w:w="3023" w:type="pct"/>
            <w:noWrap/>
            <w:vAlign w:val="bottom"/>
          </w:tcPr>
          <w:p w:rsidR="00000000" w:rsidRDefault="00000000">
            <w:pPr>
              <w:widowControl w:val="0"/>
              <w:rPr>
                <w:rFonts w:eastAsia="Arial Unicode MS"/>
                <w:b/>
                <w:bCs/>
              </w:rPr>
            </w:pPr>
            <w:r>
              <w:rPr>
                <w:b/>
                <w:bCs/>
              </w:rPr>
              <w:t>Alfabetización</w:t>
            </w:r>
          </w:p>
        </w:tc>
        <w:tc>
          <w:tcPr>
            <w:tcW w:w="659" w:type="pct"/>
            <w:noWrap/>
            <w:vAlign w:val="bottom"/>
          </w:tcPr>
          <w:p w:rsidR="00000000" w:rsidRDefault="00000000">
            <w:pPr>
              <w:widowControl w:val="0"/>
              <w:tabs>
                <w:tab w:val="decimal" w:pos="680"/>
              </w:tabs>
              <w:rPr>
                <w:rFonts w:eastAsia="Arial Unicode MS"/>
                <w:b/>
                <w:bCs/>
              </w:rPr>
            </w:pPr>
          </w:p>
        </w:tc>
        <w:tc>
          <w:tcPr>
            <w:tcW w:w="659" w:type="pct"/>
            <w:noWrap/>
            <w:vAlign w:val="bottom"/>
          </w:tcPr>
          <w:p w:rsidR="00000000" w:rsidRDefault="00000000">
            <w:pPr>
              <w:widowControl w:val="0"/>
              <w:tabs>
                <w:tab w:val="decimal" w:pos="680"/>
              </w:tabs>
              <w:jc w:val="both"/>
              <w:rPr>
                <w:rFonts w:eastAsia="Arial Unicode MS"/>
                <w:b/>
                <w:bCs/>
              </w:rPr>
            </w:pPr>
          </w:p>
        </w:tc>
        <w:tc>
          <w:tcPr>
            <w:tcW w:w="659" w:type="pct"/>
            <w:noWrap/>
            <w:vAlign w:val="bottom"/>
          </w:tcPr>
          <w:p w:rsidR="00000000" w:rsidRDefault="00000000">
            <w:pPr>
              <w:widowControl w:val="0"/>
              <w:tabs>
                <w:tab w:val="decimal" w:pos="680"/>
              </w:tabs>
              <w:jc w:val="both"/>
              <w:rPr>
                <w:rFonts w:eastAsia="Arial Unicode MS"/>
                <w:b/>
                <w:bCs/>
              </w:rPr>
            </w:pPr>
          </w:p>
        </w:tc>
      </w:tr>
      <w:tr w:rsidR="00000000">
        <w:trPr>
          <w:cantSplit/>
          <w:trHeight w:val="20"/>
          <w:jc w:val="center"/>
        </w:trPr>
        <w:tc>
          <w:tcPr>
            <w:tcW w:w="3023" w:type="pct"/>
            <w:noWrap/>
            <w:vAlign w:val="bottom"/>
          </w:tcPr>
          <w:p w:rsidR="00000000" w:rsidRDefault="00000000">
            <w:pPr>
              <w:widowControl w:val="0"/>
              <w:ind w:left="284"/>
              <w:rPr>
                <w:rFonts w:eastAsia="Arial Unicode MS"/>
              </w:rPr>
            </w:pPr>
            <w:r>
              <w:t>Gastos de personal</w:t>
            </w:r>
          </w:p>
        </w:tc>
        <w:tc>
          <w:tcPr>
            <w:tcW w:w="659" w:type="pct"/>
            <w:noWrap/>
            <w:vAlign w:val="bottom"/>
          </w:tcPr>
          <w:p w:rsidR="00000000" w:rsidRDefault="00000000">
            <w:pPr>
              <w:widowControl w:val="0"/>
              <w:tabs>
                <w:tab w:val="decimal" w:pos="680"/>
              </w:tabs>
              <w:rPr>
                <w:rFonts w:eastAsia="Arial Unicode MS"/>
              </w:rPr>
            </w:pPr>
            <w:r>
              <w:t>-</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89,3</w:t>
            </w:r>
          </w:p>
        </w:tc>
      </w:tr>
      <w:tr w:rsidR="00000000">
        <w:trPr>
          <w:cantSplit/>
          <w:trHeight w:val="20"/>
          <w:jc w:val="center"/>
        </w:trPr>
        <w:tc>
          <w:tcPr>
            <w:tcW w:w="3023" w:type="pct"/>
            <w:noWrap/>
            <w:vAlign w:val="bottom"/>
          </w:tcPr>
          <w:p w:rsidR="00000000" w:rsidRDefault="00000000">
            <w:pPr>
              <w:widowControl w:val="0"/>
              <w:ind w:left="284"/>
              <w:rPr>
                <w:rFonts w:eastAsia="Arial Unicode MS"/>
              </w:rPr>
            </w:pPr>
            <w:r>
              <w:t>Adquisición de bienes y servicios</w:t>
            </w:r>
          </w:p>
        </w:tc>
        <w:tc>
          <w:tcPr>
            <w:tcW w:w="659" w:type="pct"/>
            <w:noWrap/>
            <w:vAlign w:val="bottom"/>
          </w:tcPr>
          <w:p w:rsidR="00000000" w:rsidRDefault="00000000">
            <w:pPr>
              <w:widowControl w:val="0"/>
              <w:tabs>
                <w:tab w:val="decimal" w:pos="680"/>
              </w:tabs>
              <w:rPr>
                <w:rFonts w:eastAsia="Arial Unicode MS"/>
              </w:rPr>
            </w:pPr>
            <w:r>
              <w:t>-</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10,7</w:t>
            </w:r>
          </w:p>
        </w:tc>
      </w:tr>
      <w:tr w:rsidR="00000000">
        <w:trPr>
          <w:cantSplit/>
          <w:trHeight w:val="20"/>
          <w:jc w:val="center"/>
        </w:trPr>
        <w:tc>
          <w:tcPr>
            <w:tcW w:w="3023" w:type="pct"/>
            <w:noWrap/>
            <w:vAlign w:val="bottom"/>
          </w:tcPr>
          <w:p w:rsidR="00000000" w:rsidRDefault="00000000">
            <w:pPr>
              <w:widowControl w:val="0"/>
              <w:ind w:left="284"/>
              <w:rPr>
                <w:rFonts w:eastAsia="Arial Unicode MS"/>
              </w:rPr>
            </w:pPr>
            <w:r>
              <w:t>Gastos de transferencia y subvenciones</w:t>
            </w:r>
          </w:p>
        </w:tc>
        <w:tc>
          <w:tcPr>
            <w:tcW w:w="659" w:type="pct"/>
            <w:noWrap/>
            <w:vAlign w:val="bottom"/>
          </w:tcPr>
          <w:p w:rsidR="00000000" w:rsidRDefault="00000000">
            <w:pPr>
              <w:widowControl w:val="0"/>
              <w:tabs>
                <w:tab w:val="decimal" w:pos="680"/>
              </w:tabs>
              <w:rPr>
                <w:rFonts w:eastAsia="Arial Unicode MS"/>
              </w:rPr>
            </w:pPr>
            <w:r>
              <w:t>-</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0,0</w:t>
            </w:r>
          </w:p>
        </w:tc>
      </w:tr>
      <w:tr w:rsidR="00000000">
        <w:trPr>
          <w:cantSplit/>
          <w:trHeight w:val="20"/>
          <w:jc w:val="center"/>
        </w:trPr>
        <w:tc>
          <w:tcPr>
            <w:tcW w:w="3023" w:type="pct"/>
            <w:noWrap/>
            <w:vAlign w:val="bottom"/>
          </w:tcPr>
          <w:p w:rsidR="00000000" w:rsidRDefault="00000000">
            <w:pPr>
              <w:widowControl w:val="0"/>
              <w:tabs>
                <w:tab w:val="left" w:pos="326"/>
              </w:tabs>
              <w:ind w:left="567"/>
              <w:rPr>
                <w:rFonts w:eastAsia="Arial Unicode MS"/>
                <w:b/>
              </w:rPr>
            </w:pPr>
            <w:r>
              <w:rPr>
                <w:b/>
              </w:rPr>
              <w:t>Total</w:t>
            </w:r>
          </w:p>
        </w:tc>
        <w:tc>
          <w:tcPr>
            <w:tcW w:w="659" w:type="pct"/>
            <w:noWrap/>
            <w:vAlign w:val="bottom"/>
          </w:tcPr>
          <w:p w:rsidR="00000000" w:rsidRDefault="00000000">
            <w:pPr>
              <w:widowControl w:val="0"/>
              <w:tabs>
                <w:tab w:val="decimal" w:pos="680"/>
              </w:tabs>
              <w:rPr>
                <w:rFonts w:eastAsia="Arial Unicode MS"/>
                <w:b/>
              </w:rPr>
            </w:pPr>
            <w:r>
              <w:rPr>
                <w:b/>
              </w:rPr>
              <w:t>-</w:t>
            </w:r>
          </w:p>
        </w:tc>
        <w:tc>
          <w:tcPr>
            <w:tcW w:w="659" w:type="pct"/>
            <w:noWrap/>
            <w:vAlign w:val="bottom"/>
          </w:tcPr>
          <w:p w:rsidR="00000000" w:rsidRDefault="00000000">
            <w:pPr>
              <w:widowControl w:val="0"/>
              <w:tabs>
                <w:tab w:val="decimal" w:pos="680"/>
              </w:tabs>
              <w:jc w:val="both"/>
              <w:rPr>
                <w:rFonts w:eastAsia="Arial Unicode MS"/>
                <w:b/>
              </w:rPr>
            </w:pPr>
            <w:r>
              <w:rPr>
                <w:rFonts w:eastAsia="Arial Unicode MS"/>
                <w:b/>
              </w:rPr>
              <w:t>-</w:t>
            </w:r>
          </w:p>
        </w:tc>
        <w:tc>
          <w:tcPr>
            <w:tcW w:w="659" w:type="pct"/>
            <w:noWrap/>
            <w:vAlign w:val="bottom"/>
          </w:tcPr>
          <w:p w:rsidR="00000000" w:rsidRDefault="00000000">
            <w:pPr>
              <w:widowControl w:val="0"/>
              <w:tabs>
                <w:tab w:val="decimal" w:pos="680"/>
              </w:tabs>
              <w:jc w:val="both"/>
              <w:rPr>
                <w:rFonts w:eastAsia="Arial Unicode MS"/>
                <w:b/>
              </w:rPr>
            </w:pPr>
            <w:r>
              <w:rPr>
                <w:rFonts w:eastAsia="Arial Unicode MS"/>
                <w:b/>
              </w:rPr>
              <w:t>100</w:t>
            </w:r>
          </w:p>
        </w:tc>
      </w:tr>
      <w:tr w:rsidR="00000000">
        <w:trPr>
          <w:cantSplit/>
          <w:trHeight w:val="20"/>
          <w:jc w:val="center"/>
        </w:trPr>
        <w:tc>
          <w:tcPr>
            <w:tcW w:w="3023" w:type="pct"/>
            <w:noWrap/>
            <w:vAlign w:val="bottom"/>
          </w:tcPr>
          <w:p w:rsidR="00000000" w:rsidRDefault="00000000">
            <w:pPr>
              <w:widowControl w:val="0"/>
              <w:rPr>
                <w:rFonts w:eastAsia="Arial Unicode MS"/>
                <w:b/>
              </w:rPr>
            </w:pPr>
            <w:r>
              <w:rPr>
                <w:b/>
              </w:rPr>
              <w:t>Enseñanza primaria</w:t>
            </w:r>
          </w:p>
        </w:tc>
        <w:tc>
          <w:tcPr>
            <w:tcW w:w="659" w:type="pct"/>
            <w:noWrap/>
            <w:vAlign w:val="bottom"/>
          </w:tcPr>
          <w:p w:rsidR="00000000" w:rsidRDefault="00000000">
            <w:pPr>
              <w:widowControl w:val="0"/>
              <w:tabs>
                <w:tab w:val="decimal" w:pos="680"/>
              </w:tabs>
              <w:rPr>
                <w:rFonts w:eastAsia="Arial Unicode MS"/>
              </w:rPr>
            </w:pPr>
          </w:p>
        </w:tc>
        <w:tc>
          <w:tcPr>
            <w:tcW w:w="659" w:type="pct"/>
            <w:noWrap/>
            <w:vAlign w:val="bottom"/>
          </w:tcPr>
          <w:p w:rsidR="00000000" w:rsidRDefault="00000000">
            <w:pPr>
              <w:widowControl w:val="0"/>
              <w:tabs>
                <w:tab w:val="decimal" w:pos="680"/>
              </w:tabs>
              <w:jc w:val="both"/>
              <w:rPr>
                <w:rFonts w:eastAsia="Arial Unicode MS"/>
              </w:rPr>
            </w:pPr>
          </w:p>
        </w:tc>
        <w:tc>
          <w:tcPr>
            <w:tcW w:w="659" w:type="pct"/>
            <w:noWrap/>
            <w:vAlign w:val="bottom"/>
          </w:tcPr>
          <w:p w:rsidR="00000000" w:rsidRDefault="00000000">
            <w:pPr>
              <w:widowControl w:val="0"/>
              <w:tabs>
                <w:tab w:val="decimal" w:pos="680"/>
              </w:tabs>
              <w:jc w:val="both"/>
              <w:rPr>
                <w:rFonts w:eastAsia="Arial Unicode MS"/>
              </w:rPr>
            </w:pPr>
          </w:p>
        </w:tc>
      </w:tr>
      <w:tr w:rsidR="00000000">
        <w:trPr>
          <w:cantSplit/>
          <w:trHeight w:val="20"/>
          <w:jc w:val="center"/>
        </w:trPr>
        <w:tc>
          <w:tcPr>
            <w:tcW w:w="3023" w:type="pct"/>
            <w:noWrap/>
            <w:vAlign w:val="bottom"/>
          </w:tcPr>
          <w:p w:rsidR="00000000" w:rsidRDefault="00000000">
            <w:pPr>
              <w:widowControl w:val="0"/>
              <w:ind w:left="284"/>
              <w:rPr>
                <w:rFonts w:eastAsia="Arial Unicode MS"/>
              </w:rPr>
            </w:pPr>
            <w:r>
              <w:t>Gastos de personal</w:t>
            </w:r>
          </w:p>
        </w:tc>
        <w:tc>
          <w:tcPr>
            <w:tcW w:w="659" w:type="pct"/>
            <w:noWrap/>
            <w:vAlign w:val="bottom"/>
          </w:tcPr>
          <w:p w:rsidR="00000000" w:rsidRDefault="00000000">
            <w:pPr>
              <w:widowControl w:val="0"/>
              <w:tabs>
                <w:tab w:val="decimal" w:pos="680"/>
              </w:tabs>
              <w:jc w:val="both"/>
              <w:rPr>
                <w:rFonts w:eastAsia="Arial Unicode MS"/>
              </w:rPr>
            </w:pPr>
            <w:r>
              <w:t>99,7</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99,7</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97,1</w:t>
            </w:r>
          </w:p>
        </w:tc>
      </w:tr>
      <w:tr w:rsidR="00000000">
        <w:trPr>
          <w:cantSplit/>
          <w:trHeight w:val="20"/>
          <w:jc w:val="center"/>
        </w:trPr>
        <w:tc>
          <w:tcPr>
            <w:tcW w:w="3023" w:type="pct"/>
            <w:noWrap/>
            <w:vAlign w:val="bottom"/>
          </w:tcPr>
          <w:p w:rsidR="00000000" w:rsidRDefault="00000000">
            <w:pPr>
              <w:widowControl w:val="0"/>
              <w:ind w:left="284"/>
              <w:rPr>
                <w:rFonts w:eastAsia="Arial Unicode MS"/>
              </w:rPr>
            </w:pPr>
            <w:r>
              <w:t>Adquisición de bienes y servicios</w:t>
            </w:r>
          </w:p>
        </w:tc>
        <w:tc>
          <w:tcPr>
            <w:tcW w:w="659" w:type="pct"/>
            <w:noWrap/>
            <w:vAlign w:val="bottom"/>
          </w:tcPr>
          <w:p w:rsidR="00000000" w:rsidRDefault="00000000">
            <w:pPr>
              <w:widowControl w:val="0"/>
              <w:tabs>
                <w:tab w:val="decimal" w:pos="680"/>
              </w:tabs>
              <w:jc w:val="both"/>
              <w:rPr>
                <w:rFonts w:eastAsia="Arial Unicode MS"/>
              </w:rPr>
            </w:pPr>
            <w:r>
              <w:t>0,3</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0,3</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2,9</w:t>
            </w:r>
          </w:p>
        </w:tc>
      </w:tr>
      <w:tr w:rsidR="00000000">
        <w:trPr>
          <w:cantSplit/>
          <w:trHeight w:val="20"/>
          <w:jc w:val="center"/>
        </w:trPr>
        <w:tc>
          <w:tcPr>
            <w:tcW w:w="3023" w:type="pct"/>
            <w:noWrap/>
            <w:vAlign w:val="bottom"/>
          </w:tcPr>
          <w:p w:rsidR="00000000" w:rsidRDefault="00000000">
            <w:pPr>
              <w:widowControl w:val="0"/>
              <w:ind w:left="284"/>
              <w:rPr>
                <w:rFonts w:eastAsia="Arial Unicode MS"/>
              </w:rPr>
            </w:pPr>
            <w:r>
              <w:t>Gastos de transferencia y subvenciones</w:t>
            </w:r>
          </w:p>
        </w:tc>
        <w:tc>
          <w:tcPr>
            <w:tcW w:w="659" w:type="pct"/>
            <w:noWrap/>
            <w:vAlign w:val="bottom"/>
          </w:tcPr>
          <w:p w:rsidR="00000000" w:rsidRDefault="00000000">
            <w:pPr>
              <w:widowControl w:val="0"/>
              <w:tabs>
                <w:tab w:val="decimal" w:pos="680"/>
              </w:tabs>
              <w:jc w:val="both"/>
              <w:rPr>
                <w:rFonts w:eastAsia="Arial Unicode MS"/>
              </w:rPr>
            </w:pPr>
            <w:r>
              <w:t>0,0</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0,0</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0,0</w:t>
            </w:r>
          </w:p>
        </w:tc>
      </w:tr>
      <w:tr w:rsidR="00000000">
        <w:trPr>
          <w:cantSplit/>
          <w:trHeight w:val="20"/>
          <w:jc w:val="center"/>
        </w:trPr>
        <w:tc>
          <w:tcPr>
            <w:tcW w:w="3023" w:type="pct"/>
            <w:noWrap/>
            <w:vAlign w:val="bottom"/>
          </w:tcPr>
          <w:p w:rsidR="00000000" w:rsidRDefault="00000000">
            <w:pPr>
              <w:widowControl w:val="0"/>
              <w:tabs>
                <w:tab w:val="left" w:pos="326"/>
              </w:tabs>
              <w:ind w:left="567"/>
              <w:rPr>
                <w:rFonts w:eastAsia="Arial Unicode MS"/>
                <w:b/>
              </w:rPr>
            </w:pPr>
            <w:r>
              <w:rPr>
                <w:b/>
              </w:rPr>
              <w:t>Total</w:t>
            </w:r>
          </w:p>
        </w:tc>
        <w:tc>
          <w:tcPr>
            <w:tcW w:w="659" w:type="pct"/>
            <w:noWrap/>
            <w:vAlign w:val="bottom"/>
          </w:tcPr>
          <w:p w:rsidR="00000000" w:rsidRDefault="00000000">
            <w:pPr>
              <w:widowControl w:val="0"/>
              <w:tabs>
                <w:tab w:val="decimal" w:pos="680"/>
              </w:tabs>
              <w:jc w:val="both"/>
              <w:rPr>
                <w:rFonts w:eastAsia="Arial Unicode MS"/>
                <w:b/>
              </w:rPr>
            </w:pPr>
            <w:r>
              <w:rPr>
                <w:b/>
              </w:rPr>
              <w:t>100</w:t>
            </w:r>
          </w:p>
        </w:tc>
        <w:tc>
          <w:tcPr>
            <w:tcW w:w="659" w:type="pct"/>
            <w:noWrap/>
            <w:vAlign w:val="bottom"/>
          </w:tcPr>
          <w:p w:rsidR="00000000" w:rsidRDefault="00000000">
            <w:pPr>
              <w:widowControl w:val="0"/>
              <w:tabs>
                <w:tab w:val="decimal" w:pos="680"/>
              </w:tabs>
              <w:jc w:val="both"/>
              <w:rPr>
                <w:rFonts w:eastAsia="Arial Unicode MS"/>
                <w:b/>
              </w:rPr>
            </w:pPr>
            <w:r>
              <w:rPr>
                <w:rFonts w:eastAsia="Arial Unicode MS"/>
                <w:b/>
              </w:rPr>
              <w:t>100</w:t>
            </w:r>
          </w:p>
        </w:tc>
        <w:tc>
          <w:tcPr>
            <w:tcW w:w="659" w:type="pct"/>
            <w:noWrap/>
            <w:vAlign w:val="bottom"/>
          </w:tcPr>
          <w:p w:rsidR="00000000" w:rsidRDefault="00000000">
            <w:pPr>
              <w:widowControl w:val="0"/>
              <w:tabs>
                <w:tab w:val="decimal" w:pos="680"/>
              </w:tabs>
              <w:jc w:val="both"/>
              <w:rPr>
                <w:rFonts w:eastAsia="Arial Unicode MS"/>
                <w:b/>
              </w:rPr>
            </w:pPr>
            <w:r>
              <w:rPr>
                <w:rFonts w:eastAsia="Arial Unicode MS"/>
                <w:b/>
              </w:rPr>
              <w:t>100</w:t>
            </w:r>
          </w:p>
        </w:tc>
      </w:tr>
      <w:tr w:rsidR="00000000">
        <w:trPr>
          <w:cantSplit/>
          <w:trHeight w:val="20"/>
          <w:jc w:val="center"/>
        </w:trPr>
        <w:tc>
          <w:tcPr>
            <w:tcW w:w="3023" w:type="pct"/>
            <w:noWrap/>
            <w:vAlign w:val="bottom"/>
          </w:tcPr>
          <w:p w:rsidR="00000000" w:rsidRDefault="00000000">
            <w:pPr>
              <w:widowControl w:val="0"/>
              <w:rPr>
                <w:rFonts w:eastAsia="Arial Unicode MS"/>
                <w:b/>
              </w:rPr>
            </w:pPr>
            <w:r>
              <w:rPr>
                <w:b/>
              </w:rPr>
              <w:t>Enseñanza media</w:t>
            </w:r>
          </w:p>
        </w:tc>
        <w:tc>
          <w:tcPr>
            <w:tcW w:w="659" w:type="pct"/>
            <w:noWrap/>
            <w:vAlign w:val="bottom"/>
          </w:tcPr>
          <w:p w:rsidR="00000000" w:rsidRDefault="00000000">
            <w:pPr>
              <w:widowControl w:val="0"/>
              <w:tabs>
                <w:tab w:val="decimal" w:pos="680"/>
              </w:tabs>
              <w:jc w:val="both"/>
              <w:rPr>
                <w:rFonts w:eastAsia="Arial Unicode MS"/>
              </w:rPr>
            </w:pPr>
          </w:p>
        </w:tc>
        <w:tc>
          <w:tcPr>
            <w:tcW w:w="659" w:type="pct"/>
            <w:noWrap/>
            <w:vAlign w:val="bottom"/>
          </w:tcPr>
          <w:p w:rsidR="00000000" w:rsidRDefault="00000000">
            <w:pPr>
              <w:widowControl w:val="0"/>
              <w:tabs>
                <w:tab w:val="decimal" w:pos="680"/>
              </w:tabs>
              <w:jc w:val="both"/>
              <w:rPr>
                <w:rFonts w:eastAsia="Arial Unicode MS"/>
              </w:rPr>
            </w:pPr>
          </w:p>
        </w:tc>
        <w:tc>
          <w:tcPr>
            <w:tcW w:w="659" w:type="pct"/>
            <w:noWrap/>
            <w:vAlign w:val="bottom"/>
          </w:tcPr>
          <w:p w:rsidR="00000000" w:rsidRDefault="00000000">
            <w:pPr>
              <w:widowControl w:val="0"/>
              <w:tabs>
                <w:tab w:val="decimal" w:pos="680"/>
              </w:tabs>
              <w:jc w:val="both"/>
              <w:rPr>
                <w:rFonts w:eastAsia="Arial Unicode MS"/>
              </w:rPr>
            </w:pPr>
          </w:p>
        </w:tc>
      </w:tr>
      <w:tr w:rsidR="00000000">
        <w:trPr>
          <w:cantSplit/>
          <w:trHeight w:val="20"/>
          <w:jc w:val="center"/>
        </w:trPr>
        <w:tc>
          <w:tcPr>
            <w:tcW w:w="3023" w:type="pct"/>
            <w:noWrap/>
            <w:vAlign w:val="bottom"/>
          </w:tcPr>
          <w:p w:rsidR="00000000" w:rsidRDefault="00000000">
            <w:pPr>
              <w:widowControl w:val="0"/>
              <w:ind w:left="284"/>
              <w:rPr>
                <w:rFonts w:eastAsia="Arial Unicode MS"/>
              </w:rPr>
            </w:pPr>
            <w:r>
              <w:t>Gastos de personal</w:t>
            </w:r>
          </w:p>
        </w:tc>
        <w:tc>
          <w:tcPr>
            <w:tcW w:w="659" w:type="pct"/>
            <w:noWrap/>
            <w:vAlign w:val="bottom"/>
          </w:tcPr>
          <w:p w:rsidR="00000000" w:rsidRDefault="00000000">
            <w:pPr>
              <w:widowControl w:val="0"/>
              <w:tabs>
                <w:tab w:val="decimal" w:pos="680"/>
              </w:tabs>
              <w:jc w:val="both"/>
              <w:rPr>
                <w:rFonts w:eastAsia="Arial Unicode MS"/>
              </w:rPr>
            </w:pPr>
            <w:r>
              <w:t>95,9</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95,9</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86,2</w:t>
            </w:r>
          </w:p>
        </w:tc>
      </w:tr>
      <w:tr w:rsidR="00000000">
        <w:trPr>
          <w:cantSplit/>
          <w:trHeight w:val="20"/>
          <w:jc w:val="center"/>
        </w:trPr>
        <w:tc>
          <w:tcPr>
            <w:tcW w:w="3023" w:type="pct"/>
            <w:noWrap/>
            <w:vAlign w:val="bottom"/>
          </w:tcPr>
          <w:p w:rsidR="00000000" w:rsidRDefault="00000000">
            <w:pPr>
              <w:widowControl w:val="0"/>
              <w:ind w:left="284"/>
              <w:rPr>
                <w:rFonts w:eastAsia="Arial Unicode MS"/>
              </w:rPr>
            </w:pPr>
            <w:r>
              <w:t>Adquisición de bienes y servicios</w:t>
            </w:r>
          </w:p>
        </w:tc>
        <w:tc>
          <w:tcPr>
            <w:tcW w:w="659" w:type="pct"/>
            <w:noWrap/>
            <w:vAlign w:val="bottom"/>
          </w:tcPr>
          <w:p w:rsidR="00000000" w:rsidRDefault="00000000">
            <w:pPr>
              <w:widowControl w:val="0"/>
              <w:tabs>
                <w:tab w:val="decimal" w:pos="680"/>
              </w:tabs>
              <w:jc w:val="both"/>
              <w:rPr>
                <w:rFonts w:eastAsia="Arial Unicode MS"/>
              </w:rPr>
            </w:pPr>
            <w:r>
              <w:t>4,0</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4,0</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13,7</w:t>
            </w:r>
          </w:p>
        </w:tc>
      </w:tr>
      <w:tr w:rsidR="00000000">
        <w:trPr>
          <w:cantSplit/>
          <w:trHeight w:val="20"/>
          <w:jc w:val="center"/>
        </w:trPr>
        <w:tc>
          <w:tcPr>
            <w:tcW w:w="3023" w:type="pct"/>
            <w:noWrap/>
            <w:vAlign w:val="bottom"/>
          </w:tcPr>
          <w:p w:rsidR="00000000" w:rsidRDefault="00000000">
            <w:pPr>
              <w:widowControl w:val="0"/>
              <w:ind w:left="284"/>
              <w:rPr>
                <w:rFonts w:eastAsia="Arial Unicode MS"/>
              </w:rPr>
            </w:pPr>
            <w:r>
              <w:t>Gastos de transferencia y subvenciones</w:t>
            </w:r>
          </w:p>
        </w:tc>
        <w:tc>
          <w:tcPr>
            <w:tcW w:w="659" w:type="pct"/>
            <w:noWrap/>
            <w:vAlign w:val="bottom"/>
          </w:tcPr>
          <w:p w:rsidR="00000000" w:rsidRDefault="00000000">
            <w:pPr>
              <w:widowControl w:val="0"/>
              <w:tabs>
                <w:tab w:val="decimal" w:pos="680"/>
              </w:tabs>
              <w:jc w:val="both"/>
              <w:rPr>
                <w:rFonts w:eastAsia="Arial Unicode MS"/>
              </w:rPr>
            </w:pPr>
            <w:r>
              <w:t>0,1</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0,1</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0,0</w:t>
            </w:r>
          </w:p>
        </w:tc>
      </w:tr>
      <w:tr w:rsidR="00000000">
        <w:trPr>
          <w:cantSplit/>
          <w:trHeight w:val="20"/>
          <w:jc w:val="center"/>
        </w:trPr>
        <w:tc>
          <w:tcPr>
            <w:tcW w:w="3023" w:type="pct"/>
            <w:noWrap/>
            <w:vAlign w:val="bottom"/>
          </w:tcPr>
          <w:p w:rsidR="00000000" w:rsidRDefault="00000000">
            <w:pPr>
              <w:widowControl w:val="0"/>
              <w:tabs>
                <w:tab w:val="left" w:pos="326"/>
              </w:tabs>
              <w:ind w:left="567"/>
              <w:rPr>
                <w:rFonts w:eastAsia="Arial Unicode MS"/>
                <w:b/>
              </w:rPr>
            </w:pPr>
            <w:r>
              <w:rPr>
                <w:b/>
              </w:rPr>
              <w:t>Total</w:t>
            </w:r>
          </w:p>
        </w:tc>
        <w:tc>
          <w:tcPr>
            <w:tcW w:w="659" w:type="pct"/>
            <w:noWrap/>
            <w:vAlign w:val="bottom"/>
          </w:tcPr>
          <w:p w:rsidR="00000000" w:rsidRDefault="00000000">
            <w:pPr>
              <w:widowControl w:val="0"/>
              <w:tabs>
                <w:tab w:val="decimal" w:pos="680"/>
              </w:tabs>
              <w:jc w:val="both"/>
              <w:rPr>
                <w:rFonts w:eastAsia="Arial Unicode MS"/>
                <w:b/>
              </w:rPr>
            </w:pPr>
            <w:r>
              <w:rPr>
                <w:b/>
              </w:rPr>
              <w:t>100</w:t>
            </w:r>
          </w:p>
        </w:tc>
        <w:tc>
          <w:tcPr>
            <w:tcW w:w="659" w:type="pct"/>
            <w:noWrap/>
            <w:vAlign w:val="bottom"/>
          </w:tcPr>
          <w:p w:rsidR="00000000" w:rsidRDefault="00000000">
            <w:pPr>
              <w:widowControl w:val="0"/>
              <w:tabs>
                <w:tab w:val="decimal" w:pos="680"/>
              </w:tabs>
              <w:jc w:val="both"/>
              <w:rPr>
                <w:rFonts w:eastAsia="Arial Unicode MS"/>
                <w:b/>
              </w:rPr>
            </w:pPr>
            <w:r>
              <w:rPr>
                <w:rFonts w:eastAsia="Arial Unicode MS"/>
                <w:b/>
              </w:rPr>
              <w:t>100</w:t>
            </w:r>
          </w:p>
        </w:tc>
        <w:tc>
          <w:tcPr>
            <w:tcW w:w="659" w:type="pct"/>
            <w:noWrap/>
            <w:vAlign w:val="bottom"/>
          </w:tcPr>
          <w:p w:rsidR="00000000" w:rsidRDefault="00000000">
            <w:pPr>
              <w:widowControl w:val="0"/>
              <w:tabs>
                <w:tab w:val="decimal" w:pos="680"/>
              </w:tabs>
              <w:jc w:val="both"/>
              <w:rPr>
                <w:rFonts w:eastAsia="Arial Unicode MS"/>
                <w:b/>
              </w:rPr>
            </w:pPr>
            <w:r>
              <w:rPr>
                <w:rFonts w:eastAsia="Arial Unicode MS"/>
                <w:b/>
              </w:rPr>
              <w:t>100</w:t>
            </w:r>
          </w:p>
        </w:tc>
      </w:tr>
      <w:tr w:rsidR="00000000">
        <w:trPr>
          <w:cantSplit/>
          <w:trHeight w:val="20"/>
          <w:jc w:val="center"/>
        </w:trPr>
        <w:tc>
          <w:tcPr>
            <w:tcW w:w="3023" w:type="pct"/>
            <w:noWrap/>
            <w:vAlign w:val="bottom"/>
          </w:tcPr>
          <w:p w:rsidR="00000000" w:rsidRDefault="00000000">
            <w:pPr>
              <w:widowControl w:val="0"/>
              <w:rPr>
                <w:rFonts w:eastAsia="Arial Unicode MS"/>
                <w:b/>
              </w:rPr>
            </w:pPr>
            <w:r>
              <w:rPr>
                <w:b/>
              </w:rPr>
              <w:t>Enseñanza secundaria</w:t>
            </w:r>
          </w:p>
        </w:tc>
        <w:tc>
          <w:tcPr>
            <w:tcW w:w="659" w:type="pct"/>
            <w:noWrap/>
            <w:vAlign w:val="bottom"/>
          </w:tcPr>
          <w:p w:rsidR="00000000" w:rsidRDefault="00000000">
            <w:pPr>
              <w:widowControl w:val="0"/>
              <w:tabs>
                <w:tab w:val="decimal" w:pos="680"/>
              </w:tabs>
              <w:jc w:val="right"/>
              <w:rPr>
                <w:rFonts w:eastAsia="Arial Unicode MS"/>
                <w:b/>
              </w:rPr>
            </w:pPr>
          </w:p>
        </w:tc>
        <w:tc>
          <w:tcPr>
            <w:tcW w:w="659" w:type="pct"/>
            <w:noWrap/>
            <w:vAlign w:val="bottom"/>
          </w:tcPr>
          <w:p w:rsidR="00000000" w:rsidRDefault="00000000">
            <w:pPr>
              <w:widowControl w:val="0"/>
              <w:tabs>
                <w:tab w:val="decimal" w:pos="680"/>
              </w:tabs>
              <w:jc w:val="both"/>
              <w:rPr>
                <w:rFonts w:eastAsia="Arial Unicode MS"/>
              </w:rPr>
            </w:pPr>
          </w:p>
        </w:tc>
        <w:tc>
          <w:tcPr>
            <w:tcW w:w="659" w:type="pct"/>
            <w:noWrap/>
            <w:vAlign w:val="bottom"/>
          </w:tcPr>
          <w:p w:rsidR="00000000" w:rsidRDefault="00000000">
            <w:pPr>
              <w:widowControl w:val="0"/>
              <w:tabs>
                <w:tab w:val="decimal" w:pos="680"/>
              </w:tabs>
              <w:jc w:val="both"/>
              <w:rPr>
                <w:rFonts w:eastAsia="Arial Unicode MS"/>
              </w:rPr>
            </w:pPr>
          </w:p>
        </w:tc>
      </w:tr>
      <w:tr w:rsidR="00000000">
        <w:trPr>
          <w:cantSplit/>
          <w:trHeight w:val="20"/>
          <w:jc w:val="center"/>
        </w:trPr>
        <w:tc>
          <w:tcPr>
            <w:tcW w:w="3023" w:type="pct"/>
            <w:noWrap/>
            <w:vAlign w:val="bottom"/>
          </w:tcPr>
          <w:p w:rsidR="00000000" w:rsidRDefault="00000000">
            <w:pPr>
              <w:widowControl w:val="0"/>
              <w:ind w:left="284"/>
              <w:rPr>
                <w:rFonts w:eastAsia="Arial Unicode MS"/>
              </w:rPr>
            </w:pPr>
            <w:r>
              <w:t>Gastos de personal</w:t>
            </w:r>
          </w:p>
        </w:tc>
        <w:tc>
          <w:tcPr>
            <w:tcW w:w="659" w:type="pct"/>
            <w:noWrap/>
            <w:vAlign w:val="bottom"/>
          </w:tcPr>
          <w:p w:rsidR="00000000" w:rsidRDefault="00000000">
            <w:pPr>
              <w:widowControl w:val="0"/>
              <w:tabs>
                <w:tab w:val="decimal" w:pos="680"/>
              </w:tabs>
              <w:jc w:val="both"/>
              <w:rPr>
                <w:rFonts w:eastAsia="Arial Unicode MS"/>
              </w:rPr>
            </w:pPr>
            <w:r>
              <w:t>92,0</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91,0</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59,0</w:t>
            </w:r>
          </w:p>
        </w:tc>
      </w:tr>
      <w:tr w:rsidR="00000000">
        <w:trPr>
          <w:cantSplit/>
          <w:trHeight w:val="20"/>
          <w:jc w:val="center"/>
        </w:trPr>
        <w:tc>
          <w:tcPr>
            <w:tcW w:w="3023" w:type="pct"/>
            <w:noWrap/>
            <w:vAlign w:val="bottom"/>
          </w:tcPr>
          <w:p w:rsidR="00000000" w:rsidRDefault="00000000">
            <w:pPr>
              <w:widowControl w:val="0"/>
              <w:ind w:left="284"/>
              <w:rPr>
                <w:rFonts w:eastAsia="Arial Unicode MS"/>
              </w:rPr>
            </w:pPr>
            <w:r>
              <w:t>Adquisición de bienes y servicios</w:t>
            </w:r>
          </w:p>
        </w:tc>
        <w:tc>
          <w:tcPr>
            <w:tcW w:w="659" w:type="pct"/>
            <w:noWrap/>
            <w:vAlign w:val="bottom"/>
          </w:tcPr>
          <w:p w:rsidR="00000000" w:rsidRDefault="00000000">
            <w:pPr>
              <w:widowControl w:val="0"/>
              <w:tabs>
                <w:tab w:val="decimal" w:pos="680"/>
              </w:tabs>
              <w:jc w:val="both"/>
              <w:rPr>
                <w:rFonts w:eastAsia="Arial Unicode MS"/>
              </w:rPr>
            </w:pPr>
            <w:r>
              <w:t>8,0</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9,0</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6,0</w:t>
            </w:r>
          </w:p>
        </w:tc>
      </w:tr>
      <w:tr w:rsidR="00000000">
        <w:trPr>
          <w:cantSplit/>
          <w:trHeight w:val="20"/>
          <w:jc w:val="center"/>
        </w:trPr>
        <w:tc>
          <w:tcPr>
            <w:tcW w:w="3023" w:type="pct"/>
            <w:noWrap/>
            <w:vAlign w:val="bottom"/>
          </w:tcPr>
          <w:p w:rsidR="00000000" w:rsidRDefault="00000000">
            <w:pPr>
              <w:widowControl w:val="0"/>
              <w:ind w:left="284"/>
              <w:rPr>
                <w:rFonts w:eastAsia="Arial Unicode MS"/>
              </w:rPr>
            </w:pPr>
            <w:r>
              <w:t>Gastos de transferencia y subvenciones</w:t>
            </w:r>
          </w:p>
        </w:tc>
        <w:tc>
          <w:tcPr>
            <w:tcW w:w="659" w:type="pct"/>
            <w:noWrap/>
            <w:vAlign w:val="bottom"/>
          </w:tcPr>
          <w:p w:rsidR="00000000" w:rsidRDefault="00000000">
            <w:pPr>
              <w:widowControl w:val="0"/>
              <w:tabs>
                <w:tab w:val="decimal" w:pos="680"/>
              </w:tabs>
              <w:jc w:val="both"/>
              <w:rPr>
                <w:rFonts w:eastAsia="Arial Unicode MS"/>
              </w:rPr>
            </w:pPr>
            <w:r>
              <w:t>0,0</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0,0</w:t>
            </w:r>
          </w:p>
        </w:tc>
        <w:tc>
          <w:tcPr>
            <w:tcW w:w="659" w:type="pct"/>
            <w:noWrap/>
            <w:vAlign w:val="bottom"/>
          </w:tcPr>
          <w:p w:rsidR="00000000" w:rsidRDefault="00000000">
            <w:pPr>
              <w:widowControl w:val="0"/>
              <w:tabs>
                <w:tab w:val="decimal" w:pos="680"/>
              </w:tabs>
              <w:jc w:val="both"/>
              <w:rPr>
                <w:rFonts w:eastAsia="Arial Unicode MS"/>
              </w:rPr>
            </w:pPr>
            <w:r>
              <w:rPr>
                <w:rFonts w:eastAsia="Arial Unicode MS"/>
              </w:rPr>
              <w:t>35,0</w:t>
            </w:r>
          </w:p>
        </w:tc>
      </w:tr>
      <w:tr w:rsidR="00000000">
        <w:trPr>
          <w:cantSplit/>
          <w:trHeight w:val="20"/>
          <w:jc w:val="center"/>
        </w:trPr>
        <w:tc>
          <w:tcPr>
            <w:tcW w:w="3023" w:type="pct"/>
            <w:noWrap/>
            <w:vAlign w:val="bottom"/>
          </w:tcPr>
          <w:p w:rsidR="00000000" w:rsidRDefault="00000000">
            <w:pPr>
              <w:widowControl w:val="0"/>
              <w:tabs>
                <w:tab w:val="left" w:pos="326"/>
              </w:tabs>
              <w:ind w:left="567"/>
              <w:rPr>
                <w:rFonts w:eastAsia="Arial Unicode MS"/>
                <w:b/>
              </w:rPr>
            </w:pPr>
            <w:r>
              <w:rPr>
                <w:b/>
              </w:rPr>
              <w:t>Total</w:t>
            </w:r>
          </w:p>
        </w:tc>
        <w:tc>
          <w:tcPr>
            <w:tcW w:w="659" w:type="pct"/>
            <w:noWrap/>
            <w:vAlign w:val="bottom"/>
          </w:tcPr>
          <w:p w:rsidR="00000000" w:rsidRDefault="00000000">
            <w:pPr>
              <w:widowControl w:val="0"/>
              <w:tabs>
                <w:tab w:val="decimal" w:pos="680"/>
              </w:tabs>
              <w:jc w:val="both"/>
              <w:rPr>
                <w:rFonts w:eastAsia="Arial Unicode MS"/>
                <w:b/>
              </w:rPr>
            </w:pPr>
            <w:r>
              <w:rPr>
                <w:rFonts w:eastAsia="Arial Unicode MS"/>
                <w:b/>
              </w:rPr>
              <w:t>100</w:t>
            </w:r>
          </w:p>
        </w:tc>
        <w:tc>
          <w:tcPr>
            <w:tcW w:w="659" w:type="pct"/>
            <w:noWrap/>
            <w:vAlign w:val="bottom"/>
          </w:tcPr>
          <w:p w:rsidR="00000000" w:rsidRDefault="00000000">
            <w:pPr>
              <w:widowControl w:val="0"/>
              <w:tabs>
                <w:tab w:val="decimal" w:pos="680"/>
              </w:tabs>
              <w:jc w:val="both"/>
              <w:rPr>
                <w:rFonts w:eastAsia="Arial Unicode MS"/>
                <w:b/>
              </w:rPr>
            </w:pPr>
            <w:r>
              <w:rPr>
                <w:rFonts w:eastAsia="Arial Unicode MS"/>
                <w:b/>
              </w:rPr>
              <w:t>100</w:t>
            </w:r>
          </w:p>
        </w:tc>
        <w:tc>
          <w:tcPr>
            <w:tcW w:w="659" w:type="pct"/>
            <w:noWrap/>
            <w:vAlign w:val="bottom"/>
          </w:tcPr>
          <w:p w:rsidR="00000000" w:rsidRDefault="00000000">
            <w:pPr>
              <w:widowControl w:val="0"/>
              <w:tabs>
                <w:tab w:val="decimal" w:pos="680"/>
              </w:tabs>
              <w:jc w:val="both"/>
              <w:rPr>
                <w:rFonts w:eastAsia="Arial Unicode MS"/>
                <w:b/>
              </w:rPr>
            </w:pPr>
            <w:r>
              <w:rPr>
                <w:rFonts w:eastAsia="Arial Unicode MS"/>
                <w:b/>
              </w:rPr>
              <w:t>100</w:t>
            </w:r>
          </w:p>
        </w:tc>
      </w:tr>
    </w:tbl>
    <w:p w:rsidR="00000000" w:rsidRDefault="00000000">
      <w:pPr>
        <w:spacing w:before="240" w:after="480"/>
        <w:rPr>
          <w:b/>
          <w:bCs/>
        </w:rPr>
      </w:pPr>
      <w:r>
        <w:rPr>
          <w:i/>
          <w:iCs/>
        </w:rPr>
        <w:t>Fuente</w:t>
      </w:r>
      <w:r>
        <w:t>:</w:t>
      </w:r>
      <w:r>
        <w:rPr>
          <w:b/>
          <w:bCs/>
        </w:rPr>
        <w:t xml:space="preserve">  </w:t>
      </w:r>
      <w:r>
        <w:t xml:space="preserve">CREA (2003) y estadísticas de la </w:t>
      </w:r>
      <w:proofErr w:type="spellStart"/>
      <w:r>
        <w:t>DPRE</w:t>
      </w:r>
      <w:proofErr w:type="spellEnd"/>
      <w:r>
        <w:t xml:space="preserve"> (2003).</w:t>
      </w:r>
    </w:p>
    <w:p w:rsidR="00000000" w:rsidRDefault="00000000">
      <w:pPr>
        <w:spacing w:after="240"/>
      </w:pPr>
      <w:r>
        <w:t>78.</w:t>
      </w:r>
      <w:r>
        <w:tab/>
        <w:t>En todos los subsectores, los gastos de personal absorben casi la totalidad de los fondos atribuidos a los gastos de funcionamiento.</w:t>
      </w:r>
    </w:p>
    <w:p w:rsidR="00000000" w:rsidRDefault="00000000">
      <w:pPr>
        <w:spacing w:after="240"/>
        <w:jc w:val="center"/>
        <w:rPr>
          <w:b/>
          <w:bCs/>
        </w:rPr>
      </w:pPr>
      <w:r>
        <w:rPr>
          <w:b/>
          <w:bCs/>
        </w:rPr>
        <w:t>Evolución de los gastos públicos de inversión por nivel</w:t>
      </w:r>
    </w:p>
    <w:p w:rsidR="00000000" w:rsidRDefault="00000000">
      <w:pPr>
        <w:spacing w:after="240"/>
        <w:jc w:val="center"/>
      </w:pPr>
      <w:r>
        <w:t>(En millones de francos CFA)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2"/>
        <w:gridCol w:w="1159"/>
        <w:gridCol w:w="1158"/>
        <w:gridCol w:w="1158"/>
        <w:gridCol w:w="1158"/>
      </w:tblGrid>
      <w:tr w:rsidR="00000000">
        <w:tblPrEx>
          <w:tblCellMar>
            <w:top w:w="0" w:type="dxa"/>
            <w:bottom w:w="0" w:type="dxa"/>
          </w:tblCellMar>
        </w:tblPrEx>
        <w:trPr>
          <w:tblHeader/>
        </w:trPr>
        <w:tc>
          <w:tcPr>
            <w:tcW w:w="2560" w:type="pct"/>
          </w:tcPr>
          <w:p w:rsidR="00000000" w:rsidRDefault="00000000">
            <w:pPr>
              <w:rPr>
                <w:b/>
                <w:bCs/>
              </w:rPr>
            </w:pPr>
          </w:p>
        </w:tc>
        <w:tc>
          <w:tcPr>
            <w:tcW w:w="610" w:type="pct"/>
            <w:vAlign w:val="center"/>
          </w:tcPr>
          <w:p w:rsidR="00000000" w:rsidRDefault="00000000">
            <w:pPr>
              <w:jc w:val="center"/>
              <w:rPr>
                <w:b/>
                <w:bCs/>
              </w:rPr>
            </w:pPr>
            <w:r>
              <w:rPr>
                <w:b/>
                <w:bCs/>
              </w:rPr>
              <w:t>2000</w:t>
            </w:r>
          </w:p>
        </w:tc>
        <w:tc>
          <w:tcPr>
            <w:tcW w:w="610" w:type="pct"/>
            <w:vAlign w:val="center"/>
          </w:tcPr>
          <w:p w:rsidR="00000000" w:rsidRDefault="00000000">
            <w:pPr>
              <w:jc w:val="center"/>
              <w:rPr>
                <w:b/>
                <w:bCs/>
              </w:rPr>
            </w:pPr>
            <w:r>
              <w:rPr>
                <w:b/>
                <w:bCs/>
              </w:rPr>
              <w:t>2001</w:t>
            </w:r>
          </w:p>
        </w:tc>
        <w:tc>
          <w:tcPr>
            <w:tcW w:w="610" w:type="pct"/>
            <w:vAlign w:val="center"/>
          </w:tcPr>
          <w:p w:rsidR="00000000" w:rsidRDefault="00000000">
            <w:pPr>
              <w:jc w:val="center"/>
              <w:rPr>
                <w:b/>
                <w:bCs/>
              </w:rPr>
            </w:pPr>
            <w:r>
              <w:rPr>
                <w:b/>
                <w:bCs/>
              </w:rPr>
              <w:t>2002</w:t>
            </w:r>
          </w:p>
        </w:tc>
        <w:tc>
          <w:tcPr>
            <w:tcW w:w="610" w:type="pct"/>
            <w:vAlign w:val="center"/>
          </w:tcPr>
          <w:p w:rsidR="00000000" w:rsidRDefault="00000000">
            <w:pPr>
              <w:jc w:val="center"/>
              <w:rPr>
                <w:b/>
                <w:bCs/>
              </w:rPr>
            </w:pPr>
            <w:r>
              <w:rPr>
                <w:b/>
                <w:bCs/>
              </w:rPr>
              <w:t>2003</w:t>
            </w:r>
          </w:p>
        </w:tc>
      </w:tr>
      <w:tr w:rsidR="00000000">
        <w:tblPrEx>
          <w:tblCellMar>
            <w:top w:w="0" w:type="dxa"/>
            <w:bottom w:w="0" w:type="dxa"/>
          </w:tblCellMar>
        </w:tblPrEx>
        <w:tc>
          <w:tcPr>
            <w:tcW w:w="2560" w:type="pct"/>
          </w:tcPr>
          <w:p w:rsidR="00000000" w:rsidRDefault="00000000">
            <w:r>
              <w:t>Preescolar</w:t>
            </w:r>
          </w:p>
        </w:tc>
        <w:tc>
          <w:tcPr>
            <w:tcW w:w="610" w:type="pct"/>
            <w:vAlign w:val="center"/>
          </w:tcPr>
          <w:p w:rsidR="00000000" w:rsidRDefault="00000000">
            <w:pPr>
              <w:tabs>
                <w:tab w:val="decimal" w:pos="778"/>
              </w:tabs>
              <w:jc w:val="center"/>
            </w:pPr>
            <w:r>
              <w:t>35</w:t>
            </w:r>
          </w:p>
        </w:tc>
        <w:tc>
          <w:tcPr>
            <w:tcW w:w="610" w:type="pct"/>
          </w:tcPr>
          <w:p w:rsidR="00000000" w:rsidRDefault="00000000">
            <w:pPr>
              <w:tabs>
                <w:tab w:val="decimal" w:pos="339"/>
              </w:tabs>
              <w:jc w:val="center"/>
            </w:pPr>
            <w:r>
              <w:t>-</w:t>
            </w:r>
          </w:p>
        </w:tc>
        <w:tc>
          <w:tcPr>
            <w:tcW w:w="610" w:type="pct"/>
          </w:tcPr>
          <w:p w:rsidR="00000000" w:rsidRDefault="00000000">
            <w:pPr>
              <w:tabs>
                <w:tab w:val="decimal" w:pos="778"/>
              </w:tabs>
            </w:pPr>
            <w:r>
              <w:t>1.000</w:t>
            </w:r>
          </w:p>
        </w:tc>
        <w:tc>
          <w:tcPr>
            <w:tcW w:w="610" w:type="pct"/>
          </w:tcPr>
          <w:p w:rsidR="00000000" w:rsidRDefault="00000000">
            <w:pPr>
              <w:tabs>
                <w:tab w:val="decimal" w:pos="339"/>
              </w:tabs>
              <w:jc w:val="center"/>
            </w:pPr>
            <w:r>
              <w:t>-</w:t>
            </w:r>
          </w:p>
        </w:tc>
      </w:tr>
      <w:tr w:rsidR="00000000">
        <w:tblPrEx>
          <w:tblCellMar>
            <w:top w:w="0" w:type="dxa"/>
            <w:bottom w:w="0" w:type="dxa"/>
          </w:tblCellMar>
        </w:tblPrEx>
        <w:tc>
          <w:tcPr>
            <w:tcW w:w="2560" w:type="pct"/>
          </w:tcPr>
          <w:p w:rsidR="00000000" w:rsidRDefault="00000000">
            <w:pPr>
              <w:ind w:left="284"/>
            </w:pPr>
            <w:r>
              <w:t>En porcentaje del total</w:t>
            </w:r>
          </w:p>
        </w:tc>
        <w:tc>
          <w:tcPr>
            <w:tcW w:w="610" w:type="pct"/>
          </w:tcPr>
          <w:p w:rsidR="00000000" w:rsidRDefault="00000000">
            <w:pPr>
              <w:tabs>
                <w:tab w:val="decimal" w:pos="778"/>
              </w:tabs>
            </w:pPr>
            <w:r>
              <w:t>0,7</w:t>
            </w:r>
          </w:p>
        </w:tc>
        <w:tc>
          <w:tcPr>
            <w:tcW w:w="610" w:type="pct"/>
          </w:tcPr>
          <w:p w:rsidR="00000000" w:rsidRDefault="00000000">
            <w:pPr>
              <w:tabs>
                <w:tab w:val="decimal" w:pos="576"/>
                <w:tab w:val="decimal" w:pos="778"/>
              </w:tabs>
            </w:pPr>
          </w:p>
        </w:tc>
        <w:tc>
          <w:tcPr>
            <w:tcW w:w="610" w:type="pct"/>
          </w:tcPr>
          <w:p w:rsidR="00000000" w:rsidRDefault="00000000">
            <w:pPr>
              <w:tabs>
                <w:tab w:val="decimal" w:pos="778"/>
              </w:tabs>
            </w:pPr>
            <w:r>
              <w:t>9,7</w:t>
            </w:r>
          </w:p>
        </w:tc>
        <w:tc>
          <w:tcPr>
            <w:tcW w:w="610" w:type="pct"/>
          </w:tcPr>
          <w:p w:rsidR="00000000" w:rsidRDefault="00000000">
            <w:pPr>
              <w:tabs>
                <w:tab w:val="decimal" w:pos="778"/>
              </w:tabs>
            </w:pPr>
            <w:r>
              <w:t>0,0</w:t>
            </w:r>
          </w:p>
        </w:tc>
      </w:tr>
      <w:tr w:rsidR="00000000">
        <w:tblPrEx>
          <w:tblCellMar>
            <w:top w:w="0" w:type="dxa"/>
            <w:bottom w:w="0" w:type="dxa"/>
          </w:tblCellMar>
        </w:tblPrEx>
        <w:tc>
          <w:tcPr>
            <w:tcW w:w="2560" w:type="pct"/>
          </w:tcPr>
          <w:p w:rsidR="00000000" w:rsidRDefault="00000000">
            <w:r>
              <w:t>Alfabetización y escuelas comunitarias básicas</w:t>
            </w:r>
          </w:p>
        </w:tc>
        <w:tc>
          <w:tcPr>
            <w:tcW w:w="610" w:type="pct"/>
          </w:tcPr>
          <w:p w:rsidR="00000000" w:rsidRDefault="00000000">
            <w:pPr>
              <w:tabs>
                <w:tab w:val="decimal" w:pos="778"/>
              </w:tabs>
            </w:pPr>
            <w:r>
              <w:t>-</w:t>
            </w:r>
          </w:p>
        </w:tc>
        <w:tc>
          <w:tcPr>
            <w:tcW w:w="610" w:type="pct"/>
          </w:tcPr>
          <w:p w:rsidR="00000000" w:rsidRDefault="00000000">
            <w:pPr>
              <w:tabs>
                <w:tab w:val="decimal" w:pos="778"/>
              </w:tabs>
            </w:pPr>
            <w:r>
              <w:t>40</w:t>
            </w:r>
          </w:p>
        </w:tc>
        <w:tc>
          <w:tcPr>
            <w:tcW w:w="610" w:type="pct"/>
          </w:tcPr>
          <w:p w:rsidR="00000000" w:rsidRDefault="00000000">
            <w:pPr>
              <w:tabs>
                <w:tab w:val="decimal" w:pos="778"/>
              </w:tabs>
            </w:pPr>
            <w:r>
              <w:t>25</w:t>
            </w:r>
          </w:p>
        </w:tc>
        <w:tc>
          <w:tcPr>
            <w:tcW w:w="610" w:type="pct"/>
          </w:tcPr>
          <w:p w:rsidR="00000000" w:rsidRDefault="00000000">
            <w:pPr>
              <w:tabs>
                <w:tab w:val="decimal" w:pos="778"/>
              </w:tabs>
            </w:pPr>
            <w:r>
              <w:t>-</w:t>
            </w:r>
          </w:p>
        </w:tc>
      </w:tr>
      <w:tr w:rsidR="00000000">
        <w:tblPrEx>
          <w:tblCellMar>
            <w:top w:w="0" w:type="dxa"/>
            <w:bottom w:w="0" w:type="dxa"/>
          </w:tblCellMar>
        </w:tblPrEx>
        <w:tc>
          <w:tcPr>
            <w:tcW w:w="2560" w:type="pct"/>
          </w:tcPr>
          <w:p w:rsidR="00000000" w:rsidRDefault="00000000">
            <w:pPr>
              <w:ind w:left="284"/>
            </w:pPr>
            <w:r>
              <w:t>En porcentaje del total</w:t>
            </w:r>
          </w:p>
        </w:tc>
        <w:tc>
          <w:tcPr>
            <w:tcW w:w="610" w:type="pct"/>
          </w:tcPr>
          <w:p w:rsidR="00000000" w:rsidRDefault="00000000">
            <w:pPr>
              <w:tabs>
                <w:tab w:val="decimal" w:pos="778"/>
              </w:tabs>
            </w:pPr>
            <w:r>
              <w:t>-</w:t>
            </w:r>
          </w:p>
        </w:tc>
        <w:tc>
          <w:tcPr>
            <w:tcW w:w="610" w:type="pct"/>
          </w:tcPr>
          <w:p w:rsidR="00000000" w:rsidRDefault="00000000">
            <w:pPr>
              <w:tabs>
                <w:tab w:val="decimal" w:pos="778"/>
              </w:tabs>
            </w:pPr>
            <w:r>
              <w:t>0,4</w:t>
            </w:r>
          </w:p>
        </w:tc>
        <w:tc>
          <w:tcPr>
            <w:tcW w:w="610" w:type="pct"/>
          </w:tcPr>
          <w:p w:rsidR="00000000" w:rsidRDefault="00000000">
            <w:pPr>
              <w:tabs>
                <w:tab w:val="decimal" w:pos="778"/>
              </w:tabs>
            </w:pPr>
            <w:r>
              <w:t>0,2</w:t>
            </w:r>
          </w:p>
        </w:tc>
        <w:tc>
          <w:tcPr>
            <w:tcW w:w="610" w:type="pct"/>
          </w:tcPr>
          <w:p w:rsidR="00000000" w:rsidRDefault="00000000">
            <w:pPr>
              <w:tabs>
                <w:tab w:val="decimal" w:pos="778"/>
              </w:tabs>
            </w:pPr>
            <w:r>
              <w:t>0,0</w:t>
            </w:r>
          </w:p>
        </w:tc>
      </w:tr>
      <w:tr w:rsidR="00000000">
        <w:tblPrEx>
          <w:tblCellMar>
            <w:top w:w="0" w:type="dxa"/>
            <w:bottom w:w="0" w:type="dxa"/>
          </w:tblCellMar>
        </w:tblPrEx>
        <w:tc>
          <w:tcPr>
            <w:tcW w:w="2560" w:type="pct"/>
          </w:tcPr>
          <w:p w:rsidR="00000000" w:rsidRDefault="00000000">
            <w:pPr>
              <w:keepNext/>
            </w:pPr>
            <w:r>
              <w:t>Primaria</w:t>
            </w:r>
          </w:p>
        </w:tc>
        <w:tc>
          <w:tcPr>
            <w:tcW w:w="610" w:type="pct"/>
          </w:tcPr>
          <w:p w:rsidR="00000000" w:rsidRDefault="00000000">
            <w:pPr>
              <w:keepNext/>
              <w:tabs>
                <w:tab w:val="decimal" w:pos="778"/>
              </w:tabs>
            </w:pPr>
            <w:r>
              <w:t>4.660</w:t>
            </w:r>
          </w:p>
        </w:tc>
        <w:tc>
          <w:tcPr>
            <w:tcW w:w="610" w:type="pct"/>
          </w:tcPr>
          <w:p w:rsidR="00000000" w:rsidRDefault="00000000">
            <w:pPr>
              <w:keepNext/>
              <w:tabs>
                <w:tab w:val="decimal" w:pos="778"/>
              </w:tabs>
            </w:pPr>
            <w:r>
              <w:t>5.287</w:t>
            </w:r>
          </w:p>
        </w:tc>
        <w:tc>
          <w:tcPr>
            <w:tcW w:w="610" w:type="pct"/>
          </w:tcPr>
          <w:p w:rsidR="00000000" w:rsidRDefault="00000000">
            <w:pPr>
              <w:keepNext/>
              <w:tabs>
                <w:tab w:val="decimal" w:pos="778"/>
              </w:tabs>
            </w:pPr>
            <w:r>
              <w:t>4.351</w:t>
            </w:r>
          </w:p>
        </w:tc>
        <w:tc>
          <w:tcPr>
            <w:tcW w:w="610" w:type="pct"/>
          </w:tcPr>
          <w:p w:rsidR="00000000" w:rsidRDefault="00000000">
            <w:pPr>
              <w:keepNext/>
              <w:tabs>
                <w:tab w:val="decimal" w:pos="778"/>
              </w:tabs>
            </w:pPr>
            <w:r>
              <w:t>7.554</w:t>
            </w:r>
          </w:p>
        </w:tc>
      </w:tr>
      <w:tr w:rsidR="00000000">
        <w:tblPrEx>
          <w:tblCellMar>
            <w:top w:w="0" w:type="dxa"/>
            <w:bottom w:w="0" w:type="dxa"/>
          </w:tblCellMar>
        </w:tblPrEx>
        <w:tc>
          <w:tcPr>
            <w:tcW w:w="2560" w:type="pct"/>
          </w:tcPr>
          <w:p w:rsidR="00000000" w:rsidRDefault="00000000">
            <w:pPr>
              <w:ind w:left="284"/>
            </w:pPr>
            <w:r>
              <w:t>En porcentaje del total</w:t>
            </w:r>
          </w:p>
        </w:tc>
        <w:tc>
          <w:tcPr>
            <w:tcW w:w="610" w:type="pct"/>
          </w:tcPr>
          <w:p w:rsidR="00000000" w:rsidRDefault="00000000">
            <w:pPr>
              <w:tabs>
                <w:tab w:val="decimal" w:pos="778"/>
              </w:tabs>
            </w:pPr>
            <w:r>
              <w:t>90,4</w:t>
            </w:r>
          </w:p>
        </w:tc>
        <w:tc>
          <w:tcPr>
            <w:tcW w:w="610" w:type="pct"/>
          </w:tcPr>
          <w:p w:rsidR="00000000" w:rsidRDefault="00000000">
            <w:pPr>
              <w:tabs>
                <w:tab w:val="decimal" w:pos="778"/>
              </w:tabs>
            </w:pPr>
            <w:r>
              <w:t>56,8</w:t>
            </w:r>
          </w:p>
        </w:tc>
        <w:tc>
          <w:tcPr>
            <w:tcW w:w="610" w:type="pct"/>
          </w:tcPr>
          <w:p w:rsidR="00000000" w:rsidRDefault="00000000">
            <w:pPr>
              <w:tabs>
                <w:tab w:val="decimal" w:pos="778"/>
              </w:tabs>
            </w:pPr>
            <w:r>
              <w:t>42,1</w:t>
            </w:r>
          </w:p>
        </w:tc>
        <w:tc>
          <w:tcPr>
            <w:tcW w:w="610" w:type="pct"/>
          </w:tcPr>
          <w:p w:rsidR="00000000" w:rsidRDefault="00000000">
            <w:pPr>
              <w:tabs>
                <w:tab w:val="decimal" w:pos="778"/>
              </w:tabs>
            </w:pPr>
            <w:r>
              <w:t>90,4</w:t>
            </w:r>
          </w:p>
        </w:tc>
      </w:tr>
      <w:tr w:rsidR="00000000">
        <w:tblPrEx>
          <w:tblCellMar>
            <w:top w:w="0" w:type="dxa"/>
            <w:bottom w:w="0" w:type="dxa"/>
          </w:tblCellMar>
        </w:tblPrEx>
        <w:tc>
          <w:tcPr>
            <w:tcW w:w="2560" w:type="pct"/>
          </w:tcPr>
          <w:p w:rsidR="00000000" w:rsidRDefault="00000000">
            <w:r>
              <w:t>Enseñanza media y secundaria</w:t>
            </w:r>
          </w:p>
        </w:tc>
        <w:tc>
          <w:tcPr>
            <w:tcW w:w="610" w:type="pct"/>
          </w:tcPr>
          <w:p w:rsidR="00000000" w:rsidRDefault="00000000">
            <w:pPr>
              <w:tabs>
                <w:tab w:val="decimal" w:pos="778"/>
              </w:tabs>
            </w:pPr>
            <w:r>
              <w:t>237</w:t>
            </w:r>
          </w:p>
        </w:tc>
        <w:tc>
          <w:tcPr>
            <w:tcW w:w="610" w:type="pct"/>
          </w:tcPr>
          <w:p w:rsidR="00000000" w:rsidRDefault="00000000">
            <w:pPr>
              <w:tabs>
                <w:tab w:val="decimal" w:pos="778"/>
              </w:tabs>
            </w:pPr>
            <w:r>
              <w:t>450</w:t>
            </w:r>
          </w:p>
        </w:tc>
        <w:tc>
          <w:tcPr>
            <w:tcW w:w="610" w:type="pct"/>
          </w:tcPr>
          <w:p w:rsidR="00000000" w:rsidRDefault="00000000">
            <w:pPr>
              <w:tabs>
                <w:tab w:val="decimal" w:pos="778"/>
              </w:tabs>
            </w:pPr>
            <w:r>
              <w:t>2.050</w:t>
            </w:r>
          </w:p>
        </w:tc>
        <w:tc>
          <w:tcPr>
            <w:tcW w:w="610" w:type="pct"/>
          </w:tcPr>
          <w:p w:rsidR="00000000" w:rsidRDefault="00000000">
            <w:pPr>
              <w:tabs>
                <w:tab w:val="decimal" w:pos="778"/>
              </w:tabs>
            </w:pPr>
            <w:r>
              <w:t>400</w:t>
            </w:r>
          </w:p>
        </w:tc>
      </w:tr>
      <w:tr w:rsidR="00000000">
        <w:tblPrEx>
          <w:tblCellMar>
            <w:top w:w="0" w:type="dxa"/>
            <w:bottom w:w="0" w:type="dxa"/>
          </w:tblCellMar>
        </w:tblPrEx>
        <w:tc>
          <w:tcPr>
            <w:tcW w:w="2560" w:type="pct"/>
          </w:tcPr>
          <w:p w:rsidR="00000000" w:rsidRDefault="00000000">
            <w:pPr>
              <w:ind w:left="284"/>
            </w:pPr>
            <w:r>
              <w:t>En porcentaje del total</w:t>
            </w:r>
          </w:p>
        </w:tc>
        <w:tc>
          <w:tcPr>
            <w:tcW w:w="610" w:type="pct"/>
          </w:tcPr>
          <w:p w:rsidR="00000000" w:rsidRDefault="00000000">
            <w:pPr>
              <w:tabs>
                <w:tab w:val="decimal" w:pos="778"/>
              </w:tabs>
            </w:pPr>
            <w:r>
              <w:t>4,6</w:t>
            </w:r>
          </w:p>
        </w:tc>
        <w:tc>
          <w:tcPr>
            <w:tcW w:w="610" w:type="pct"/>
          </w:tcPr>
          <w:p w:rsidR="00000000" w:rsidRDefault="00000000">
            <w:pPr>
              <w:tabs>
                <w:tab w:val="decimal" w:pos="778"/>
              </w:tabs>
            </w:pPr>
            <w:r>
              <w:t>4,8</w:t>
            </w:r>
          </w:p>
        </w:tc>
        <w:tc>
          <w:tcPr>
            <w:tcW w:w="610" w:type="pct"/>
          </w:tcPr>
          <w:p w:rsidR="00000000" w:rsidRDefault="00000000">
            <w:pPr>
              <w:tabs>
                <w:tab w:val="decimal" w:pos="778"/>
              </w:tabs>
            </w:pPr>
            <w:r>
              <w:t>19,8</w:t>
            </w:r>
          </w:p>
        </w:tc>
        <w:tc>
          <w:tcPr>
            <w:tcW w:w="610" w:type="pct"/>
          </w:tcPr>
          <w:p w:rsidR="00000000" w:rsidRDefault="00000000">
            <w:pPr>
              <w:tabs>
                <w:tab w:val="decimal" w:pos="778"/>
              </w:tabs>
            </w:pPr>
            <w:r>
              <w:t>4,6</w:t>
            </w:r>
          </w:p>
        </w:tc>
      </w:tr>
      <w:tr w:rsidR="00000000">
        <w:tblPrEx>
          <w:tblCellMar>
            <w:top w:w="0" w:type="dxa"/>
            <w:bottom w:w="0" w:type="dxa"/>
          </w:tblCellMar>
        </w:tblPrEx>
        <w:tc>
          <w:tcPr>
            <w:tcW w:w="2560" w:type="pct"/>
          </w:tcPr>
          <w:p w:rsidR="00000000" w:rsidRDefault="00000000">
            <w:r>
              <w:t>Secundaria general</w:t>
            </w:r>
          </w:p>
        </w:tc>
        <w:tc>
          <w:tcPr>
            <w:tcW w:w="610" w:type="pct"/>
          </w:tcPr>
          <w:p w:rsidR="00000000" w:rsidRDefault="00000000">
            <w:pPr>
              <w:tabs>
                <w:tab w:val="decimal" w:pos="778"/>
              </w:tabs>
            </w:pPr>
            <w:r>
              <w:t>49</w:t>
            </w:r>
          </w:p>
        </w:tc>
        <w:tc>
          <w:tcPr>
            <w:tcW w:w="610" w:type="pct"/>
          </w:tcPr>
          <w:p w:rsidR="00000000" w:rsidRDefault="00000000">
            <w:pPr>
              <w:tabs>
                <w:tab w:val="decimal" w:pos="778"/>
              </w:tabs>
            </w:pPr>
            <w:r>
              <w:t>945</w:t>
            </w:r>
          </w:p>
        </w:tc>
        <w:tc>
          <w:tcPr>
            <w:tcW w:w="610" w:type="pct"/>
          </w:tcPr>
          <w:p w:rsidR="00000000" w:rsidRDefault="00000000">
            <w:pPr>
              <w:tabs>
                <w:tab w:val="decimal" w:pos="778"/>
              </w:tabs>
            </w:pPr>
            <w:r>
              <w:t>-</w:t>
            </w:r>
          </w:p>
        </w:tc>
        <w:tc>
          <w:tcPr>
            <w:tcW w:w="610" w:type="pct"/>
          </w:tcPr>
          <w:p w:rsidR="00000000" w:rsidRDefault="00000000">
            <w:pPr>
              <w:tabs>
                <w:tab w:val="decimal" w:pos="778"/>
              </w:tabs>
            </w:pPr>
            <w:r>
              <w:t>1.200</w:t>
            </w:r>
          </w:p>
        </w:tc>
      </w:tr>
      <w:tr w:rsidR="00000000">
        <w:tblPrEx>
          <w:tblCellMar>
            <w:top w:w="0" w:type="dxa"/>
            <w:bottom w:w="0" w:type="dxa"/>
          </w:tblCellMar>
        </w:tblPrEx>
        <w:tc>
          <w:tcPr>
            <w:tcW w:w="2560" w:type="pct"/>
          </w:tcPr>
          <w:p w:rsidR="00000000" w:rsidRDefault="00000000">
            <w:pPr>
              <w:ind w:left="284"/>
            </w:pPr>
            <w:r>
              <w:t>En porcentaje del total</w:t>
            </w:r>
          </w:p>
        </w:tc>
        <w:tc>
          <w:tcPr>
            <w:tcW w:w="610" w:type="pct"/>
          </w:tcPr>
          <w:p w:rsidR="00000000" w:rsidRDefault="00000000">
            <w:pPr>
              <w:tabs>
                <w:tab w:val="decimal" w:pos="778"/>
              </w:tabs>
            </w:pPr>
            <w:r>
              <w:t>1,0</w:t>
            </w:r>
          </w:p>
        </w:tc>
        <w:tc>
          <w:tcPr>
            <w:tcW w:w="610" w:type="pct"/>
          </w:tcPr>
          <w:p w:rsidR="00000000" w:rsidRDefault="00000000">
            <w:pPr>
              <w:tabs>
                <w:tab w:val="decimal" w:pos="778"/>
              </w:tabs>
            </w:pPr>
            <w:r>
              <w:t>10,1</w:t>
            </w:r>
          </w:p>
        </w:tc>
        <w:tc>
          <w:tcPr>
            <w:tcW w:w="610" w:type="pct"/>
          </w:tcPr>
          <w:p w:rsidR="00000000" w:rsidRDefault="00000000">
            <w:pPr>
              <w:tabs>
                <w:tab w:val="decimal" w:pos="778"/>
              </w:tabs>
            </w:pPr>
            <w:r>
              <w:t>0,0</w:t>
            </w:r>
          </w:p>
        </w:tc>
        <w:tc>
          <w:tcPr>
            <w:tcW w:w="610" w:type="pct"/>
          </w:tcPr>
          <w:p w:rsidR="00000000" w:rsidRDefault="00000000">
            <w:pPr>
              <w:tabs>
                <w:tab w:val="decimal" w:pos="778"/>
              </w:tabs>
            </w:pPr>
            <w:r>
              <w:t>9,5</w:t>
            </w:r>
          </w:p>
        </w:tc>
      </w:tr>
    </w:tbl>
    <w:p w:rsidR="00000000" w:rsidRDefault="00000000">
      <w:pPr>
        <w:spacing w:before="240" w:after="480"/>
      </w:pPr>
      <w:r>
        <w:rPr>
          <w:i/>
          <w:iCs/>
        </w:rPr>
        <w:t>Fuente</w:t>
      </w:r>
      <w:r>
        <w:t>:  CREA (2003).</w:t>
      </w:r>
    </w:p>
    <w:p w:rsidR="00000000" w:rsidRDefault="00000000">
      <w:pPr>
        <w:spacing w:after="240"/>
      </w:pPr>
      <w:r>
        <w:t>79.</w:t>
      </w:r>
      <w:r>
        <w:tab/>
        <w:t>La enseñanza primaria absorbe la inmensa mayoría del presupuesto de inversión.  Ello confirma el carácter prioritario que se atribuye a este subsector en el Programa Decenal de Educación y Formación.</w:t>
      </w:r>
    </w:p>
    <w:p w:rsidR="00000000" w:rsidRDefault="00000000">
      <w:pPr>
        <w:spacing w:after="240"/>
        <w:sectPr w:rsidR="00000000">
          <w:headerReference w:type="even" r:id="rId9"/>
          <w:headerReference w:type="default" r:id="rId10"/>
          <w:pgSz w:w="11906" w:h="16838" w:code="9"/>
          <w:pgMar w:top="1701" w:right="850" w:bottom="1984" w:left="1701" w:header="850" w:footer="567" w:gutter="0"/>
          <w:cols w:space="708"/>
          <w:titlePg/>
          <w:docGrid w:linePitch="360"/>
        </w:sectPr>
      </w:pPr>
    </w:p>
    <w:p w:rsidR="00000000" w:rsidRDefault="00000000">
      <w:pPr>
        <w:spacing w:after="240"/>
        <w:rPr>
          <w:b/>
          <w:bCs/>
        </w:rPr>
      </w:pPr>
      <w:r>
        <w:rPr>
          <w:b/>
          <w:bCs/>
        </w:rPr>
        <w:t>Enseñanza primaria</w:t>
      </w:r>
    </w:p>
    <w:p w:rsidR="00000000" w:rsidRDefault="00000000">
      <w:pPr>
        <w:spacing w:after="160"/>
        <w:jc w:val="center"/>
        <w:rPr>
          <w:b/>
          <w:bCs/>
          <w:sz w:val="16"/>
        </w:rPr>
      </w:pPr>
      <w:r>
        <w:rPr>
          <w:b/>
          <w:bCs/>
          <w:sz w:val="16"/>
        </w:rPr>
        <w:t>Evolución del número de aulas</w:t>
      </w:r>
    </w:p>
    <w:p w:rsidR="00000000" w:rsidRDefault="00000000">
      <w:pPr>
        <w:spacing w:after="160"/>
        <w:jc w:val="center"/>
        <w:rPr>
          <w:b/>
          <w:bCs/>
          <w:sz w:val="16"/>
        </w:rPr>
      </w:pPr>
      <w:r>
        <w:rPr>
          <w:sz w:val="16"/>
        </w:rPr>
        <w:t>(Por academia y estatuto)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0"/>
        <w:gridCol w:w="531"/>
        <w:gridCol w:w="531"/>
        <w:gridCol w:w="531"/>
        <w:gridCol w:w="531"/>
        <w:gridCol w:w="531"/>
        <w:gridCol w:w="531"/>
        <w:gridCol w:w="531"/>
        <w:gridCol w:w="531"/>
        <w:gridCol w:w="531"/>
        <w:gridCol w:w="531"/>
        <w:gridCol w:w="531"/>
        <w:gridCol w:w="531"/>
        <w:gridCol w:w="531"/>
        <w:gridCol w:w="531"/>
        <w:gridCol w:w="531"/>
        <w:gridCol w:w="531"/>
        <w:gridCol w:w="531"/>
        <w:gridCol w:w="531"/>
        <w:gridCol w:w="531"/>
        <w:gridCol w:w="531"/>
        <w:gridCol w:w="531"/>
        <w:gridCol w:w="531"/>
        <w:gridCol w:w="531"/>
        <w:gridCol w:w="523"/>
      </w:tblGrid>
      <w:tr w:rsidR="00000000">
        <w:trPr>
          <w:cantSplit/>
          <w:jc w:val="center"/>
        </w:trPr>
        <w:tc>
          <w:tcPr>
            <w:tcW w:w="275" w:type="pct"/>
            <w:vMerge w:val="restart"/>
            <w:noWrap/>
            <w:tcMar>
              <w:top w:w="20" w:type="dxa"/>
              <w:left w:w="20" w:type="dxa"/>
              <w:bottom w:w="0" w:type="dxa"/>
              <w:right w:w="20" w:type="dxa"/>
            </w:tcMar>
            <w:vAlign w:val="center"/>
          </w:tcPr>
          <w:p w:rsidR="00000000" w:rsidRDefault="00000000">
            <w:pPr>
              <w:widowControl w:val="0"/>
              <w:jc w:val="center"/>
              <w:rPr>
                <w:rFonts w:eastAsia="Arial Unicode MS"/>
                <w:b/>
                <w:sz w:val="16"/>
              </w:rPr>
            </w:pPr>
            <w:r>
              <w:rPr>
                <w:rFonts w:eastAsia="Arial Unicode MS"/>
                <w:b/>
                <w:sz w:val="16"/>
              </w:rPr>
              <w:t>Lugar</w:t>
            </w:r>
          </w:p>
        </w:tc>
        <w:tc>
          <w:tcPr>
            <w:tcW w:w="394" w:type="pct"/>
            <w:gridSpan w:val="2"/>
            <w:noWrap/>
            <w:tcMar>
              <w:top w:w="20" w:type="dxa"/>
              <w:left w:w="20" w:type="dxa"/>
              <w:bottom w:w="0" w:type="dxa"/>
              <w:right w:w="20" w:type="dxa"/>
            </w:tcMar>
            <w:vAlign w:val="center"/>
          </w:tcPr>
          <w:p w:rsidR="00000000" w:rsidRDefault="00000000">
            <w:pPr>
              <w:widowControl w:val="0"/>
              <w:jc w:val="center"/>
              <w:rPr>
                <w:rFonts w:eastAsia="Arial Unicode MS"/>
                <w:b/>
                <w:sz w:val="16"/>
              </w:rPr>
            </w:pPr>
            <w:r>
              <w:rPr>
                <w:b/>
                <w:sz w:val="16"/>
              </w:rPr>
              <w:t>1990/91</w:t>
            </w:r>
          </w:p>
        </w:tc>
        <w:tc>
          <w:tcPr>
            <w:tcW w:w="394" w:type="pct"/>
            <w:gridSpan w:val="2"/>
            <w:noWrap/>
            <w:tcMar>
              <w:top w:w="20" w:type="dxa"/>
              <w:left w:w="20" w:type="dxa"/>
              <w:bottom w:w="0" w:type="dxa"/>
              <w:right w:w="20" w:type="dxa"/>
            </w:tcMar>
            <w:vAlign w:val="center"/>
          </w:tcPr>
          <w:p w:rsidR="00000000" w:rsidRDefault="00000000">
            <w:pPr>
              <w:widowControl w:val="0"/>
              <w:jc w:val="center"/>
              <w:rPr>
                <w:rFonts w:eastAsia="Arial Unicode MS"/>
                <w:b/>
                <w:sz w:val="16"/>
              </w:rPr>
            </w:pPr>
            <w:r>
              <w:rPr>
                <w:b/>
                <w:sz w:val="16"/>
              </w:rPr>
              <w:t>1991/92</w:t>
            </w:r>
          </w:p>
        </w:tc>
        <w:tc>
          <w:tcPr>
            <w:tcW w:w="394" w:type="pct"/>
            <w:gridSpan w:val="2"/>
            <w:noWrap/>
            <w:tcMar>
              <w:top w:w="20" w:type="dxa"/>
              <w:left w:w="20" w:type="dxa"/>
              <w:bottom w:w="0" w:type="dxa"/>
              <w:right w:w="20" w:type="dxa"/>
            </w:tcMar>
            <w:vAlign w:val="center"/>
          </w:tcPr>
          <w:p w:rsidR="00000000" w:rsidRDefault="00000000">
            <w:pPr>
              <w:widowControl w:val="0"/>
              <w:jc w:val="center"/>
              <w:rPr>
                <w:rFonts w:eastAsia="Arial Unicode MS"/>
                <w:b/>
                <w:sz w:val="16"/>
              </w:rPr>
            </w:pPr>
            <w:r>
              <w:rPr>
                <w:b/>
                <w:sz w:val="16"/>
              </w:rPr>
              <w:t>1992/93</w:t>
            </w:r>
          </w:p>
        </w:tc>
        <w:tc>
          <w:tcPr>
            <w:tcW w:w="394" w:type="pct"/>
            <w:gridSpan w:val="2"/>
            <w:noWrap/>
            <w:tcMar>
              <w:top w:w="20" w:type="dxa"/>
              <w:left w:w="20" w:type="dxa"/>
              <w:bottom w:w="0" w:type="dxa"/>
              <w:right w:w="20" w:type="dxa"/>
            </w:tcMar>
            <w:vAlign w:val="center"/>
          </w:tcPr>
          <w:p w:rsidR="00000000" w:rsidRDefault="00000000">
            <w:pPr>
              <w:widowControl w:val="0"/>
              <w:jc w:val="center"/>
              <w:rPr>
                <w:rFonts w:eastAsia="Arial Unicode MS"/>
                <w:b/>
                <w:sz w:val="16"/>
              </w:rPr>
            </w:pPr>
            <w:r>
              <w:rPr>
                <w:b/>
                <w:sz w:val="16"/>
              </w:rPr>
              <w:t>1993/94</w:t>
            </w:r>
          </w:p>
        </w:tc>
        <w:tc>
          <w:tcPr>
            <w:tcW w:w="394" w:type="pct"/>
            <w:gridSpan w:val="2"/>
            <w:noWrap/>
            <w:tcMar>
              <w:top w:w="20" w:type="dxa"/>
              <w:left w:w="20" w:type="dxa"/>
              <w:bottom w:w="0" w:type="dxa"/>
              <w:right w:w="20" w:type="dxa"/>
            </w:tcMar>
            <w:vAlign w:val="center"/>
          </w:tcPr>
          <w:p w:rsidR="00000000" w:rsidRDefault="00000000">
            <w:pPr>
              <w:widowControl w:val="0"/>
              <w:jc w:val="center"/>
              <w:rPr>
                <w:rFonts w:eastAsia="Arial Unicode MS"/>
                <w:b/>
                <w:sz w:val="16"/>
              </w:rPr>
            </w:pPr>
            <w:r>
              <w:rPr>
                <w:b/>
                <w:sz w:val="16"/>
              </w:rPr>
              <w:t>1994/95</w:t>
            </w:r>
          </w:p>
        </w:tc>
        <w:tc>
          <w:tcPr>
            <w:tcW w:w="394" w:type="pct"/>
            <w:gridSpan w:val="2"/>
            <w:noWrap/>
            <w:tcMar>
              <w:top w:w="20" w:type="dxa"/>
              <w:left w:w="20" w:type="dxa"/>
              <w:bottom w:w="0" w:type="dxa"/>
              <w:right w:w="20" w:type="dxa"/>
            </w:tcMar>
            <w:vAlign w:val="center"/>
          </w:tcPr>
          <w:p w:rsidR="00000000" w:rsidRDefault="00000000">
            <w:pPr>
              <w:widowControl w:val="0"/>
              <w:jc w:val="center"/>
              <w:rPr>
                <w:rFonts w:eastAsia="Arial Unicode MS"/>
                <w:b/>
                <w:sz w:val="16"/>
              </w:rPr>
            </w:pPr>
            <w:r>
              <w:rPr>
                <w:b/>
                <w:sz w:val="16"/>
              </w:rPr>
              <w:t>1995/96</w:t>
            </w:r>
          </w:p>
        </w:tc>
        <w:tc>
          <w:tcPr>
            <w:tcW w:w="394" w:type="pct"/>
            <w:gridSpan w:val="2"/>
            <w:noWrap/>
            <w:tcMar>
              <w:top w:w="20" w:type="dxa"/>
              <w:left w:w="20" w:type="dxa"/>
              <w:bottom w:w="0" w:type="dxa"/>
              <w:right w:w="20" w:type="dxa"/>
            </w:tcMar>
            <w:vAlign w:val="center"/>
          </w:tcPr>
          <w:p w:rsidR="00000000" w:rsidRDefault="00000000">
            <w:pPr>
              <w:widowControl w:val="0"/>
              <w:jc w:val="center"/>
              <w:rPr>
                <w:rFonts w:eastAsia="Arial Unicode MS"/>
                <w:b/>
                <w:sz w:val="16"/>
              </w:rPr>
            </w:pPr>
            <w:r>
              <w:rPr>
                <w:b/>
                <w:sz w:val="16"/>
              </w:rPr>
              <w:t>1996/97</w:t>
            </w:r>
          </w:p>
        </w:tc>
        <w:tc>
          <w:tcPr>
            <w:tcW w:w="394" w:type="pct"/>
            <w:gridSpan w:val="2"/>
            <w:noWrap/>
            <w:tcMar>
              <w:top w:w="20" w:type="dxa"/>
              <w:left w:w="20" w:type="dxa"/>
              <w:bottom w:w="0" w:type="dxa"/>
              <w:right w:w="20" w:type="dxa"/>
            </w:tcMar>
            <w:vAlign w:val="center"/>
          </w:tcPr>
          <w:p w:rsidR="00000000" w:rsidRDefault="00000000">
            <w:pPr>
              <w:widowControl w:val="0"/>
              <w:jc w:val="center"/>
              <w:rPr>
                <w:rFonts w:eastAsia="Arial Unicode MS"/>
                <w:b/>
                <w:sz w:val="16"/>
              </w:rPr>
            </w:pPr>
            <w:r>
              <w:rPr>
                <w:b/>
                <w:sz w:val="16"/>
              </w:rPr>
              <w:t>1997/98</w:t>
            </w:r>
          </w:p>
        </w:tc>
        <w:tc>
          <w:tcPr>
            <w:tcW w:w="394" w:type="pct"/>
            <w:gridSpan w:val="2"/>
            <w:noWrap/>
            <w:tcMar>
              <w:top w:w="20" w:type="dxa"/>
              <w:left w:w="20" w:type="dxa"/>
              <w:bottom w:w="0" w:type="dxa"/>
              <w:right w:w="20" w:type="dxa"/>
            </w:tcMar>
            <w:vAlign w:val="center"/>
          </w:tcPr>
          <w:p w:rsidR="00000000" w:rsidRDefault="00000000">
            <w:pPr>
              <w:widowControl w:val="0"/>
              <w:jc w:val="center"/>
              <w:rPr>
                <w:rFonts w:eastAsia="Arial Unicode MS"/>
                <w:b/>
                <w:sz w:val="16"/>
              </w:rPr>
            </w:pPr>
            <w:r>
              <w:rPr>
                <w:b/>
                <w:sz w:val="16"/>
              </w:rPr>
              <w:t>1998/99</w:t>
            </w:r>
          </w:p>
        </w:tc>
        <w:tc>
          <w:tcPr>
            <w:tcW w:w="394" w:type="pct"/>
            <w:gridSpan w:val="2"/>
            <w:noWrap/>
            <w:tcMar>
              <w:top w:w="20" w:type="dxa"/>
              <w:left w:w="20" w:type="dxa"/>
              <w:bottom w:w="0" w:type="dxa"/>
              <w:right w:w="20" w:type="dxa"/>
            </w:tcMar>
            <w:vAlign w:val="center"/>
          </w:tcPr>
          <w:p w:rsidR="00000000" w:rsidRDefault="00000000">
            <w:pPr>
              <w:widowControl w:val="0"/>
              <w:jc w:val="center"/>
              <w:rPr>
                <w:rFonts w:eastAsia="Arial Unicode MS"/>
                <w:b/>
                <w:sz w:val="16"/>
              </w:rPr>
            </w:pPr>
            <w:r>
              <w:rPr>
                <w:b/>
                <w:sz w:val="16"/>
              </w:rPr>
              <w:t>1999/00</w:t>
            </w:r>
          </w:p>
        </w:tc>
        <w:tc>
          <w:tcPr>
            <w:tcW w:w="394" w:type="pct"/>
            <w:gridSpan w:val="2"/>
            <w:noWrap/>
            <w:tcMar>
              <w:top w:w="20" w:type="dxa"/>
              <w:left w:w="20" w:type="dxa"/>
              <w:bottom w:w="0" w:type="dxa"/>
              <w:right w:w="20" w:type="dxa"/>
            </w:tcMar>
            <w:vAlign w:val="center"/>
          </w:tcPr>
          <w:p w:rsidR="00000000" w:rsidRDefault="00000000">
            <w:pPr>
              <w:widowControl w:val="0"/>
              <w:jc w:val="center"/>
              <w:rPr>
                <w:rFonts w:eastAsia="Arial Unicode MS"/>
                <w:b/>
                <w:sz w:val="16"/>
              </w:rPr>
            </w:pPr>
            <w:r>
              <w:rPr>
                <w:b/>
                <w:sz w:val="16"/>
              </w:rPr>
              <w:t>2000/01</w:t>
            </w:r>
          </w:p>
        </w:tc>
        <w:tc>
          <w:tcPr>
            <w:tcW w:w="391" w:type="pct"/>
            <w:gridSpan w:val="2"/>
            <w:noWrap/>
            <w:tcMar>
              <w:top w:w="20" w:type="dxa"/>
              <w:left w:w="20" w:type="dxa"/>
              <w:bottom w:w="0" w:type="dxa"/>
              <w:right w:w="20" w:type="dxa"/>
            </w:tcMar>
            <w:vAlign w:val="center"/>
          </w:tcPr>
          <w:p w:rsidR="00000000" w:rsidRDefault="00000000">
            <w:pPr>
              <w:widowControl w:val="0"/>
              <w:jc w:val="center"/>
              <w:rPr>
                <w:rFonts w:eastAsia="Arial Unicode MS"/>
                <w:b/>
                <w:sz w:val="16"/>
              </w:rPr>
            </w:pPr>
            <w:r>
              <w:rPr>
                <w:b/>
                <w:sz w:val="16"/>
              </w:rPr>
              <w:t>2001/02</w:t>
            </w:r>
          </w:p>
        </w:tc>
      </w:tr>
      <w:tr w:rsidR="00000000">
        <w:trPr>
          <w:cantSplit/>
          <w:jc w:val="center"/>
        </w:trPr>
        <w:tc>
          <w:tcPr>
            <w:tcW w:w="275" w:type="pct"/>
            <w:vMerge/>
            <w:noWrap/>
            <w:tcMar>
              <w:top w:w="20" w:type="dxa"/>
              <w:left w:w="20" w:type="dxa"/>
              <w:bottom w:w="0" w:type="dxa"/>
              <w:right w:w="20" w:type="dxa"/>
            </w:tcMar>
            <w:vAlign w:val="center"/>
          </w:tcPr>
          <w:p w:rsidR="00000000" w:rsidRDefault="00000000">
            <w:pPr>
              <w:widowControl w:val="0"/>
              <w:jc w:val="center"/>
              <w:rPr>
                <w:rFonts w:eastAsia="Arial Unicode MS"/>
                <w:b/>
                <w:sz w:val="16"/>
              </w:rPr>
            </w:pPr>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Pu</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Pr</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Pu</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Pr</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Pu</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Pr</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Pu</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Pr</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Pu</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Pr</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Pu</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Pr</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Pu</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Pr</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Pu</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Pr</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Pu</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Pr</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Pu</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Pr</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Pu</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Pr</w:t>
            </w:r>
            <w:proofErr w:type="spellEnd"/>
          </w:p>
        </w:tc>
        <w:tc>
          <w:tcPr>
            <w:tcW w:w="197" w:type="pct"/>
            <w:noWrap/>
            <w:tcMar>
              <w:top w:w="20" w:type="dxa"/>
              <w:left w:w="20" w:type="dxa"/>
              <w:bottom w:w="0" w:type="dxa"/>
              <w:right w:w="20" w:type="dxa"/>
            </w:tcMar>
            <w:vAlign w:val="center"/>
          </w:tcPr>
          <w:p w:rsidR="00000000" w:rsidRDefault="00000000">
            <w:pPr>
              <w:widowControl w:val="0"/>
              <w:jc w:val="center"/>
              <w:rPr>
                <w:rFonts w:eastAsia="Arial Unicode MS"/>
                <w:b/>
                <w:sz w:val="16"/>
              </w:rPr>
            </w:pPr>
            <w:proofErr w:type="spellStart"/>
            <w:r>
              <w:rPr>
                <w:b/>
                <w:sz w:val="16"/>
              </w:rPr>
              <w:t>Pu</w:t>
            </w:r>
            <w:proofErr w:type="spellEnd"/>
          </w:p>
        </w:tc>
        <w:tc>
          <w:tcPr>
            <w:tcW w:w="194" w:type="pct"/>
            <w:noWrap/>
            <w:tcMar>
              <w:top w:w="20" w:type="dxa"/>
              <w:left w:w="20" w:type="dxa"/>
              <w:bottom w:w="0" w:type="dxa"/>
              <w:right w:w="20" w:type="dxa"/>
            </w:tcMar>
            <w:vAlign w:val="center"/>
          </w:tcPr>
          <w:p w:rsidR="00000000" w:rsidRDefault="00000000">
            <w:pPr>
              <w:widowControl w:val="0"/>
              <w:jc w:val="center"/>
              <w:rPr>
                <w:rFonts w:eastAsia="Arial Unicode MS"/>
                <w:b/>
                <w:sz w:val="16"/>
                <w:lang w:val="en-GB"/>
              </w:rPr>
            </w:pPr>
            <w:r>
              <w:rPr>
                <w:b/>
                <w:sz w:val="16"/>
                <w:lang w:val="en-GB"/>
              </w:rPr>
              <w:t>Pr</w:t>
            </w:r>
          </w:p>
        </w:tc>
      </w:tr>
      <w:tr w:rsidR="00000000">
        <w:trPr>
          <w:jc w:val="center"/>
        </w:trPr>
        <w:tc>
          <w:tcPr>
            <w:tcW w:w="275" w:type="pct"/>
            <w:noWrap/>
            <w:tcMar>
              <w:top w:w="20" w:type="dxa"/>
              <w:left w:w="20" w:type="dxa"/>
              <w:bottom w:w="0" w:type="dxa"/>
              <w:right w:w="20" w:type="dxa"/>
            </w:tcMar>
            <w:vAlign w:val="bottom"/>
          </w:tcPr>
          <w:p w:rsidR="00000000" w:rsidRDefault="00000000">
            <w:pPr>
              <w:widowControl w:val="0"/>
              <w:rPr>
                <w:rFonts w:eastAsia="Arial Unicode MS"/>
                <w:sz w:val="16"/>
                <w:lang w:val="en-GB"/>
              </w:rPr>
            </w:pPr>
            <w:r>
              <w:rPr>
                <w:sz w:val="16"/>
                <w:lang w:val="en-GB"/>
              </w:rPr>
              <w:t>Dakar</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2.636</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774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2.686</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867</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3.382</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915</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2.974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1.228</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3.058</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1.415</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3.087</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1.668</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3.408</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2.200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3.405</w:t>
            </w:r>
          </w:p>
        </w:tc>
        <w:tc>
          <w:tcPr>
            <w:tcW w:w="194"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2.264</w:t>
            </w:r>
          </w:p>
        </w:tc>
      </w:tr>
      <w:tr w:rsidR="00000000">
        <w:trPr>
          <w:jc w:val="center"/>
        </w:trPr>
        <w:tc>
          <w:tcPr>
            <w:tcW w:w="275" w:type="pct"/>
            <w:noWrap/>
            <w:tcMar>
              <w:top w:w="20" w:type="dxa"/>
              <w:left w:w="20" w:type="dxa"/>
              <w:bottom w:w="0" w:type="dxa"/>
              <w:right w:w="20" w:type="dxa"/>
            </w:tcMar>
            <w:vAlign w:val="bottom"/>
          </w:tcPr>
          <w:p w:rsidR="00000000" w:rsidRDefault="00000000">
            <w:pPr>
              <w:widowControl w:val="0"/>
              <w:rPr>
                <w:rFonts w:eastAsia="Arial Unicode MS"/>
                <w:sz w:val="16"/>
                <w:lang w:val="en-GB"/>
              </w:rPr>
            </w:pPr>
            <w:proofErr w:type="spellStart"/>
            <w:r>
              <w:rPr>
                <w:sz w:val="16"/>
                <w:lang w:val="en-GB"/>
              </w:rPr>
              <w:t>Zig</w:t>
            </w:r>
            <w:proofErr w:type="spellEnd"/>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292</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78</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1.159</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120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1.106</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96</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1.202</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95</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1.330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94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1.469</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117</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1.601</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116</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1.640</w:t>
            </w:r>
          </w:p>
        </w:tc>
        <w:tc>
          <w:tcPr>
            <w:tcW w:w="194"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127</w:t>
            </w:r>
          </w:p>
        </w:tc>
      </w:tr>
      <w:tr w:rsidR="00000000">
        <w:trPr>
          <w:jc w:val="center"/>
        </w:trPr>
        <w:tc>
          <w:tcPr>
            <w:tcW w:w="275" w:type="pct"/>
            <w:noWrap/>
            <w:tcMar>
              <w:top w:w="20" w:type="dxa"/>
              <w:left w:w="20" w:type="dxa"/>
              <w:bottom w:w="0" w:type="dxa"/>
              <w:right w:w="20" w:type="dxa"/>
            </w:tcMar>
            <w:vAlign w:val="bottom"/>
          </w:tcPr>
          <w:p w:rsidR="00000000" w:rsidRDefault="00000000">
            <w:pPr>
              <w:widowControl w:val="0"/>
              <w:rPr>
                <w:rFonts w:eastAsia="Arial Unicode MS"/>
                <w:sz w:val="16"/>
                <w:lang w:val="en-GB"/>
              </w:rPr>
            </w:pPr>
            <w:proofErr w:type="spellStart"/>
            <w:r>
              <w:rPr>
                <w:sz w:val="16"/>
                <w:lang w:val="en-GB"/>
              </w:rPr>
              <w:t>Diourbel</w:t>
            </w:r>
            <w:proofErr w:type="spellEnd"/>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114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48</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427</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44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452</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50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618</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69</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774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64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921</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80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1.053</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105</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1.195</w:t>
            </w:r>
          </w:p>
        </w:tc>
        <w:tc>
          <w:tcPr>
            <w:tcW w:w="194"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135</w:t>
            </w:r>
          </w:p>
        </w:tc>
      </w:tr>
      <w:tr w:rsidR="00000000">
        <w:trPr>
          <w:jc w:val="center"/>
        </w:trPr>
        <w:tc>
          <w:tcPr>
            <w:tcW w:w="275" w:type="pct"/>
            <w:noWrap/>
            <w:tcMar>
              <w:top w:w="20" w:type="dxa"/>
              <w:left w:w="20" w:type="dxa"/>
              <w:bottom w:w="0" w:type="dxa"/>
              <w:right w:w="20" w:type="dxa"/>
            </w:tcMar>
            <w:vAlign w:val="bottom"/>
          </w:tcPr>
          <w:p w:rsidR="00000000" w:rsidRDefault="00000000">
            <w:pPr>
              <w:widowControl w:val="0"/>
              <w:rPr>
                <w:rFonts w:eastAsia="Arial Unicode MS"/>
                <w:sz w:val="16"/>
                <w:lang w:val="en-GB"/>
              </w:rPr>
            </w:pPr>
            <w:r>
              <w:rPr>
                <w:sz w:val="16"/>
                <w:lang w:val="en-GB"/>
              </w:rPr>
              <w:t>St-Louis</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277</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32</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1.120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32</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1.262</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1.291</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18</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1.474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34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1.545</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41</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2.129</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55</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2.511</w:t>
            </w:r>
          </w:p>
        </w:tc>
        <w:tc>
          <w:tcPr>
            <w:tcW w:w="194"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65</w:t>
            </w:r>
          </w:p>
        </w:tc>
      </w:tr>
      <w:tr w:rsidR="00000000">
        <w:trPr>
          <w:jc w:val="center"/>
        </w:trPr>
        <w:tc>
          <w:tcPr>
            <w:tcW w:w="275" w:type="pct"/>
            <w:noWrap/>
            <w:tcMar>
              <w:top w:w="20" w:type="dxa"/>
              <w:left w:w="20" w:type="dxa"/>
              <w:bottom w:w="0" w:type="dxa"/>
              <w:right w:w="20" w:type="dxa"/>
            </w:tcMar>
            <w:vAlign w:val="bottom"/>
          </w:tcPr>
          <w:p w:rsidR="00000000" w:rsidRDefault="00000000">
            <w:pPr>
              <w:widowControl w:val="0"/>
              <w:rPr>
                <w:rFonts w:eastAsia="Arial Unicode MS"/>
                <w:sz w:val="16"/>
                <w:lang w:val="en-GB"/>
              </w:rPr>
            </w:pPr>
            <w:proofErr w:type="spellStart"/>
            <w:r>
              <w:rPr>
                <w:sz w:val="16"/>
                <w:lang w:val="en-GB"/>
              </w:rPr>
              <w:t>Tamba</w:t>
            </w:r>
            <w:proofErr w:type="spellEnd"/>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182</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474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43</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546</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46</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621</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72</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799</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76</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924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67</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1.259</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62</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1.466</w:t>
            </w:r>
          </w:p>
        </w:tc>
        <w:tc>
          <w:tcPr>
            <w:tcW w:w="194"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66</w:t>
            </w:r>
          </w:p>
        </w:tc>
      </w:tr>
      <w:tr w:rsidR="00000000">
        <w:trPr>
          <w:jc w:val="center"/>
        </w:trPr>
        <w:tc>
          <w:tcPr>
            <w:tcW w:w="275" w:type="pct"/>
            <w:noWrap/>
            <w:tcMar>
              <w:top w:w="20" w:type="dxa"/>
              <w:left w:w="20" w:type="dxa"/>
              <w:bottom w:w="0" w:type="dxa"/>
              <w:right w:w="20" w:type="dxa"/>
            </w:tcMar>
            <w:vAlign w:val="bottom"/>
          </w:tcPr>
          <w:p w:rsidR="00000000" w:rsidRDefault="00000000">
            <w:pPr>
              <w:widowControl w:val="0"/>
              <w:rPr>
                <w:rFonts w:eastAsia="Arial Unicode MS"/>
                <w:sz w:val="16"/>
                <w:lang w:val="en-GB"/>
              </w:rPr>
            </w:pPr>
            <w:proofErr w:type="spellStart"/>
            <w:r>
              <w:rPr>
                <w:sz w:val="16"/>
                <w:lang w:val="en-GB"/>
              </w:rPr>
              <w:t>Kaolack</w:t>
            </w:r>
            <w:proofErr w:type="spellEnd"/>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213</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73</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884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81</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994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81</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1.116</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97</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1.313</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102</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1.526</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107</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1.911</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110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2.148</w:t>
            </w:r>
          </w:p>
        </w:tc>
        <w:tc>
          <w:tcPr>
            <w:tcW w:w="194"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130</w:t>
            </w:r>
          </w:p>
        </w:tc>
      </w:tr>
      <w:tr w:rsidR="00000000">
        <w:trPr>
          <w:jc w:val="center"/>
        </w:trPr>
        <w:tc>
          <w:tcPr>
            <w:tcW w:w="275" w:type="pct"/>
            <w:noWrap/>
            <w:tcMar>
              <w:top w:w="20" w:type="dxa"/>
              <w:left w:w="20" w:type="dxa"/>
              <w:bottom w:w="0" w:type="dxa"/>
              <w:right w:w="20" w:type="dxa"/>
            </w:tcMar>
            <w:vAlign w:val="bottom"/>
          </w:tcPr>
          <w:p w:rsidR="00000000" w:rsidRDefault="00000000">
            <w:pPr>
              <w:widowControl w:val="0"/>
              <w:rPr>
                <w:rFonts w:eastAsia="Arial Unicode MS"/>
                <w:sz w:val="16"/>
                <w:lang w:val="en-GB"/>
              </w:rPr>
            </w:pPr>
            <w:proofErr w:type="spellStart"/>
            <w:r>
              <w:rPr>
                <w:sz w:val="16"/>
                <w:lang w:val="en-GB"/>
              </w:rPr>
              <w:t>Thies</w:t>
            </w:r>
            <w:proofErr w:type="spellEnd"/>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287</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190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1.415</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198</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1.700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201</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1.744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183</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1.869</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182</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2.063</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222</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2.446</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255</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2.875</w:t>
            </w:r>
          </w:p>
        </w:tc>
        <w:tc>
          <w:tcPr>
            <w:tcW w:w="194"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291</w:t>
            </w:r>
          </w:p>
        </w:tc>
      </w:tr>
      <w:tr w:rsidR="00000000">
        <w:trPr>
          <w:jc w:val="center"/>
        </w:trPr>
        <w:tc>
          <w:tcPr>
            <w:tcW w:w="275" w:type="pct"/>
            <w:noWrap/>
            <w:tcMar>
              <w:top w:w="20" w:type="dxa"/>
              <w:left w:w="20" w:type="dxa"/>
              <w:bottom w:w="0" w:type="dxa"/>
              <w:right w:w="20" w:type="dxa"/>
            </w:tcMar>
            <w:vAlign w:val="bottom"/>
          </w:tcPr>
          <w:p w:rsidR="00000000" w:rsidRDefault="00000000">
            <w:pPr>
              <w:widowControl w:val="0"/>
              <w:rPr>
                <w:rFonts w:eastAsia="Arial Unicode MS"/>
                <w:sz w:val="16"/>
                <w:lang w:val="en-GB"/>
              </w:rPr>
            </w:pPr>
            <w:proofErr w:type="spellStart"/>
            <w:r>
              <w:rPr>
                <w:sz w:val="16"/>
                <w:lang w:val="en-GB"/>
              </w:rPr>
              <w:t>Louga</w:t>
            </w:r>
            <w:proofErr w:type="spellEnd"/>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141</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83</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466</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112</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523</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124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704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81</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859</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89</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935</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103</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1.345</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125</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1.595</w:t>
            </w:r>
          </w:p>
        </w:tc>
        <w:tc>
          <w:tcPr>
            <w:tcW w:w="194"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104</w:t>
            </w:r>
          </w:p>
        </w:tc>
      </w:tr>
      <w:tr w:rsidR="00000000">
        <w:trPr>
          <w:jc w:val="center"/>
        </w:trPr>
        <w:tc>
          <w:tcPr>
            <w:tcW w:w="275" w:type="pct"/>
            <w:noWrap/>
            <w:tcMar>
              <w:top w:w="20" w:type="dxa"/>
              <w:left w:w="20" w:type="dxa"/>
              <w:bottom w:w="0" w:type="dxa"/>
              <w:right w:w="20" w:type="dxa"/>
            </w:tcMar>
            <w:vAlign w:val="bottom"/>
          </w:tcPr>
          <w:p w:rsidR="00000000" w:rsidRDefault="00000000">
            <w:pPr>
              <w:widowControl w:val="0"/>
              <w:rPr>
                <w:rFonts w:eastAsia="Arial Unicode MS"/>
                <w:sz w:val="16"/>
                <w:lang w:val="en-GB"/>
              </w:rPr>
            </w:pPr>
            <w:proofErr w:type="spellStart"/>
            <w:r>
              <w:rPr>
                <w:sz w:val="16"/>
                <w:lang w:val="en-GB"/>
              </w:rPr>
              <w:t>Fatick</w:t>
            </w:r>
            <w:proofErr w:type="spellEnd"/>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204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83</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703</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142</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764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89</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887</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105</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1.028</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102</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1.159</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112</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1.464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117</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1.781</w:t>
            </w:r>
          </w:p>
        </w:tc>
        <w:tc>
          <w:tcPr>
            <w:tcW w:w="194" w:type="pct"/>
            <w:noWrap/>
            <w:tcMar>
              <w:top w:w="20" w:type="dxa"/>
              <w:left w:w="20" w:type="dxa"/>
              <w:bottom w:w="0" w:type="dxa"/>
              <w:right w:w="20" w:type="dxa"/>
            </w:tcMar>
            <w:vAlign w:val="bottom"/>
          </w:tcPr>
          <w:p w:rsidR="00000000" w:rsidRDefault="00000000">
            <w:pPr>
              <w:widowControl w:val="0"/>
              <w:jc w:val="right"/>
              <w:rPr>
                <w:rFonts w:eastAsia="Arial Unicode MS"/>
                <w:sz w:val="16"/>
                <w:lang w:val="en-GB"/>
              </w:rPr>
            </w:pPr>
            <w:r>
              <w:rPr>
                <w:sz w:val="16"/>
                <w:lang w:val="en-GB"/>
              </w:rPr>
              <w:t>114</w:t>
            </w:r>
          </w:p>
        </w:tc>
      </w:tr>
      <w:tr w:rsidR="00000000">
        <w:trPr>
          <w:jc w:val="center"/>
        </w:trPr>
        <w:tc>
          <w:tcPr>
            <w:tcW w:w="275" w:type="pct"/>
            <w:noWrap/>
            <w:tcMar>
              <w:top w:w="20" w:type="dxa"/>
              <w:left w:w="20" w:type="dxa"/>
              <w:bottom w:w="0" w:type="dxa"/>
              <w:right w:w="20" w:type="dxa"/>
            </w:tcMar>
            <w:vAlign w:val="bottom"/>
          </w:tcPr>
          <w:p w:rsidR="00000000" w:rsidRDefault="00000000">
            <w:pPr>
              <w:widowControl w:val="0"/>
              <w:rPr>
                <w:rFonts w:eastAsia="Arial Unicode MS"/>
                <w:sz w:val="16"/>
                <w:lang w:val="en-GB"/>
              </w:rPr>
            </w:pPr>
            <w:proofErr w:type="spellStart"/>
            <w:r>
              <w:rPr>
                <w:sz w:val="16"/>
                <w:lang w:val="en-GB"/>
              </w:rPr>
              <w:t>Kolda</w:t>
            </w:r>
            <w:proofErr w:type="spellEnd"/>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r>
              <w:rPr>
                <w:sz w:val="16"/>
              </w:rPr>
              <w:t>299</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r>
              <w:rPr>
                <w:sz w:val="16"/>
              </w:rPr>
              <w:t>30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r>
              <w:rPr>
                <w:sz w:val="16"/>
              </w:rPr>
              <w:t>852</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r>
              <w:rPr>
                <w:sz w:val="16"/>
              </w:rPr>
              <w:t>29</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r>
              <w:rPr>
                <w:sz w:val="16"/>
              </w:rPr>
              <w:t>935</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r>
              <w:rPr>
                <w:sz w:val="16"/>
              </w:rPr>
              <w:t>30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r>
              <w:rPr>
                <w:sz w:val="16"/>
              </w:rPr>
              <w:t>1.162</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r>
              <w:rPr>
                <w:sz w:val="16"/>
              </w:rPr>
              <w:t>23</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r>
              <w:rPr>
                <w:sz w:val="16"/>
              </w:rPr>
              <w:t>1.358</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r>
              <w:rPr>
                <w:sz w:val="16"/>
              </w:rPr>
              <w:t>27</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r>
              <w:rPr>
                <w:sz w:val="16"/>
              </w:rPr>
              <w:t>1.491</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r>
              <w:rPr>
                <w:sz w:val="16"/>
              </w:rPr>
              <w:t>30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r>
              <w:rPr>
                <w:sz w:val="16"/>
              </w:rPr>
              <w:t>1.938</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r>
              <w:rPr>
                <w:sz w:val="16"/>
              </w:rPr>
              <w:t>31</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sz w:val="16"/>
              </w:rPr>
            </w:pPr>
            <w:r>
              <w:rPr>
                <w:sz w:val="16"/>
              </w:rPr>
              <w:t>2.164</w:t>
            </w:r>
          </w:p>
        </w:tc>
        <w:tc>
          <w:tcPr>
            <w:tcW w:w="194" w:type="pct"/>
            <w:noWrap/>
            <w:tcMar>
              <w:top w:w="20" w:type="dxa"/>
              <w:left w:w="20" w:type="dxa"/>
              <w:bottom w:w="0" w:type="dxa"/>
              <w:right w:w="20" w:type="dxa"/>
            </w:tcMar>
            <w:vAlign w:val="bottom"/>
          </w:tcPr>
          <w:p w:rsidR="00000000" w:rsidRDefault="00000000">
            <w:pPr>
              <w:widowControl w:val="0"/>
              <w:jc w:val="right"/>
              <w:rPr>
                <w:rFonts w:eastAsia="Arial Unicode MS"/>
                <w:sz w:val="16"/>
              </w:rPr>
            </w:pPr>
            <w:r>
              <w:rPr>
                <w:sz w:val="16"/>
              </w:rPr>
              <w:t>36</w:t>
            </w:r>
          </w:p>
        </w:tc>
      </w:tr>
      <w:tr w:rsidR="00000000">
        <w:trPr>
          <w:jc w:val="center"/>
        </w:trPr>
        <w:tc>
          <w:tcPr>
            <w:tcW w:w="275" w:type="pct"/>
            <w:noWrap/>
            <w:tcMar>
              <w:top w:w="20" w:type="dxa"/>
              <w:left w:w="20" w:type="dxa"/>
              <w:bottom w:w="0" w:type="dxa"/>
              <w:right w:w="20" w:type="dxa"/>
            </w:tcMar>
            <w:vAlign w:val="bottom"/>
          </w:tcPr>
          <w:p w:rsidR="00000000" w:rsidRDefault="00000000">
            <w:pPr>
              <w:widowControl w:val="0"/>
              <w:rPr>
                <w:rFonts w:eastAsia="Arial Unicode MS"/>
                <w:b/>
                <w:sz w:val="16"/>
              </w:rPr>
            </w:pPr>
            <w:r>
              <w:rPr>
                <w:b/>
                <w:sz w:val="16"/>
              </w:rPr>
              <w:t>Senegal</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4.645</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1.411</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10.186</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1.668</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11.664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1.656</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12.319</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1.971</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13.862</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2.185</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15.120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2.547</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18.554</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3.176</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0</w:t>
            </w:r>
          </w:p>
        </w:tc>
        <w:tc>
          <w:tcPr>
            <w:tcW w:w="197"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20.780</w:t>
            </w:r>
          </w:p>
        </w:tc>
        <w:tc>
          <w:tcPr>
            <w:tcW w:w="194" w:type="pct"/>
            <w:noWrap/>
            <w:tcMar>
              <w:top w:w="20" w:type="dxa"/>
              <w:left w:w="20" w:type="dxa"/>
              <w:bottom w:w="0" w:type="dxa"/>
              <w:right w:w="20" w:type="dxa"/>
            </w:tcMar>
            <w:vAlign w:val="bottom"/>
          </w:tcPr>
          <w:p w:rsidR="00000000" w:rsidRDefault="00000000">
            <w:pPr>
              <w:widowControl w:val="0"/>
              <w:jc w:val="right"/>
              <w:rPr>
                <w:rFonts w:eastAsia="Arial Unicode MS"/>
                <w:b/>
                <w:sz w:val="16"/>
              </w:rPr>
            </w:pPr>
            <w:r>
              <w:rPr>
                <w:b/>
                <w:sz w:val="16"/>
              </w:rPr>
              <w:t>3.332</w:t>
            </w:r>
          </w:p>
        </w:tc>
      </w:tr>
    </w:tbl>
    <w:p w:rsidR="00000000" w:rsidRDefault="00000000">
      <w:pPr>
        <w:spacing w:before="160" w:after="360"/>
        <w:rPr>
          <w:sz w:val="16"/>
        </w:rPr>
      </w:pPr>
      <w:r>
        <w:rPr>
          <w:i/>
          <w:iCs/>
          <w:sz w:val="16"/>
        </w:rPr>
        <w:t>Fuente</w:t>
      </w:r>
      <w:r>
        <w:rPr>
          <w:sz w:val="16"/>
        </w:rPr>
        <w:t xml:space="preserve">:  </w:t>
      </w:r>
      <w:proofErr w:type="spellStart"/>
      <w:r>
        <w:rPr>
          <w:sz w:val="16"/>
        </w:rPr>
        <w:t>DPRE</w:t>
      </w:r>
      <w:proofErr w:type="spellEnd"/>
      <w:r>
        <w:rPr>
          <w:sz w:val="16"/>
        </w:rPr>
        <w:t xml:space="preserve"> (2003).</w:t>
      </w:r>
    </w:p>
    <w:p w:rsidR="00000000" w:rsidRDefault="00000000">
      <w:pPr>
        <w:spacing w:before="160" w:after="360"/>
        <w:sectPr w:rsidR="00000000">
          <w:headerReference w:type="even" r:id="rId11"/>
          <w:headerReference w:type="first" r:id="rId12"/>
          <w:pgSz w:w="16838" w:h="11906" w:orient="landscape" w:code="9"/>
          <w:pgMar w:top="1701" w:right="1701" w:bottom="1701" w:left="1701" w:header="851" w:footer="567" w:gutter="0"/>
          <w:cols w:space="708"/>
          <w:docGrid w:linePitch="360"/>
        </w:sectPr>
      </w:pPr>
    </w:p>
    <w:p w:rsidR="00000000" w:rsidRDefault="00000000">
      <w:pPr>
        <w:spacing w:after="240"/>
      </w:pPr>
      <w:r>
        <w:t>80.</w:t>
      </w:r>
      <w:r>
        <w:tab/>
        <w:t>La evolución del número de aulas para la enseñanza primaria, tanto en establecimientos públicos como privados, obedece a un elogiable esfuerzo desplegado por los poderes públicos en favor de la escolarización universal, semejante al que se prevé en la enseñanza preescolar para la primera infancia con el proyecto de construcción de 28.000 cabañas.  Sin embargo, procede señalar que, con una población mayoritariamente joven (el 57,7% de la población senegalesa pertenece al grupo de edad de 0 a 19 años y el 19% de este grupo tiene de 0 a 5 años), las inversiones necesarias son colosales y superan los medios reunidos del Estado, las colectividades locales y la población para alcanzar el objetivo de la escolarización universal en el año 2015.</w:t>
      </w:r>
    </w:p>
    <w:p w:rsidR="00000000" w:rsidRDefault="00000000">
      <w:pPr>
        <w:spacing w:after="240"/>
      </w:pPr>
      <w:r>
        <w:t>81.</w:t>
      </w:r>
      <w:r>
        <w:tab/>
        <w:t>Dada la pobreza y la difícil situación del Senegal, sin el apoyo constante y considerable de la comunidad internacional y la participación de las familias no será posible colmar unas necesidades reales, cuya satisfacción es sin embargo la única garantía de un desarrollo duradero y de la erradicación de la pobreza.</w:t>
      </w:r>
    </w:p>
    <w:p w:rsidR="00000000" w:rsidRDefault="00000000">
      <w:pPr>
        <w:spacing w:after="240"/>
        <w:ind w:left="1701" w:hanging="567"/>
        <w:rPr>
          <w:b/>
          <w:bCs/>
        </w:rPr>
      </w:pPr>
      <w:r>
        <w:rPr>
          <w:b/>
          <w:bCs/>
        </w:rPr>
        <w:t>b.3.</w:t>
      </w:r>
      <w:r>
        <w:rPr>
          <w:b/>
          <w:bCs/>
        </w:rPr>
        <w:tab/>
        <w:t>Protección de los derechos del niño</w:t>
      </w:r>
    </w:p>
    <w:p w:rsidR="00000000" w:rsidRDefault="00000000">
      <w:pPr>
        <w:spacing w:after="240"/>
      </w:pPr>
      <w:r>
        <w:t>82.</w:t>
      </w:r>
      <w:r>
        <w:tab/>
        <w:t>En noviembre de 1995 el Comité de los Derechos del Niño formuló en el punto 25 de sus observaciones finales sobre el informe del Senegal una recomendación sobre la fijación por el Senegal de una edad que corresponda al mismo tiempo al final de la escolaridad obligatoria y a la edad mínima para trabajar.  En su nuevo Código del Trabajo, el Senegal ha fijado la edad mínima para el empleo en 15 años, tanto en el sector estructurado como en el sector no estructurado.</w:t>
      </w:r>
      <w:r>
        <w:rPr>
          <w:b/>
          <w:bCs/>
        </w:rPr>
        <w:t xml:space="preserve">  </w:t>
      </w:r>
      <w:r>
        <w:t>Se está preparando un estudio en relación con la edad de terminación de la escolaridad obligatoria.  En el próximo informe se tendrá en cuenta esa edad.  Es preciso destacar desde el comienzo que los problemas no faltarán.  Los elementos siguientes ilustran los esfuerzos que se han desplegado ya:</w:t>
      </w:r>
    </w:p>
    <w:p w:rsidR="00000000" w:rsidRDefault="00000000">
      <w:pPr>
        <w:spacing w:after="240"/>
        <w:ind w:left="924" w:hanging="357"/>
      </w:pPr>
      <w:r>
        <w:t>-</w:t>
      </w:r>
      <w:r>
        <w:tab/>
        <w:t>Aumento de la edad mínima legal para el empleo de 14 a 15 años en el nuevo Código del Trabajo promulgado en diciembre de 1997.</w:t>
      </w:r>
    </w:p>
    <w:p w:rsidR="00000000" w:rsidRDefault="00000000">
      <w:pPr>
        <w:spacing w:after="240"/>
        <w:ind w:left="924" w:hanging="357"/>
      </w:pPr>
      <w:r>
        <w:t>-</w:t>
      </w:r>
      <w:r>
        <w:tab/>
        <w:t xml:space="preserve">Aprobación por el Parlamento de la Ley Nº 99-05 de 31 de enero de 1999, en la que se recogen los artículos 319, 319 </w:t>
      </w:r>
      <w:r>
        <w:rPr>
          <w:i/>
          <w:iCs/>
        </w:rPr>
        <w:t>bis</w:t>
      </w:r>
      <w:r>
        <w:t xml:space="preserve">, 320 y 321 del Código Penal, para castigar en lo sucesivo la escisión, la </w:t>
      </w:r>
      <w:proofErr w:type="spellStart"/>
      <w:r>
        <w:t>pedofilia</w:t>
      </w:r>
      <w:proofErr w:type="spellEnd"/>
      <w:r>
        <w:t>, la violación, la violencia doméstica y el acoso sexual.</w:t>
      </w:r>
    </w:p>
    <w:p w:rsidR="00000000" w:rsidRDefault="00000000">
      <w:pPr>
        <w:spacing w:after="240"/>
        <w:ind w:left="924" w:hanging="357"/>
      </w:pPr>
      <w:r>
        <w:t>-</w:t>
      </w:r>
      <w:r>
        <w:tab/>
        <w:t xml:space="preserve">En su Ley de 4 de julio de 2002, la Asamblea ha autorizado al Estado a ratificar el Protocolo Facultativo de la Convención sobre los Derechos del Niño relativo a la venta de niños, la prostitución infantil y la utilización de niños en la pornografía aprobado en Nueva </w:t>
      </w:r>
      <w:proofErr w:type="spellStart"/>
      <w:r>
        <w:t>York</w:t>
      </w:r>
      <w:proofErr w:type="spellEnd"/>
      <w:r>
        <w:t xml:space="preserve"> el 25 de mayo de 2000.</w:t>
      </w:r>
    </w:p>
    <w:p w:rsidR="00000000" w:rsidRDefault="00000000">
      <w:pPr>
        <w:spacing w:after="240"/>
        <w:ind w:left="924" w:hanging="357"/>
      </w:pPr>
      <w:r>
        <w:t>-</w:t>
      </w:r>
      <w:r>
        <w:tab/>
        <w:t xml:space="preserve">Ratificación en curso del Protocolo Facultativo relativo a la participación de niños en los conflictos armados aprobado en Nueva </w:t>
      </w:r>
      <w:proofErr w:type="spellStart"/>
      <w:r>
        <w:t>York</w:t>
      </w:r>
      <w:proofErr w:type="spellEnd"/>
      <w:r>
        <w:t xml:space="preserve"> el 25 de mayo de 2000.</w:t>
      </w:r>
    </w:p>
    <w:p w:rsidR="00000000" w:rsidRDefault="00000000">
      <w:pPr>
        <w:spacing w:after="240"/>
        <w:ind w:left="924" w:hanging="357"/>
      </w:pPr>
      <w:r>
        <w:t>-</w:t>
      </w:r>
      <w:r>
        <w:tab/>
        <w:t>Elaboración y aplicación de un Plan Nacional para el Abandono de la Práctica de las Mutilaciones Genitales Femeninas.</w:t>
      </w:r>
    </w:p>
    <w:p w:rsidR="00000000" w:rsidRDefault="00000000">
      <w:pPr>
        <w:spacing w:after="240"/>
        <w:ind w:left="924" w:hanging="357"/>
      </w:pPr>
      <w:r>
        <w:t>-</w:t>
      </w:r>
      <w:r>
        <w:tab/>
        <w:t>Elaboración del Código de la Infancia (el proyecto se ha sometido para su modificación a los demás interlocutores antes de su validación); este Código será un instrumento jurídico y de orientación para todas las actividades en favor de la infancia (niñas y niños).</w:t>
      </w:r>
    </w:p>
    <w:p w:rsidR="00000000" w:rsidRDefault="00000000">
      <w:pPr>
        <w:spacing w:after="240"/>
        <w:ind w:left="924" w:hanging="357"/>
      </w:pPr>
      <w:r>
        <w:t>-</w:t>
      </w:r>
      <w:r>
        <w:tab/>
        <w:t>Elaboración y aplicación de planes de acción locales contra la explotación de los niños y la mendicidad infantil.</w:t>
      </w:r>
    </w:p>
    <w:p w:rsidR="00000000" w:rsidRDefault="00000000">
      <w:pPr>
        <w:spacing w:after="240"/>
        <w:ind w:left="924" w:hanging="357"/>
      </w:pPr>
      <w:r>
        <w:t>-</w:t>
      </w:r>
      <w:r>
        <w:tab/>
        <w:t>Elaboración de un programa nacional para ocuparse de los niños en situación de riesgo (procedimiento en curso, sobre la base de un documento ya preparado a comienzos del año 2000).</w:t>
      </w:r>
    </w:p>
    <w:p w:rsidR="00000000" w:rsidRDefault="00000000">
      <w:pPr>
        <w:spacing w:after="240"/>
        <w:ind w:left="924" w:hanging="357"/>
      </w:pPr>
      <w:r>
        <w:t>-</w:t>
      </w:r>
      <w:r>
        <w:tab/>
        <w:t>Aprobación por el Gobierno de una orientación y de recomendaciones sobre la transparencia en la gestión y la ejecución de programas y proyectos en favor de los niños, sobre todo de los que se encuentran en situación de ruptura, cuya finalidad debe ser la reinserción de estos niños en el seno de la familia.</w:t>
      </w:r>
    </w:p>
    <w:p w:rsidR="00000000" w:rsidRDefault="00000000">
      <w:pPr>
        <w:spacing w:after="240"/>
        <w:ind w:left="924" w:hanging="357"/>
      </w:pPr>
      <w:r>
        <w:t>-</w:t>
      </w:r>
      <w:r>
        <w:tab/>
        <w:t>Elaboración de un documento de orientación estratégica sobre el desarrollo de la primera infancia (2002).</w:t>
      </w:r>
    </w:p>
    <w:p w:rsidR="00000000" w:rsidRDefault="00000000">
      <w:pPr>
        <w:spacing w:after="240"/>
        <w:ind w:left="924" w:hanging="357"/>
      </w:pPr>
      <w:r>
        <w:t>-</w:t>
      </w:r>
      <w:r>
        <w:tab/>
        <w:t xml:space="preserve">Celebración en 2002, con apoyo de </w:t>
      </w:r>
      <w:proofErr w:type="spellStart"/>
      <w:r>
        <w:t>Save</w:t>
      </w:r>
      <w:proofErr w:type="spellEnd"/>
      <w:r>
        <w:t xml:space="preserve"> </w:t>
      </w:r>
      <w:proofErr w:type="spellStart"/>
      <w:r>
        <w:t>the</w:t>
      </w:r>
      <w:proofErr w:type="spellEnd"/>
      <w:r>
        <w:t xml:space="preserve"> </w:t>
      </w:r>
      <w:proofErr w:type="spellStart"/>
      <w:r>
        <w:t>Children</w:t>
      </w:r>
      <w:proofErr w:type="spellEnd"/>
      <w:r>
        <w:t xml:space="preserve"> Suecia y del Movimiento Internacional de Defensa de los Niños, de un taller nacional sobre la integración de los derechos del niño en los proyectos y programas y para favorecer la coordinación de las acciones y actividades de los diferentes interlocutores sociales en favor de los niños, tanto de sexo masculino como de sexo femenino.</w:t>
      </w:r>
    </w:p>
    <w:p w:rsidR="00000000" w:rsidRDefault="00000000">
      <w:pPr>
        <w:spacing w:after="240"/>
        <w:ind w:left="924" w:hanging="357"/>
      </w:pPr>
      <w:r>
        <w:t>-</w:t>
      </w:r>
      <w:r>
        <w:tab/>
        <w:t>Aprobación de recomendaciones y sugerencias pertinentes para tener en cuenta e integrar los derechos de los niños en los proyectos y programas en curso y en previsión.</w:t>
      </w:r>
    </w:p>
    <w:p w:rsidR="00000000" w:rsidRDefault="00000000">
      <w:pPr>
        <w:spacing w:after="240"/>
        <w:ind w:left="924" w:hanging="357"/>
      </w:pPr>
      <w:r>
        <w:t>-</w:t>
      </w:r>
      <w:r>
        <w:tab/>
        <w:t>Evaluación del Parlamento de los Niños, con una reorientación en curso para obtener la presencia en su seno de representantes de todas las capas sociales y categorías de niños, sobre todo las más desfavorecidas y las que tenían y tienen menos voz y voto, para favorecer y facilitar su participación en la elaboración y la aplicación de todas las orientaciones y de todos los programas que les estén destinados.</w:t>
      </w:r>
    </w:p>
    <w:p w:rsidR="00000000" w:rsidRDefault="00000000">
      <w:pPr>
        <w:spacing w:after="240"/>
        <w:ind w:left="924" w:hanging="357"/>
      </w:pPr>
      <w:r>
        <w:t>-</w:t>
      </w:r>
      <w:r>
        <w:tab/>
        <w:t>Creación en breve de un parlamento de jóvenes, que integrará ciertamente todas las categorías y capas sociales de la juventud y pondrá en conocimiento de las autoridades las preocupaciones de los jóvenes, de uno y otro sexo, tal como ellos las perciben.</w:t>
      </w:r>
    </w:p>
    <w:p w:rsidR="00000000" w:rsidRDefault="00000000">
      <w:pPr>
        <w:spacing w:after="240"/>
        <w:ind w:left="924" w:hanging="357"/>
      </w:pPr>
      <w:r>
        <w:t>-</w:t>
      </w:r>
      <w:r>
        <w:tab/>
        <w:t>Recogida explícita en la nueva Constitución del Senegal votada en 2001 por la mayoría de los senegaleses de la Convención sobre los Derechos del Niño y de la Convención sobre la eliminación de todas las formas de discriminación contra la mujer, ya desde el preámbulo.  Con ello se consagra la idea de los derechos de los niños en el país y se establecen las condiciones necesarias para la integración del niño en todas las orientaciones y estrategias nacionales.</w:t>
      </w:r>
    </w:p>
    <w:p w:rsidR="00000000" w:rsidRDefault="00000000">
      <w:pPr>
        <w:spacing w:after="240"/>
        <w:ind w:left="924" w:hanging="357"/>
      </w:pPr>
      <w:r>
        <w:t>-</w:t>
      </w:r>
      <w:r>
        <w:tab/>
        <w:t>Ratificación del Protocolo Facultativo de la Convención sobre la eliminación de todas las formas de discriminación contra la mujer en mayo de 2001.</w:t>
      </w:r>
    </w:p>
    <w:p w:rsidR="00000000" w:rsidRDefault="00000000">
      <w:pPr>
        <w:spacing w:after="240"/>
        <w:ind w:left="924" w:hanging="357"/>
      </w:pPr>
      <w:r>
        <w:t>-</w:t>
      </w:r>
      <w:r>
        <w:tab/>
        <w:t>Ratificación en julio de 2003 por el Jefe del Estado de la Convención contra el crimen organizado y de sus dos Protocolos adicionales.</w:t>
      </w:r>
    </w:p>
    <w:p w:rsidR="00000000" w:rsidRDefault="00000000">
      <w:pPr>
        <w:spacing w:after="240"/>
        <w:ind w:left="924" w:hanging="357"/>
      </w:pPr>
      <w:r>
        <w:t>-</w:t>
      </w:r>
      <w:r>
        <w:tab/>
        <w:t xml:space="preserve">Elaboración e introducción en el circuito legislativo de un proyecto de ley sobre la tipificación del delito de </w:t>
      </w:r>
      <w:proofErr w:type="spellStart"/>
      <w:r>
        <w:t>pedofilia</w:t>
      </w:r>
      <w:proofErr w:type="spellEnd"/>
      <w:r>
        <w:t>.</w:t>
      </w:r>
    </w:p>
    <w:p w:rsidR="00000000" w:rsidRDefault="00000000">
      <w:pPr>
        <w:spacing w:after="240"/>
        <w:ind w:left="924" w:hanging="357"/>
      </w:pPr>
      <w:r>
        <w:t>-</w:t>
      </w:r>
      <w:r>
        <w:tab/>
        <w:t>Establecimiento de una red de periodistas para la promoción y la protección de los derechos del niño y el conocimiento de la Comisión sobre los Derechos del Niño.</w:t>
      </w:r>
    </w:p>
    <w:p w:rsidR="00000000" w:rsidRDefault="00000000">
      <w:pPr>
        <w:spacing w:after="240"/>
        <w:ind w:left="924" w:hanging="357"/>
      </w:pPr>
      <w:r>
        <w:t>-</w:t>
      </w:r>
      <w:r>
        <w:tab/>
        <w:t>Creación de una red de parlamentarios para la población y el desarrollo.</w:t>
      </w:r>
    </w:p>
    <w:p w:rsidR="00000000" w:rsidRDefault="00000000">
      <w:pPr>
        <w:spacing w:after="240"/>
        <w:ind w:left="1701" w:hanging="567"/>
        <w:rPr>
          <w:b/>
          <w:bCs/>
        </w:rPr>
      </w:pPr>
      <w:r>
        <w:rPr>
          <w:b/>
          <w:bCs/>
        </w:rPr>
        <w:t>b.4.</w:t>
      </w:r>
      <w:r>
        <w:rPr>
          <w:b/>
          <w:bCs/>
        </w:rPr>
        <w:tab/>
        <w:t>Promoción de los derechos del niño</w:t>
      </w:r>
    </w:p>
    <w:p w:rsidR="00000000" w:rsidRDefault="00000000">
      <w:pPr>
        <w:spacing w:after="240"/>
      </w:pPr>
      <w:r>
        <w:t>83.</w:t>
      </w:r>
      <w:r>
        <w:tab/>
        <w:t xml:space="preserve">En los puntos 20 y 21 de sus observaciones finales sobre el informe del Senegal, el Comité de los Derechos del Niño recomendó que se estableciese un mecanismo de coordinación permanente y multidisciplinario para vigilar los progresos realizados en la aplicación de la Convención y que se adoptasen medidas para mejorar el sistema de recogida y tratamiento de datos estadísticos y de otra índole en todas las esferas abarcadas por la Convención, con indicadores apropiados en los niveles nacional, regional y local.  La creación de la </w:t>
      </w:r>
      <w:proofErr w:type="spellStart"/>
      <w:r>
        <w:t>DPE</w:t>
      </w:r>
      <w:proofErr w:type="spellEnd"/>
      <w:r>
        <w:t xml:space="preserve"> (Dirección de Protección y Promoción de los Derechos del Niño) y de un sistema informatizado de obtención y tratamiento de datos a nivel de la </w:t>
      </w:r>
      <w:proofErr w:type="spellStart"/>
      <w:r>
        <w:t>Zakat</w:t>
      </w:r>
      <w:proofErr w:type="spellEnd"/>
      <w:r>
        <w:t xml:space="preserve"> </w:t>
      </w:r>
      <w:proofErr w:type="spellStart"/>
      <w:r>
        <w:t>House</w:t>
      </w:r>
      <w:proofErr w:type="spellEnd"/>
      <w:r>
        <w:t xml:space="preserve"> (hogar para niños vulnerables), dirigido por un especialista en estadística demográfica, demuestran, entre otras cosas, la voluntad del Gobierno senegalés de dar cumplimiento a esta recomendación tan pertinente.</w:t>
      </w:r>
    </w:p>
    <w:p w:rsidR="00000000" w:rsidRDefault="00000000">
      <w:pPr>
        <w:spacing w:after="240"/>
      </w:pPr>
      <w:r>
        <w:t>84.</w:t>
      </w:r>
      <w:r>
        <w:tab/>
        <w:t>En los puntos 22 y 21 de sus observaciones finales sobre el informe del Senegal, el Comité de los Derechos del Niño recomendó asimismo la creación de un sistema eficaz de registro de nacimientos y la familiarización del público con la Convención.</w:t>
      </w:r>
    </w:p>
    <w:p w:rsidR="00000000" w:rsidRDefault="00000000">
      <w:pPr>
        <w:spacing w:after="240"/>
      </w:pPr>
      <w:r>
        <w:t>85.</w:t>
      </w:r>
      <w:r>
        <w:tab/>
        <w:t>El 16 de junio de 2003, día celebrado en todo el territorio nacional, dio ocasión para lanzar la campaña de promoción del registro de nacimientos.  En el medio urbano y en el ámbito de la descentralización existen, además de centros principales, centros secundarios de registro de nacimientos en todas las comunas y comunas de distrito, además de los que funcionan en ciertos hospitales.</w:t>
      </w:r>
    </w:p>
    <w:p w:rsidR="00000000" w:rsidRDefault="00000000">
      <w:pPr>
        <w:spacing w:after="240"/>
      </w:pPr>
      <w:r>
        <w:t>86.</w:t>
      </w:r>
      <w:r>
        <w:tab/>
        <w:t>En el medio rural, las subprefecturas, los centros de expansión rural polivalente y los jefes y jefas de aldea están oficialmente encargados del registro de nacimientos, además de las ceremonias públicas que se organizan a estos efectos de cuando en cuando.</w:t>
      </w:r>
    </w:p>
    <w:p w:rsidR="00000000" w:rsidRDefault="00000000">
      <w:pPr>
        <w:spacing w:after="240"/>
      </w:pPr>
      <w:r>
        <w:t>87.</w:t>
      </w:r>
      <w:r>
        <w:tab/>
        <w:t xml:space="preserve">El Senegal se ocupa actualmente de la creación de un registro central e informatizado de nacimientos, que estará conectado con los centros existentes en cada región en relación con el proyecto de acceso a las </w:t>
      </w:r>
      <w:proofErr w:type="spellStart"/>
      <w:r>
        <w:t>NTIC</w:t>
      </w:r>
      <w:proofErr w:type="spellEnd"/>
      <w:r>
        <w:t xml:space="preserve"> (Nuevas Tecnologías de Información y Comunicación), que acaba de iniciar el Ministerio del ramo.</w:t>
      </w:r>
    </w:p>
    <w:p w:rsidR="00000000" w:rsidRDefault="00000000">
      <w:pPr>
        <w:spacing w:after="240"/>
      </w:pPr>
      <w:r>
        <w:t>88.</w:t>
      </w:r>
      <w:r>
        <w:tab/>
        <w:t>Queda que el Ministerio de la Familia, el Desarrollo Social y la Solidaridad Nacional encuentre los medios necesarios para recoger en su seno todas las preocupaciones relacionadas con el registro de los nacimientos y garantizar así a todos los niños el derecho a un estado civil.</w:t>
      </w:r>
    </w:p>
    <w:p w:rsidR="00000000" w:rsidRDefault="00000000">
      <w:pPr>
        <w:spacing w:after="240"/>
      </w:pPr>
      <w:r>
        <w:t>89.</w:t>
      </w:r>
      <w:r>
        <w:tab/>
        <w:t>Las actividades seguidamente descritas ilustran la voluntad de las autoridades senegalesas de defender los derechos del niño:</w:t>
      </w:r>
    </w:p>
    <w:p w:rsidR="00000000" w:rsidRDefault="00000000">
      <w:pPr>
        <w:spacing w:after="240"/>
        <w:ind w:left="924" w:hanging="357"/>
      </w:pPr>
      <w:r>
        <w:t>-</w:t>
      </w:r>
      <w:r>
        <w:tab/>
        <w:t>Se ha empezado a redactar ya un proyecto de decreto por el que se crea un Observatorio Nacional de los Derechos de la Familia.</w:t>
      </w:r>
    </w:p>
    <w:p w:rsidR="00000000" w:rsidRDefault="00000000">
      <w:pPr>
        <w:spacing w:after="240"/>
        <w:ind w:left="924" w:hanging="357"/>
      </w:pPr>
      <w:r>
        <w:t>-</w:t>
      </w:r>
      <w:r>
        <w:tab/>
        <w:t>Establecimiento de un Comité Nacional del Niño, cuya misión consiste en definir las principales orientaciones de la política en relación con la infancia y de coordinar todas las cuestiones de promoción y protección de los derechos del niño, con la celebración de reuniones periódicas conforme a las disposiciones de la Convención sobre los Derechos del Niño y a las recomendaciones del Comité.</w:t>
      </w:r>
    </w:p>
    <w:p w:rsidR="00000000" w:rsidRDefault="00000000">
      <w:pPr>
        <w:spacing w:after="240"/>
        <w:ind w:left="924" w:hanging="357"/>
      </w:pPr>
      <w:r>
        <w:t>-</w:t>
      </w:r>
      <w:r>
        <w:tab/>
        <w:t>Evaluación del Parlamento Nacional de los Niños:  el proyecto está ya disponible, con programación de una reunión de interlocutores para la distribución de las recomendaciones, antes de la renovación de las diversas instancias y la elaboración de un plan de acción nacional y de planes de acción regionales.  En este Parlamento participarán como miembros de pleno derecho representantes de los niños (de uno y otro sexo) en situación difícil o de riesgo.</w:t>
      </w:r>
    </w:p>
    <w:p w:rsidR="00000000" w:rsidRDefault="00000000">
      <w:pPr>
        <w:spacing w:after="240"/>
        <w:ind w:left="924" w:hanging="357"/>
      </w:pPr>
      <w:r>
        <w:t>-</w:t>
      </w:r>
      <w:r>
        <w:tab/>
        <w:t>Campaña de promoción de la inscripción de los nacimientos en el registro civil:  una reunión con periodistas ha permitido definir las estrategias de comunicación y otra con los interlocutores sociales ha facilitado la confección de mensajes y soportes de comunicación.  La jornada internacional que se celebró el 16 de junio en todo el territorio nacional ofreció la ocasión para lanzar la campaña de promoción del registro de nacimientos.  Se han enviado misiones de sensibilización a las 11 regiones y se están elaborando los planes de acción regionales.</w:t>
      </w:r>
    </w:p>
    <w:p w:rsidR="00000000" w:rsidRDefault="00000000">
      <w:pPr>
        <w:spacing w:after="240"/>
        <w:ind w:left="924" w:hanging="357"/>
      </w:pPr>
      <w:r>
        <w:t>-</w:t>
      </w:r>
      <w:r>
        <w:tab/>
        <w:t>Alegato en favor de la continuación de las actividades emprendidas en el marco del programa de escolarización femenina.</w:t>
      </w:r>
    </w:p>
    <w:p w:rsidR="00000000" w:rsidRDefault="00000000">
      <w:pPr>
        <w:spacing w:after="240"/>
        <w:ind w:left="924" w:hanging="357"/>
      </w:pPr>
      <w:r>
        <w:t>-</w:t>
      </w:r>
      <w:r>
        <w:tab/>
        <w:t>Elaboración de un manual de procedimiento propuesto a los periodistas para la protección de los niños y la sensibilización del público a la Convención.</w:t>
      </w:r>
    </w:p>
    <w:p w:rsidR="00000000" w:rsidRDefault="00000000">
      <w:pPr>
        <w:spacing w:after="240"/>
        <w:ind w:left="924" w:hanging="357"/>
      </w:pPr>
      <w:r>
        <w:t>-</w:t>
      </w:r>
      <w:r>
        <w:tab/>
        <w:t>Preparación de soportes de sensibilización e información contra el turismo sexual y, desde el caso AB con tolerancia cero, se observa una mayor firmeza en la aplicación de las leyes que protegen a los niños contra los abusos sexuales.</w:t>
      </w:r>
    </w:p>
    <w:p w:rsidR="00000000" w:rsidRDefault="00000000">
      <w:pPr>
        <w:spacing w:after="240"/>
        <w:ind w:left="924" w:hanging="357"/>
      </w:pPr>
      <w:r>
        <w:t>-</w:t>
      </w:r>
      <w:r>
        <w:tab/>
        <w:t>Preparación de una ley para la represión más severa de los abusos sexuales cometidos contra niños y del turismo sexual.</w:t>
      </w:r>
    </w:p>
    <w:p w:rsidR="00000000" w:rsidRDefault="00000000">
      <w:pPr>
        <w:spacing w:after="240"/>
        <w:ind w:left="924" w:hanging="357"/>
      </w:pPr>
      <w:r>
        <w:t>-</w:t>
      </w:r>
      <w:r>
        <w:tab/>
        <w:t xml:space="preserve">Establecimiento de un programa de apoyo especial a los niños en </w:t>
      </w:r>
      <w:proofErr w:type="spellStart"/>
      <w:r>
        <w:t>Casamance</w:t>
      </w:r>
      <w:proofErr w:type="spellEnd"/>
      <w:r>
        <w:t xml:space="preserve"> (regiones de </w:t>
      </w:r>
      <w:proofErr w:type="spellStart"/>
      <w:r>
        <w:t>Kolda</w:t>
      </w:r>
      <w:proofErr w:type="spellEnd"/>
      <w:r>
        <w:t xml:space="preserve"> y Ziguinchor).</w:t>
      </w:r>
    </w:p>
    <w:p w:rsidR="00000000" w:rsidRDefault="00000000">
      <w:pPr>
        <w:spacing w:after="240"/>
        <w:ind w:left="924" w:hanging="357"/>
      </w:pPr>
      <w:r>
        <w:t>-</w:t>
      </w:r>
      <w:r>
        <w:tab/>
        <w:t>Creación, en el ámbito del Programa Nacional de Lucha contra el SIDA, de un programa que permite hacerse completamente cargo de los niños víctimas (afectados o infectados) del VIH/SIDA.</w:t>
      </w:r>
    </w:p>
    <w:p w:rsidR="00000000" w:rsidRDefault="00000000">
      <w:pPr>
        <w:spacing w:after="240"/>
        <w:ind w:left="924" w:hanging="357"/>
      </w:pPr>
      <w:r>
        <w:t>-</w:t>
      </w:r>
      <w:r>
        <w:tab/>
        <w:t>Elaboración de un proyecto de documento de política nacional sobre desarrollo de la primera infancia en relación con el Ministerio de la Familia, el Desarrollo Social y la Solidaridad Nacional.</w:t>
      </w:r>
    </w:p>
    <w:p w:rsidR="00000000" w:rsidRDefault="00000000">
      <w:pPr>
        <w:spacing w:after="240"/>
        <w:ind w:left="924" w:hanging="357"/>
      </w:pPr>
      <w:r>
        <w:t>-</w:t>
      </w:r>
      <w:r>
        <w:tab/>
        <w:t>Creación de un movimiento nacional de promoción de los derechos del niño.</w:t>
      </w:r>
    </w:p>
    <w:p w:rsidR="00000000" w:rsidRDefault="00000000">
      <w:pPr>
        <w:spacing w:after="240"/>
        <w:ind w:left="924" w:hanging="357"/>
      </w:pPr>
      <w:r>
        <w:t>-</w:t>
      </w:r>
      <w:r>
        <w:tab/>
        <w:t>Nacimiento de un movimiento social (coalición de ONG) o incluso de una sociedad civil fuerte para la promoción de los derechos del niño (ONG, asociaciones, agrupaciones, etc.).</w:t>
      </w:r>
    </w:p>
    <w:p w:rsidR="00000000" w:rsidRDefault="00000000">
      <w:pPr>
        <w:spacing w:after="240"/>
        <w:ind w:left="567" w:hanging="567"/>
        <w:rPr>
          <w:bCs/>
        </w:rPr>
      </w:pPr>
      <w:r>
        <w:rPr>
          <w:b/>
          <w:bCs/>
        </w:rPr>
        <w:t>1.3.</w:t>
      </w:r>
      <w:r>
        <w:rPr>
          <w:b/>
          <w:bCs/>
        </w:rPr>
        <w:tab/>
        <w:t>Armonización de la legislación nacional con las disposiciones de la Convención sobre los Derechos del Niño</w:t>
      </w:r>
    </w:p>
    <w:p w:rsidR="00000000" w:rsidRDefault="00000000">
      <w:pPr>
        <w:spacing w:after="240"/>
      </w:pPr>
      <w:r>
        <w:t>90.</w:t>
      </w:r>
      <w:r>
        <w:tab/>
        <w:t>En noviembre de 1995 el Comité de los Derechos del Niño recomendó en los párrafos 24 a 27 y 29 de sus observaciones sobre el informe del Senegal que se prohibiera la mutilación genital de las niñas, la tortura o los tratos o penas crueles, inhumanos o degradantes y cualquier forma de castigo corporal en el contexto familiar (24), que se fijara una edad igual para contraer matrimonio para chicos y chicas, una edad mínima de responsabilidad penal, se pusiera fin a la discriminación contra los niños nacidos fuera del matrimonio (25) y que se emprendiera una reforma general de la ley en la esfera de la administración de justicia de menores que tuviera en cuenta el interés superior del niño (26).</w:t>
      </w:r>
    </w:p>
    <w:p w:rsidR="00000000" w:rsidRDefault="00000000">
      <w:pPr>
        <w:spacing w:after="240"/>
      </w:pPr>
      <w:r>
        <w:t>91.</w:t>
      </w:r>
      <w:r>
        <w:tab/>
        <w:t xml:space="preserve">El Comité de los Derechos del Niño recomendó también que se reformara la legislación relativa al trabajo infantil dedicada a los niños que trabajan el sector no estructurado con especial atención a los que trabajan en el servicio doméstico (27); también recomendó que se prestara una atención especial a la situación de los </w:t>
      </w:r>
      <w:proofErr w:type="spellStart"/>
      <w:r>
        <w:rPr>
          <w:i/>
          <w:iCs/>
        </w:rPr>
        <w:t>talibés</w:t>
      </w:r>
      <w:proofErr w:type="spellEnd"/>
      <w:r>
        <w:t>.</w:t>
      </w:r>
    </w:p>
    <w:p w:rsidR="00000000" w:rsidRDefault="00000000">
      <w:pPr>
        <w:spacing w:after="240"/>
      </w:pPr>
      <w:r>
        <w:t>92.</w:t>
      </w:r>
      <w:r>
        <w:tab/>
        <w:t xml:space="preserve">Por lo que se refiere a la mutilación genital y a otras formas de tratos degradantes o inhumanos, la Ley de enero de 1999 prohíbe y castiga la práctica de la mutilación genital (los tribunales han pronunciado condenas firmes a ese respecto); los tribunales también han impuesto penas severas (entre cuatro y diez años de cárcel) a morabitos responsables de castigos corporales así como en casos de </w:t>
      </w:r>
      <w:proofErr w:type="spellStart"/>
      <w:r>
        <w:t>pedofilia</w:t>
      </w:r>
      <w:proofErr w:type="spellEnd"/>
      <w:r>
        <w:t xml:space="preserve"> y violación.</w:t>
      </w:r>
    </w:p>
    <w:p w:rsidR="00000000" w:rsidRDefault="00000000">
      <w:pPr>
        <w:spacing w:after="240"/>
      </w:pPr>
      <w:r>
        <w:t>93.</w:t>
      </w:r>
      <w:r>
        <w:tab/>
        <w:t>La edad media mínima para contraer matrimonio se ha fijado en 16,6 años, aunque en el artículo 111 del Código de la Familia se fija esa edad en 16 años para las chicas y 20 para los chicos, y la infracción de esa norma se reprime severamente, en particular el matrimonio forzado.  Sin embargo, raramente se inician procedimientos de oficio y las organizaciones de la sociedad civil tropiezan con dificultades para constituirse en parte civil.  Falta armonizar esta cuestión.</w:t>
      </w:r>
    </w:p>
    <w:p w:rsidR="00000000" w:rsidRDefault="00000000">
      <w:pPr>
        <w:spacing w:after="240"/>
      </w:pPr>
      <w:r>
        <w:t>94.</w:t>
      </w:r>
      <w:r>
        <w:tab/>
        <w:t>La edad mínima de responsabilidad penal es de 14 años. Por debajo de esa edad ningún menor puede ser condenado, fuera cual fuera el acto cometido.</w:t>
      </w:r>
    </w:p>
    <w:p w:rsidR="00000000" w:rsidRDefault="00000000">
      <w:pPr>
        <w:spacing w:after="240"/>
      </w:pPr>
      <w:r>
        <w:t>95.</w:t>
      </w:r>
      <w:r>
        <w:tab/>
        <w:t>Los niños nacidos fuera del matrimonio tienen iguales derechos que los nacidos dentro de un matrimonio celebrado y registrado por un funcionario del estado civil, y los tribunales así lo reconocerán cuando se atente contra sus derechos.</w:t>
      </w:r>
    </w:p>
    <w:p w:rsidR="00000000" w:rsidRDefault="00000000">
      <w:pPr>
        <w:spacing w:after="240"/>
      </w:pPr>
      <w:r>
        <w:t>96.</w:t>
      </w:r>
      <w:r>
        <w:tab/>
        <w:t>Por lo que respecta a la reforma de la justicia, en todas las regiones del país se ha creado un tribunal de menores con un fiscal y una brigada especial de policía para menores creada hace casi diez años por carta circular del Ministerio del Interior.  Sin embargo, convendría reforzar esta brigada mediante un decreto que la organice y nombre a su frente a un comisario.</w:t>
      </w:r>
    </w:p>
    <w:p w:rsidR="00000000" w:rsidRDefault="00000000">
      <w:pPr>
        <w:spacing w:after="240"/>
      </w:pPr>
      <w:r>
        <w:t>97.</w:t>
      </w:r>
      <w:r>
        <w:tab/>
        <w:t xml:space="preserve">El nuevo Código del Trabajo ha reglamentado el trabajo infantil y en particular el trabajo en el servicio doméstico y las organizaciones sindicales (en particular la </w:t>
      </w:r>
      <w:proofErr w:type="spellStart"/>
      <w:r>
        <w:t>CNTS</w:t>
      </w:r>
      <w:proofErr w:type="spellEnd"/>
      <w:r>
        <w:t>) y la ONG Medio Ambiente y Desarrollo del Tercer Mundo (</w:t>
      </w:r>
      <w:proofErr w:type="spellStart"/>
      <w:r>
        <w:t>ENDA</w:t>
      </w:r>
      <w:proofErr w:type="spellEnd"/>
      <w:r>
        <w:t>) velan por que se respeten los derechos de los niños que trabajan.</w:t>
      </w:r>
    </w:p>
    <w:p w:rsidR="00000000" w:rsidRDefault="00000000">
      <w:pPr>
        <w:spacing w:after="240"/>
      </w:pPr>
      <w:r>
        <w:t>98.</w:t>
      </w:r>
      <w:r>
        <w:tab/>
        <w:t>En 1991, tras la ratificación de la Convención por el Senegal, se creó un grupo de trabajo para estudiar la adaptación de la legislación nacional a la Convención.  Ese grupo, creado por el Ministerio de la Familia, el Desarrollo Social y la Solidaridad Nacional, estaba formado por expertos de los diferentes departamentos ministeriales que se ocupan de las políticas en favor de la infancia, juristas, miembros de la asociación de mujeres juristas y representantes de ONG (Defensa de los Niños - Movimiento Internacional (</w:t>
      </w:r>
      <w:proofErr w:type="spellStart"/>
      <w:r>
        <w:t>DEI</w:t>
      </w:r>
      <w:proofErr w:type="spellEnd"/>
      <w:r>
        <w:t xml:space="preserve">), Futuro del Niño, </w:t>
      </w:r>
      <w:proofErr w:type="spellStart"/>
      <w:r>
        <w:t>BALLAL</w:t>
      </w:r>
      <w:proofErr w:type="spellEnd"/>
      <w:r>
        <w:t xml:space="preserve">, </w:t>
      </w:r>
      <w:proofErr w:type="spellStart"/>
      <w:r>
        <w:t>CIJ/RADI</w:t>
      </w:r>
      <w:proofErr w:type="spellEnd"/>
      <w:r>
        <w:t xml:space="preserve"> Jurídicas, </w:t>
      </w:r>
      <w:proofErr w:type="spellStart"/>
      <w:r>
        <w:t>CONGAD</w:t>
      </w:r>
      <w:proofErr w:type="spellEnd"/>
      <w:r>
        <w:t xml:space="preserve">, </w:t>
      </w:r>
      <w:proofErr w:type="spellStart"/>
      <w:r>
        <w:t>RADDHO</w:t>
      </w:r>
      <w:proofErr w:type="spellEnd"/>
      <w:r>
        <w:t>, etc.).</w:t>
      </w:r>
    </w:p>
    <w:p w:rsidR="00000000" w:rsidRDefault="00000000">
      <w:pPr>
        <w:spacing w:after="240"/>
      </w:pPr>
      <w:r>
        <w:t>99.</w:t>
      </w:r>
      <w:r>
        <w:tab/>
        <w:t>También se incorporó al grupo de trabajo una coalición de ONG para la promoción de los derechos del niño, además de la participación de trabajadores sociales.</w:t>
      </w:r>
    </w:p>
    <w:p w:rsidR="00000000" w:rsidRDefault="00000000">
      <w:pPr>
        <w:spacing w:after="240"/>
      </w:pPr>
      <w:r>
        <w:t>100.</w:t>
      </w:r>
      <w:r>
        <w:tab/>
        <w:t>Los resultados de ese trabajo y de toda esta reflexión se transmitieron al Comité Interministerial de Derechos Humanos.</w:t>
      </w:r>
    </w:p>
    <w:p w:rsidR="00000000" w:rsidRDefault="00000000">
      <w:pPr>
        <w:spacing w:after="240"/>
      </w:pPr>
      <w:r>
        <w:t>101.</w:t>
      </w:r>
      <w:r>
        <w:tab/>
        <w:t>Las organizaciones Ayuda en Acción y Plan Internacional -tanto su oficina regional como nacional- han contribuido positivamente, sobre todo en la esfera de la escolarización, a promover la sensibilización a la Convención sobre los Derechos del Niño.</w:t>
      </w:r>
    </w:p>
    <w:p w:rsidR="00000000" w:rsidRDefault="00000000">
      <w:pPr>
        <w:spacing w:after="240"/>
      </w:pPr>
      <w:r>
        <w:t>102.</w:t>
      </w:r>
      <w:r>
        <w:tab/>
        <w:t>Respecto a la lucha contra el maltrato, en 1994 el Ministerio de la Familia, el Desarrollo Social y la Solidaridad Nacional, con el apoyo del UNICEF, pidió a cuatro juristas (magistrados) especializados en derecho positivo que realizaran un estudio comparado de la legislación del Senegal y la Convención sobre los Derechos del Niño.</w:t>
      </w:r>
    </w:p>
    <w:p w:rsidR="00000000" w:rsidRDefault="00000000">
      <w:pPr>
        <w:spacing w:after="240"/>
      </w:pPr>
      <w:r>
        <w:t>103.</w:t>
      </w:r>
      <w:r>
        <w:tab/>
        <w:t>Esos juristas realizaron un importante trabajo de investigación sobre los principales textos legislativos y normativos:  la Constitución, el Código de la Familia, el Código Penal, el Código de Obligaciones Civiles y Comerciales y el Código del Trabajo.  En ese mismo sentido se realizó en 2003 un estudio complementario de actualización.</w:t>
      </w:r>
    </w:p>
    <w:p w:rsidR="00000000" w:rsidRDefault="00000000">
      <w:pPr>
        <w:spacing w:after="240"/>
      </w:pPr>
      <w:r>
        <w:t>104.</w:t>
      </w:r>
      <w:r>
        <w:tab/>
        <w:t>Aunque en el estudio comparado se llegó a la conclusión de que el derecho senegalés se ajustaba en general a la Convención y de que se concedía alta prioridad a los niños, se pusieron de relieve ciertas deficiencias y se formularon recomendaciones en materia de no discriminación, protección y promoción.  Entre esas recomendaciones cabe destacar las siguientes:</w:t>
      </w:r>
    </w:p>
    <w:p w:rsidR="00000000" w:rsidRDefault="00000000">
      <w:pPr>
        <w:spacing w:after="240"/>
        <w:ind w:left="924" w:hanging="357"/>
      </w:pPr>
      <w:r>
        <w:t>-</w:t>
      </w:r>
      <w:r>
        <w:tab/>
        <w:t>Necesidad de abolir el artículo 196 del Código de la Familia (que no permite que un niño recurra a los tribunales para establecer su filiación paterna y materna), contrario a los artículos 7 y 8 de la Convención que establecen el derecho del niño a conocer a sus padres y a vivir con ellos;</w:t>
      </w:r>
    </w:p>
    <w:p w:rsidR="00000000" w:rsidRDefault="00000000">
      <w:pPr>
        <w:spacing w:after="240"/>
        <w:ind w:left="924" w:hanging="357"/>
      </w:pPr>
      <w:r>
        <w:t>-</w:t>
      </w:r>
      <w:r>
        <w:tab/>
        <w:t>Necesidad de abolir los artículos 534 y 637 del Código de la Familia, contrarios al artículo 2 de la Convención sobre el derecho de sucesión (aunque en este caso se trata de un problema de opción entre el derecho civil y el derecho musulmán);</w:t>
      </w:r>
    </w:p>
    <w:p w:rsidR="00000000" w:rsidRDefault="00000000">
      <w:pPr>
        <w:spacing w:after="240"/>
        <w:ind w:left="924" w:hanging="357"/>
      </w:pPr>
      <w:r>
        <w:t>-</w:t>
      </w:r>
      <w:r>
        <w:tab/>
        <w:t>Necesidad de tipificar como delito en el derecho penal senegalés la venta y la trata de niños, de conformidad con el artículo 35 de la Convención;</w:t>
      </w:r>
    </w:p>
    <w:p w:rsidR="00000000" w:rsidRDefault="00000000">
      <w:pPr>
        <w:spacing w:after="240"/>
        <w:ind w:left="924" w:hanging="357"/>
      </w:pPr>
      <w:r>
        <w:t>-</w:t>
      </w:r>
      <w:r>
        <w:tab/>
        <w:t>Necesidad urgente de que se excluya expresamente la responsabilidad penal de los menores de 13 años, cualquiera sea la gravedad del acto cometido, de conformidad con el párrafo 3 del artículo 40 de la Convención.</w:t>
      </w:r>
    </w:p>
    <w:p w:rsidR="00000000" w:rsidRDefault="00000000">
      <w:pPr>
        <w:spacing w:after="240"/>
      </w:pPr>
      <w:r>
        <w:t>105.</w:t>
      </w:r>
      <w:r>
        <w:tab/>
        <w:t xml:space="preserve">La exigencia de sustituir en el Código de la Familia la patria potestad por la autoridad </w:t>
      </w:r>
      <w:proofErr w:type="spellStart"/>
      <w:r>
        <w:t>parental</w:t>
      </w:r>
      <w:proofErr w:type="spellEnd"/>
      <w:r>
        <w:t>.</w:t>
      </w:r>
    </w:p>
    <w:p w:rsidR="00000000" w:rsidRDefault="00000000">
      <w:pPr>
        <w:spacing w:after="240"/>
      </w:pPr>
      <w:r>
        <w:t>106.</w:t>
      </w:r>
      <w:r>
        <w:tab/>
        <w:t>Por otro lado, en el estudio se formulaban varias recomendaciones encaminadas a mejorar la legislación en lo que concierne especialmente a la ratificación por el Senegal de la Convención de la Haya sobre la protección del niño y la cooperación en materia de adopción internacional de 29 de mayo de 1993; el incremento de los recursos consagrados a los sectores de la salud, la educación y las actividades recreativas y la mejora de la situación de los discapacitados mediante el aumento de los medios a disposición de los centros de acogida.</w:t>
      </w:r>
    </w:p>
    <w:p w:rsidR="00000000" w:rsidRDefault="00000000">
      <w:pPr>
        <w:spacing w:after="240"/>
        <w:rPr>
          <w:bCs/>
        </w:rPr>
      </w:pPr>
      <w:r>
        <w:t>107.</w:t>
      </w:r>
      <w:r>
        <w:tab/>
        <w:t>A fin de acelerar la aplicación de esas diferentes recomendaciones, los diputados del Parlamento Nacional organizaron en 1997 una sesión de restitución a fin de obtener apoyo para la pronta elaboración de un código del niño,</w:t>
      </w:r>
      <w:r>
        <w:rPr>
          <w:bCs/>
        </w:rPr>
        <w:t xml:space="preserve"> que deberá ir precedida de una investigación minuciosa sobre la explotación de los niños.  Además, se ha puesto en práctica un vasto programa de defensa y presión para lograr la aplicación efectiva y plena de la Convención sobre los Derechos del Niño y conseguir que el conjunto de los órganos del Estado, las colectividades locales, y todos los sectores de la población, hagan suyo el</w:t>
      </w:r>
      <w:r>
        <w:t xml:space="preserve"> concepto de los derechos del niño:</w:t>
      </w:r>
    </w:p>
    <w:p w:rsidR="00000000" w:rsidRDefault="00000000">
      <w:pPr>
        <w:spacing w:after="240"/>
        <w:ind w:left="924" w:hanging="357"/>
      </w:pPr>
      <w:r>
        <w:t>-</w:t>
      </w:r>
      <w:r>
        <w:tab/>
        <w:t xml:space="preserve">El artículo </w:t>
      </w:r>
      <w:proofErr w:type="spellStart"/>
      <w:r>
        <w:t>L141</w:t>
      </w:r>
      <w:proofErr w:type="spellEnd"/>
      <w:r>
        <w:t xml:space="preserve"> del Código del Trabajo dispone que el niño que trabaja debe disfrutar como mínimo de 11 horas consecutivas de descanso entre dos jornadas de trabajo, además de un descanso semanal de 24 horas seguidas.  En ese artículo se establecen las condiciones y modalidades de actuación de los inspectores de trabajo en lo que respecta al aprendizaje y al trabajo infantil.</w:t>
      </w:r>
    </w:p>
    <w:p w:rsidR="00000000" w:rsidRDefault="00000000">
      <w:pPr>
        <w:spacing w:after="240"/>
        <w:ind w:left="924" w:hanging="357"/>
      </w:pPr>
      <w:r>
        <w:t>-</w:t>
      </w:r>
      <w:r>
        <w:tab/>
        <w:t>La Orden ministerial Nº 974 de 23 de enero de 1968, modificada y actualizada por la Orden ministerial Nº 3006 de 20 de marzo de 1972, especifica las condiciones y modalidades de empleo en el servicio doméstico.</w:t>
      </w:r>
    </w:p>
    <w:p w:rsidR="00000000" w:rsidRDefault="00000000">
      <w:pPr>
        <w:spacing w:after="240"/>
        <w:ind w:left="924" w:hanging="357"/>
      </w:pPr>
      <w:r>
        <w:t>-</w:t>
      </w:r>
      <w:r>
        <w:tab/>
        <w:t xml:space="preserve">El artículo </w:t>
      </w:r>
      <w:proofErr w:type="spellStart"/>
      <w:r>
        <w:t>L145</w:t>
      </w:r>
      <w:proofErr w:type="spellEnd"/>
      <w:r>
        <w:t xml:space="preserve"> del Código del Trabajo prohíbe el trabajo infantil y el aprendizaje antes de los 15 años de edad, salvo excepción concedida por orden ministerial.</w:t>
      </w:r>
    </w:p>
    <w:p w:rsidR="00000000" w:rsidRDefault="00000000">
      <w:pPr>
        <w:spacing w:after="240"/>
        <w:ind w:left="924" w:hanging="357"/>
      </w:pPr>
      <w:r>
        <w:t>-</w:t>
      </w:r>
      <w:r>
        <w:tab/>
        <w:t xml:space="preserve">El artículo </w:t>
      </w:r>
      <w:proofErr w:type="spellStart"/>
      <w:r>
        <w:t>L146</w:t>
      </w:r>
      <w:proofErr w:type="spellEnd"/>
      <w:r>
        <w:t xml:space="preserve"> permite que los inspectores de trabajo pidan que un médico autorizado examine a los niños para determinar que el trabajo que realizan no es excesivo para su edad.</w:t>
      </w:r>
    </w:p>
    <w:p w:rsidR="00000000" w:rsidRDefault="00000000">
      <w:pPr>
        <w:spacing w:after="240"/>
        <w:ind w:left="924" w:hanging="357"/>
      </w:pPr>
      <w:r>
        <w:t>-</w:t>
      </w:r>
      <w:r>
        <w:tab/>
        <w:t xml:space="preserve">Los artículos </w:t>
      </w:r>
      <w:proofErr w:type="spellStart"/>
      <w:r>
        <w:t>L73</w:t>
      </w:r>
      <w:proofErr w:type="spellEnd"/>
      <w:r>
        <w:t xml:space="preserve"> y </w:t>
      </w:r>
      <w:proofErr w:type="spellStart"/>
      <w:r>
        <w:t>L74</w:t>
      </w:r>
      <w:proofErr w:type="spellEnd"/>
      <w:r>
        <w:t xml:space="preserve"> del Código del Trabajo fijan las condiciones y modalidades de aprendizaje y establecen la obligatoriedad de que se realice mediante contrato, de que se cobre un salario de aprendizaje y de que el empleador expida un certificado que el aprendiz pueda utilizar cuando lo necesite.  Estas disposiciones se recogen también en el nuevo Código del Trabajo.</w:t>
      </w:r>
    </w:p>
    <w:p w:rsidR="00000000" w:rsidRDefault="00000000">
      <w:pPr>
        <w:spacing w:after="240"/>
        <w:ind w:left="924" w:hanging="357"/>
      </w:pPr>
      <w:r>
        <w:t>-</w:t>
      </w:r>
      <w:r>
        <w:tab/>
        <w:t xml:space="preserve">El artículo </w:t>
      </w:r>
      <w:proofErr w:type="spellStart"/>
      <w:r>
        <w:t>L167</w:t>
      </w:r>
      <w:proofErr w:type="spellEnd"/>
      <w:r>
        <w:t xml:space="preserve"> del Código del Trabajo establece que las disposiciones de su título 11º se aplican, entre otros establecimientos, a los de aprendizaje.</w:t>
      </w:r>
    </w:p>
    <w:p w:rsidR="00000000" w:rsidRDefault="00000000">
      <w:pPr>
        <w:spacing w:after="240"/>
        <w:ind w:left="924" w:hanging="357"/>
      </w:pPr>
      <w:r>
        <w:t>-</w:t>
      </w:r>
      <w:r>
        <w:tab/>
        <w:t>El artículo 21 del Código de la Seguridad Social precisa que los aprendices pueden obtener prestaciones familiares hasta los 18 años de edad; esa prestación está sujeta a la conclusión certificada de un contrato de aprendizaje tal como se prevé en el artículo 22 de ese Código.</w:t>
      </w:r>
    </w:p>
    <w:p w:rsidR="00000000" w:rsidRDefault="00000000">
      <w:pPr>
        <w:spacing w:after="240"/>
        <w:ind w:left="924" w:hanging="357"/>
      </w:pPr>
      <w:r>
        <w:t>-</w:t>
      </w:r>
      <w:r>
        <w:tab/>
        <w:t>El artículo 36 completa esas disposiciones mediante la protección de los aprendices contra los accidentes laborales y las enfermedades profesionales.</w:t>
      </w:r>
    </w:p>
    <w:p w:rsidR="00000000" w:rsidRDefault="00000000">
      <w:pPr>
        <w:spacing w:after="240"/>
        <w:ind w:left="924" w:hanging="357"/>
      </w:pPr>
      <w:r>
        <w:t>-</w:t>
      </w:r>
      <w:r>
        <w:tab/>
        <w:t>El artículo 3 del Decreto Nº 67-1360, de 9 de diciembre de 1967, tiene en cuenta el número de aprendices para determinar el número de delegados.  Conviene subrayar no obstante que los artículos 6 y 7 del mismo texto fijan en 18 años la edad para votar y presentarse a las elecciones de representantes, lo que contradice el disfrute de los derechos que parece otorgar el artículo 3 del citado decreto.</w:t>
      </w:r>
    </w:p>
    <w:p w:rsidR="00000000" w:rsidRDefault="00000000">
      <w:pPr>
        <w:spacing w:after="240"/>
        <w:ind w:left="924" w:hanging="357"/>
      </w:pPr>
      <w:r>
        <w:t>-</w:t>
      </w:r>
      <w:r>
        <w:tab/>
        <w:t>El Decreto Nº 61-347 establece las condiciones de trabajo infantil en las profesiones agrícolas y despenaliza ese trabajo en las explotaciones familiares, excepto en lo que atañe a las horas suplementarias, que sólo los adultos pueden efectuar.</w:t>
      </w:r>
    </w:p>
    <w:p w:rsidR="00000000" w:rsidRDefault="00000000">
      <w:pPr>
        <w:spacing w:after="240"/>
        <w:ind w:left="924" w:hanging="357"/>
      </w:pPr>
      <w:r>
        <w:t>-</w:t>
      </w:r>
      <w:r>
        <w:tab/>
        <w:t>Otros artículos (</w:t>
      </w:r>
      <w:proofErr w:type="spellStart"/>
      <w:r>
        <w:t>L279</w:t>
      </w:r>
      <w:proofErr w:type="spellEnd"/>
      <w:r>
        <w:t>), órdenes y textos reglamentarios penalizan las infracciones a este dispositivo.</w:t>
      </w:r>
    </w:p>
    <w:p w:rsidR="00000000" w:rsidRDefault="00000000">
      <w:pPr>
        <w:spacing w:after="240"/>
        <w:ind w:left="924" w:hanging="357"/>
      </w:pPr>
      <w:r>
        <w:t>-</w:t>
      </w:r>
      <w:r>
        <w:tab/>
        <w:t>La Ley Nº 73-37 de 31 de julio de 1973 por la que se promulga el Código de la Seguridad Social se refiere explícitamente a las enfermedades específicas del aprendiz y su artículo 3, relativo al estatuto del Instituto de previsión de la jubilación, prevé la organización y la gestión de un sistema de jubilación único para todos los trabajadores sujetos al Código del Trabajo, en el que ya se tiene en cuenta a los niños.</w:t>
      </w:r>
    </w:p>
    <w:p w:rsidR="00000000" w:rsidRDefault="00000000">
      <w:pPr>
        <w:spacing w:after="240"/>
        <w:ind w:left="924" w:hanging="357"/>
      </w:pPr>
      <w:r>
        <w:t>-</w:t>
      </w:r>
      <w:r>
        <w:tab/>
        <w:t>El artículo 245 del Código Penal castiga la mendicidad mediante la represión de quienes dejen mendigar a los menores de 18 años que estén bajo su responsabilidad.</w:t>
      </w:r>
    </w:p>
    <w:p w:rsidR="00000000" w:rsidRDefault="00000000">
      <w:pPr>
        <w:spacing w:after="240"/>
        <w:ind w:left="924" w:hanging="357"/>
      </w:pPr>
      <w:r>
        <w:t>-</w:t>
      </w:r>
      <w:r>
        <w:tab/>
        <w:t>En 1965 el Estado creó un Tribunal de Menores que desde 1994 está reforzado por educadores especializados con derecho a participar en las deliberaciones.</w:t>
      </w:r>
    </w:p>
    <w:p w:rsidR="00000000" w:rsidRDefault="00000000">
      <w:pPr>
        <w:spacing w:after="240"/>
        <w:ind w:left="924" w:hanging="357"/>
      </w:pPr>
      <w:r>
        <w:t>-</w:t>
      </w:r>
      <w:r>
        <w:tab/>
        <w:t>Se han incorporado a la legislación nacional del Senegal (derecho social) las normas de la Organización Internacional del Trabajo (OIT) que prohíben el trabajo de los menores de 15 años.</w:t>
      </w:r>
    </w:p>
    <w:p w:rsidR="00000000" w:rsidRDefault="00000000">
      <w:pPr>
        <w:spacing w:after="240"/>
        <w:ind w:left="924" w:hanging="357"/>
      </w:pPr>
      <w:r>
        <w:t>-</w:t>
      </w:r>
      <w:r>
        <w:tab/>
        <w:t>La Ley de 12 de junio de 1972 (Código de la Familia) dispone que los interesados deben dar su consentimiento para contraer matrimonio y reprime los matrimonios forzados.</w:t>
      </w:r>
    </w:p>
    <w:p w:rsidR="00000000" w:rsidRDefault="00000000">
      <w:pPr>
        <w:spacing w:after="240"/>
        <w:ind w:left="924" w:hanging="357"/>
      </w:pPr>
      <w:r>
        <w:t>-</w:t>
      </w:r>
      <w:r>
        <w:tab/>
        <w:t>El Código de la Familia se refiere explícitamente a los derechos del niño.</w:t>
      </w:r>
    </w:p>
    <w:p w:rsidR="00000000" w:rsidRDefault="00000000">
      <w:pPr>
        <w:spacing w:after="240"/>
        <w:ind w:left="924" w:hanging="357"/>
      </w:pPr>
      <w:r>
        <w:t>-</w:t>
      </w:r>
      <w:r>
        <w:tab/>
        <w:t>El artículo 320 del Código Penal castiga la violación y el proxenetismo.</w:t>
      </w:r>
    </w:p>
    <w:p w:rsidR="00000000" w:rsidRDefault="00000000">
      <w:pPr>
        <w:spacing w:after="240"/>
        <w:ind w:left="924" w:hanging="357"/>
      </w:pPr>
      <w:r>
        <w:t>-</w:t>
      </w:r>
      <w:r>
        <w:tab/>
        <w:t xml:space="preserve">La Ley Nº 99-05 de 13 de enero de 1999, que reprime la escisión, el acoso sexual, la </w:t>
      </w:r>
      <w:proofErr w:type="spellStart"/>
      <w:r>
        <w:t>pedofilia</w:t>
      </w:r>
      <w:proofErr w:type="spellEnd"/>
      <w:r>
        <w:t>, las agresiones sexuales y toda forma de mutilación sexual, la violencia sexual y la corrupción de menores, completa y refuerza la protección de las niñas y de los niños.</w:t>
      </w:r>
    </w:p>
    <w:p w:rsidR="00000000" w:rsidRDefault="00000000">
      <w:pPr>
        <w:spacing w:after="240"/>
        <w:ind w:left="924" w:hanging="357"/>
      </w:pPr>
      <w:r>
        <w:t>-</w:t>
      </w:r>
      <w:r>
        <w:tab/>
        <w:t>La Ley contra la práctica de la escisión, aprobada en 1998.</w:t>
      </w:r>
    </w:p>
    <w:p w:rsidR="00000000" w:rsidRDefault="00000000">
      <w:pPr>
        <w:spacing w:after="240"/>
        <w:ind w:left="924" w:hanging="357"/>
      </w:pPr>
      <w:r>
        <w:t>-</w:t>
      </w:r>
      <w:r>
        <w:tab/>
        <w:t>Se ha vuelto a introducir el Servicio Civil Nacional.</w:t>
      </w:r>
    </w:p>
    <w:p w:rsidR="00000000" w:rsidRDefault="00000000">
      <w:pPr>
        <w:spacing w:after="240"/>
      </w:pPr>
      <w:r>
        <w:t>108.</w:t>
      </w:r>
      <w:r>
        <w:tab/>
        <w:t>Se han adoptado medidas para reforzar los derechos y la protección de los niños, como el endurecimiento de las penas por violación cuando la víctima sea menor de 13 años y la imposibilidad para los culpables de obtener la gracia presidencial.</w:t>
      </w:r>
    </w:p>
    <w:p w:rsidR="00000000" w:rsidRDefault="00000000">
      <w:pPr>
        <w:spacing w:after="240"/>
      </w:pPr>
      <w:r>
        <w:t>109.</w:t>
      </w:r>
      <w:r>
        <w:tab/>
        <w:t>Este arsenal jurídico recogido en la legislación nacional se completa con la adhesión y la ratificación por el Senegal de una serie de convenios y tratados elaborados y adoptados por las diferentes asambleas generales anuales de la OIT.  Por ejemplo se pueden citar los textos siguientes:</w:t>
      </w:r>
    </w:p>
    <w:p w:rsidR="00000000" w:rsidRDefault="00000000">
      <w:pPr>
        <w:spacing w:after="240"/>
        <w:ind w:left="924" w:hanging="357"/>
      </w:pPr>
      <w:r>
        <w:t>-</w:t>
      </w:r>
      <w:r>
        <w:tab/>
        <w:t>El Convenio Nº 138 de la OIT sobre la edad mínima de admisión al empleo, ratificado en enero de 1999.</w:t>
      </w:r>
    </w:p>
    <w:p w:rsidR="00000000" w:rsidRDefault="00000000">
      <w:pPr>
        <w:spacing w:after="240"/>
        <w:ind w:left="924" w:hanging="357"/>
      </w:pPr>
      <w:r>
        <w:t>-</w:t>
      </w:r>
      <w:r>
        <w:tab/>
        <w:t>La Recomendación 146 de la OIT, ratificada por el Senegal en enero de 2002, que acompaña al Convenio Nº 138 y establece las condiciones de contratación de menores y especifica los tipos de trabajo que se les puede exigir.</w:t>
      </w:r>
    </w:p>
    <w:p w:rsidR="00000000" w:rsidRDefault="00000000">
      <w:pPr>
        <w:spacing w:after="240"/>
        <w:ind w:left="924" w:hanging="357"/>
      </w:pPr>
      <w:r>
        <w:t>-</w:t>
      </w:r>
      <w:r>
        <w:tab/>
        <w:t>La Convención sobre la eliminación de todas las formas de discriminación contra la mujer, ratificada en 1994.</w:t>
      </w:r>
    </w:p>
    <w:p w:rsidR="00000000" w:rsidRDefault="00000000">
      <w:pPr>
        <w:spacing w:after="240"/>
        <w:ind w:left="924" w:hanging="357"/>
      </w:pPr>
      <w:r>
        <w:t>-</w:t>
      </w:r>
      <w:r>
        <w:tab/>
        <w:t xml:space="preserve">El Convenio Nº 182 sobre las peores formas de trabajo infantil, aprobado el 17 de junio de 1999 por la Asamblea General de la OIT y ratificado por el Senegal que, a través del programa </w:t>
      </w:r>
      <w:proofErr w:type="spellStart"/>
      <w:r>
        <w:t>IPEC</w:t>
      </w:r>
      <w:proofErr w:type="spellEnd"/>
      <w:r>
        <w:t xml:space="preserve"> de la OIT, colabora con las estructuras especializadas del Estado para apoyar los proyectos de casi todas las ONG (</w:t>
      </w:r>
      <w:proofErr w:type="spellStart"/>
      <w:r>
        <w:t>ASREDIF</w:t>
      </w:r>
      <w:proofErr w:type="spellEnd"/>
      <w:r>
        <w:t xml:space="preserve">, </w:t>
      </w:r>
      <w:proofErr w:type="spellStart"/>
      <w:r>
        <w:t>ENDA</w:t>
      </w:r>
      <w:proofErr w:type="spellEnd"/>
      <w:r>
        <w:t xml:space="preserve">, Acción Juvenil, </w:t>
      </w:r>
      <w:proofErr w:type="spellStart"/>
      <w:r>
        <w:t>DEI</w:t>
      </w:r>
      <w:proofErr w:type="spellEnd"/>
      <w:r>
        <w:t xml:space="preserve">, Futuro del Niño, Esperanza sin Fronteras, Fundación </w:t>
      </w:r>
      <w:proofErr w:type="spellStart"/>
      <w:r>
        <w:t>Ebert</w:t>
      </w:r>
      <w:proofErr w:type="spellEnd"/>
      <w:r>
        <w:t>, Centro Emmanuel, etc.) que centran específicamente sus actividades en el trabajo infantil (aprendizaje, empleo, especialización y servicio doméstico);</w:t>
      </w:r>
    </w:p>
    <w:p w:rsidR="00000000" w:rsidRDefault="00000000">
      <w:pPr>
        <w:spacing w:after="240"/>
        <w:ind w:left="924" w:hanging="357"/>
      </w:pPr>
      <w:r>
        <w:t>-</w:t>
      </w:r>
      <w:r>
        <w:tab/>
        <w:t>Un proyecto de protocolo facultativo de la Convención sobre los Derechos del Niño transmitido al Senegal el 21 de enero de 2000 requiere que los Estados Partes se comprometan a adoptar todas las medidas necesarias para que los menores de 18 años no participen activamente en hostilidades.</w:t>
      </w:r>
    </w:p>
    <w:p w:rsidR="00000000" w:rsidRDefault="00000000">
      <w:pPr>
        <w:spacing w:after="240"/>
      </w:pPr>
      <w:r>
        <w:t>110.</w:t>
      </w:r>
      <w:r>
        <w:tab/>
        <w:t>Ese proyecto prevé además la elevación a 16 años como mínimo la edad mínima para el reclutamiento voluntario en el ejército (que el párrafo 3 del artículo 38 de la Convención fija en 15 años de edad).  Se pide también a los Estados que al depositar los instrumentos de rectificación adjunten una declaración en la que se precisen la edad mínima para el reclutamiento de voluntarios y las medidas adoptadas para garantizar una protección especial a los menores de 18 años.  El proyecto establece por último la prohibición de reclutar a menores de 18 años en grupos armados, movimientos rebeldes y otras organizaciones diferentes del Estado.</w:t>
      </w:r>
    </w:p>
    <w:p w:rsidR="00000000" w:rsidRDefault="00000000">
      <w:pPr>
        <w:spacing w:after="240"/>
      </w:pPr>
      <w:r>
        <w:t>111.</w:t>
      </w:r>
      <w:r>
        <w:tab/>
        <w:t>La voluntad política de las autoridades contribuye en gran medida a la creación de un entorno propicio a la protección de niños en situación de riesgo.  Así, el Senegal participa efectivamente en todos las reuniones y cumbres consagradas a la atención de las necesidades y los derechos del niño.</w:t>
      </w:r>
    </w:p>
    <w:p w:rsidR="00000000" w:rsidRDefault="00000000">
      <w:pPr>
        <w:spacing w:after="240"/>
      </w:pPr>
      <w:r>
        <w:t>112.</w:t>
      </w:r>
      <w:r>
        <w:tab/>
        <w:t>Durante la ceremonia de inauguración del año judicial de 1998, presidida por el entonces Presidente de la República, además del carácter simbólico y de la escucha de reivindicaciones jurídicas y sociales, se volvió a evocar y cuestionar la legislación nacional en relación con los niños.</w:t>
      </w:r>
    </w:p>
    <w:p w:rsidR="00000000" w:rsidRDefault="00000000">
      <w:pPr>
        <w:spacing w:after="240"/>
      </w:pPr>
      <w:r>
        <w:t>113.</w:t>
      </w:r>
      <w:r>
        <w:tab/>
        <w:t>En esa ceremonia, los diferentes participantes, entre ellos el Presidente de la República, asumieron los siguientes compromisos:</w:t>
      </w:r>
    </w:p>
    <w:p w:rsidR="00000000" w:rsidRDefault="00000000">
      <w:pPr>
        <w:spacing w:after="240"/>
        <w:ind w:left="924" w:hanging="357"/>
      </w:pPr>
      <w:r>
        <w:t>-</w:t>
      </w:r>
      <w:r>
        <w:tab/>
        <w:t>Proseguir el camino que condujo en octubre de 1999 a recoger en derechos las necesidades de los niños a fin de integrarlos en la legislación nacional como derechos imprescriptibles con participación de todo el cuerpo político, económico, social y cultural de la nación;</w:t>
      </w:r>
    </w:p>
    <w:p w:rsidR="00000000" w:rsidRDefault="00000000">
      <w:pPr>
        <w:spacing w:after="240"/>
        <w:ind w:left="924" w:hanging="357"/>
      </w:pPr>
      <w:r>
        <w:t>-</w:t>
      </w:r>
      <w:r>
        <w:tab/>
        <w:t>Precisar de nuevo que el derecho del niño es más bien un derecho de mediación social y que el lugar del niño no está en la cárcel sino en su medio familiar;</w:t>
      </w:r>
    </w:p>
    <w:p w:rsidR="00000000" w:rsidRDefault="00000000">
      <w:pPr>
        <w:spacing w:after="240"/>
        <w:ind w:left="924" w:hanging="357"/>
      </w:pPr>
      <w:r>
        <w:t>-</w:t>
      </w:r>
      <w:r>
        <w:tab/>
        <w:t>Afirmar la necesidad de matizar la distinción entre el concepto de niño delincuente y el de niño en peligro;</w:t>
      </w:r>
    </w:p>
    <w:p w:rsidR="00000000" w:rsidRDefault="00000000">
      <w:pPr>
        <w:spacing w:after="240"/>
        <w:ind w:left="924" w:hanging="357"/>
      </w:pPr>
      <w:r>
        <w:t>-</w:t>
      </w:r>
      <w:r>
        <w:tab/>
        <w:t>Precisar que si las autoridades legislativas, judiciales y ejecutivas no conceden una protección social a los niños en situación de riesgo, estos niños acabarán por delinquir y que un niño explotado sexual o materialmente, víctima de malos tratos o que tiene dificultad para sobrevivir, alcanzará muy probablemente el punto de ruptura y caerá en la delincuencia (discurso del entonces Presidente de la República en la ceremonia solemne de inauguración del año judicial de 1998).</w:t>
      </w:r>
    </w:p>
    <w:p w:rsidR="00000000" w:rsidRDefault="00000000">
      <w:pPr>
        <w:spacing w:after="240"/>
      </w:pPr>
      <w:r>
        <w:t>114.</w:t>
      </w:r>
      <w:r>
        <w:tab/>
        <w:t>En el Senegal el concepto de</w:t>
      </w:r>
      <w:r>
        <w:rPr>
          <w:b/>
        </w:rPr>
        <w:t xml:space="preserve"> </w:t>
      </w:r>
      <w:r>
        <w:rPr>
          <w:bCs/>
        </w:rPr>
        <w:t>cosa juzgada</w:t>
      </w:r>
      <w:r>
        <w:t xml:space="preserve"> no se aplica a los niños.  Una decisión judicial se puede revisar siempre en favor del niño.</w:t>
      </w:r>
    </w:p>
    <w:p w:rsidR="00000000" w:rsidRDefault="00000000">
      <w:pPr>
        <w:spacing w:after="240"/>
        <w:rPr>
          <w:bCs/>
        </w:rPr>
      </w:pPr>
      <w:r>
        <w:rPr>
          <w:bCs/>
        </w:rPr>
        <w:t>115.</w:t>
      </w:r>
      <w:r>
        <w:rPr>
          <w:bCs/>
        </w:rPr>
        <w:tab/>
        <w:t>El tribunal de menores tiene latitud total para tratar la cuestión del niño y puede contar a estos efectos con el apoyo de trabajadores sociales, educadores especializados, la policía de moral y costumbres y el Ministerio de la Familia, el Desarrollo Social y la Solidaridad Nacional y basarse en toda la legislación internacional elaborada o completada en el marco de la OIT.</w:t>
      </w:r>
    </w:p>
    <w:p w:rsidR="00000000" w:rsidRDefault="00000000">
      <w:pPr>
        <w:spacing w:after="240"/>
        <w:rPr>
          <w:b/>
        </w:rPr>
      </w:pPr>
      <w:r>
        <w:rPr>
          <w:b/>
        </w:rPr>
        <w:t>1.4.</w:t>
      </w:r>
      <w:r>
        <w:rPr>
          <w:b/>
        </w:rPr>
        <w:tab/>
        <w:t>Instituciones en favor de la infancia</w:t>
      </w:r>
    </w:p>
    <w:p w:rsidR="00000000" w:rsidRDefault="00000000">
      <w:pPr>
        <w:spacing w:after="240"/>
        <w:rPr>
          <w:bCs/>
        </w:rPr>
      </w:pPr>
      <w:r>
        <w:rPr>
          <w:bCs/>
        </w:rPr>
        <w:t>116.</w:t>
      </w:r>
      <w:r>
        <w:rPr>
          <w:bCs/>
        </w:rPr>
        <w:tab/>
        <w:t>El Comité de los Derechos del Niño recomendó, también durante el examen en noviembre de 1995 del informe del Senegal, que se estableciera un mecanismo de coordinación permanente y multidisciplinario para vigilar y evaluar los progresos realizados en la aplicación de la Convención, apoyándose en las instituciones dedicadas a los derechos del niño.</w:t>
      </w:r>
    </w:p>
    <w:p w:rsidR="00000000" w:rsidRDefault="00000000">
      <w:pPr>
        <w:spacing w:after="240"/>
        <w:rPr>
          <w:bCs/>
        </w:rPr>
      </w:pPr>
      <w:r>
        <w:rPr>
          <w:bCs/>
        </w:rPr>
        <w:t>117.</w:t>
      </w:r>
      <w:r>
        <w:rPr>
          <w:bCs/>
        </w:rPr>
        <w:tab/>
        <w:t>La conjunción de las instituciones dedicadas a la infancia forma parte de ese mecanismo multidisciplinario.  La Dirección de la Protección de los Derechos del Niño, establecida por el Ministerio de la Familia, el Desarrollo Social y la Solidaridad Nacional, coordina y armoniza las actividades de todos los mecanismos creados, que se enumeran a continuación.  En esa labor participan representantes del Ministerio de Justicia (tribunales y dirección de educación supervisada), de confederaciones sindicales, de ONG, etc:</w:t>
      </w:r>
    </w:p>
    <w:p w:rsidR="00000000" w:rsidRDefault="00000000">
      <w:pPr>
        <w:spacing w:after="240"/>
        <w:ind w:left="924" w:hanging="357"/>
        <w:rPr>
          <w:bCs/>
        </w:rPr>
      </w:pPr>
      <w:r>
        <w:rPr>
          <w:bCs/>
        </w:rPr>
        <w:t>-</w:t>
      </w:r>
      <w:r>
        <w:rPr>
          <w:bCs/>
        </w:rPr>
        <w:tab/>
      </w:r>
      <w:r>
        <w:rPr>
          <w:i/>
          <w:iCs/>
        </w:rPr>
        <w:t>El Ministerio de la Familia, el Desarrollo Social y la Solidaridad Nacional</w:t>
      </w:r>
      <w:r>
        <w:t>,</w:t>
      </w:r>
      <w:r>
        <w:rPr>
          <w:bCs/>
        </w:rPr>
        <w:t xml:space="preserve"> que se encarga de la promoción, en particular, de la mujer y el niño y la familia.  Coordina las actividades y las medidas en favor del niño y la promoción de sus derechos y se ocupa también de su supervivencia.</w:t>
      </w:r>
    </w:p>
    <w:p w:rsidR="00000000" w:rsidRDefault="00000000">
      <w:pPr>
        <w:spacing w:after="240"/>
        <w:ind w:left="924" w:hanging="357"/>
      </w:pPr>
      <w:r>
        <w:t>-</w:t>
      </w:r>
      <w:r>
        <w:tab/>
      </w:r>
      <w:r>
        <w:rPr>
          <w:bCs/>
          <w:i/>
          <w:iCs/>
        </w:rPr>
        <w:t>El Ministerio de la Pequeña y Primera Infancia</w:t>
      </w:r>
      <w:r>
        <w:rPr>
          <w:bCs/>
        </w:rPr>
        <w:t>,</w:t>
      </w:r>
      <w:r>
        <w:rPr>
          <w:b/>
        </w:rPr>
        <w:t xml:space="preserve"> </w:t>
      </w:r>
      <w:r>
        <w:t>que se ocupa de la orientación y el seguimiento de los niños para su instrucción y desarrollo y para que aprendan conceptos básicos y adquieran conocimientos que faciliten su mejor integración social una vez alcanzada la edad adulta.</w:t>
      </w:r>
    </w:p>
    <w:p w:rsidR="00000000" w:rsidRDefault="00000000">
      <w:pPr>
        <w:spacing w:after="240"/>
        <w:ind w:left="924" w:hanging="357"/>
      </w:pPr>
      <w:r>
        <w:rPr>
          <w:b/>
        </w:rPr>
        <w:t>-</w:t>
      </w:r>
      <w:r>
        <w:rPr>
          <w:b/>
        </w:rPr>
        <w:tab/>
      </w:r>
      <w:r>
        <w:rPr>
          <w:bCs/>
          <w:i/>
          <w:iCs/>
        </w:rPr>
        <w:t>El Plan de Acción Nacional en pro de la Infancia</w:t>
      </w:r>
      <w:r>
        <w:rPr>
          <w:bCs/>
        </w:rPr>
        <w:t xml:space="preserve">, </w:t>
      </w:r>
      <w:r>
        <w:t>finalizado en julio de 1991, se elaboró a raíz de la Cumbre Mundial en favor de la Infancia mediante una concertación nacional en torno al Ministerio de la Familia, el Desarrollo Social y la Solidaridad Nacional.  Ya se ha realizado una evaluación intermedia de ese plan y se está preparando un nuevo plan de acción.</w:t>
      </w:r>
    </w:p>
    <w:p w:rsidR="00000000" w:rsidRDefault="00000000">
      <w:pPr>
        <w:spacing w:after="240"/>
        <w:ind w:left="924" w:hanging="357"/>
        <w:rPr>
          <w:bCs/>
        </w:rPr>
      </w:pPr>
      <w:r>
        <w:rPr>
          <w:bCs/>
        </w:rPr>
        <w:t>-</w:t>
      </w:r>
      <w:r>
        <w:rPr>
          <w:bCs/>
        </w:rPr>
        <w:tab/>
      </w:r>
      <w:r>
        <w:rPr>
          <w:i/>
          <w:iCs/>
        </w:rPr>
        <w:t>El Día del Niño Africano</w:t>
      </w:r>
      <w:r>
        <w:rPr>
          <w:bCs/>
        </w:rPr>
        <w:t>.  Se celebra el 16 de junio de cada año.</w:t>
      </w:r>
    </w:p>
    <w:p w:rsidR="00000000" w:rsidRDefault="00000000">
      <w:pPr>
        <w:spacing w:after="240"/>
        <w:ind w:left="924" w:hanging="357"/>
      </w:pPr>
      <w:r>
        <w:t>-</w:t>
      </w:r>
      <w:r>
        <w:tab/>
      </w:r>
      <w:r>
        <w:rPr>
          <w:bCs/>
          <w:i/>
          <w:iCs/>
        </w:rPr>
        <w:t>La Semana Nacional del Niño</w:t>
      </w:r>
      <w:r>
        <w:rPr>
          <w:bCs/>
        </w:rPr>
        <w:t xml:space="preserve">. </w:t>
      </w:r>
      <w:r>
        <w:t xml:space="preserve"> Se celebra todos los años bajo los auspicios del Ministerio de la Familia, el Desarrollo Social y la Solidaridad Nacional y se centra en un tema que reúne a todos los servicios estatales, las asociaciones, las agrupaciones de promoción de la mujer, las ONG y otras instituciones de la sociedad civil orientadas a la protección y la promoción del niño.</w:t>
      </w:r>
    </w:p>
    <w:p w:rsidR="00000000" w:rsidRDefault="00000000">
      <w:pPr>
        <w:spacing w:after="240"/>
        <w:ind w:left="924" w:hanging="357"/>
        <w:rPr>
          <w:bCs/>
        </w:rPr>
      </w:pPr>
      <w:r>
        <w:rPr>
          <w:bCs/>
        </w:rPr>
        <w:t>-</w:t>
      </w:r>
      <w:r>
        <w:rPr>
          <w:bCs/>
        </w:rPr>
        <w:tab/>
      </w:r>
      <w:r>
        <w:rPr>
          <w:i/>
          <w:iCs/>
        </w:rPr>
        <w:t>La Gala de la Infancia</w:t>
      </w:r>
      <w:r>
        <w:t xml:space="preserve">. </w:t>
      </w:r>
      <w:r>
        <w:rPr>
          <w:bCs/>
        </w:rPr>
        <w:t xml:space="preserve"> Se celebra anualmente bajo la presidencia del Jefe del Estado en torno a un tema relacionado con las necesidades expresadas por los niños.  Durante las galas se procede a colectas de fondos para acciones de solidaridad con los niños desfavorecidos.</w:t>
      </w:r>
    </w:p>
    <w:p w:rsidR="00000000" w:rsidRDefault="00000000">
      <w:pPr>
        <w:spacing w:after="240"/>
        <w:ind w:left="924" w:hanging="357"/>
      </w:pPr>
      <w:r>
        <w:t>-</w:t>
      </w:r>
      <w:r>
        <w:tab/>
      </w:r>
      <w:r>
        <w:rPr>
          <w:bCs/>
          <w:i/>
          <w:iCs/>
        </w:rPr>
        <w:t>El Centro de Logopedia</w:t>
      </w:r>
      <w:r>
        <w:rPr>
          <w:bCs/>
        </w:rPr>
        <w:t xml:space="preserve">. </w:t>
      </w:r>
      <w:r>
        <w:t xml:space="preserve"> Destinado a niños con deficiencias concretas, a los que presta apoyo para que reciban atención y servicios adecuados, así como escolarización y formación.</w:t>
      </w:r>
    </w:p>
    <w:p w:rsidR="00000000" w:rsidRDefault="00000000">
      <w:pPr>
        <w:spacing w:after="240"/>
        <w:ind w:left="924" w:hanging="357"/>
        <w:rPr>
          <w:bCs/>
        </w:rPr>
      </w:pPr>
      <w:r>
        <w:rPr>
          <w:bCs/>
        </w:rPr>
        <w:t>-</w:t>
      </w:r>
      <w:r>
        <w:rPr>
          <w:bCs/>
        </w:rPr>
        <w:tab/>
      </w:r>
      <w:r>
        <w:rPr>
          <w:bCs/>
          <w:i/>
          <w:iCs/>
        </w:rPr>
        <w:t>El Parlamento de los Niños</w:t>
      </w:r>
      <w:r>
        <w:rPr>
          <w:bCs/>
        </w:rPr>
        <w:t>.</w:t>
      </w:r>
      <w:r>
        <w:rPr>
          <w:b/>
        </w:rPr>
        <w:t xml:space="preserve">  </w:t>
      </w:r>
      <w:r>
        <w:rPr>
          <w:bCs/>
        </w:rPr>
        <w:t>Creado en 1994 y reconocido en 1997, se prolonga hasta el nivel local.  Realiza diversas actividades que han favorecido la movilización y han permitido a los niños expresar sus propias preocupaciones.</w:t>
      </w:r>
    </w:p>
    <w:p w:rsidR="00000000" w:rsidRDefault="00000000">
      <w:pPr>
        <w:spacing w:after="240"/>
        <w:rPr>
          <w:bCs/>
        </w:rPr>
      </w:pPr>
      <w:r>
        <w:rPr>
          <w:bCs/>
        </w:rPr>
        <w:t>118.</w:t>
      </w:r>
      <w:r>
        <w:rPr>
          <w:bCs/>
        </w:rPr>
        <w:tab/>
        <w:t>En noviembre de 1995, el Comité de los Derechos del Niño recomendó en el párrafo 21 de sus observaciones finales sobre el informe del Senegal que se velara por la participación de los niños en las cuestiones que les afecten y que ese principio se reflejara en la legislación interna.</w:t>
      </w:r>
    </w:p>
    <w:p w:rsidR="00000000" w:rsidRDefault="00000000">
      <w:pPr>
        <w:spacing w:after="240"/>
        <w:rPr>
          <w:bCs/>
        </w:rPr>
      </w:pPr>
      <w:r>
        <w:rPr>
          <w:bCs/>
        </w:rPr>
        <w:t>119.</w:t>
      </w:r>
      <w:r>
        <w:rPr>
          <w:bCs/>
        </w:rPr>
        <w:tab/>
        <w:t>La incorporación en la nueva Constitución de los principios enunciados en la Convención sobre los Derechos del Niño y la evaluación del Parlamento de los Niños para adecuarlo mejor a las disposiciones de la Convención, además de las actividades que ya realiza, contribuyen al cumplimiento de esta recomendación.  A continuación se citan algunos ejemplos.  El Parlamento de los Niños participa en:</w:t>
      </w:r>
    </w:p>
    <w:p w:rsidR="00000000" w:rsidRDefault="00000000">
      <w:pPr>
        <w:spacing w:after="240"/>
        <w:ind w:left="924" w:hanging="357"/>
        <w:rPr>
          <w:bCs/>
        </w:rPr>
      </w:pPr>
      <w:r>
        <w:rPr>
          <w:bCs/>
        </w:rPr>
        <w:t>-</w:t>
      </w:r>
      <w:r>
        <w:rPr>
          <w:bCs/>
        </w:rPr>
        <w:tab/>
        <w:t>Las reuniones anuales de la Asamblea Nacional;</w:t>
      </w:r>
    </w:p>
    <w:p w:rsidR="00000000" w:rsidRDefault="00000000">
      <w:pPr>
        <w:spacing w:after="240"/>
        <w:ind w:left="924" w:hanging="357"/>
        <w:rPr>
          <w:bCs/>
        </w:rPr>
      </w:pPr>
      <w:r>
        <w:rPr>
          <w:bCs/>
        </w:rPr>
        <w:t>-</w:t>
      </w:r>
      <w:r>
        <w:rPr>
          <w:bCs/>
        </w:rPr>
        <w:tab/>
        <w:t>Al igual que en las reuniones anuales del Consejo Económico y Social, durante las que se formulaban preguntas a los ministros de la República ante los diputados e invitados (sociedad civil) sobre la promesa realizada a los niños y sobre la obligación de respetar la Convención, el Parlamento de los Niños aportará su contribución y formulará preguntas en las sesiones del Alto Consejo de la República;</w:t>
      </w:r>
    </w:p>
    <w:p w:rsidR="00000000" w:rsidRDefault="00000000">
      <w:pPr>
        <w:spacing w:after="240"/>
        <w:ind w:left="924" w:hanging="357"/>
        <w:rPr>
          <w:bCs/>
        </w:rPr>
      </w:pPr>
      <w:r>
        <w:rPr>
          <w:bCs/>
        </w:rPr>
        <w:t>-</w:t>
      </w:r>
      <w:r>
        <w:rPr>
          <w:bCs/>
        </w:rPr>
        <w:tab/>
        <w:t>Como miembro del Consejo Nacional de la Juventud, participa en la organización de la Semana Nacional de la Juventud y la Cultura y en todas las actividades de interés nacional:  reforestación, inversión en recursos humanos, lucha contra las enfermedades, campañas de vacunación, campañas de divulgación y de sensibilización sobre los derechos del niño (emisiones, charlas, asistencia a niños en situación de riesgo, apadrinamiento, etc.).</w:t>
      </w:r>
    </w:p>
    <w:p w:rsidR="00000000" w:rsidRDefault="00000000">
      <w:pPr>
        <w:spacing w:after="240"/>
        <w:rPr>
          <w:bCs/>
        </w:rPr>
      </w:pPr>
      <w:r>
        <w:rPr>
          <w:bCs/>
        </w:rPr>
        <w:t>120.</w:t>
      </w:r>
      <w:r>
        <w:rPr>
          <w:bCs/>
        </w:rPr>
        <w:tab/>
        <w:t>Es importante destacar que el Parlamento de los Niños tiene previsto elaborar un plan de acción cuyos objetivos son, entre otros, los siguientes:</w:t>
      </w:r>
    </w:p>
    <w:p w:rsidR="00000000" w:rsidRDefault="00000000">
      <w:pPr>
        <w:spacing w:after="240"/>
        <w:ind w:left="924" w:hanging="357"/>
        <w:rPr>
          <w:bCs/>
        </w:rPr>
      </w:pPr>
      <w:r>
        <w:rPr>
          <w:bCs/>
        </w:rPr>
        <w:t>-</w:t>
      </w:r>
      <w:r>
        <w:rPr>
          <w:bCs/>
        </w:rPr>
        <w:tab/>
        <w:t>La realización de una campaña sobre la aplicación de los derechos del niño y la atención a las niñas de la calle, cuyo número aumenta visiblemente, situación que se debería estudiar y circunscribir mejor para encontrar soluciones inmediatas.</w:t>
      </w:r>
    </w:p>
    <w:p w:rsidR="00000000" w:rsidRDefault="00000000">
      <w:pPr>
        <w:spacing w:after="240"/>
        <w:ind w:left="924" w:hanging="357"/>
      </w:pPr>
      <w:r>
        <w:rPr>
          <w:bCs/>
        </w:rPr>
        <w:t>-</w:t>
      </w:r>
      <w:r>
        <w:rPr>
          <w:bCs/>
        </w:rPr>
        <w:tab/>
        <w:t>La elaboración de proyectos de apoyo para niños en situación de riesgo, mediante la creación de centros de acogida con ciclos de aprendizaje en las regiones que registran una tasa muy elevada de niños desocupados.  Por ejemplo, proyectos en las regiones de</w:t>
      </w:r>
      <w:r>
        <w:t xml:space="preserve"> </w:t>
      </w:r>
      <w:proofErr w:type="spellStart"/>
      <w:r>
        <w:t>Tambacounda</w:t>
      </w:r>
      <w:proofErr w:type="spellEnd"/>
      <w:r>
        <w:t xml:space="preserve"> en </w:t>
      </w:r>
      <w:proofErr w:type="spellStart"/>
      <w:r>
        <w:t>Bakel</w:t>
      </w:r>
      <w:proofErr w:type="spellEnd"/>
      <w:r>
        <w:t xml:space="preserve">, </w:t>
      </w:r>
      <w:proofErr w:type="spellStart"/>
      <w:r>
        <w:t>Thiès</w:t>
      </w:r>
      <w:proofErr w:type="spellEnd"/>
      <w:r>
        <w:t xml:space="preserve">, Saint-Louis y </w:t>
      </w:r>
      <w:proofErr w:type="spellStart"/>
      <w:r>
        <w:t>Matam</w:t>
      </w:r>
      <w:proofErr w:type="spellEnd"/>
      <w:r>
        <w:t xml:space="preserve">, en los que se debería integrar una región como </w:t>
      </w:r>
      <w:proofErr w:type="spellStart"/>
      <w:r>
        <w:t>Kolda</w:t>
      </w:r>
      <w:proofErr w:type="spellEnd"/>
      <w:r>
        <w:t>.</w:t>
      </w:r>
    </w:p>
    <w:p w:rsidR="00000000" w:rsidRDefault="00000000">
      <w:pPr>
        <w:spacing w:after="240"/>
        <w:ind w:left="924" w:hanging="357"/>
        <w:rPr>
          <w:bCs/>
        </w:rPr>
      </w:pPr>
      <w:r>
        <w:rPr>
          <w:bCs/>
        </w:rPr>
        <w:t>-</w:t>
      </w:r>
      <w:r>
        <w:rPr>
          <w:bCs/>
        </w:rPr>
        <w:tab/>
        <w:t>La elaboración de estrategias para la reabsorción de la pérdida escolar, entre las que figura la reciente decisión adoptada en 2003 por el Ministerio de Educación Nacional de disminuir la tasa de repetición en la enseñanza elemental de 17 a 10%, paso muy positivo en espera de que se logre eliminar la repetición en ese ciclo, como sucede en Inglaterra.</w:t>
      </w:r>
    </w:p>
    <w:p w:rsidR="00000000" w:rsidRDefault="00000000">
      <w:pPr>
        <w:spacing w:after="240"/>
        <w:ind w:left="924" w:hanging="357"/>
        <w:rPr>
          <w:bCs/>
        </w:rPr>
      </w:pPr>
      <w:r>
        <w:rPr>
          <w:bCs/>
        </w:rPr>
        <w:t>-</w:t>
      </w:r>
      <w:r>
        <w:rPr>
          <w:bCs/>
        </w:rPr>
        <w:tab/>
        <w:t>La formulación de propuestas sobre el contenido y la puesta en funcionamiento del Servicio Civil Nacional.</w:t>
      </w:r>
    </w:p>
    <w:p w:rsidR="00000000" w:rsidRDefault="00000000">
      <w:pPr>
        <w:spacing w:after="240"/>
        <w:ind w:left="924" w:hanging="357"/>
        <w:rPr>
          <w:bCs/>
        </w:rPr>
      </w:pPr>
      <w:r>
        <w:rPr>
          <w:bCs/>
        </w:rPr>
        <w:t>-</w:t>
      </w:r>
      <w:r>
        <w:rPr>
          <w:bCs/>
        </w:rPr>
        <w:tab/>
        <w:t>La creación de una red de asociación con las instituciones de la República, las ONG, las asociaciones, los grupos de promoción de la mujer, las colectividades locales, etc.</w:t>
      </w:r>
    </w:p>
    <w:p w:rsidR="00000000" w:rsidRDefault="00000000">
      <w:pPr>
        <w:spacing w:after="240"/>
        <w:ind w:left="924" w:hanging="357"/>
        <w:rPr>
          <w:bCs/>
        </w:rPr>
      </w:pPr>
      <w:r>
        <w:rPr>
          <w:bCs/>
        </w:rPr>
        <w:t>-</w:t>
      </w:r>
      <w:r>
        <w:rPr>
          <w:bCs/>
        </w:rPr>
        <w:tab/>
        <w:t xml:space="preserve">El intercambio entre Parlamentos de los Niños de la </w:t>
      </w:r>
      <w:proofErr w:type="spellStart"/>
      <w:r>
        <w:rPr>
          <w:bCs/>
        </w:rPr>
        <w:t>subregión</w:t>
      </w:r>
      <w:proofErr w:type="spellEnd"/>
      <w:r>
        <w:rPr>
          <w:bCs/>
        </w:rPr>
        <w:t>, de África y del mundo para lograr la integración y el acercamiento de los pueblos en torno a las nociones de paz, comprensión, tolerancia y desarrollo equitativo.  En diciembre de 1999 se celebró un encuentro sobre este tema con motivo de la Semana Nacional de la Infancia bajo los auspicios del Ministerio de la Familia, el Desarrollo Social y la Solidaridad Nacional.</w:t>
      </w:r>
    </w:p>
    <w:p w:rsidR="00000000" w:rsidRDefault="00000000">
      <w:pPr>
        <w:spacing w:after="240"/>
        <w:ind w:left="924" w:hanging="357"/>
        <w:rPr>
          <w:bCs/>
        </w:rPr>
      </w:pPr>
      <w:r>
        <w:rPr>
          <w:bCs/>
        </w:rPr>
        <w:t>-</w:t>
      </w:r>
      <w:r>
        <w:rPr>
          <w:bCs/>
        </w:rPr>
        <w:tab/>
      </w:r>
      <w:r>
        <w:rPr>
          <w:bCs/>
          <w:i/>
          <w:iCs/>
        </w:rPr>
        <w:t>La Comisaría de Derechos Humanos</w:t>
      </w:r>
      <w:r>
        <w:rPr>
          <w:bCs/>
        </w:rPr>
        <w:t>.  Creada tras la última alternancia de las instituciones y presidida por un ministro consejero del Presidente de la República, es la autoridad moral suprema en promoción y protección de los derechos humanos.  En su mandato figuran funciones concretas sobre los derechos del niño.</w:t>
      </w:r>
    </w:p>
    <w:p w:rsidR="00000000" w:rsidRDefault="00000000">
      <w:pPr>
        <w:spacing w:after="240"/>
        <w:ind w:left="924" w:hanging="357"/>
      </w:pPr>
      <w:r>
        <w:t>-</w:t>
      </w:r>
      <w:r>
        <w:tab/>
      </w:r>
      <w:r>
        <w:rPr>
          <w:bCs/>
          <w:i/>
          <w:iCs/>
        </w:rPr>
        <w:t>La Comisión Interministerial de Derechos Humanos</w:t>
      </w:r>
      <w:r>
        <w:rPr>
          <w:bCs/>
        </w:rPr>
        <w:t>.</w:t>
      </w:r>
      <w:r>
        <w:t xml:space="preserve">  Creada por el Decreto Nº 2001</w:t>
      </w:r>
      <w:r>
        <w:noBreakHyphen/>
        <w:t>275 de 10 de abril de 2001, está formada por representantes de todos los ministerios competentes en materia de derechos humanos.</w:t>
      </w:r>
    </w:p>
    <w:p w:rsidR="00000000" w:rsidRDefault="00000000">
      <w:pPr>
        <w:spacing w:after="240"/>
        <w:ind w:left="924" w:hanging="357"/>
        <w:rPr>
          <w:bCs/>
        </w:rPr>
      </w:pPr>
      <w:r>
        <w:rPr>
          <w:bCs/>
        </w:rPr>
        <w:t>-</w:t>
      </w:r>
      <w:r>
        <w:rPr>
          <w:bCs/>
        </w:rPr>
        <w:tab/>
      </w:r>
      <w:r>
        <w:rPr>
          <w:i/>
          <w:iCs/>
        </w:rPr>
        <w:t>La Delegación de Derechos Humanos</w:t>
      </w:r>
      <w:r>
        <w:t xml:space="preserve">. </w:t>
      </w:r>
      <w:r>
        <w:rPr>
          <w:bCs/>
        </w:rPr>
        <w:t xml:space="preserve"> Creada por decreto en abril de 2001 y adscrita a la Presidencia, recibe, tramita y presenta al Presidente todas las reclamaciones de personas físicas o jurídicas relativas a los derechos humanos o al derecho humanitario internacional.  Actúa como secretaría permanente de la Comisión Interministerial de Derechos Humanos.</w:t>
      </w:r>
    </w:p>
    <w:p w:rsidR="00000000" w:rsidRDefault="00000000">
      <w:pPr>
        <w:spacing w:after="240"/>
        <w:ind w:left="924" w:hanging="357"/>
        <w:rPr>
          <w:bCs/>
        </w:rPr>
      </w:pPr>
      <w:r>
        <w:t>-</w:t>
      </w:r>
      <w:r>
        <w:tab/>
      </w:r>
      <w:r>
        <w:rPr>
          <w:bCs/>
          <w:i/>
          <w:iCs/>
        </w:rPr>
        <w:t>Las colectividades locales</w:t>
      </w:r>
      <w:r>
        <w:rPr>
          <w:bCs/>
        </w:rPr>
        <w:t>.  Los consejos rurales, municipales y regionales, desempeñan funciones y realizan actividades en favor de los niños, tanto en la esfera de la salud y de la nutrición, como en la de la educación, las actividades recreativas y la cultura.  Sus presupuestos comprenden o deben comprender partidas especiales para los niños.</w:t>
      </w:r>
    </w:p>
    <w:p w:rsidR="00000000" w:rsidRDefault="00000000">
      <w:pPr>
        <w:spacing w:after="240"/>
        <w:ind w:left="924" w:hanging="357"/>
      </w:pPr>
      <w:r>
        <w:rPr>
          <w:bCs/>
        </w:rPr>
        <w:t>-</w:t>
      </w:r>
      <w:r>
        <w:rPr>
          <w:bCs/>
        </w:rPr>
        <w:tab/>
      </w:r>
      <w:r>
        <w:rPr>
          <w:i/>
          <w:iCs/>
        </w:rPr>
        <w:t>Las ONG especializadas en la infancia</w:t>
      </w:r>
      <w:r>
        <w:rPr>
          <w:bCs/>
        </w:rPr>
        <w:t xml:space="preserve">, como </w:t>
      </w:r>
      <w:proofErr w:type="spellStart"/>
      <w:r>
        <w:t>ASREDIF</w:t>
      </w:r>
      <w:proofErr w:type="spellEnd"/>
      <w:r>
        <w:t xml:space="preserve">, </w:t>
      </w:r>
      <w:proofErr w:type="spellStart"/>
      <w:r>
        <w:t>ENDA</w:t>
      </w:r>
      <w:proofErr w:type="spellEnd"/>
      <w:r>
        <w:t xml:space="preserve"> Acción Juvenil, </w:t>
      </w:r>
      <w:proofErr w:type="spellStart"/>
      <w:r>
        <w:t>DEI</w:t>
      </w:r>
      <w:proofErr w:type="spellEnd"/>
      <w:r>
        <w:t xml:space="preserve">, Futuro del Niño, Esperanza sin Fronteras, Fundación </w:t>
      </w:r>
      <w:proofErr w:type="spellStart"/>
      <w:r>
        <w:t>Ebert</w:t>
      </w:r>
      <w:proofErr w:type="spellEnd"/>
      <w:r>
        <w:t xml:space="preserve">, Centro Emmanuel, Plan Internacional y </w:t>
      </w:r>
      <w:proofErr w:type="spellStart"/>
      <w:r>
        <w:t>Save</w:t>
      </w:r>
      <w:proofErr w:type="spellEnd"/>
      <w:r>
        <w:t xml:space="preserve"> </w:t>
      </w:r>
      <w:proofErr w:type="spellStart"/>
      <w:r>
        <w:t>The</w:t>
      </w:r>
      <w:proofErr w:type="spellEnd"/>
      <w:r>
        <w:t xml:space="preserve"> </w:t>
      </w:r>
      <w:proofErr w:type="spellStart"/>
      <w:r>
        <w:t>Children</w:t>
      </w:r>
      <w:proofErr w:type="spellEnd"/>
      <w:r>
        <w:t xml:space="preserve"> Suecia, desempeñan también una importante función y despliegan actividades determinantes en lo que respecta a la supervivencia, el desarrollo, la protección y la promoción del niño.</w:t>
      </w:r>
    </w:p>
    <w:p w:rsidR="00000000" w:rsidRDefault="00000000">
      <w:pPr>
        <w:spacing w:after="240"/>
      </w:pPr>
      <w:r>
        <w:t>121.</w:t>
      </w:r>
      <w:r>
        <w:tab/>
        <w:t>Convendría también mencionar las numerosas actividades y gestiones de apoyo y acompañamiento realizadas por el Ministerio de la Familia, el Desarrollo Social y la Solidaridad Nacional y el UNICEF para sacar a los niños de situaciones difíciles y permitirles llevar una vida digna.  El UNICEF recibe periódicamente desde hace algunos años cartas de solicitud de apoyo y de testimonio o reconocimiento de niños en situaciones difíciles (esos documentos están disponibles en la oficina del UNICEF en Dakar).</w:t>
      </w:r>
    </w:p>
    <w:p w:rsidR="00000000" w:rsidRDefault="00000000">
      <w:pPr>
        <w:spacing w:after="240"/>
      </w:pPr>
      <w:r>
        <w:t>122.</w:t>
      </w:r>
      <w:r>
        <w:tab/>
        <w:t>La coordinación del conjunto de sus actividades, programas y tareas ha contribuido indudablemente a que se consigan los siguientes resultados.</w:t>
      </w:r>
    </w:p>
    <w:p w:rsidR="00000000" w:rsidRDefault="00000000">
      <w:pPr>
        <w:spacing w:after="240"/>
      </w:pPr>
      <w:r>
        <w:t>123.</w:t>
      </w:r>
      <w:r>
        <w:tab/>
        <w:t>La escolarización de las niñas ha aumentado del 45% en 1994 al 55% en 1995.  La tasa de escolarización pasó del 59,9% en 1996/97 al 61,7% en 1997/98 y llegó al 65,5% en 1998/99.  Aunque en 1999/2000 se registró una baja considerable que situó la tasa en el 58,1%, su ritmo de progresión se ha mantenido gracias a los esfuerzos conjugados de todas las partes (Estado, colectividades locales, padres, asociaciones, grupos de promoción de la mujer y ONG).  En 2003/04 la tasa era del 75,8%.</w:t>
      </w:r>
    </w:p>
    <w:p w:rsidR="00000000" w:rsidRDefault="00000000">
      <w:pPr>
        <w:spacing w:after="240"/>
      </w:pPr>
      <w:r>
        <w:t>124.</w:t>
      </w:r>
      <w:r>
        <w:tab/>
        <w:t>Se debe subrayar que, aunque es esencial destacar la progresión constante y continua de la tasa de escolarización, también es elevado el número de niños que escapan al sistema escolar oficial.</w:t>
      </w:r>
    </w:p>
    <w:p w:rsidR="00000000" w:rsidRDefault="00000000">
      <w:pPr>
        <w:spacing w:after="240"/>
      </w:pPr>
      <w:r>
        <w:t>125.</w:t>
      </w:r>
      <w:r>
        <w:tab/>
        <w:t xml:space="preserve">La Fundación </w:t>
      </w:r>
      <w:proofErr w:type="spellStart"/>
      <w:r>
        <w:t>Paul</w:t>
      </w:r>
      <w:proofErr w:type="spellEnd"/>
      <w:r>
        <w:t xml:space="preserve"> </w:t>
      </w:r>
      <w:proofErr w:type="spellStart"/>
      <w:r>
        <w:t>Gérin</w:t>
      </w:r>
      <w:proofErr w:type="spellEnd"/>
      <w:r>
        <w:t xml:space="preserve"> </w:t>
      </w:r>
      <w:proofErr w:type="spellStart"/>
      <w:r>
        <w:t>LAJOIE</w:t>
      </w:r>
      <w:proofErr w:type="spellEnd"/>
      <w:r>
        <w:t xml:space="preserve">, consciente de esa situación y resuelta a aportar una contribución decisiva, ha elaborado y comenzado a poner en práctica con el apoyo de la Agencia Canadiense de Desarrollo Internacional (ACDI) un programa de ayuda a los </w:t>
      </w:r>
      <w:proofErr w:type="spellStart"/>
      <w:r>
        <w:rPr>
          <w:i/>
          <w:iCs/>
        </w:rPr>
        <w:t>talibés</w:t>
      </w:r>
      <w:proofErr w:type="spellEnd"/>
      <w:r>
        <w:t xml:space="preserve"> que se dedican a la mendicidad, en el que se invertirá anualmente, durante cinco años, 1 millón de dólares canadienses.  Ese programa incluye un importante apartado de formación profesional para la inserción.</w:t>
      </w:r>
    </w:p>
    <w:p w:rsidR="00000000" w:rsidRDefault="00000000">
      <w:pPr>
        <w:spacing w:after="240"/>
      </w:pPr>
      <w:r>
        <w:t>126.</w:t>
      </w:r>
      <w:r>
        <w:tab/>
        <w:t xml:space="preserve">La UNESCO prevé prestar apoyo durante los tres próximos años al programa de escuelas de aprendizaje práctico de </w:t>
      </w:r>
      <w:proofErr w:type="spellStart"/>
      <w:r>
        <w:t>Guéoul</w:t>
      </w:r>
      <w:proofErr w:type="spellEnd"/>
      <w:r>
        <w:t xml:space="preserve"> para integrar la formación profesional en los estudios de los </w:t>
      </w:r>
      <w:proofErr w:type="spellStart"/>
      <w:r>
        <w:rPr>
          <w:i/>
          <w:iCs/>
        </w:rPr>
        <w:t>talibés</w:t>
      </w:r>
      <w:proofErr w:type="spellEnd"/>
      <w:r>
        <w:t xml:space="preserve"> y fomentar su inserción en el tejido económico a través de empresas colectivas una vez finalizada la formación:</w:t>
      </w:r>
    </w:p>
    <w:p w:rsidR="00000000" w:rsidRDefault="00000000">
      <w:pPr>
        <w:spacing w:after="240"/>
        <w:ind w:left="924" w:hanging="357"/>
        <w:rPr>
          <w:bCs/>
        </w:rPr>
      </w:pPr>
      <w:r>
        <w:rPr>
          <w:b/>
          <w:bCs/>
        </w:rPr>
        <w:t>-</w:t>
      </w:r>
      <w:r>
        <w:rPr>
          <w:b/>
          <w:bCs/>
        </w:rPr>
        <w:tab/>
      </w:r>
      <w:r>
        <w:rPr>
          <w:i/>
          <w:iCs/>
        </w:rPr>
        <w:t>El Tribunal de Menores</w:t>
      </w:r>
      <w:r>
        <w:t xml:space="preserve">. </w:t>
      </w:r>
      <w:r>
        <w:rPr>
          <w:bCs/>
        </w:rPr>
        <w:t xml:space="preserve"> En los tribunales regionales de cada región (11) hay un tribunal de menores compuesto por un juez de instrucción encargado de las cuestiones de menores y un fiscal especialmente adscrito a ese tribunal.  El tribunal es competente en materia de infracciones cometidas por menores y de asistencia educativa.</w:t>
      </w:r>
    </w:p>
    <w:p w:rsidR="00000000" w:rsidRDefault="00000000">
      <w:pPr>
        <w:spacing w:after="240"/>
        <w:ind w:left="924" w:hanging="357"/>
      </w:pPr>
      <w:r>
        <w:rPr>
          <w:b/>
          <w:bCs/>
        </w:rPr>
        <w:t>-</w:t>
      </w:r>
      <w:r>
        <w:rPr>
          <w:b/>
          <w:bCs/>
        </w:rPr>
        <w:tab/>
      </w:r>
      <w:r>
        <w:rPr>
          <w:i/>
          <w:iCs/>
        </w:rPr>
        <w:t>En el Tribunal de Apelación</w:t>
      </w:r>
      <w:r>
        <w:t>, una sala especial</w:t>
      </w:r>
      <w:r>
        <w:rPr>
          <w:b/>
          <w:bCs/>
        </w:rPr>
        <w:t xml:space="preserve"> </w:t>
      </w:r>
      <w:r>
        <w:t>se encarga de conocer y tramitar los recursos incoados por menores.  También existe una brigada especial de policía de menores, encabezada por un comisario nombrado por circular ministerial.</w:t>
      </w:r>
    </w:p>
    <w:p w:rsidR="00000000" w:rsidRDefault="00000000">
      <w:pPr>
        <w:spacing w:after="240"/>
      </w:pPr>
      <w:r>
        <w:t>127.</w:t>
      </w:r>
      <w:r>
        <w:tab/>
        <w:t>Estos tribunales y esta brigada de policía dan preferencia a las medidas de tipo educativo (colocación familiar, escolar o profesional) para los niños en situaciones difíciles.</w:t>
      </w:r>
    </w:p>
    <w:p w:rsidR="00000000" w:rsidRDefault="00000000">
      <w:pPr>
        <w:spacing w:after="240"/>
      </w:pPr>
      <w:r>
        <w:t>128.</w:t>
      </w:r>
      <w:r>
        <w:tab/>
        <w:t>En los casos extremos que conducen a la privación de libertad, los menores son sistemáticamente separados de los detenidos adultos.</w:t>
      </w:r>
    </w:p>
    <w:p w:rsidR="00000000" w:rsidRDefault="00000000">
      <w:pPr>
        <w:spacing w:after="240"/>
      </w:pPr>
      <w:r>
        <w:t>129.</w:t>
      </w:r>
      <w:r>
        <w:tab/>
        <w:t>Sin embargo, se debería reavivar el cuerpo de asistentes sociales, que casi ha desaparecido, para que desempeñe una función importante como uno de los nuevos oficios que servirán para ocuparse mejor de los niños de uno u otro sexo.</w:t>
      </w:r>
    </w:p>
    <w:p w:rsidR="00000000" w:rsidRDefault="00000000">
      <w:pPr>
        <w:spacing w:after="240"/>
      </w:pPr>
      <w:r>
        <w:t>130.</w:t>
      </w:r>
      <w:r>
        <w:tab/>
        <w:t>El apoyo de organizaciones como la Oficina Internacional Católica de la Infancia (</w:t>
      </w:r>
      <w:proofErr w:type="spellStart"/>
      <w:r>
        <w:t>OICI</w:t>
      </w:r>
      <w:proofErr w:type="spellEnd"/>
      <w:r>
        <w:t>), Defensa de los Niños-Movimiento Internacional (</w:t>
      </w:r>
      <w:proofErr w:type="spellStart"/>
      <w:r>
        <w:t>DEI</w:t>
      </w:r>
      <w:proofErr w:type="spellEnd"/>
      <w:r>
        <w:t>), Medio Ambiente y Desarrollo del Tercer Mundo (</w:t>
      </w:r>
      <w:proofErr w:type="spellStart"/>
      <w:r>
        <w:t>ENDA</w:t>
      </w:r>
      <w:proofErr w:type="spellEnd"/>
      <w:r>
        <w:t xml:space="preserve">), el Observatorio de las Prisiones, </w:t>
      </w:r>
      <w:proofErr w:type="spellStart"/>
      <w:r>
        <w:t>RADDHO</w:t>
      </w:r>
      <w:proofErr w:type="spellEnd"/>
      <w:r>
        <w:t>, Escolares del Mundo y Plan Internacional ha facilitado la aplicación de disposiciones prácticas.</w:t>
      </w:r>
    </w:p>
    <w:p w:rsidR="00000000" w:rsidRDefault="00000000">
      <w:pPr>
        <w:spacing w:after="240"/>
      </w:pPr>
      <w:r>
        <w:t>131.</w:t>
      </w:r>
      <w:r>
        <w:tab/>
        <w:t>Esos avances han aprovechado un entorno favorable marcado por la voluntad política de conseguir una mejor protección de los niños (tema de la inauguración del año judicial de 1998/99), la celebración de algunas reuniones (el seminario africano organizado en enero de 1997 por Defensa de los Niños-Movimiento Internacional sobre los niños en conflicto con la ley y el seminario del Centro de Formación Judicial sobre la justicia de menores celebrado en abril de 1999) y la incorporación en la nueva Constitución del Senegal de la Convención sobre los Derechos del Niño y de la Convención sobre la eliminación de la discriminación contra la mujer.</w:t>
      </w:r>
    </w:p>
    <w:p w:rsidR="00000000" w:rsidRDefault="00000000">
      <w:pPr>
        <w:spacing w:after="240"/>
      </w:pPr>
      <w:r>
        <w:t>132.</w:t>
      </w:r>
      <w:r>
        <w:tab/>
        <w:t>Durante el examen en noviembre de 1995 del informe del Senegal, el Comité de los Derechos del Niño recomendó en el párrafo 19 que se realizaran sistemáticamente actividades de formación sobre la Convención para grupos profesionales que trabajan con y para los niños y que se sensibilizara a las autoridades religiosas y comunitarias al concepto de los derechos del niño.</w:t>
      </w:r>
    </w:p>
    <w:p w:rsidR="00000000" w:rsidRDefault="00000000">
      <w:pPr>
        <w:spacing w:after="240"/>
      </w:pPr>
      <w:r>
        <w:t>133.</w:t>
      </w:r>
      <w:r>
        <w:tab/>
        <w:t>Además de las sesiones mencionadas (</w:t>
      </w:r>
      <w:proofErr w:type="spellStart"/>
      <w:r>
        <w:t>párr.</w:t>
      </w:r>
      <w:proofErr w:type="spellEnd"/>
      <w:r>
        <w:t xml:space="preserve"> 82) de formación y de sensibilización para parlamentarios que tienen por objeto obtener su apoyo para la próxima elaboración del Código de la Infancia y la aplicación de un amplio programa de defensa y presión que permita lograr la aplicación efectiva y plena de la Convención y la apropiación del </w:t>
      </w:r>
      <w:r>
        <w:rPr>
          <w:bCs/>
        </w:rPr>
        <w:t>concepto de los derechos del niño</w:t>
      </w:r>
      <w:r>
        <w:rPr>
          <w:b/>
        </w:rPr>
        <w:t xml:space="preserve"> </w:t>
      </w:r>
      <w:r>
        <w:t>por todos los órganos del Estado, las colectividades locales y todos los sectores de la sociedad, las actividades que se describen a continuación ponen de manifiesto la firme voluntad del Estado de poner en práctica esas dos recomendaciones.</w:t>
      </w:r>
    </w:p>
    <w:p w:rsidR="00000000" w:rsidRDefault="00000000">
      <w:pPr>
        <w:spacing w:after="240"/>
      </w:pPr>
      <w:r>
        <w:t>134.</w:t>
      </w:r>
      <w:r>
        <w:tab/>
        <w:t>Los grupos profesionales que se ocupan de esta categoría de niños han recibido cierta formación en la materia (talleres de formación organizados por Defensa de los Niños</w:t>
      </w:r>
      <w:r>
        <w:noBreakHyphen/>
        <w:t>Movimiento Internacional para trabajadores sociales, personal de seguridad y de la administración penitenciaria, y magistrados).</w:t>
      </w:r>
    </w:p>
    <w:p w:rsidR="00000000" w:rsidRDefault="00000000">
      <w:pPr>
        <w:spacing w:after="240"/>
      </w:pPr>
      <w:r>
        <w:t>135.</w:t>
      </w:r>
      <w:r>
        <w:tab/>
        <w:t>El Centro de Formación Jurídica de la Escuela Nacional de Administración y Magistratura organiza cursos sobre los derechos del niño dirigidos a futuros magistrados y profesionales del sector.</w:t>
      </w:r>
    </w:p>
    <w:p w:rsidR="00000000" w:rsidRDefault="00000000">
      <w:pPr>
        <w:spacing w:after="240"/>
      </w:pPr>
      <w:r>
        <w:t>136.</w:t>
      </w:r>
      <w:r>
        <w:tab/>
        <w:t>La Dirección de la educación supervisada ha preparado un plan de acción sobre educación supervisada para la primera infancia.</w:t>
      </w:r>
    </w:p>
    <w:p w:rsidR="00000000" w:rsidRDefault="00000000">
      <w:pPr>
        <w:spacing w:after="240"/>
      </w:pPr>
      <w:r>
        <w:t>137.</w:t>
      </w:r>
      <w:r>
        <w:tab/>
        <w:t xml:space="preserve">Tanto en el plano estatal como en todas las estructuras especializadas (públicas y privadas) se ha reconocido y puesto en práctica el principio de que se necesitan respuestas de tipo </w:t>
      </w:r>
      <w:proofErr w:type="spellStart"/>
      <w:r>
        <w:t>psicosocial</w:t>
      </w:r>
      <w:proofErr w:type="spellEnd"/>
      <w:r>
        <w:t xml:space="preserve"> para hacer frente al maltrato, la violencia y las conductas anormales.</w:t>
      </w:r>
    </w:p>
    <w:p w:rsidR="00000000" w:rsidRDefault="00000000">
      <w:pPr>
        <w:spacing w:after="240"/>
      </w:pPr>
      <w:r>
        <w:t>138.</w:t>
      </w:r>
      <w:r>
        <w:tab/>
        <w:t>Algunos magistrados senegaleses han obtenido becas de cooperación internacional para recibir formación técnica en universidades europeas (Francia) sobre los derechos del niño.</w:t>
      </w:r>
    </w:p>
    <w:p w:rsidR="00000000" w:rsidRDefault="00000000">
      <w:pPr>
        <w:spacing w:after="240"/>
      </w:pPr>
      <w:r>
        <w:t>139.</w:t>
      </w:r>
      <w:r>
        <w:tab/>
        <w:t xml:space="preserve">Los estudios realizados por Defensa de los Niños-Movimiento Internacional, Educación Mundial, </w:t>
      </w:r>
      <w:proofErr w:type="spellStart"/>
      <w:r>
        <w:t>CONGAD</w:t>
      </w:r>
      <w:proofErr w:type="spellEnd"/>
      <w:r>
        <w:t xml:space="preserve">, Plan Internacional, la Fundación </w:t>
      </w:r>
      <w:proofErr w:type="spellStart"/>
      <w:r>
        <w:t>Paul</w:t>
      </w:r>
      <w:proofErr w:type="spellEnd"/>
      <w:r>
        <w:t xml:space="preserve"> </w:t>
      </w:r>
      <w:proofErr w:type="spellStart"/>
      <w:r>
        <w:t>Gérin</w:t>
      </w:r>
      <w:proofErr w:type="spellEnd"/>
      <w:r>
        <w:t xml:space="preserve"> </w:t>
      </w:r>
      <w:proofErr w:type="spellStart"/>
      <w:r>
        <w:t>LAJOIE</w:t>
      </w:r>
      <w:proofErr w:type="spellEnd"/>
      <w:r>
        <w:t xml:space="preserve">, </w:t>
      </w:r>
      <w:proofErr w:type="spellStart"/>
      <w:r>
        <w:t>Save</w:t>
      </w:r>
      <w:proofErr w:type="spellEnd"/>
      <w:r>
        <w:t xml:space="preserve"> </w:t>
      </w:r>
      <w:proofErr w:type="spellStart"/>
      <w:r>
        <w:t>The</w:t>
      </w:r>
      <w:proofErr w:type="spellEnd"/>
      <w:r>
        <w:t xml:space="preserve"> </w:t>
      </w:r>
      <w:proofErr w:type="spellStart"/>
      <w:r>
        <w:t>Children</w:t>
      </w:r>
      <w:proofErr w:type="spellEnd"/>
      <w:r>
        <w:t xml:space="preserve"> Suecia y el Ministerio de la Familia, el Desarrollo Social y la Solidaridad Nacional sobre esta categoría de niños en las regiones de Dakar, Saint-Louis, </w:t>
      </w:r>
      <w:proofErr w:type="spellStart"/>
      <w:r>
        <w:t>Matam</w:t>
      </w:r>
      <w:proofErr w:type="spellEnd"/>
      <w:r>
        <w:t xml:space="preserve">, </w:t>
      </w:r>
      <w:proofErr w:type="spellStart"/>
      <w:r>
        <w:t>Thiès</w:t>
      </w:r>
      <w:proofErr w:type="spellEnd"/>
      <w:r>
        <w:t xml:space="preserve">, </w:t>
      </w:r>
      <w:proofErr w:type="spellStart"/>
      <w:r>
        <w:t>Diourbel</w:t>
      </w:r>
      <w:proofErr w:type="spellEnd"/>
      <w:r>
        <w:t xml:space="preserve">, </w:t>
      </w:r>
      <w:proofErr w:type="spellStart"/>
      <w:r>
        <w:t>Kaolack</w:t>
      </w:r>
      <w:proofErr w:type="spellEnd"/>
      <w:r>
        <w:t xml:space="preserve">, </w:t>
      </w:r>
      <w:proofErr w:type="spellStart"/>
      <w:r>
        <w:t>Kolda</w:t>
      </w:r>
      <w:proofErr w:type="spellEnd"/>
      <w:r>
        <w:t>, Ziguinchor y Tamba han permitido lanzar en gran parte la reflexión sobre las características y necesidades de los niños en conflicto con la ley o en situaciones de riesgo.</w:t>
      </w:r>
    </w:p>
    <w:p w:rsidR="00000000" w:rsidRDefault="00000000">
      <w:pPr>
        <w:spacing w:after="240"/>
        <w:rPr>
          <w:b/>
          <w:bCs/>
        </w:rPr>
      </w:pPr>
      <w:r>
        <w:rPr>
          <w:b/>
          <w:bCs/>
        </w:rPr>
        <w:t>1.5.</w:t>
      </w:r>
      <w:r>
        <w:rPr>
          <w:b/>
          <w:bCs/>
        </w:rPr>
        <w:tab/>
        <w:t>Contribución de la cooperación internacional</w:t>
      </w:r>
    </w:p>
    <w:p w:rsidR="00000000" w:rsidRDefault="00000000">
      <w:pPr>
        <w:spacing w:after="240"/>
      </w:pPr>
      <w:r>
        <w:t>140.</w:t>
      </w:r>
      <w:r>
        <w:tab/>
        <w:t xml:space="preserve">Todavía no se dispone en el Senegal de datos desglosados sobre la ayuda internacional prestada a los niños, aunque el PNUD publica anualmente datos actualizados acerca de la ayuda internacional y el desarrollo.  Los resultados se publican en el </w:t>
      </w:r>
      <w:r>
        <w:rPr>
          <w:i/>
          <w:iCs/>
        </w:rPr>
        <w:t>Anuario estadístico del PNUD sobre asistencia al desarrollo</w:t>
      </w:r>
      <w:r>
        <w:t>.</w:t>
      </w:r>
    </w:p>
    <w:p w:rsidR="00000000" w:rsidRDefault="00000000">
      <w:pPr>
        <w:spacing w:after="240"/>
      </w:pPr>
      <w:r>
        <w:t>141.</w:t>
      </w:r>
      <w:r>
        <w:tab/>
        <w:t>Respecto del sector social se puede decir que la cooperación internacional aporta fondos importantes a la economía, que contribuyen en parte a atenuar el rigor de los programas de ajuste estructural y facilitan la aplicación de la Convención sobre los Derechos del Niño.</w:t>
      </w:r>
    </w:p>
    <w:p w:rsidR="00000000" w:rsidRDefault="00000000">
      <w:pPr>
        <w:spacing w:after="240"/>
      </w:pPr>
      <w:r>
        <w:t>142.</w:t>
      </w:r>
      <w:r>
        <w:tab/>
        <w:t>A título indicativo se puede citar la cooperación con el UNICEF, cuyo objetivo principal es garantizar el bienestar de los niños, sobre todo en lo que respecta a su supervivencia, protección y desarrollo.  Esa cooperación se estructura en programas basados en objetivos y estrategias que contribuyen todos a la aplicación de la Convención en los sectores de la salud, el agua, la higiene, el saneamiento, la educación, los niños en situación especialmente difícil, la planificación, seguimiento y evaluación y la defensa de la causa del niño y la mujer, que promueve el cumplimiento de la Convención.</w:t>
      </w:r>
    </w:p>
    <w:p w:rsidR="00000000" w:rsidRDefault="00000000">
      <w:pPr>
        <w:spacing w:after="240"/>
      </w:pPr>
      <w:r>
        <w:t>143.</w:t>
      </w:r>
      <w:r>
        <w:tab/>
        <w:t>La asistencia financiera del UNICEF para 1996-2003 ascendió a casi 45 millones de dólares de los EE.UU.</w:t>
      </w:r>
    </w:p>
    <w:p w:rsidR="00000000" w:rsidRDefault="00000000">
      <w:pPr>
        <w:spacing w:after="240"/>
      </w:pPr>
      <w:r>
        <w:t>144.</w:t>
      </w:r>
      <w:r>
        <w:tab/>
        <w:t>En el capítulo de la cooperación internacional deben citarse también las siguientes contribuciones:</w:t>
      </w:r>
    </w:p>
    <w:p w:rsidR="00000000" w:rsidRDefault="00000000">
      <w:pPr>
        <w:spacing w:after="240"/>
        <w:ind w:left="924" w:hanging="357"/>
      </w:pPr>
      <w:r>
        <w:t>-</w:t>
      </w:r>
      <w:r>
        <w:tab/>
        <w:t xml:space="preserve">La asistencia prestada a los programas sociales (salud, educación, recursos hídricos, etc.) por la Cooperación Francesa, Italia, el Japón, Kuwait, la Arabia Saudita, los Países Bajos, el Organismo Alemán de Cooperación Técnica, el Banco Mundial y Taiwán, junto con ONG como Plan Internacional, que tiene un presupuesto de unos 2.500 millones de francos CFA, Ayuda en Acción, Educación Mundial, la Fundación </w:t>
      </w:r>
      <w:proofErr w:type="spellStart"/>
      <w:r>
        <w:t>Paul</w:t>
      </w:r>
      <w:proofErr w:type="spellEnd"/>
      <w:r>
        <w:t> </w:t>
      </w:r>
      <w:proofErr w:type="spellStart"/>
      <w:r>
        <w:t>Guérin</w:t>
      </w:r>
      <w:proofErr w:type="spellEnd"/>
      <w:r>
        <w:t xml:space="preserve"> </w:t>
      </w:r>
      <w:proofErr w:type="spellStart"/>
      <w:r>
        <w:t>LAJOIE</w:t>
      </w:r>
      <w:proofErr w:type="spellEnd"/>
      <w:r>
        <w:t>, que tiene previsto invertir anualmente en la región de Saint Louis durante los cinco próximos años más de 1 millón de dólares canadienses, Medio Ambiente y Desarrollo del Tercer Mundo (</w:t>
      </w:r>
      <w:proofErr w:type="spellStart"/>
      <w:r>
        <w:t>ENDA</w:t>
      </w:r>
      <w:proofErr w:type="spellEnd"/>
      <w:r>
        <w:t>), Visión Mundial Internacional, Caritas Senegal, etc.  Esta ayuda permite aumentar las capacidades y la tasa de acceso a la educación para todos.</w:t>
      </w:r>
    </w:p>
    <w:p w:rsidR="00000000" w:rsidRDefault="00000000">
      <w:pPr>
        <w:spacing w:after="240"/>
        <w:ind w:left="924" w:hanging="357"/>
      </w:pPr>
      <w:r>
        <w:t>-</w:t>
      </w:r>
      <w:r>
        <w:tab/>
        <w:t xml:space="preserve">La ayuda prestada conjuntamente por el Banco Africano de Desarrollo y el </w:t>
      </w:r>
      <w:proofErr w:type="spellStart"/>
      <w:r>
        <w:t>Fond</w:t>
      </w:r>
      <w:proofErr w:type="spellEnd"/>
      <w:r>
        <w:t xml:space="preserve"> </w:t>
      </w:r>
      <w:proofErr w:type="spellStart"/>
      <w:r>
        <w:t>Nordique</w:t>
      </w:r>
      <w:proofErr w:type="spellEnd"/>
      <w:r>
        <w:t xml:space="preserve"> de </w:t>
      </w:r>
      <w:proofErr w:type="spellStart"/>
      <w:r>
        <w:t>Développement</w:t>
      </w:r>
      <w:proofErr w:type="spellEnd"/>
      <w:r>
        <w:t xml:space="preserve"> para financiar la creación de guarderías en zonas rurales y urbanas mediante el proyecto de apoyo a los grupos de promoción de la mujer del Ministerio de la Familia, el Desarrollo Social y la Solidaridad Nacional y en el marco del programa de lucha contra la pobreza.</w:t>
      </w:r>
    </w:p>
    <w:p w:rsidR="00000000" w:rsidRDefault="00000000">
      <w:pPr>
        <w:spacing w:after="240"/>
        <w:ind w:left="924" w:hanging="357"/>
      </w:pPr>
      <w:r>
        <w:t>-</w:t>
      </w:r>
      <w:r>
        <w:tab/>
        <w:t>El Fondo de Población de las Naciones Unidas (FNUAP) y el Banco Mundial se han distinguido también en la financiación de proyectos destinados a aplicar una política de población que favorezca la calidad de la vida de las mujeres, de las familias y, sobre todo, de los niños.  Esa política de población se centra fundamentalmente en la salud reproductiva, la planificación familiar y la salud sexual.</w:t>
      </w:r>
    </w:p>
    <w:p w:rsidR="00000000" w:rsidRDefault="00000000">
      <w:pPr>
        <w:spacing w:after="240"/>
        <w:ind w:left="924" w:hanging="357"/>
      </w:pPr>
      <w:r>
        <w:t>-</w:t>
      </w:r>
      <w:r>
        <w:tab/>
        <w:t>La UNESCO, la OIT, el Programa Mundial de Alimentos (PMA) y la cooperación noruega y luxemburguesa van a contribuir a la aplicación de programas socioeducativos en el marco del programa de lucha contra la pobreza.</w:t>
      </w:r>
    </w:p>
    <w:p w:rsidR="00000000" w:rsidRDefault="00000000">
      <w:pPr>
        <w:spacing w:after="240"/>
        <w:ind w:left="924" w:hanging="357"/>
      </w:pPr>
      <w:r>
        <w:t>-</w:t>
      </w:r>
      <w:r>
        <w:tab/>
        <w:t>La cooperación japonesa e india con escuelas de formación profesional.</w:t>
      </w:r>
    </w:p>
    <w:p w:rsidR="00000000" w:rsidRDefault="00000000">
      <w:pPr>
        <w:spacing w:after="240"/>
        <w:rPr>
          <w:b/>
          <w:bCs/>
        </w:rPr>
      </w:pPr>
      <w:r>
        <w:rPr>
          <w:b/>
          <w:bCs/>
        </w:rPr>
        <w:t>1.6.</w:t>
      </w:r>
      <w:r>
        <w:rPr>
          <w:b/>
          <w:bCs/>
        </w:rPr>
        <w:tab/>
        <w:t>Difusión de la Convención</w:t>
      </w:r>
    </w:p>
    <w:p w:rsidR="00000000" w:rsidRDefault="00000000">
      <w:pPr>
        <w:spacing w:after="240"/>
      </w:pPr>
      <w:r>
        <w:t>145.</w:t>
      </w:r>
      <w:r>
        <w:tab/>
        <w:t>En el párrafo 18 de sus observaciones de noviembre de 1995 sobre el informe del Senegal, el Comité de los Derechos del Niño alentaba al Gobierno a proseguir sus esfuerzos para difundir, dar a conocer y promover la comprensión de la Convención y a lograr que el público en general entienda sus principios básicos, en particular haciendo que la Convención se traduzca a todos los idiomas nacionales y prestando especial atención a las personas que viven en las zonas rurales.</w:t>
      </w:r>
    </w:p>
    <w:p w:rsidR="00000000" w:rsidRDefault="00000000">
      <w:pPr>
        <w:spacing w:after="240"/>
      </w:pPr>
      <w:r>
        <w:t>146.</w:t>
      </w:r>
      <w:r>
        <w:tab/>
        <w:t xml:space="preserve">El Senegal ha adoptado medidas para atender plenamente esta recomendación.  No obstante, conviene señalar que ciertas dificultades reales han impedido traducir la Convención a todas las lenguas nacionales, lo que hubiera tenido una indudable repercusión dado el número de personas recién alfabetizadas gracias a los programas de alfabetización realizados en zonas rurales, urbanas y </w:t>
      </w:r>
      <w:proofErr w:type="spellStart"/>
      <w:r>
        <w:t>periurbanas</w:t>
      </w:r>
      <w:proofErr w:type="spellEnd"/>
      <w:r>
        <w:t>.  Esas dificultades se deben a que la mayoría de los juristas especializados en la Convención no dominan las lenguas nacionales y a que faltan medios para encargar la traducción a profesionales, aparte de su interés, todavía no bien entendido y asumido por el Estado, las ONG y los organismos de cooperación internacional bilateral y multilateral.</w:t>
      </w:r>
    </w:p>
    <w:p w:rsidR="00000000" w:rsidRDefault="00000000">
      <w:pPr>
        <w:spacing w:after="240"/>
      </w:pPr>
      <w:r>
        <w:t>147.</w:t>
      </w:r>
      <w:r>
        <w:tab/>
        <w:t>Tras finalizar la Cumbre Mundial en favor de la Infancia, el Senegal emprendió un importante programa de información acerca de la Convención sobre los Derechos del Niño. A este respecto se elaboró y difundió con carácter nacional un documento titulado "Enfoque sociocultural de la Convención sobre los Derechos del Niño".  Se organizaron coloquios, conferencias y jornadas de estudio para difundir lo más ampliamente posible la Convención.  Esta labor se ha realizado gracias a un apoyo multiforme y a una voluntad sostenida en el plano comunitario.</w:t>
      </w:r>
    </w:p>
    <w:p w:rsidR="00000000" w:rsidRDefault="00000000">
      <w:pPr>
        <w:spacing w:after="240"/>
      </w:pPr>
      <w:r>
        <w:t>148.</w:t>
      </w:r>
      <w:r>
        <w:tab/>
        <w:t>Conviene recordar que en 1992 el Ministerio de la Familia, el Desarrollo Social y la Solidaridad Nacional y el Ministerio de la Comunicación establecieron con ayuda del UNICEF un programa de defensa de la causa del niño y de la mujer a fin de favorecer la promoción de la Convención.  Esta promoción se realiza mediante actividades de formación y de sensibilización, producciones en los medios de información (en francés y en las lenguas nacionales) y actividades con artistas e intelectuales, asociaciones de jóvenes y de mujeres, dirigentes religiosos, parlamentarios y niños.  Con este fin se ha producido un importante material de promoción (carteles, folletos, pareos, banderolas, gorras, camisetas, impresos, etc.).</w:t>
      </w:r>
    </w:p>
    <w:p w:rsidR="00000000" w:rsidRDefault="00000000">
      <w:pPr>
        <w:spacing w:after="240"/>
      </w:pPr>
      <w:r>
        <w:t>149.</w:t>
      </w:r>
      <w:r>
        <w:tab/>
        <w:t>Por otro lado, se han organizado cursos de formación sobre el contenido de la Convención para los comunicadores tradicionales (personalidades de la sociedad senegalesa depositarios de las fuentes orales de la historia), los responsables de asociaciones, los directores de colectividades locales y educativas en 1997 y 1998 y el personal de diversos ministerios.</w:t>
      </w:r>
    </w:p>
    <w:p w:rsidR="00000000" w:rsidRDefault="00000000">
      <w:pPr>
        <w:spacing w:after="240"/>
      </w:pPr>
      <w:r>
        <w:t>150.</w:t>
      </w:r>
      <w:r>
        <w:tab/>
        <w:t>En las escuelas, los centros culturales regionales y los centros departamentales de educación popular y deportiva, la sensibilización a la Convención se efectúa a través de la expresión artística (concursos de dibujo, poesía, y teatro) y la distribución de folletos sobre la Convención.</w:t>
      </w:r>
    </w:p>
    <w:p w:rsidR="00000000" w:rsidRDefault="00000000">
      <w:pPr>
        <w:spacing w:after="240"/>
      </w:pPr>
      <w:r>
        <w:t>151.</w:t>
      </w:r>
      <w:r>
        <w:tab/>
        <w:t>La Comisión de Educación sobre los Derechos Humanos, sección senegalesa de Amnistía Internacional, ha elaborado un juego educativo basado en la Convención y llamado "La ronda de los niños", destinado a la formación e información infantiles.</w:t>
      </w:r>
    </w:p>
    <w:p w:rsidR="00000000" w:rsidRDefault="00000000">
      <w:pPr>
        <w:spacing w:after="240"/>
        <w:rPr>
          <w:bCs/>
        </w:rPr>
      </w:pPr>
      <w:r>
        <w:rPr>
          <w:bCs/>
        </w:rPr>
        <w:t>152.</w:t>
      </w:r>
      <w:r>
        <w:rPr>
          <w:bCs/>
        </w:rPr>
        <w:tab/>
        <w:t xml:space="preserve">La ONG </w:t>
      </w:r>
      <w:proofErr w:type="spellStart"/>
      <w:r>
        <w:rPr>
          <w:bCs/>
        </w:rPr>
        <w:t>BALLAL</w:t>
      </w:r>
      <w:proofErr w:type="spellEnd"/>
      <w:r>
        <w:rPr>
          <w:bCs/>
        </w:rPr>
        <w:t xml:space="preserve"> ha iniciado una actividad innovadora de difusión de la Convención en la que los propios niños sirven de mentores a otros niños para dar a conocer la Convención y sus perspectivas.</w:t>
      </w:r>
    </w:p>
    <w:p w:rsidR="00000000" w:rsidRDefault="00000000">
      <w:pPr>
        <w:spacing w:after="240"/>
        <w:rPr>
          <w:bCs/>
        </w:rPr>
      </w:pPr>
      <w:r>
        <w:rPr>
          <w:bCs/>
        </w:rPr>
        <w:t>153.</w:t>
      </w:r>
      <w:r>
        <w:rPr>
          <w:bCs/>
        </w:rPr>
        <w:tab/>
        <w:t xml:space="preserve">El Comité Senegalés de Derechos Humanos llevó a cabo una serie de actividades, principalmente en el verano de 1998.  Otras ONG, como </w:t>
      </w:r>
      <w:proofErr w:type="spellStart"/>
      <w:r>
        <w:rPr>
          <w:bCs/>
        </w:rPr>
        <w:t>TOSTAN</w:t>
      </w:r>
      <w:proofErr w:type="spellEnd"/>
      <w:r>
        <w:rPr>
          <w:bCs/>
        </w:rPr>
        <w:t xml:space="preserve"> y la Organización Nacional de Derechos Humanos, producen, en colaboración con el Ministerio de la Familia, el Desarrollo Social y la Solidaridad Nacional y en el marco del proyecto "aldeas defensoras de los derechos humanos", material didáctico (paquetes de información gráfica) sobre los derechos del niño, que difunden en las aldeas y los barrios por un método educativo de base comunitaria.</w:t>
      </w:r>
    </w:p>
    <w:p w:rsidR="00000000" w:rsidRDefault="00000000">
      <w:pPr>
        <w:spacing w:after="240"/>
        <w:rPr>
          <w:bCs/>
        </w:rPr>
      </w:pPr>
      <w:r>
        <w:rPr>
          <w:bCs/>
        </w:rPr>
        <w:t>154.</w:t>
      </w:r>
      <w:r>
        <w:rPr>
          <w:bCs/>
        </w:rPr>
        <w:tab/>
        <w:t xml:space="preserve">"Radio </w:t>
      </w:r>
      <w:proofErr w:type="spellStart"/>
      <w:r>
        <w:rPr>
          <w:bCs/>
        </w:rPr>
        <w:t>Guney</w:t>
      </w:r>
      <w:proofErr w:type="spellEnd"/>
      <w:r>
        <w:rPr>
          <w:bCs/>
        </w:rPr>
        <w:t xml:space="preserve"> </w:t>
      </w:r>
      <w:proofErr w:type="spellStart"/>
      <w:r>
        <w:rPr>
          <w:bCs/>
        </w:rPr>
        <w:t>Yi</w:t>
      </w:r>
      <w:proofErr w:type="spellEnd"/>
      <w:r>
        <w:rPr>
          <w:bCs/>
        </w:rPr>
        <w:t xml:space="preserve">" (La Radio de los Niños) y otras emisoras públicas y privadas emiten programas de información y sensibilización sobre la Convención y los problemas de la infancia.  En la prensa escrita existen varias publicaciones especializadas en la infancia.  El diario </w:t>
      </w:r>
      <w:proofErr w:type="spellStart"/>
      <w:r>
        <w:rPr>
          <w:bCs/>
          <w:i/>
          <w:iCs/>
        </w:rPr>
        <w:t>Guney</w:t>
      </w:r>
      <w:proofErr w:type="spellEnd"/>
      <w:r>
        <w:rPr>
          <w:bCs/>
          <w:i/>
          <w:iCs/>
        </w:rPr>
        <w:t> </w:t>
      </w:r>
      <w:proofErr w:type="spellStart"/>
      <w:r>
        <w:rPr>
          <w:bCs/>
          <w:i/>
          <w:iCs/>
        </w:rPr>
        <w:t>Yi</w:t>
      </w:r>
      <w:proofErr w:type="spellEnd"/>
      <w:r>
        <w:rPr>
          <w:bCs/>
        </w:rPr>
        <w:t xml:space="preserve"> (Los niños), publicado por la asociación "Infancia Africana", consagra mensualmente una página entera a la Convención sobre los Derechos del Niño.</w:t>
      </w:r>
    </w:p>
    <w:p w:rsidR="00000000" w:rsidRDefault="00000000">
      <w:pPr>
        <w:spacing w:after="240"/>
        <w:rPr>
          <w:bCs/>
        </w:rPr>
      </w:pPr>
      <w:r>
        <w:rPr>
          <w:bCs/>
        </w:rPr>
        <w:t>155.</w:t>
      </w:r>
      <w:r>
        <w:rPr>
          <w:bCs/>
        </w:rPr>
        <w:tab/>
        <w:t>Niños de edad comprendida entre los 9 y los 14 años y que viven en zonas populares han participado durante cuatro años en cursos de formación cívica y de iniciación a los derechos y deberes del niño organizados con el apoyo de Medio Ambiente y Desarrollo del Tercer Mundo (</w:t>
      </w:r>
      <w:proofErr w:type="spellStart"/>
      <w:r>
        <w:rPr>
          <w:bCs/>
        </w:rPr>
        <w:t>ENDA</w:t>
      </w:r>
      <w:proofErr w:type="spellEnd"/>
      <w:r>
        <w:rPr>
          <w:bCs/>
        </w:rPr>
        <w:t>) y de asociaciones de barrio.</w:t>
      </w:r>
    </w:p>
    <w:p w:rsidR="00000000" w:rsidRDefault="00000000">
      <w:pPr>
        <w:spacing w:after="240"/>
        <w:rPr>
          <w:bCs/>
        </w:rPr>
      </w:pPr>
      <w:r>
        <w:rPr>
          <w:bCs/>
        </w:rPr>
        <w:t>156.</w:t>
      </w:r>
      <w:r>
        <w:rPr>
          <w:bCs/>
        </w:rPr>
        <w:tab/>
        <w:t xml:space="preserve">La colaboración entre la ONG Plan Internacional y el UNICEF ha posibilitado la puesta en circulación en todo el territorio de tres </w:t>
      </w:r>
      <w:proofErr w:type="spellStart"/>
      <w:r>
        <w:rPr>
          <w:bCs/>
        </w:rPr>
        <w:t>CINEBUS</w:t>
      </w:r>
      <w:proofErr w:type="spellEnd"/>
      <w:r>
        <w:rPr>
          <w:bCs/>
        </w:rPr>
        <w:t xml:space="preserve">, en particular en zonas carentes de todo medio de información.  Estos </w:t>
      </w:r>
      <w:proofErr w:type="spellStart"/>
      <w:r>
        <w:rPr>
          <w:bCs/>
        </w:rPr>
        <w:t>CINEBUS</w:t>
      </w:r>
      <w:proofErr w:type="spellEnd"/>
      <w:r>
        <w:rPr>
          <w:bCs/>
        </w:rPr>
        <w:t xml:space="preserve"> ofrecen información y aumentan la sensibilización sobre todas las cuestiones relativas a la supervivencia y el desarrollo del niño.  Las proyecciones van seguidas de debates en las lenguas nacionales dirigidos por representantes locales de los diferentes ministerios competentes y por diversos asociados.</w:t>
      </w:r>
    </w:p>
    <w:p w:rsidR="00000000" w:rsidRDefault="00000000">
      <w:pPr>
        <w:spacing w:after="240"/>
        <w:rPr>
          <w:bCs/>
        </w:rPr>
      </w:pPr>
      <w:r>
        <w:rPr>
          <w:bCs/>
        </w:rPr>
        <w:t>157.</w:t>
      </w:r>
      <w:r>
        <w:rPr>
          <w:bCs/>
        </w:rPr>
        <w:tab/>
        <w:t>En agosto de 2003, el Colectivo de ONG del Senegal (</w:t>
      </w:r>
      <w:proofErr w:type="spellStart"/>
      <w:r>
        <w:rPr>
          <w:bCs/>
        </w:rPr>
        <w:t>CONGAD</w:t>
      </w:r>
      <w:proofErr w:type="spellEnd"/>
      <w:r>
        <w:rPr>
          <w:bCs/>
        </w:rPr>
        <w:t xml:space="preserve">) organizó por primera vez una colonia de vacaciones para niños de 4 a 14 años, que contribuyó en gran medida a la sensibilización de éstos, de sus padres y del personal de la colonia a la Convención y a los derechos del niño independientemente de su origen, la situación económica de los padres, las condiciones de pobreza general o el estado civil, y que contó con el apoyo y la identificación del UNICEF, que, por otro lado, fue la única organización del sistema de las Naciones Unidas que respondió favorable y rápidamente a la solicitación del </w:t>
      </w:r>
      <w:proofErr w:type="spellStart"/>
      <w:r>
        <w:rPr>
          <w:bCs/>
        </w:rPr>
        <w:t>CONGAD</w:t>
      </w:r>
      <w:proofErr w:type="spellEnd"/>
      <w:r>
        <w:rPr>
          <w:bCs/>
        </w:rPr>
        <w:t xml:space="preserve"> en este sentido.</w:t>
      </w:r>
    </w:p>
    <w:p w:rsidR="00000000" w:rsidRDefault="00000000">
      <w:pPr>
        <w:spacing w:after="240"/>
        <w:ind w:left="567"/>
      </w:pPr>
      <w:r>
        <w:rPr>
          <w:b/>
        </w:rPr>
        <w:t>Integración de las cuestiones relativas a la Convención en los programas de enseñanza escolar</w:t>
      </w:r>
    </w:p>
    <w:p w:rsidR="00000000" w:rsidRDefault="00000000">
      <w:pPr>
        <w:spacing w:after="240"/>
        <w:rPr>
          <w:bCs/>
        </w:rPr>
      </w:pPr>
      <w:r>
        <w:rPr>
          <w:bCs/>
        </w:rPr>
        <w:t>158.</w:t>
      </w:r>
      <w:r>
        <w:rPr>
          <w:bCs/>
        </w:rPr>
        <w:tab/>
        <w:t>El Ministerio de la Familia, el Desarrollo Social y la Solidaridad Nacional ha tomado medidas para que el Ministerio de Educación Nacional, como parte de la revisión de los programas escolares, integre en los libros de texto las cuestiones relacionadas con la Convención.  La reforma debía entrar en vigor el año escolar 1999/00.  A nivel de la enseñanza primaria la ONG Observatorio de las Cuestiones de Género en la Educación Nacional (</w:t>
      </w:r>
      <w:proofErr w:type="spellStart"/>
      <w:r>
        <w:rPr>
          <w:bCs/>
        </w:rPr>
        <w:t>ORGENS</w:t>
      </w:r>
      <w:proofErr w:type="spellEnd"/>
      <w:r>
        <w:rPr>
          <w:bCs/>
        </w:rPr>
        <w:t>) realizó un análisis "</w:t>
      </w:r>
      <w:r>
        <w:t>critico en cuanto al género</w:t>
      </w:r>
      <w:r>
        <w:rPr>
          <w:bCs/>
        </w:rPr>
        <w:t>" de los manuales escolares en el que destacó los lugares y funciones asignados a las niñas y a los niños y formuló propuestas alternativas de reforma, incluidas las actitudes en el sistema educativo.</w:t>
      </w:r>
    </w:p>
    <w:p w:rsidR="00000000" w:rsidRDefault="00000000">
      <w:pPr>
        <w:spacing w:after="240"/>
        <w:ind w:left="567"/>
        <w:rPr>
          <w:bCs/>
        </w:rPr>
      </w:pPr>
      <w:r>
        <w:rPr>
          <w:b/>
          <w:bCs/>
        </w:rPr>
        <w:t>Formación de grupos profesionales en materia de derechos del niño</w:t>
      </w:r>
    </w:p>
    <w:p w:rsidR="00000000" w:rsidRDefault="00000000">
      <w:pPr>
        <w:spacing w:after="240"/>
      </w:pPr>
      <w:r>
        <w:t>159.</w:t>
      </w:r>
      <w:r>
        <w:tab/>
        <w:t>En el marco del programa de cooperación entre el Gobierno del Senegal y el UNICEF titulado "Defensa de la causa de los niños y de las mujeres" se organizaron cursos de formación dirigidos a comunicadores, responsables de colectividades educativas, maestros de enseñanza primaria e imanes.  También se ha impartido a magistrados y trabajadores sociales formación en la Convención sobre los Derechos del Niño, la Convención sobre la eliminación de la discriminación contra la mujer y la Declaración sobre la eliminación de la violencia contra la mujer.</w:t>
      </w:r>
    </w:p>
    <w:p w:rsidR="00000000" w:rsidRDefault="00000000">
      <w:pPr>
        <w:spacing w:after="240"/>
      </w:pPr>
      <w:r>
        <w:t>160.</w:t>
      </w:r>
      <w:r>
        <w:tab/>
        <w:t>Por lo que respecta a la formación en la Convención, conviene mencionar el programa que ha lanzado la Coalición senegalesa de ONG en favor de los derechos del niño (constituida por unas 20 ONG) y en el que ha participado más de un centenar de trabajadores sociales.</w:t>
      </w:r>
    </w:p>
    <w:p w:rsidR="00000000" w:rsidRDefault="00000000">
      <w:pPr>
        <w:spacing w:after="240"/>
        <w:ind w:left="567"/>
        <w:rPr>
          <w:bCs/>
        </w:rPr>
      </w:pPr>
      <w:r>
        <w:rPr>
          <w:b/>
          <w:bCs/>
        </w:rPr>
        <w:t>Formación en administración de la justicia de menores</w:t>
      </w:r>
    </w:p>
    <w:p w:rsidR="00000000" w:rsidRDefault="00000000">
      <w:pPr>
        <w:spacing w:after="240"/>
      </w:pPr>
      <w:r>
        <w:t>161.</w:t>
      </w:r>
      <w:r>
        <w:tab/>
        <w:t>El Senegal ha promulgado leyes que permiten hacerse cargo con bastante rapidez de los niños en conflicto con la justicia mediante instituciones especializadas (tribunales de menores en cada capital regional, servicios regionales de asistencia social y jurídica, centros de promoción y de reinserción social), un personal formado a estos efectos (educadores especializados y asistentes sociales) y una policía de menores cuyas prerrogativas y situación jerárquica se deben reforzar y ampliar con el nombramiento por decreto de un comisario.</w:t>
      </w:r>
    </w:p>
    <w:p w:rsidR="00000000" w:rsidRDefault="00000000">
      <w:pPr>
        <w:spacing w:after="240"/>
        <w:ind w:left="567" w:hanging="567"/>
        <w:rPr>
          <w:b/>
          <w:bCs/>
        </w:rPr>
      </w:pPr>
      <w:r>
        <w:rPr>
          <w:b/>
          <w:bCs/>
        </w:rPr>
        <w:t>1.7.</w:t>
      </w:r>
      <w:r>
        <w:rPr>
          <w:b/>
          <w:bCs/>
        </w:rPr>
        <w:tab/>
        <w:t>Dificultades con que se ha tropezado en la aplicación de la legislación vigente para garantizar el pleno respeto de los derechos del niño</w:t>
      </w:r>
    </w:p>
    <w:p w:rsidR="00000000" w:rsidRDefault="00000000">
      <w:pPr>
        <w:spacing w:after="240"/>
      </w:pPr>
      <w:r>
        <w:t>162.</w:t>
      </w:r>
      <w:r>
        <w:tab/>
        <w:t>Por lo que respecta a los derechos sociales y económicos, cabe destacar que, por principio, el Gobierno y las comunidades de base tienen la firme voluntad de respetarlos y promoverlos.  No obstante, la aplicación de la legislación vigente encaminada a garantizar el pleno respeto de los derechos del niño tropieza con ciertas dificultades:</w:t>
      </w:r>
    </w:p>
    <w:p w:rsidR="00000000" w:rsidRDefault="00000000">
      <w:pPr>
        <w:spacing w:after="240"/>
        <w:ind w:left="1134" w:hanging="567"/>
      </w:pPr>
      <w:r>
        <w:t>a)</w:t>
      </w:r>
      <w:r>
        <w:tab/>
        <w:t>Las principales dificultades residen sobre todo en la</w:t>
      </w:r>
      <w:r>
        <w:rPr>
          <w:b/>
        </w:rPr>
        <w:t xml:space="preserve"> </w:t>
      </w:r>
      <w:r>
        <w:rPr>
          <w:bCs/>
        </w:rPr>
        <w:t>inercia social y la insuficiencia y la asignación de los recursos</w:t>
      </w:r>
      <w:r>
        <w:t xml:space="preserve"> disponibles en favor de los niños.  El principio del interés superior del niño no se tiene todavía suficientemente en cuenta cuando se elaboran los presupuestos, tanto en el plano nacional como en el seno de la familia.</w:t>
      </w:r>
    </w:p>
    <w:p w:rsidR="00000000" w:rsidRDefault="00000000">
      <w:pPr>
        <w:spacing w:after="240"/>
        <w:ind w:left="1134" w:hanging="567"/>
        <w:rPr>
          <w:bCs/>
        </w:rPr>
      </w:pPr>
      <w:r>
        <w:rPr>
          <w:bCs/>
        </w:rPr>
        <w:t>b)</w:t>
      </w:r>
      <w:r>
        <w:rPr>
          <w:bCs/>
        </w:rPr>
        <w:tab/>
        <w:t>Debe señalarse que, a pesar de la aplicación de políticas y programas de lucha contra la pobreza, los programas de ajuste estructural y la devaluación del franco CFA siguen afectando la capacidad de las familias para atender convenientemente las necesidades de los niños.</w:t>
      </w:r>
    </w:p>
    <w:p w:rsidR="00000000" w:rsidRDefault="00000000">
      <w:pPr>
        <w:spacing w:after="240"/>
        <w:ind w:left="1134" w:hanging="567"/>
        <w:rPr>
          <w:bCs/>
        </w:rPr>
      </w:pPr>
      <w:r>
        <w:rPr>
          <w:bCs/>
        </w:rPr>
        <w:t>c)</w:t>
      </w:r>
      <w:r>
        <w:rPr>
          <w:bCs/>
        </w:rPr>
        <w:tab/>
        <w:t>De igual modo, l</w:t>
      </w:r>
      <w:r>
        <w:t>as instituciones nacionales carecen de recursos presupuestarios y de personal especializado</w:t>
      </w:r>
      <w:r>
        <w:rPr>
          <w:bCs/>
        </w:rPr>
        <w:t xml:space="preserve"> para atender las necesidades del país.  De ahí que la Convención no esté todavía suficientemente difundida entre las personas encargadas de su aplicación.</w:t>
      </w:r>
    </w:p>
    <w:p w:rsidR="00000000" w:rsidRDefault="00000000">
      <w:pPr>
        <w:spacing w:after="240"/>
        <w:ind w:left="1134" w:hanging="567"/>
        <w:rPr>
          <w:bCs/>
          <w:iCs/>
        </w:rPr>
      </w:pPr>
      <w:r>
        <w:t>d)</w:t>
      </w:r>
      <w:r>
        <w:tab/>
        <w:t xml:space="preserve">En cuanto a los derechos relacionados con la protección, las dificultades obedecen a </w:t>
      </w:r>
      <w:r>
        <w:rPr>
          <w:bCs/>
        </w:rPr>
        <w:t>la ambigüedad de algunas disposiciones legislativas y reglamentarias</w:t>
      </w:r>
      <w:r>
        <w:t xml:space="preserve">, especialmente en materia de mendicidad infantil, derecho de sucesión y trabajo infantil.  </w:t>
      </w:r>
      <w:r>
        <w:rPr>
          <w:bCs/>
        </w:rPr>
        <w:t>Ejemplo:</w:t>
      </w:r>
      <w:r>
        <w:rPr>
          <w:bCs/>
          <w:iCs/>
        </w:rPr>
        <w:t xml:space="preserve"> el artículo 225 del Código de Procedimiento Penal, que prohíbe la mendicidad infantil, contiene disposiciones relativas a la organización de la mendicidad con los lugares y los horarios en que puede practicarse.  Es cierto que este artículo se ha aplicado insuficientemente en el Senegal.  También es cierto que tan sólo se castiga a los morabitos que organizan y aprovechan la mendicidad y a los maestros de talleres por los malos tratos infligidos a los niños cuando los excesos superan todos los límites imaginables.</w:t>
      </w:r>
    </w:p>
    <w:p w:rsidR="00000000" w:rsidRDefault="00000000">
      <w:pPr>
        <w:spacing w:after="240"/>
        <w:ind w:left="1134" w:hanging="567"/>
        <w:rPr>
          <w:bCs/>
        </w:rPr>
      </w:pPr>
      <w:r>
        <w:rPr>
          <w:bCs/>
        </w:rPr>
        <w:t>e)</w:t>
      </w:r>
      <w:r>
        <w:rPr>
          <w:bCs/>
        </w:rPr>
        <w:tab/>
        <w:t xml:space="preserve">La legislación nacional no se ha ocupado suficientemente de la delincuencia de las adolescentes ni de su explotación sexual o en otro tipo de actividad o trabajo y existen pocos estudios al respecto.  Sigue siendo el pariente pobre en las actividades desplegadas por el Estado, por las ONG y por los asociados en el desarrollo.  No obstante, asociaciones como </w:t>
      </w:r>
      <w:proofErr w:type="spellStart"/>
      <w:r>
        <w:rPr>
          <w:bCs/>
        </w:rPr>
        <w:t>AWA</w:t>
      </w:r>
      <w:proofErr w:type="spellEnd"/>
      <w:r>
        <w:rPr>
          <w:bCs/>
        </w:rPr>
        <w:t xml:space="preserve">, </w:t>
      </w:r>
      <w:proofErr w:type="spellStart"/>
      <w:r>
        <w:rPr>
          <w:bCs/>
        </w:rPr>
        <w:t>APROFES</w:t>
      </w:r>
      <w:proofErr w:type="spellEnd"/>
      <w:r>
        <w:rPr>
          <w:bCs/>
        </w:rPr>
        <w:t xml:space="preserve">, </w:t>
      </w:r>
      <w:proofErr w:type="spellStart"/>
      <w:r>
        <w:rPr>
          <w:bCs/>
        </w:rPr>
        <w:t>ACI</w:t>
      </w:r>
      <w:proofErr w:type="spellEnd"/>
      <w:r>
        <w:rPr>
          <w:bCs/>
        </w:rPr>
        <w:t xml:space="preserve"> y la Fundación </w:t>
      </w:r>
      <w:proofErr w:type="spellStart"/>
      <w:r>
        <w:rPr>
          <w:bCs/>
        </w:rPr>
        <w:t>Paul</w:t>
      </w:r>
      <w:proofErr w:type="spellEnd"/>
      <w:r>
        <w:rPr>
          <w:bCs/>
        </w:rPr>
        <w:t xml:space="preserve"> </w:t>
      </w:r>
      <w:proofErr w:type="spellStart"/>
      <w:r>
        <w:rPr>
          <w:bCs/>
        </w:rPr>
        <w:t>Gérin</w:t>
      </w:r>
      <w:proofErr w:type="spellEnd"/>
      <w:r>
        <w:rPr>
          <w:bCs/>
        </w:rPr>
        <w:t xml:space="preserve"> </w:t>
      </w:r>
      <w:proofErr w:type="spellStart"/>
      <w:r>
        <w:rPr>
          <w:bCs/>
        </w:rPr>
        <w:t>LAJOIE</w:t>
      </w:r>
      <w:proofErr w:type="spellEnd"/>
      <w:r>
        <w:rPr>
          <w:bCs/>
        </w:rPr>
        <w:t xml:space="preserve"> y organizaciones como el Fondo de Desarrollo de las Naciones Unidas para la Mujer (UNIFEM), el FNUAP y el UNICEF comienzan a mostrar un claro interés en ese problema, además de las actividades emprendidas por el Ministerio de la Familia, el Desarrollo Social y la Solidaridad Nacional y el Ministerio de Educación Nacional.</w:t>
      </w:r>
    </w:p>
    <w:p w:rsidR="00000000" w:rsidRDefault="00000000">
      <w:pPr>
        <w:spacing w:after="240"/>
        <w:ind w:left="1134" w:hanging="567"/>
        <w:rPr>
          <w:bCs/>
        </w:rPr>
      </w:pPr>
      <w:r>
        <w:rPr>
          <w:bCs/>
        </w:rPr>
        <w:t>f)</w:t>
      </w:r>
      <w:r>
        <w:rPr>
          <w:bCs/>
        </w:rPr>
        <w:tab/>
        <w:t>Por otro lado, el insuficiente recurso a la justicia y la fuerte resistencia de algunos sectores sociales aumentan la vulnerabilidad de ciertas categorías de niños (matrimonio precoz, abuso sexual, prostitución juvenil femenina y masculina, trabajo infantil, mendicidad, etc.).</w:t>
      </w:r>
    </w:p>
    <w:p w:rsidR="00000000" w:rsidRDefault="00000000">
      <w:pPr>
        <w:spacing w:after="240"/>
        <w:ind w:left="1134" w:hanging="567"/>
      </w:pPr>
      <w:r>
        <w:rPr>
          <w:bCs/>
        </w:rPr>
        <w:t>g)</w:t>
      </w:r>
      <w:r>
        <w:rPr>
          <w:bCs/>
        </w:rPr>
        <w:tab/>
        <w:t xml:space="preserve">La cuestión de los </w:t>
      </w:r>
      <w:proofErr w:type="spellStart"/>
      <w:r>
        <w:rPr>
          <w:bCs/>
          <w:i/>
          <w:iCs/>
        </w:rPr>
        <w:t>talibés</w:t>
      </w:r>
      <w:proofErr w:type="spellEnd"/>
      <w:r>
        <w:rPr>
          <w:bCs/>
        </w:rPr>
        <w:t xml:space="preserve"> y de las niñas de muy corta edad que piden limosna a horas tardías en las grandes avenidas de ciudades importantes (</w:t>
      </w:r>
      <w:proofErr w:type="spellStart"/>
      <w:r>
        <w:t>Ponty</w:t>
      </w:r>
      <w:proofErr w:type="spellEnd"/>
      <w:r>
        <w:t xml:space="preserve">, </w:t>
      </w:r>
      <w:proofErr w:type="spellStart"/>
      <w:r>
        <w:t>Avenue</w:t>
      </w:r>
      <w:proofErr w:type="spellEnd"/>
      <w:r>
        <w:t xml:space="preserve"> </w:t>
      </w:r>
      <w:proofErr w:type="spellStart"/>
      <w:r>
        <w:t>Faidherbe</w:t>
      </w:r>
      <w:proofErr w:type="spellEnd"/>
      <w:r>
        <w:t xml:space="preserve">, Lamine </w:t>
      </w:r>
      <w:proofErr w:type="spellStart"/>
      <w:r>
        <w:t>Guèye</w:t>
      </w:r>
      <w:proofErr w:type="spellEnd"/>
      <w:r>
        <w:t xml:space="preserve">, </w:t>
      </w:r>
      <w:proofErr w:type="spellStart"/>
      <w:r>
        <w:t>Allées</w:t>
      </w:r>
      <w:proofErr w:type="spellEnd"/>
      <w:r>
        <w:t xml:space="preserve"> </w:t>
      </w:r>
      <w:proofErr w:type="spellStart"/>
      <w:r>
        <w:t>du</w:t>
      </w:r>
      <w:proofErr w:type="spellEnd"/>
      <w:r>
        <w:t xml:space="preserve"> </w:t>
      </w:r>
      <w:proofErr w:type="spellStart"/>
      <w:r>
        <w:t>Centenaire</w:t>
      </w:r>
      <w:proofErr w:type="spellEnd"/>
      <w:r>
        <w:t xml:space="preserve">, </w:t>
      </w:r>
      <w:proofErr w:type="spellStart"/>
      <w:r>
        <w:t>Avenue</w:t>
      </w:r>
      <w:proofErr w:type="spellEnd"/>
      <w:r>
        <w:t xml:space="preserve"> </w:t>
      </w:r>
      <w:proofErr w:type="spellStart"/>
      <w:r>
        <w:t>Diogaye</w:t>
      </w:r>
      <w:proofErr w:type="spellEnd"/>
      <w:r>
        <w:t xml:space="preserve"> </w:t>
      </w:r>
      <w:proofErr w:type="spellStart"/>
      <w:r>
        <w:t>Basile</w:t>
      </w:r>
      <w:proofErr w:type="spellEnd"/>
      <w:r>
        <w:t xml:space="preserve"> </w:t>
      </w:r>
      <w:proofErr w:type="spellStart"/>
      <w:r>
        <w:t>Senghor</w:t>
      </w:r>
      <w:proofErr w:type="spellEnd"/>
      <w:r>
        <w:t xml:space="preserve">, Place </w:t>
      </w:r>
      <w:proofErr w:type="spellStart"/>
      <w:r>
        <w:t>Faidherbe</w:t>
      </w:r>
      <w:proofErr w:type="spellEnd"/>
      <w:r>
        <w:t>, etc.) obligados por personas que los vigilan de cerca es muy inquietante y merece esclarecimiento para que sea posible tomar medidas enérgicas.</w:t>
      </w:r>
    </w:p>
    <w:p w:rsidR="00000000" w:rsidRDefault="00000000">
      <w:pPr>
        <w:spacing w:after="240"/>
        <w:ind w:left="1134" w:hanging="567"/>
        <w:rPr>
          <w:bCs/>
        </w:rPr>
      </w:pPr>
      <w:r>
        <w:rPr>
          <w:bCs/>
        </w:rPr>
        <w:t>h)</w:t>
      </w:r>
      <w:r>
        <w:rPr>
          <w:bCs/>
        </w:rPr>
        <w:tab/>
        <w:t>Sin embargo,</w:t>
      </w:r>
      <w:r>
        <w:rPr>
          <w:b/>
          <w:bCs/>
        </w:rPr>
        <w:t xml:space="preserve"> </w:t>
      </w:r>
      <w:r>
        <w:t>la insuficiencia y la escasa influencia de los grupos de presión</w:t>
      </w:r>
      <w:r>
        <w:rPr>
          <w:bCs/>
        </w:rPr>
        <w:t xml:space="preserve"> en favor de la protección, la promoción y el desarrollo cultural de los niños ha limitado hasta el momento la medida en que se atienden sus derechos a la información, a la participación y al tiempo libre.</w:t>
      </w:r>
    </w:p>
    <w:p w:rsidR="00000000" w:rsidRDefault="00000000">
      <w:pPr>
        <w:spacing w:after="240"/>
        <w:ind w:left="1134" w:hanging="567"/>
      </w:pPr>
      <w:r>
        <w:t>i)</w:t>
      </w:r>
      <w:r>
        <w:tab/>
        <w:t>El abandono de ciertos mecanismos tradicionales de socialización (clases por edades, grupos de iniciación, etc.) priva a los programas de incentivos de movilización social altamente aceptados y compartidos por las comunidades.</w:t>
      </w:r>
    </w:p>
    <w:p w:rsidR="00000000" w:rsidRDefault="00000000">
      <w:pPr>
        <w:spacing w:after="480"/>
      </w:pPr>
      <w:r>
        <w:t>163.</w:t>
      </w:r>
      <w:r>
        <w:tab/>
        <w:t>La firme y resuelta decisión de las autoridades públicas de reprimir firme y decididamente y eliminar radicalmente la mendicidad, además de una mayor armonización y articulación del Ministerio de Educación Nacional con los diferentes centros de acogida de niños de edad escolar para lograr un sistema de educación nacional integrado que comprenda las escuelas de aprendizaje práctico, incluso en la formación profesional a muy corto plazo, permitirá aumentar la tasa de escolarización y preparar mejor a los niños para que puedan encontrar un empleo y un salario decentes en el mercado laboral, de acuerdo con las necesidades de progreso social y erradicación de la pobreza.  A este respecto, la reintegración del programa de escolarización de niñas en el plan Decenal de Educación y Formación será un importante indicador.</w:t>
      </w:r>
    </w:p>
    <w:p w:rsidR="00000000" w:rsidRDefault="00000000">
      <w:pPr>
        <w:keepNext/>
        <w:spacing w:after="240"/>
        <w:jc w:val="center"/>
        <w:rPr>
          <w:b/>
          <w:bCs/>
        </w:rPr>
      </w:pPr>
      <w:r>
        <w:rPr>
          <w:b/>
          <w:bCs/>
        </w:rPr>
        <w:t>II.  DEFINICIÓN DEL NIÑO</w:t>
      </w:r>
    </w:p>
    <w:p w:rsidR="00000000" w:rsidRDefault="00000000">
      <w:pPr>
        <w:spacing w:after="240"/>
      </w:pPr>
      <w:r>
        <w:t>164.</w:t>
      </w:r>
      <w:r>
        <w:tab/>
        <w:t>En el párrafo 25 de las observaciones de noviembre de 1995 sobre el informe del Senegal el Comité de los Derechos del Niño recomendaba al Gobierno que formulara e incluyera en la legislación una definición del niño.</w:t>
      </w:r>
    </w:p>
    <w:p w:rsidR="00000000" w:rsidRDefault="00000000">
      <w:pPr>
        <w:spacing w:after="240"/>
      </w:pPr>
      <w:r>
        <w:t>165.</w:t>
      </w:r>
      <w:r>
        <w:tab/>
        <w:t>Así se ha hecho.  En el artículo 276 del Código de la Familia se establece que es menor toda persona que no haya cumplido los 21 años.  Sin embargo, el artículo 556 del Código de Procedimiento Penal y el artículo 21 del Código Electoral fijan la mayoría de edad en los 18 años.  Debe procederse por lo tanto a una revisión de los diferentes instrumentos para armonizar la legislación nacional en lo que respecta a la definición del niño.  De modelo servirá el Código Electoral.</w:t>
      </w:r>
    </w:p>
    <w:p w:rsidR="00000000" w:rsidRDefault="00000000">
      <w:pPr>
        <w:spacing w:after="240"/>
        <w:rPr>
          <w:bCs/>
        </w:rPr>
      </w:pPr>
      <w:r>
        <w:rPr>
          <w:b/>
          <w:bCs/>
        </w:rPr>
        <w:t>Edad mínima</w:t>
      </w:r>
    </w:p>
    <w:p w:rsidR="00000000" w:rsidRDefault="00000000">
      <w:pPr>
        <w:spacing w:after="240"/>
      </w:pPr>
      <w:r>
        <w:t>166.</w:t>
      </w:r>
      <w:r>
        <w:tab/>
        <w:t>En el derecho positivo senegalés se considera menor a toda persona que no haya cumplido los 18 años.</w:t>
      </w:r>
    </w:p>
    <w:p w:rsidR="00000000" w:rsidRDefault="00000000">
      <w:pPr>
        <w:spacing w:after="240"/>
      </w:pPr>
      <w:r>
        <w:t>167.</w:t>
      </w:r>
      <w:r>
        <w:tab/>
        <w:t>Esta definición comprende diferentes mayorías de edad según la materia de que se trate. Por ejemplo:</w:t>
      </w:r>
    </w:p>
    <w:p w:rsidR="00000000" w:rsidRDefault="00000000">
      <w:pPr>
        <w:spacing w:after="240"/>
        <w:ind w:left="924" w:hanging="357"/>
      </w:pPr>
      <w:r>
        <w:t>-</w:t>
      </w:r>
      <w:r>
        <w:tab/>
        <w:t>La mayoría de edad penal es de 18 años (artículo 556 del Código de Procedimiento Penal);</w:t>
      </w:r>
    </w:p>
    <w:p w:rsidR="00000000" w:rsidRDefault="00000000">
      <w:pPr>
        <w:spacing w:after="240"/>
        <w:ind w:left="924" w:hanging="357"/>
      </w:pPr>
      <w:r>
        <w:t>-</w:t>
      </w:r>
      <w:r>
        <w:tab/>
        <w:t xml:space="preserve">La mayoría de edad civil se ha reducido de 21 a 18 años (capacidad para entablar pleitos, concluir contratos, contraer matrimonio sin autorización </w:t>
      </w:r>
      <w:proofErr w:type="spellStart"/>
      <w:r>
        <w:t>parental</w:t>
      </w:r>
      <w:proofErr w:type="spellEnd"/>
      <w:r>
        <w:t>, etc.);</w:t>
      </w:r>
    </w:p>
    <w:p w:rsidR="00000000" w:rsidRDefault="00000000">
      <w:pPr>
        <w:spacing w:after="240"/>
        <w:ind w:left="924" w:hanging="357"/>
      </w:pPr>
      <w:r>
        <w:t>-</w:t>
      </w:r>
      <w:r>
        <w:tab/>
        <w:t>La edad para contraer matrimonio se fija en 16 años para las niñas y en 18 para los niños;</w:t>
      </w:r>
    </w:p>
    <w:p w:rsidR="00000000" w:rsidRDefault="00000000">
      <w:pPr>
        <w:spacing w:after="240"/>
        <w:ind w:left="924" w:hanging="357"/>
      </w:pPr>
      <w:r>
        <w:t>-</w:t>
      </w:r>
      <w:r>
        <w:tab/>
        <w:t>La edad de acceso al empleo se aumentó en mayo de 1997 de 14 a 15 años;</w:t>
      </w:r>
    </w:p>
    <w:p w:rsidR="00000000" w:rsidRDefault="00000000">
      <w:pPr>
        <w:spacing w:after="480"/>
        <w:ind w:left="924" w:hanging="357"/>
      </w:pPr>
      <w:r>
        <w:t>-</w:t>
      </w:r>
      <w:r>
        <w:tab/>
        <w:t>La mayoría de edad electoral es de 18 años.</w:t>
      </w:r>
    </w:p>
    <w:p w:rsidR="00000000" w:rsidRDefault="00000000">
      <w:pPr>
        <w:spacing w:after="240"/>
        <w:jc w:val="center"/>
        <w:rPr>
          <w:b/>
          <w:bCs/>
        </w:rPr>
      </w:pPr>
      <w:r>
        <w:rPr>
          <w:b/>
          <w:bCs/>
        </w:rPr>
        <w:t>III.  PRINCIPIOS GENERALES</w:t>
      </w:r>
    </w:p>
    <w:p w:rsidR="00000000" w:rsidRDefault="00000000">
      <w:pPr>
        <w:spacing w:after="240"/>
        <w:rPr>
          <w:b/>
          <w:bCs/>
        </w:rPr>
      </w:pPr>
      <w:r>
        <w:rPr>
          <w:b/>
          <w:bCs/>
        </w:rPr>
        <w:t>3.1.</w:t>
      </w:r>
      <w:r>
        <w:rPr>
          <w:b/>
          <w:bCs/>
        </w:rPr>
        <w:tab/>
        <w:t>Medidas tomadas para recoger datos desglosados por sexo</w:t>
      </w:r>
    </w:p>
    <w:p w:rsidR="00000000" w:rsidRDefault="00000000">
      <w:pPr>
        <w:spacing w:after="240"/>
      </w:pPr>
      <w:r>
        <w:t>168.</w:t>
      </w:r>
      <w:r>
        <w:tab/>
        <w:t>La Constitución, en su artículo 4, sienta el principio de la no discriminación en cualquiera de sus formas.</w:t>
      </w:r>
    </w:p>
    <w:p w:rsidR="00000000" w:rsidRDefault="00000000">
      <w:pPr>
        <w:spacing w:after="240"/>
      </w:pPr>
      <w:r>
        <w:t>169.</w:t>
      </w:r>
      <w:r>
        <w:tab/>
        <w:t>De esta manera por la aplicación de esta protección de carácter general, el niño (de uno u otro sexo) queda amparado de la misma manera que todos los demás miembros de la sociedad senegalesa.</w:t>
      </w:r>
    </w:p>
    <w:p w:rsidR="00000000" w:rsidRDefault="00000000">
      <w:pPr>
        <w:spacing w:after="240"/>
      </w:pPr>
      <w:r>
        <w:t>170.</w:t>
      </w:r>
      <w:r>
        <w:tab/>
        <w:t>Las disposiciones generales previstas se reforzaron en la nueva Constitución de 2001, en la que se menciona explícitamente la Convención sobre los Derechos del Niño, la Convención sobre la eliminación de todas las formas de discriminación contra la mujer y la igualdad y equidad entre los sexos.</w:t>
      </w:r>
    </w:p>
    <w:p w:rsidR="00000000" w:rsidRDefault="00000000">
      <w:pPr>
        <w:spacing w:after="240"/>
      </w:pPr>
      <w:r>
        <w:t>171.</w:t>
      </w:r>
      <w:r>
        <w:tab/>
        <w:t>La Dirección de Previsión y Estadística y los ministerios técnicos han tratado de desglosar la información por edad y sexo:  mortalidad, malnutrición y escolarización.  Se debe proseguir y ampliar esta actividad en todas las esferas y sectores de la vida civil y militar.</w:t>
      </w:r>
    </w:p>
    <w:p w:rsidR="00000000" w:rsidRDefault="00000000">
      <w:pPr>
        <w:spacing w:after="240"/>
      </w:pPr>
      <w:r>
        <w:t>172.</w:t>
      </w:r>
      <w:r>
        <w:tab/>
        <w:t xml:space="preserve">Los datos se desglosan asimismo por medio urbano o rural, a fin de recoger las enormes diferencias que existen entre ellos.  En algunos casos se desglosan también los del medio urbano para dar cabida a las disparidades </w:t>
      </w:r>
      <w:proofErr w:type="spellStart"/>
      <w:r>
        <w:t>intraurbanas</w:t>
      </w:r>
      <w:proofErr w:type="spellEnd"/>
      <w:r>
        <w:t xml:space="preserve"> (pobreza y condiciones de vida de la población).</w:t>
      </w:r>
    </w:p>
    <w:p w:rsidR="00000000" w:rsidRDefault="00000000">
      <w:pPr>
        <w:spacing w:after="240"/>
      </w:pPr>
      <w:r>
        <w:t>173.</w:t>
      </w:r>
      <w:r>
        <w:tab/>
        <w:t xml:space="preserve">El desglose por extracción social es menos sistemático, aunque también se hace en las estadísticas demográficas, las de determinadas actividades económicas y las de ciertas prácticas nocivas (la escisión, el matrimonio precoz, etc.).  El Ministerio de la Familia, el Desarrollo Social y la Solidaridad Nacional a través de la </w:t>
      </w:r>
      <w:proofErr w:type="spellStart"/>
      <w:r>
        <w:t>DPE</w:t>
      </w:r>
      <w:proofErr w:type="spellEnd"/>
      <w:r>
        <w:t xml:space="preserve"> debe dotarse de un sistema informatizado de recogida y análisis de datos desglosados por sexo y origen.</w:t>
      </w:r>
    </w:p>
    <w:p w:rsidR="00000000" w:rsidRDefault="00000000">
      <w:pPr>
        <w:spacing w:after="240"/>
        <w:rPr>
          <w:b/>
          <w:bCs/>
        </w:rPr>
      </w:pPr>
      <w:r>
        <w:rPr>
          <w:b/>
          <w:bCs/>
        </w:rPr>
        <w:t>3.2.</w:t>
      </w:r>
      <w:r>
        <w:rPr>
          <w:b/>
          <w:bCs/>
        </w:rPr>
        <w:tab/>
        <w:t>Medidas contra las actitudes discriminatorias</w:t>
      </w:r>
    </w:p>
    <w:p w:rsidR="00000000" w:rsidRDefault="00000000">
      <w:pPr>
        <w:spacing w:after="240"/>
      </w:pPr>
      <w:r>
        <w:t>174.</w:t>
      </w:r>
      <w:r>
        <w:tab/>
        <w:t>Por lo que se refiere a las niñas, se llevan a cabo campañas de movilización y sensibilización conjuntamente con el UNICEF, las ONG y las personalidades públicas para acabar con toda forma de discriminación o prejuicio.  En cuanto a la escolarización de las niñas, se han adoptado medidas adecuadas y acciones de envergadura para reducir la divergencia entre el índice de escolarización entre niñas y niños.  La disparidad se ha reducido así considerablemente estos últimos diez años, con una aceleración más clara desde hace tres.  El proyecto de revisión de los manuales escolares está en fase de ejecución y tiene por objeto expurgar los textos discriminatorios y los estereotipos sexistas con el fin de "</w:t>
      </w:r>
      <w:proofErr w:type="spellStart"/>
      <w:r>
        <w:t>positivizar</w:t>
      </w:r>
      <w:proofErr w:type="spellEnd"/>
      <w:r>
        <w:t>" la imagen de la mujer y la niña y contribuir a forjar una personalidad de ciudadana emprendedora, capaz de asumir un verdadero liderazgo económico, social, político y cultural.</w:t>
      </w:r>
    </w:p>
    <w:p w:rsidR="00000000" w:rsidRDefault="00000000">
      <w:pPr>
        <w:spacing w:after="240"/>
      </w:pPr>
      <w:r>
        <w:t>175.</w:t>
      </w:r>
      <w:r>
        <w:tab/>
        <w:t xml:space="preserve">En cuanto a los niños discapacitados, el Senegal dispone de instituciones especializadas (Centro verbo-tonal, centros de equipamiento, escuela de ciegos de </w:t>
      </w:r>
      <w:proofErr w:type="spellStart"/>
      <w:r>
        <w:t>Thiès</w:t>
      </w:r>
      <w:proofErr w:type="spellEnd"/>
      <w:r>
        <w:t>), aunque se da prioridad a la readaptación de base comunitaria y a la integración en la escuela clásica.</w:t>
      </w:r>
    </w:p>
    <w:p w:rsidR="00000000" w:rsidRDefault="00000000">
      <w:pPr>
        <w:spacing w:after="240"/>
      </w:pPr>
      <w:r>
        <w:t>176.</w:t>
      </w:r>
      <w:r>
        <w:tab/>
        <w:t>En cuanto a los niños nacidos fuera de matrimonio y reconocidos por los dos progenitores, el Código de la Familia encierra disposiciones que les garantizan el disfrute de los mismos derechos que los hijos legítimos (derecho a alimentos, derecho a protección, derecho a la educación, derecho a la sucesión, etc.) en el régimen de derecho común.</w:t>
      </w:r>
    </w:p>
    <w:p w:rsidR="00000000" w:rsidRDefault="00000000">
      <w:pPr>
        <w:spacing w:after="240"/>
      </w:pPr>
      <w:r>
        <w:t>177.</w:t>
      </w:r>
      <w:r>
        <w:tab/>
        <w:t>Deberían existir medidas legales de discriminación positiva en favor de los niños pobres de zonas rurales y de zonas periféricas de modo que dispongan de iguales oportunidades básicas que los demás.</w:t>
      </w:r>
    </w:p>
    <w:p w:rsidR="00000000" w:rsidRDefault="00000000">
      <w:pPr>
        <w:spacing w:after="240"/>
      </w:pPr>
      <w:r>
        <w:t>178.</w:t>
      </w:r>
      <w:r>
        <w:tab/>
        <w:t>De ahí que el Gobierno, consciente de la diferente situación de los niños en medio rural y en medio urbano y de la heterogeneidad de la pobreza, haya puesto en marcha proyectos adecuados a las situaciones respectivas.</w:t>
      </w:r>
    </w:p>
    <w:p w:rsidR="00000000" w:rsidRDefault="00000000">
      <w:pPr>
        <w:spacing w:after="240"/>
      </w:pPr>
      <w:r>
        <w:t>179.</w:t>
      </w:r>
      <w:r>
        <w:tab/>
        <w:t>Así, el Gobierno del Senegal ha elaborado un programa de lucha contra la pobreza que comprende dos proyectos financiados por el PNUD (</w:t>
      </w:r>
      <w:proofErr w:type="spellStart"/>
      <w:r>
        <w:t>PELCP</w:t>
      </w:r>
      <w:proofErr w:type="spellEnd"/>
      <w:r>
        <w:t xml:space="preserve">), el </w:t>
      </w:r>
      <w:proofErr w:type="spellStart"/>
      <w:r>
        <w:t>BAD/FND</w:t>
      </w:r>
      <w:proofErr w:type="spellEnd"/>
      <w:r>
        <w:t xml:space="preserve"> (Proyecto de Apoyo a las Mujeres y a los Jóvenes) y el Banco Mundial (Fondo de Desarrollo Social) en los que se hace hincapié en su especificidad, sobre todo en relación con la disponibilidad de las infraestructuras de supervivencia, de desarrollo, de protección y de promoción.</w:t>
      </w:r>
    </w:p>
    <w:p w:rsidR="00000000" w:rsidRDefault="00000000">
      <w:pPr>
        <w:spacing w:after="240"/>
      </w:pPr>
      <w:r>
        <w:t>180.</w:t>
      </w:r>
      <w:r>
        <w:tab/>
        <w:t xml:space="preserve">Por lo que se refiere a las costumbres y prácticas tradicionales perjudiciales para la salud de las jóvenes, el Estado, con ayuda de ONG como </w:t>
      </w:r>
      <w:proofErr w:type="spellStart"/>
      <w:r>
        <w:t>COSEPRAT</w:t>
      </w:r>
      <w:proofErr w:type="spellEnd"/>
      <w:r>
        <w:t xml:space="preserve">, </w:t>
      </w:r>
      <w:proofErr w:type="spellStart"/>
      <w:r>
        <w:t>TOSTAN</w:t>
      </w:r>
      <w:proofErr w:type="spellEnd"/>
      <w:r>
        <w:t xml:space="preserve"> y </w:t>
      </w:r>
      <w:proofErr w:type="spellStart"/>
      <w:r>
        <w:t>ENDA</w:t>
      </w:r>
      <w:proofErr w:type="spellEnd"/>
      <w:r>
        <w:t xml:space="preserve"> </w:t>
      </w:r>
      <w:proofErr w:type="spellStart"/>
      <w:r>
        <w:t>Tiers</w:t>
      </w:r>
      <w:proofErr w:type="spellEnd"/>
      <w:r>
        <w:t xml:space="preserve"> Monde </w:t>
      </w:r>
      <w:proofErr w:type="spellStart"/>
      <w:r>
        <w:t>Save</w:t>
      </w:r>
      <w:proofErr w:type="spellEnd"/>
      <w:r>
        <w:t xml:space="preserve"> </w:t>
      </w:r>
      <w:proofErr w:type="spellStart"/>
      <w:r>
        <w:t>The</w:t>
      </w:r>
      <w:proofErr w:type="spellEnd"/>
      <w:r>
        <w:t xml:space="preserve"> </w:t>
      </w:r>
      <w:proofErr w:type="spellStart"/>
      <w:r>
        <w:t>Children</w:t>
      </w:r>
      <w:proofErr w:type="spellEnd"/>
      <w:r>
        <w:t xml:space="preserve"> Suecia, lleva a cabo campañas de sensibilización para erradicarlas, como el Programa de Movilización Social contra la Escisión.</w:t>
      </w:r>
    </w:p>
    <w:p w:rsidR="00000000" w:rsidRDefault="00000000">
      <w:pPr>
        <w:spacing w:after="240"/>
      </w:pPr>
      <w:r>
        <w:t>181.</w:t>
      </w:r>
      <w:r>
        <w:tab/>
        <w:t xml:space="preserve">Por lo que se refiere al acceso de las niñas a la escuela, la prolongación de su vida escolar y el acceso a las ramas científicas y técnicas, el programa </w:t>
      </w:r>
      <w:proofErr w:type="spellStart"/>
      <w:r>
        <w:t>SCOFI</w:t>
      </w:r>
      <w:proofErr w:type="spellEnd"/>
      <w:r>
        <w:t xml:space="preserve"> (que es preciso reemprender) fuertemente apoyado por el UNICEF y la OIT (</w:t>
      </w:r>
      <w:proofErr w:type="spellStart"/>
      <w:r>
        <w:t>IPEC</w:t>
      </w:r>
      <w:proofErr w:type="spellEnd"/>
      <w:r>
        <w:t xml:space="preserve">), las actividades del FEMSA y las intervenciones de </w:t>
      </w:r>
      <w:proofErr w:type="spellStart"/>
      <w:r>
        <w:t>Ecoliers</w:t>
      </w:r>
      <w:proofErr w:type="spellEnd"/>
      <w:r>
        <w:t xml:space="preserve"> </w:t>
      </w:r>
      <w:proofErr w:type="spellStart"/>
      <w:r>
        <w:t>du</w:t>
      </w:r>
      <w:proofErr w:type="spellEnd"/>
      <w:r>
        <w:t xml:space="preserve"> monde, </w:t>
      </w:r>
      <w:proofErr w:type="spellStart"/>
      <w:r>
        <w:t>BALLAL</w:t>
      </w:r>
      <w:proofErr w:type="spellEnd"/>
      <w:r>
        <w:t>, Plan Internacional, etc., han establecido puntos de arranque y ejemplos que a su vez han favorecido la aparición de una clara sensibilidad a su eficacia en gran escala.  Los niños afectados por el VIH/SIDA y víctimas de guerra reciben una atención especial del Estado y de las ONG.</w:t>
      </w:r>
    </w:p>
    <w:p w:rsidR="00000000" w:rsidRDefault="00000000">
      <w:pPr>
        <w:spacing w:after="240"/>
        <w:rPr>
          <w:b/>
          <w:bCs/>
        </w:rPr>
      </w:pPr>
      <w:r>
        <w:rPr>
          <w:b/>
          <w:bCs/>
        </w:rPr>
        <w:t>3.3.</w:t>
      </w:r>
      <w:r>
        <w:rPr>
          <w:b/>
          <w:bCs/>
        </w:rPr>
        <w:tab/>
        <w:t>El interés superior del niño</w:t>
      </w:r>
    </w:p>
    <w:p w:rsidR="00000000" w:rsidRDefault="00000000">
      <w:pPr>
        <w:spacing w:after="240"/>
      </w:pPr>
      <w:r>
        <w:t>182.</w:t>
      </w:r>
      <w:r>
        <w:tab/>
        <w:t>En el plano legal, se toman medidas para proteger los derechos civiles del niño, mediante la obligación de los padres de cuidar de los menores.</w:t>
      </w:r>
    </w:p>
    <w:p w:rsidR="00000000" w:rsidRDefault="00000000">
      <w:pPr>
        <w:spacing w:after="240"/>
      </w:pPr>
      <w:r>
        <w:t>183.</w:t>
      </w:r>
      <w:r>
        <w:tab/>
        <w:t>Por otra parte, si no hubiera progenitores o si éstos no pudieran ejercer su autoridad debidamente, la legislación prevé mecanismos alternativos, a saber:</w:t>
      </w:r>
    </w:p>
    <w:p w:rsidR="00000000" w:rsidRDefault="00000000">
      <w:pPr>
        <w:spacing w:after="240"/>
        <w:ind w:left="924" w:hanging="357"/>
      </w:pPr>
      <w:r>
        <w:t>-</w:t>
      </w:r>
      <w:r>
        <w:tab/>
        <w:t xml:space="preserve">La adopción (inexistencia de autoridad </w:t>
      </w:r>
      <w:proofErr w:type="spellStart"/>
      <w:r>
        <w:t>parental</w:t>
      </w:r>
      <w:proofErr w:type="spellEnd"/>
      <w:r>
        <w:t>);</w:t>
      </w:r>
    </w:p>
    <w:p w:rsidR="00000000" w:rsidRDefault="00000000">
      <w:pPr>
        <w:spacing w:after="240"/>
        <w:ind w:left="924" w:hanging="357"/>
      </w:pPr>
      <w:r>
        <w:t>-</w:t>
      </w:r>
      <w:r>
        <w:tab/>
        <w:t>La tutoría legal (en defecto de los padres);</w:t>
      </w:r>
    </w:p>
    <w:p w:rsidR="00000000" w:rsidRDefault="00000000">
      <w:pPr>
        <w:spacing w:after="240"/>
        <w:ind w:left="924" w:hanging="357"/>
      </w:pPr>
      <w:r>
        <w:t>-</w:t>
      </w:r>
      <w:r>
        <w:tab/>
        <w:t>La tutela (en defecto de los padres).</w:t>
      </w:r>
    </w:p>
    <w:p w:rsidR="00000000" w:rsidRDefault="00000000">
      <w:pPr>
        <w:spacing w:after="240"/>
      </w:pPr>
      <w:r>
        <w:t>184.</w:t>
      </w:r>
      <w:r>
        <w:tab/>
        <w:t>En caso de divorcio la guarda del niño se confía al progenitor que mejor garantice su interés superior.  Además, el derecho positivo senegalés no reconoce ni aplica la fuerza de cosa juzgada en lo que concierne a los niños.</w:t>
      </w:r>
    </w:p>
    <w:p w:rsidR="00000000" w:rsidRDefault="00000000">
      <w:pPr>
        <w:spacing w:after="240"/>
        <w:rPr>
          <w:b/>
          <w:bCs/>
        </w:rPr>
      </w:pPr>
      <w:r>
        <w:rPr>
          <w:b/>
          <w:bCs/>
        </w:rPr>
        <w:t>3.4.</w:t>
      </w:r>
      <w:r>
        <w:rPr>
          <w:b/>
          <w:bCs/>
        </w:rPr>
        <w:tab/>
        <w:t>La opinión del niño</w:t>
      </w:r>
    </w:p>
    <w:p w:rsidR="00000000" w:rsidRDefault="00000000">
      <w:pPr>
        <w:spacing w:after="480"/>
      </w:pPr>
      <w:r>
        <w:t>185.</w:t>
      </w:r>
      <w:r>
        <w:tab/>
        <w:t>Existen disposiciones legales que imponen tener en cuenta la opinión del niño en los procedimientos que le conciernan.  El Parlamento de los Niños y de los Jóvenes corresponde a esas disposiciones.  Igualmente la sociedad senegalesa, que es fundamentalmente solidaria, idea en general estrategias para proteger los intereses del niño en el marco de la vida familiar.</w:t>
      </w:r>
    </w:p>
    <w:p w:rsidR="00000000" w:rsidRDefault="00000000">
      <w:pPr>
        <w:keepNext/>
        <w:spacing w:after="240"/>
        <w:ind w:left="490" w:hanging="490"/>
        <w:jc w:val="center"/>
        <w:rPr>
          <w:b/>
          <w:bCs/>
        </w:rPr>
      </w:pPr>
      <w:r>
        <w:rPr>
          <w:b/>
          <w:bCs/>
        </w:rPr>
        <w:t>IV.  LIBERTADES Y DERECHOS CIVILES (ARTÍCULOS 7, 8, 13</w:t>
      </w:r>
      <w:r>
        <w:rPr>
          <w:b/>
          <w:bCs/>
        </w:rPr>
        <w:br/>
        <w:t>A 17 Y 37 (APARTADO a)) DE LA CONVENCIÓN)</w:t>
      </w:r>
    </w:p>
    <w:p w:rsidR="00000000" w:rsidRDefault="00000000">
      <w:pPr>
        <w:keepNext/>
        <w:spacing w:after="240"/>
        <w:rPr>
          <w:b/>
          <w:bCs/>
        </w:rPr>
      </w:pPr>
      <w:r>
        <w:rPr>
          <w:b/>
          <w:bCs/>
        </w:rPr>
        <w:t>4.1.</w:t>
      </w:r>
      <w:r>
        <w:rPr>
          <w:b/>
          <w:bCs/>
        </w:rPr>
        <w:tab/>
        <w:t>Registro de los nacimientos</w:t>
      </w:r>
    </w:p>
    <w:p w:rsidR="00000000" w:rsidRDefault="00000000">
      <w:pPr>
        <w:spacing w:after="240"/>
      </w:pPr>
      <w:r>
        <w:t>186.</w:t>
      </w:r>
      <w:r>
        <w:tab/>
        <w:t>El Código de la Familia obliga a registrar los nacimientos.  Hará la declaración ante el Registro Civil uno de los progenitores o un pariente cercano, o incluso el personal médico o quienquiera que haya asistido al nacimiento de un niño.  En su caso o en defecto de esos declarantes el jefe de la aldea o el delegado de barrio lo apuntará en el cuaderno que lleva obligatoriamente y en el que anota las declaraciones de nacimiento en las condiciones que exige la ley so pena de las sanciones previstas.</w:t>
      </w:r>
    </w:p>
    <w:p w:rsidR="00000000" w:rsidRDefault="00000000">
      <w:pPr>
        <w:spacing w:after="240"/>
      </w:pPr>
      <w:r>
        <w:t>187.</w:t>
      </w:r>
      <w:r>
        <w:tab/>
        <w:t>Asimismo, periódicamente debe entregar ese cuaderno de nacimientos al encargado del Registro Civil.  Este último inscribe los nacimientos en el registro correspondiente y expide el correspondiente certificado.  Los esfuerzos desplegados por el Estado se sitúan a tres niveles.</w:t>
      </w:r>
    </w:p>
    <w:p w:rsidR="00000000" w:rsidRDefault="00000000">
      <w:pPr>
        <w:spacing w:after="240"/>
      </w:pPr>
      <w:r>
        <w:t>188.</w:t>
      </w:r>
      <w:r>
        <w:tab/>
        <w:t>Para empezar, por lo que se refiere a los documentos y registros civiles empleados en las zonas rurales, el Estado asume enteramente los gastos que acarrea esa actividad, a diferencia de lo que ocurre en el medio urbano donde son los municipios quienes los asumen.</w:t>
      </w:r>
    </w:p>
    <w:p w:rsidR="00000000" w:rsidRDefault="00000000">
      <w:pPr>
        <w:spacing w:after="240"/>
      </w:pPr>
      <w:r>
        <w:t>189.</w:t>
      </w:r>
      <w:r>
        <w:tab/>
        <w:t>Además, se lanzan campañas permanentes de sensibilización, sostenidas por la radio, la televisión y la prensa.</w:t>
      </w:r>
    </w:p>
    <w:p w:rsidR="00000000" w:rsidRDefault="00000000">
      <w:pPr>
        <w:spacing w:after="240"/>
      </w:pPr>
      <w:r>
        <w:t>190.</w:t>
      </w:r>
      <w:r>
        <w:tab/>
        <w:t>También se recurre a los carteles y a la comunicación interpersonal en esas campañas, que han dado resultados considerables, como también los han dado las campañas itinerantes.</w:t>
      </w:r>
    </w:p>
    <w:p w:rsidR="00000000" w:rsidRDefault="00000000">
      <w:pPr>
        <w:spacing w:after="240"/>
      </w:pPr>
      <w:r>
        <w:t>191.</w:t>
      </w:r>
      <w:r>
        <w:tab/>
        <w:t>En cuanto a la formación, se despliegan permanentemente actividades dirigidas a todo el personal de los registros civiles y en particular a los encargados de los registros y a los transcriptores.  También intervienen los auxiliares de registro civil (comadronas, enfermeros, jefes de aldea, etc.) así como los magistrados.</w:t>
      </w:r>
    </w:p>
    <w:p w:rsidR="00000000" w:rsidRDefault="00000000">
      <w:pPr>
        <w:spacing w:after="240"/>
      </w:pPr>
      <w:r>
        <w:t>192.</w:t>
      </w:r>
      <w:r>
        <w:tab/>
        <w:t>La gestión del Registro Civil del Senegal se ha beneficiado, además de los fondos procedentes  del presupuesto del Estado, del importante apoyo de donantes para reorganizar el sistema, formar al personal y equipar los registros.  Hay numerosas delegaciones del Registro Civil distribuidas por todo el país.</w:t>
      </w:r>
    </w:p>
    <w:p w:rsidR="00000000" w:rsidRDefault="00000000">
      <w:pPr>
        <w:spacing w:after="240"/>
      </w:pPr>
      <w:r>
        <w:t>193.</w:t>
      </w:r>
      <w:r>
        <w:tab/>
        <w:t>Conviene precisar que la ley permite a las autoridades locales abrir delegaciones del Registro Civil fuera de la capital de la comunidad rural.  En ese caso, el gobernador de la región decide la creación de la delegación sobre la base del informe del subprefecto interesado.</w:t>
      </w:r>
    </w:p>
    <w:p w:rsidR="00000000" w:rsidRDefault="00000000">
      <w:pPr>
        <w:spacing w:after="240"/>
      </w:pPr>
      <w:r>
        <w:t>194.</w:t>
      </w:r>
      <w:r>
        <w:tab/>
        <w:t>En 2003 se elevó la cuestión del derecho de los niños a estar inscritos en el Registro Civil a la categoría de primera prioridad del Estado, movilizando así con acciones de gran envergadura a todas las autoridades públicas y consuetudinarias bajo la égida del Ministerio de la Familia, el Desarrollo Social y la Solidaridad Nacional.  Así se regularizó la situación de miles de niños, tanto de zonas rurales como de zonas suburbanas y urbanas, y se restablecieron sus derechos.</w:t>
      </w:r>
    </w:p>
    <w:p w:rsidR="00000000" w:rsidRDefault="00000000">
      <w:pPr>
        <w:keepNext/>
        <w:spacing w:after="240"/>
        <w:rPr>
          <w:b/>
          <w:bCs/>
        </w:rPr>
      </w:pPr>
      <w:r>
        <w:rPr>
          <w:b/>
          <w:bCs/>
        </w:rPr>
        <w:t>4.2.</w:t>
      </w:r>
      <w:r>
        <w:rPr>
          <w:b/>
          <w:bCs/>
        </w:rPr>
        <w:tab/>
        <w:t>Esfuerzos en pro de la protección de los niños víctimas de violencia</w:t>
      </w:r>
    </w:p>
    <w:p w:rsidR="00000000" w:rsidRDefault="00000000">
      <w:pPr>
        <w:spacing w:after="240"/>
      </w:pPr>
      <w:r>
        <w:t>195.</w:t>
      </w:r>
      <w:r>
        <w:tab/>
        <w:t>En el derecho senegalés, el menor no puede denunciar.  No obstante, toda persona que tenga conocimiento de la perpetración de violencia contra los niños está obligada a comunicarlo a la autoridad competente.  A través de las ONG y de la sociedad civil se puede crear una opinión pública consciente de la lucha que es necesario librar para prevenir toda forma de violencia contra los niños.  Así es como el colectivo de parlamentarias ha podido combatir la escisión.</w:t>
      </w:r>
    </w:p>
    <w:p w:rsidR="00000000" w:rsidRDefault="00000000">
      <w:pPr>
        <w:spacing w:after="240"/>
      </w:pPr>
      <w:r>
        <w:t>196.</w:t>
      </w:r>
      <w:r>
        <w:tab/>
        <w:t xml:space="preserve">Algunos niños han tomado hasta cierto punto conciencia de la protección que les brinda la sociedad senegalesa.  Así, algunos </w:t>
      </w:r>
      <w:proofErr w:type="spellStart"/>
      <w:r>
        <w:rPr>
          <w:i/>
          <w:iCs/>
        </w:rPr>
        <w:t>talibés</w:t>
      </w:r>
      <w:proofErr w:type="spellEnd"/>
      <w:r>
        <w:t xml:space="preserve"> han interpelado a los encargados del centro de salvaguarda de </w:t>
      </w:r>
      <w:proofErr w:type="spellStart"/>
      <w:r>
        <w:t>Pikine</w:t>
      </w:r>
      <w:proofErr w:type="spellEnd"/>
      <w:r>
        <w:t>, mientras que por su parte el UNICEF ha recibido cartas de niños maltratados o en situación difícil.</w:t>
      </w:r>
    </w:p>
    <w:p w:rsidR="00000000" w:rsidRDefault="00000000">
      <w:pPr>
        <w:tabs>
          <w:tab w:val="left" w:pos="480"/>
        </w:tabs>
        <w:spacing w:after="240"/>
        <w:ind w:left="924" w:hanging="357"/>
        <w:rPr>
          <w:b/>
          <w:bCs/>
        </w:rPr>
      </w:pPr>
      <w:r>
        <w:rPr>
          <w:b/>
          <w:bCs/>
        </w:rPr>
        <w:t>El castigo corporal</w:t>
      </w:r>
    </w:p>
    <w:p w:rsidR="00000000" w:rsidRDefault="00000000">
      <w:pPr>
        <w:spacing w:after="240"/>
      </w:pPr>
      <w:r>
        <w:t>197.</w:t>
      </w:r>
      <w:r>
        <w:tab/>
        <w:t>En los textos se reconoce el derecho de la persona que tiene la guarda del menor a corregirlo, a reserva de la integridad física y moral del niño.</w:t>
      </w:r>
    </w:p>
    <w:p w:rsidR="00000000" w:rsidRDefault="00000000">
      <w:pPr>
        <w:spacing w:after="240"/>
      </w:pPr>
      <w:r>
        <w:t>198.</w:t>
      </w:r>
      <w:r>
        <w:tab/>
        <w:t>No obstante, en el Decreto Nº 72.11.65 de 20 de diciembre de 1972 sobre la organización de la enseñanza primaria, se prohíben los castigos corporales y sevicias en las escuelas y centros de educación no convencionales, y la violencia física contra los niños puede resultar en denuncias y sanciones.</w:t>
      </w:r>
    </w:p>
    <w:p w:rsidR="00000000" w:rsidRDefault="00000000">
      <w:pPr>
        <w:spacing w:after="240"/>
      </w:pPr>
      <w:r>
        <w:t>199.</w:t>
      </w:r>
      <w:r>
        <w:tab/>
        <w:t>A pesar de todo, es todavía preciso lanzar campañas de sensibilización para reducir la violencia que pueda atentar contra la integridad física y moral de los niños en la familia, otras estructuras educativas y el lugar de trabajo.</w:t>
      </w:r>
    </w:p>
    <w:p w:rsidR="00000000" w:rsidRDefault="00000000">
      <w:pPr>
        <w:spacing w:after="240"/>
      </w:pPr>
      <w:r>
        <w:t>200.</w:t>
      </w:r>
      <w:r>
        <w:tab/>
        <w:t xml:space="preserve">Conviene destacar que la falta de rigor en la aplicación de la ley ha favorecido numerosos deslices en los últimos años y que ha habido personas autoras de sevicias graves, como morabitos, jefes de taller o compañeros, sobre todo contra los jóvenes </w:t>
      </w:r>
      <w:proofErr w:type="spellStart"/>
      <w:r>
        <w:rPr>
          <w:i/>
          <w:iCs/>
        </w:rPr>
        <w:t>talibés</w:t>
      </w:r>
      <w:proofErr w:type="spellEnd"/>
      <w:r>
        <w:t xml:space="preserve"> y los aprendices.</w:t>
      </w:r>
    </w:p>
    <w:p w:rsidR="00000000" w:rsidRDefault="00000000">
      <w:pPr>
        <w:spacing w:after="480"/>
      </w:pPr>
      <w:r>
        <w:t>201.</w:t>
      </w:r>
      <w:r>
        <w:tab/>
        <w:t>Ese fenómeno ha ganado tal amplitud que el Estado debe pasar a la acción y reforzar la ley.</w:t>
      </w:r>
    </w:p>
    <w:p w:rsidR="00000000" w:rsidRDefault="00000000">
      <w:pPr>
        <w:spacing w:after="240"/>
        <w:ind w:left="397" w:hanging="397"/>
        <w:jc w:val="center"/>
        <w:rPr>
          <w:b/>
          <w:bCs/>
        </w:rPr>
      </w:pPr>
      <w:r>
        <w:rPr>
          <w:b/>
          <w:bCs/>
        </w:rPr>
        <w:t xml:space="preserve">V.  EL MEDIO FAMILIAR Y LA PROTECCIÓN </w:t>
      </w:r>
      <w:proofErr w:type="spellStart"/>
      <w:r>
        <w:rPr>
          <w:b/>
          <w:bCs/>
        </w:rPr>
        <w:t>SUSTITUTORIA</w:t>
      </w:r>
      <w:proofErr w:type="spellEnd"/>
      <w:r>
        <w:rPr>
          <w:b/>
          <w:bCs/>
        </w:rPr>
        <w:br/>
        <w:t>(ARTÍCULOS 5, 18 (PÁRRAFOS 1 Y 2), 9, 10, 27 (PÁRRAFO 4),</w:t>
      </w:r>
      <w:r>
        <w:rPr>
          <w:b/>
          <w:bCs/>
        </w:rPr>
        <w:br/>
        <w:t>20, 21, 11, 19, 39 Y 25 DE LA CONVENCIÓN)</w:t>
      </w:r>
    </w:p>
    <w:p w:rsidR="00000000" w:rsidRDefault="00000000">
      <w:pPr>
        <w:spacing w:after="240"/>
        <w:rPr>
          <w:b/>
          <w:bCs/>
        </w:rPr>
      </w:pPr>
      <w:r>
        <w:rPr>
          <w:b/>
          <w:bCs/>
        </w:rPr>
        <w:t>5.1.</w:t>
      </w:r>
      <w:r>
        <w:rPr>
          <w:b/>
          <w:bCs/>
        </w:rPr>
        <w:tab/>
        <w:t>Separación del niño de sus padres</w:t>
      </w:r>
    </w:p>
    <w:p w:rsidR="00000000" w:rsidRDefault="00000000">
      <w:pPr>
        <w:spacing w:after="240"/>
      </w:pPr>
      <w:r>
        <w:t>202.</w:t>
      </w:r>
      <w:r>
        <w:tab/>
        <w:t>No podrá separarse al niño de sus padres más que por decisión judicial.  A este efecto, se tendrá debidamente en cuenta el interés superior del niño.</w:t>
      </w:r>
    </w:p>
    <w:p w:rsidR="00000000" w:rsidRDefault="00000000">
      <w:pPr>
        <w:spacing w:after="240"/>
      </w:pPr>
      <w:r>
        <w:t>203.</w:t>
      </w:r>
      <w:r>
        <w:tab/>
        <w:t>En su decisión, la autoridad judicial indica cada vez y sin inequívoco el derecho y el deber de los padres de mantener relaciones continuas con el hijo.</w:t>
      </w:r>
    </w:p>
    <w:p w:rsidR="00000000" w:rsidRDefault="00000000">
      <w:pPr>
        <w:spacing w:after="240"/>
      </w:pPr>
      <w:r>
        <w:t>204.</w:t>
      </w:r>
      <w:r>
        <w:tab/>
        <w:t>Cuando se asigna la guarda del hijo tras la disolución de los lazos conyugales, la negativa del progenitor que la ejerce a presentar el hijo al otro es un delito previsto y castigado por la ley.</w:t>
      </w:r>
    </w:p>
    <w:p w:rsidR="00000000" w:rsidRDefault="00000000">
      <w:pPr>
        <w:spacing w:after="240"/>
        <w:rPr>
          <w:b/>
          <w:bCs/>
        </w:rPr>
      </w:pPr>
      <w:r>
        <w:rPr>
          <w:b/>
          <w:bCs/>
        </w:rPr>
        <w:t>5.2.</w:t>
      </w:r>
      <w:r>
        <w:rPr>
          <w:b/>
          <w:bCs/>
        </w:rPr>
        <w:tab/>
        <w:t>Traslado ilícito de los hijos y su no devolución</w:t>
      </w:r>
    </w:p>
    <w:p w:rsidR="00000000" w:rsidRDefault="00000000">
      <w:pPr>
        <w:spacing w:after="240"/>
      </w:pPr>
      <w:r>
        <w:t>205.</w:t>
      </w:r>
      <w:r>
        <w:tab/>
        <w:t xml:space="preserve">El traslado de un menor al extranjero está sujeto en el Senegal a la autorización de la persona que ejerce la autoridad </w:t>
      </w:r>
      <w:proofErr w:type="spellStart"/>
      <w:r>
        <w:t>parental</w:t>
      </w:r>
      <w:proofErr w:type="spellEnd"/>
      <w:r>
        <w:t xml:space="preserve"> y, en la práctica, de ambos progenitores, trátese del padre o de la madre.  La autorización debe ser por escrito.</w:t>
      </w:r>
    </w:p>
    <w:p w:rsidR="00000000" w:rsidRDefault="00000000">
      <w:pPr>
        <w:spacing w:after="240"/>
      </w:pPr>
      <w:r>
        <w:t>206.</w:t>
      </w:r>
      <w:r>
        <w:tab/>
        <w:t>La falta de no devolución ilícita de los hijos que se hallen en el extranjero queda sujeta a la autoridad judicial, quien podrá exigir la devolución y emprender la acción correspondiente para ello.</w:t>
      </w:r>
    </w:p>
    <w:p w:rsidR="00000000" w:rsidRDefault="00000000">
      <w:pPr>
        <w:spacing w:after="240"/>
        <w:rPr>
          <w:b/>
          <w:bCs/>
        </w:rPr>
      </w:pPr>
      <w:r>
        <w:rPr>
          <w:b/>
          <w:bCs/>
        </w:rPr>
        <w:t>5.3.</w:t>
      </w:r>
      <w:r>
        <w:rPr>
          <w:b/>
          <w:bCs/>
        </w:rPr>
        <w:tab/>
        <w:t>Responsabilidad de los padres en el mantenimiento de los hijos</w:t>
      </w:r>
    </w:p>
    <w:p w:rsidR="00000000" w:rsidRDefault="00000000">
      <w:pPr>
        <w:spacing w:after="240"/>
      </w:pPr>
      <w:r>
        <w:t>207.</w:t>
      </w:r>
      <w:r>
        <w:tab/>
        <w:t>La obligación de los padres de mantener al hijo recae en ambos progenitores y principalmente en el padre, al que podrá obligarse al pago mediante el embargo preventivo de sus ingresos.  Tampoco se excluye esta medida en el caso de la madre, pero ello dependerá de la averiguación de sus medios y posibilidades.</w:t>
      </w:r>
    </w:p>
    <w:p w:rsidR="00000000" w:rsidRDefault="00000000">
      <w:pPr>
        <w:spacing w:after="240"/>
      </w:pPr>
      <w:r>
        <w:t>208.</w:t>
      </w:r>
      <w:r>
        <w:tab/>
        <w:t>Negarse a mantener al hijo es delito en el Senegal.  No obstante, la persistente pobreza constituye un obstáculo al ejercicio efectivo de ese derecho del niño.  La necesidad obliga a algunos padres a confiar sus hijos a familias o morabitos que como es sabido los maltratan (</w:t>
      </w:r>
      <w:proofErr w:type="spellStart"/>
      <w:r>
        <w:rPr>
          <w:i/>
          <w:iCs/>
        </w:rPr>
        <w:t>talibés</w:t>
      </w:r>
      <w:proofErr w:type="spellEnd"/>
      <w:r>
        <w:t xml:space="preserve"> mendigos, niñas sirvientas, niños que viven en la basura, etc.).</w:t>
      </w:r>
    </w:p>
    <w:p w:rsidR="00000000" w:rsidRDefault="00000000">
      <w:pPr>
        <w:spacing w:after="240"/>
        <w:rPr>
          <w:b/>
          <w:bCs/>
        </w:rPr>
      </w:pPr>
      <w:r>
        <w:rPr>
          <w:b/>
          <w:bCs/>
        </w:rPr>
        <w:t>5.4.</w:t>
      </w:r>
      <w:r>
        <w:rPr>
          <w:b/>
          <w:bCs/>
        </w:rPr>
        <w:tab/>
        <w:t>El abandono de los hijos</w:t>
      </w:r>
    </w:p>
    <w:p w:rsidR="00000000" w:rsidRDefault="00000000">
      <w:pPr>
        <w:spacing w:after="240"/>
      </w:pPr>
      <w:r>
        <w:t>209.</w:t>
      </w:r>
      <w:r>
        <w:tab/>
        <w:t>Abandonar al hijo o dejarlo en un lugar solitario es un delito previsto y castigado por la ley.</w:t>
      </w:r>
    </w:p>
    <w:p w:rsidR="00000000" w:rsidRDefault="00000000">
      <w:pPr>
        <w:spacing w:after="240"/>
        <w:rPr>
          <w:b/>
          <w:bCs/>
        </w:rPr>
      </w:pPr>
      <w:r>
        <w:rPr>
          <w:b/>
          <w:bCs/>
        </w:rPr>
        <w:t>5.5.</w:t>
      </w:r>
      <w:r>
        <w:rPr>
          <w:b/>
          <w:bCs/>
        </w:rPr>
        <w:tab/>
        <w:t>Adopción internacional</w:t>
      </w:r>
    </w:p>
    <w:p w:rsidR="00000000" w:rsidRDefault="00000000">
      <w:pPr>
        <w:spacing w:after="240"/>
      </w:pPr>
      <w:r>
        <w:t>210.</w:t>
      </w:r>
      <w:r>
        <w:tab/>
        <w:t>Los niños del Senegal, que son adoptados en el extranjero, quedan bajo la supervisión de las autoridades consulares senegalesas, que en cualquier momento pueden dirigirse a la fiscalía competente para que se revise o anule la adopción autorizada por el tribunal.</w:t>
      </w:r>
    </w:p>
    <w:p w:rsidR="00000000" w:rsidRDefault="00000000">
      <w:pPr>
        <w:spacing w:after="480"/>
      </w:pPr>
      <w:r>
        <w:t>211.</w:t>
      </w:r>
      <w:r>
        <w:tab/>
        <w:t>Las medidas en materia de adopción internacional son suficientemente severas para garantizar el seguimiento y la protección del niño (procedimiento, encuestas, garantías, etc.).</w:t>
      </w:r>
    </w:p>
    <w:p w:rsidR="00000000" w:rsidRDefault="00000000">
      <w:pPr>
        <w:spacing w:after="240"/>
        <w:ind w:left="426" w:hanging="454"/>
        <w:jc w:val="center"/>
        <w:rPr>
          <w:b/>
          <w:bCs/>
        </w:rPr>
      </w:pPr>
      <w:r>
        <w:rPr>
          <w:b/>
          <w:bCs/>
        </w:rPr>
        <w:t xml:space="preserve">VI.  SALUD Y BIENESTAR (ARTÍCULO 6 (PÁRRAFO 2) 23, 24, 26 Y 18 </w:t>
      </w:r>
      <w:r>
        <w:rPr>
          <w:b/>
          <w:bCs/>
        </w:rPr>
        <w:br/>
        <w:t>(PÁRRAFO 3) DE LA CONVENCIÓN)</w:t>
      </w:r>
    </w:p>
    <w:p w:rsidR="00000000" w:rsidRDefault="00000000">
      <w:pPr>
        <w:spacing w:after="240"/>
        <w:rPr>
          <w:b/>
          <w:bCs/>
        </w:rPr>
      </w:pPr>
      <w:r>
        <w:rPr>
          <w:b/>
          <w:bCs/>
        </w:rPr>
        <w:t>6.1.</w:t>
      </w:r>
      <w:r>
        <w:rPr>
          <w:b/>
          <w:bCs/>
        </w:rPr>
        <w:tab/>
        <w:t>Indicadores de la situación de la infancia</w:t>
      </w:r>
    </w:p>
    <w:p w:rsidR="00000000" w:rsidRDefault="00000000">
      <w:pPr>
        <w:spacing w:after="240"/>
      </w:pPr>
      <w:r>
        <w:t>212.</w:t>
      </w:r>
      <w:r>
        <w:tab/>
        <w:t>El establecimiento de mecanismos para determinar los indicadores pertinentes y la recogida de datos estadísticos y otra información sobre la situación de los niños con el fin de elaborar programas son una prioridad del Gobierno.</w:t>
      </w:r>
    </w:p>
    <w:p w:rsidR="00000000" w:rsidRDefault="00000000">
      <w:pPr>
        <w:spacing w:after="240"/>
      </w:pPr>
      <w:r>
        <w:t>213.</w:t>
      </w:r>
      <w:r>
        <w:tab/>
        <w:t>La mayor parte de las encuestas de alcance nacional ofrecen una ocasión para reunir información e indicadores.  Hay que destacar los notables esfuerzos desplegados para mejorar el censo nacional demográfico y de la vivienda (1988), en el que se tuvo en cuenta la necesidad de contar con más datos desglosados.  En el nuevo censo de 1999 que acaba de comenzar se tienen en cuenta todos los motivos de preocupación para adquirir un mejor conocimiento del fin perseguido, es decir, el niño.</w:t>
      </w:r>
    </w:p>
    <w:p w:rsidR="00000000" w:rsidRDefault="00000000">
      <w:pPr>
        <w:spacing w:after="240"/>
      </w:pPr>
      <w:r>
        <w:t>214.</w:t>
      </w:r>
      <w:r>
        <w:tab/>
        <w:t>Así, pues, cabe señalar que:</w:t>
      </w:r>
    </w:p>
    <w:p w:rsidR="00000000" w:rsidRDefault="00000000">
      <w:pPr>
        <w:spacing w:after="240"/>
        <w:ind w:left="924" w:hanging="357"/>
      </w:pPr>
      <w:r>
        <w:t>-</w:t>
      </w:r>
      <w:r>
        <w:tab/>
        <w:t>Se estimaba que los menores de 18 años constituían el 54% de la población en el año 2000, es decir, un total de 5.040.000.</w:t>
      </w:r>
    </w:p>
    <w:p w:rsidR="00000000" w:rsidRDefault="00000000">
      <w:pPr>
        <w:spacing w:after="240"/>
        <w:ind w:left="924" w:hanging="357"/>
      </w:pPr>
      <w:r>
        <w:t>-</w:t>
      </w:r>
      <w:r>
        <w:tab/>
        <w:t>Los menores de 5 años representaban el 19% de la población en el año 2000, es decir, 1.900.000.</w:t>
      </w:r>
    </w:p>
    <w:p w:rsidR="00000000" w:rsidRDefault="00000000">
      <w:pPr>
        <w:spacing w:after="240"/>
        <w:ind w:left="924" w:hanging="357"/>
      </w:pPr>
      <w:r>
        <w:t>-</w:t>
      </w:r>
      <w:r>
        <w:tab/>
        <w:t>La esperanza de vida al nacer era de 54 años.</w:t>
      </w:r>
    </w:p>
    <w:p w:rsidR="00000000" w:rsidRDefault="00000000">
      <w:pPr>
        <w:spacing w:after="240"/>
        <w:ind w:left="924" w:hanging="357"/>
      </w:pPr>
      <w:r>
        <w:t>-</w:t>
      </w:r>
      <w:r>
        <w:tab/>
        <w:t>El índice de mortalidad de los menores de 5 años pasó de 300‰ en 1960 a 156,6‰ en 1992 y en 2000-2001 fue de 145,3‰.  En 1997 había sido de 124‰.</w:t>
      </w:r>
    </w:p>
    <w:p w:rsidR="00000000" w:rsidRDefault="00000000">
      <w:pPr>
        <w:spacing w:after="240"/>
        <w:ind w:left="924" w:hanging="357"/>
      </w:pPr>
      <w:r>
        <w:t>-</w:t>
      </w:r>
      <w:r>
        <w:tab/>
        <w:t>El índice de mortalidad infantil de los menores de 1 año pasó de 173‰</w:t>
      </w:r>
      <w:r>
        <w:rPr>
          <w:rFonts w:ascii="Lucida Console" w:hAnsi="Lucida Console"/>
        </w:rPr>
        <w:t xml:space="preserve"> </w:t>
      </w:r>
      <w:r>
        <w:t>en 1960 a 70‰</w:t>
      </w:r>
      <w:r>
        <w:rPr>
          <w:rFonts w:ascii="Lucida Console" w:hAnsi="Lucida Console"/>
        </w:rPr>
        <w:t xml:space="preserve"> </w:t>
      </w:r>
      <w:r>
        <w:t>en 2000-2001.  En 1997 había sido de 69,4‰.</w:t>
      </w:r>
    </w:p>
    <w:p w:rsidR="00000000" w:rsidRDefault="00000000">
      <w:pPr>
        <w:spacing w:after="240"/>
        <w:ind w:left="924" w:hanging="357"/>
      </w:pPr>
      <w:r>
        <w:t>-</w:t>
      </w:r>
      <w:r>
        <w:tab/>
        <w:t>El índice compuesto de fecundidad pasó de 6,3 en 1991 a 5,6 hijos por mujer en 1996.  En 2000-2003 es de 4,8.</w:t>
      </w:r>
    </w:p>
    <w:p w:rsidR="00000000" w:rsidRDefault="00000000">
      <w:pPr>
        <w:spacing w:after="240"/>
      </w:pPr>
      <w:r>
        <w:t>215.</w:t>
      </w:r>
      <w:r>
        <w:tab/>
        <w:t xml:space="preserve">Por lo que se refiere a los indicadores del conjunto de los derechos del niño en el Senegal, cabe señalar la propuesta de un sistema de seguimiento de esos indicadores, resultado de la cooperación con la ONG </w:t>
      </w:r>
      <w:proofErr w:type="spellStart"/>
      <w:r>
        <w:t>Child</w:t>
      </w:r>
      <w:proofErr w:type="spellEnd"/>
      <w:r>
        <w:t xml:space="preserve"> </w:t>
      </w:r>
      <w:proofErr w:type="spellStart"/>
      <w:r>
        <w:t>Watch</w:t>
      </w:r>
      <w:proofErr w:type="spellEnd"/>
      <w:r>
        <w:t xml:space="preserve"> bajo el patrocinio de Plan </w:t>
      </w:r>
      <w:proofErr w:type="spellStart"/>
      <w:r>
        <w:t>International</w:t>
      </w:r>
      <w:proofErr w:type="spellEnd"/>
      <w:r>
        <w:t xml:space="preserve"> </w:t>
      </w:r>
      <w:proofErr w:type="spellStart"/>
      <w:r>
        <w:t>Sénégal</w:t>
      </w:r>
      <w:proofErr w:type="spellEnd"/>
      <w:r>
        <w:t>.</w:t>
      </w:r>
    </w:p>
    <w:p w:rsidR="00000000" w:rsidRDefault="00000000">
      <w:pPr>
        <w:spacing w:after="240"/>
      </w:pPr>
      <w:r>
        <w:t>216.</w:t>
      </w:r>
      <w:r>
        <w:tab/>
        <w:t>La Dirección de Previsión y Estadística facilita, gracias a sus distintas encuestas (encuestas sobre las prioridades, sobre los hogares, demográficas y de salud), indicadores pertinentes acerca de la situación de los niños del país.</w:t>
      </w:r>
    </w:p>
    <w:p w:rsidR="00000000" w:rsidRDefault="00000000">
      <w:pPr>
        <w:spacing w:after="240"/>
      </w:pPr>
      <w:r>
        <w:t>217.</w:t>
      </w:r>
      <w:r>
        <w:tab/>
        <w:t>La encuesta efectuada en los hogares (1994-1995) ha permitido obtener, entre otra información, datos sobre el consumo infantil, el acceso a los servicios básicos y gastos en salud y en educación.</w:t>
      </w:r>
    </w:p>
    <w:p w:rsidR="00000000" w:rsidRDefault="00000000">
      <w:pPr>
        <w:spacing w:after="240"/>
      </w:pPr>
      <w:r>
        <w:t>218.</w:t>
      </w:r>
      <w:r>
        <w:tab/>
        <w:t xml:space="preserve">Asimismo, los elementos básicos de la encuesta sobre los objetivos intermedios han permitido obtener indicadores, en particular sobre los niños mendigos, "los </w:t>
      </w:r>
      <w:proofErr w:type="spellStart"/>
      <w:r>
        <w:rPr>
          <w:i/>
          <w:iCs/>
        </w:rPr>
        <w:t>talibés</w:t>
      </w:r>
      <w:proofErr w:type="spellEnd"/>
      <w:r>
        <w:t>" o alumnos de las escuelas coránicas, los niños trabajadores y los "niños de la calle".  Los resultados han permitido formular programas en su favor.</w:t>
      </w:r>
    </w:p>
    <w:p w:rsidR="00000000" w:rsidRDefault="00000000">
      <w:pPr>
        <w:spacing w:after="240"/>
      </w:pPr>
      <w:r>
        <w:t>219.</w:t>
      </w:r>
      <w:r>
        <w:tab/>
        <w:t>También se han efectuado otras encuestas sobre el conocimiento, las actitudes y las prácticas en relación con la Convención sobre los Derechos del Niño, entre ellas el análisis de la situación del niño y la mujer en el Senegal, que publican anualmente el Gobierno del Senegal y el UNICEF y que constituye una fuente importante de datos estadísticos e información sobre la situación de los niños (sobre todo los varones) y sirve de base para elaborar diversos programas en favor de los niños en situación de riesgo.</w:t>
      </w:r>
    </w:p>
    <w:p w:rsidR="00000000" w:rsidRDefault="00000000">
      <w:pPr>
        <w:keepNext/>
        <w:keepLines/>
        <w:spacing w:after="240"/>
      </w:pPr>
      <w:r>
        <w:t>220.</w:t>
      </w:r>
      <w:r>
        <w:tab/>
        <w:t>No obstante, sólo en el sector de la educación nacional y sobre todo en la enseñanza preescolar y primaria, se dispone de datos totalmente desglosados por sexo, nivel y edad.</w:t>
      </w:r>
    </w:p>
    <w:p w:rsidR="00000000" w:rsidRDefault="00000000">
      <w:pPr>
        <w:spacing w:after="240"/>
      </w:pPr>
      <w:r>
        <w:t>221.</w:t>
      </w:r>
      <w:r>
        <w:tab/>
        <w:t>En la actualidad se prevé sin embargo que en todas las encuestas demográficas de salud, de pobreza o de calidad de vida se incluyan indicaciones precisas para la recopilación de datos pertinentes y desglosados sobre la infancia.</w:t>
      </w:r>
    </w:p>
    <w:p w:rsidR="00000000" w:rsidRDefault="00000000">
      <w:pPr>
        <w:spacing w:after="200"/>
        <w:jc w:val="center"/>
        <w:rPr>
          <w:b/>
          <w:bCs/>
          <w:sz w:val="20"/>
        </w:rPr>
      </w:pPr>
      <w:r>
        <w:rPr>
          <w:b/>
          <w:bCs/>
          <w:sz w:val="20"/>
        </w:rPr>
        <w:t>Evolución del presupuesto para los sectores sociales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987"/>
        <w:gridCol w:w="1440"/>
        <w:gridCol w:w="1440"/>
        <w:gridCol w:w="1453"/>
        <w:gridCol w:w="2040"/>
      </w:tblGrid>
      <w:tr w:rsidR="00000000">
        <w:tblPrEx>
          <w:tblCellMar>
            <w:top w:w="0" w:type="dxa"/>
            <w:bottom w:w="0" w:type="dxa"/>
          </w:tblCellMar>
        </w:tblPrEx>
        <w:tc>
          <w:tcPr>
            <w:tcW w:w="2987" w:type="dxa"/>
          </w:tcPr>
          <w:p w:rsidR="00000000" w:rsidRDefault="00000000">
            <w:pPr>
              <w:jc w:val="center"/>
              <w:rPr>
                <w:sz w:val="20"/>
              </w:rPr>
            </w:pPr>
          </w:p>
        </w:tc>
        <w:tc>
          <w:tcPr>
            <w:tcW w:w="1440" w:type="dxa"/>
          </w:tcPr>
          <w:p w:rsidR="00000000" w:rsidRDefault="00000000">
            <w:pPr>
              <w:jc w:val="center"/>
              <w:rPr>
                <w:b/>
                <w:bCs/>
                <w:sz w:val="20"/>
              </w:rPr>
            </w:pPr>
            <w:r>
              <w:rPr>
                <w:b/>
                <w:bCs/>
                <w:sz w:val="20"/>
              </w:rPr>
              <w:t>1995/96</w:t>
            </w:r>
          </w:p>
        </w:tc>
        <w:tc>
          <w:tcPr>
            <w:tcW w:w="1440" w:type="dxa"/>
          </w:tcPr>
          <w:p w:rsidR="00000000" w:rsidRDefault="00000000">
            <w:pPr>
              <w:jc w:val="center"/>
              <w:rPr>
                <w:b/>
                <w:bCs/>
                <w:sz w:val="20"/>
              </w:rPr>
            </w:pPr>
            <w:r>
              <w:rPr>
                <w:b/>
                <w:bCs/>
                <w:sz w:val="20"/>
              </w:rPr>
              <w:t>1996/97</w:t>
            </w:r>
          </w:p>
        </w:tc>
        <w:tc>
          <w:tcPr>
            <w:tcW w:w="1453" w:type="dxa"/>
          </w:tcPr>
          <w:p w:rsidR="00000000" w:rsidRDefault="00000000">
            <w:pPr>
              <w:jc w:val="center"/>
              <w:rPr>
                <w:b/>
                <w:bCs/>
                <w:sz w:val="20"/>
              </w:rPr>
            </w:pPr>
            <w:r>
              <w:rPr>
                <w:b/>
                <w:bCs/>
                <w:sz w:val="20"/>
              </w:rPr>
              <w:t>1997/98</w:t>
            </w:r>
          </w:p>
        </w:tc>
        <w:tc>
          <w:tcPr>
            <w:tcW w:w="2040" w:type="dxa"/>
          </w:tcPr>
          <w:p w:rsidR="00000000" w:rsidRDefault="00000000">
            <w:pPr>
              <w:jc w:val="center"/>
              <w:rPr>
                <w:b/>
                <w:bCs/>
                <w:sz w:val="20"/>
              </w:rPr>
            </w:pPr>
            <w:r>
              <w:rPr>
                <w:b/>
                <w:bCs/>
                <w:sz w:val="20"/>
              </w:rPr>
              <w:t>1999/01/02/03</w:t>
            </w:r>
          </w:p>
        </w:tc>
      </w:tr>
      <w:tr w:rsidR="00000000">
        <w:tblPrEx>
          <w:tblCellMar>
            <w:top w:w="0" w:type="dxa"/>
            <w:bottom w:w="0" w:type="dxa"/>
          </w:tblCellMar>
        </w:tblPrEx>
        <w:tc>
          <w:tcPr>
            <w:tcW w:w="2987" w:type="dxa"/>
          </w:tcPr>
          <w:p w:rsidR="00000000" w:rsidRDefault="00000000">
            <w:pPr>
              <w:rPr>
                <w:sz w:val="20"/>
              </w:rPr>
            </w:pPr>
            <w:r>
              <w:rPr>
                <w:sz w:val="20"/>
              </w:rPr>
              <w:t>Presupuesto en millones</w:t>
            </w:r>
          </w:p>
        </w:tc>
        <w:tc>
          <w:tcPr>
            <w:tcW w:w="1440" w:type="dxa"/>
          </w:tcPr>
          <w:p w:rsidR="00000000" w:rsidRDefault="00000000">
            <w:pPr>
              <w:jc w:val="center"/>
              <w:rPr>
                <w:sz w:val="20"/>
              </w:rPr>
            </w:pPr>
            <w:r>
              <w:rPr>
                <w:sz w:val="20"/>
              </w:rPr>
              <w:t>88.145.593.000</w:t>
            </w:r>
          </w:p>
        </w:tc>
        <w:tc>
          <w:tcPr>
            <w:tcW w:w="1440" w:type="dxa"/>
          </w:tcPr>
          <w:p w:rsidR="00000000" w:rsidRDefault="00000000">
            <w:pPr>
              <w:jc w:val="center"/>
              <w:rPr>
                <w:sz w:val="20"/>
              </w:rPr>
            </w:pPr>
            <w:r>
              <w:rPr>
                <w:sz w:val="20"/>
              </w:rPr>
              <w:t>84.436.671.000</w:t>
            </w:r>
          </w:p>
        </w:tc>
        <w:tc>
          <w:tcPr>
            <w:tcW w:w="1453" w:type="dxa"/>
          </w:tcPr>
          <w:p w:rsidR="00000000" w:rsidRDefault="00000000">
            <w:pPr>
              <w:jc w:val="center"/>
              <w:rPr>
                <w:sz w:val="20"/>
              </w:rPr>
            </w:pPr>
            <w:r>
              <w:rPr>
                <w:sz w:val="20"/>
              </w:rPr>
              <w:t>87.101.372.000</w:t>
            </w:r>
          </w:p>
        </w:tc>
        <w:tc>
          <w:tcPr>
            <w:tcW w:w="2040" w:type="dxa"/>
            <w:vAlign w:val="bottom"/>
          </w:tcPr>
          <w:p w:rsidR="00000000" w:rsidRDefault="00000000">
            <w:pPr>
              <w:jc w:val="center"/>
              <w:rPr>
                <w:sz w:val="20"/>
              </w:rPr>
            </w:pPr>
            <w:r>
              <w:rPr>
                <w:sz w:val="20"/>
              </w:rPr>
              <w:t>No se dispone de cifras</w:t>
            </w:r>
          </w:p>
        </w:tc>
      </w:tr>
      <w:tr w:rsidR="00000000">
        <w:tblPrEx>
          <w:tblCellMar>
            <w:top w:w="0" w:type="dxa"/>
            <w:bottom w:w="0" w:type="dxa"/>
          </w:tblCellMar>
        </w:tblPrEx>
        <w:tc>
          <w:tcPr>
            <w:tcW w:w="2987" w:type="dxa"/>
          </w:tcPr>
          <w:p w:rsidR="00000000" w:rsidRDefault="00000000">
            <w:pPr>
              <w:rPr>
                <w:sz w:val="20"/>
              </w:rPr>
            </w:pPr>
            <w:r>
              <w:rPr>
                <w:sz w:val="20"/>
              </w:rPr>
              <w:t>Proporción del presupuesto del Estado (porcentaje)</w:t>
            </w:r>
          </w:p>
        </w:tc>
        <w:tc>
          <w:tcPr>
            <w:tcW w:w="1440" w:type="dxa"/>
            <w:vAlign w:val="bottom"/>
          </w:tcPr>
          <w:p w:rsidR="00000000" w:rsidRDefault="00000000">
            <w:pPr>
              <w:jc w:val="center"/>
              <w:rPr>
                <w:sz w:val="20"/>
              </w:rPr>
            </w:pPr>
            <w:r>
              <w:rPr>
                <w:sz w:val="20"/>
              </w:rPr>
              <w:t>33</w:t>
            </w:r>
          </w:p>
        </w:tc>
        <w:tc>
          <w:tcPr>
            <w:tcW w:w="1440" w:type="dxa"/>
            <w:vAlign w:val="bottom"/>
          </w:tcPr>
          <w:p w:rsidR="00000000" w:rsidRDefault="00000000">
            <w:pPr>
              <w:jc w:val="center"/>
              <w:rPr>
                <w:sz w:val="20"/>
              </w:rPr>
            </w:pPr>
            <w:r>
              <w:rPr>
                <w:sz w:val="20"/>
              </w:rPr>
              <w:t>34</w:t>
            </w:r>
          </w:p>
        </w:tc>
        <w:tc>
          <w:tcPr>
            <w:tcW w:w="1453" w:type="dxa"/>
            <w:vAlign w:val="bottom"/>
          </w:tcPr>
          <w:p w:rsidR="00000000" w:rsidRDefault="00000000">
            <w:pPr>
              <w:jc w:val="center"/>
              <w:rPr>
                <w:sz w:val="20"/>
              </w:rPr>
            </w:pPr>
            <w:r>
              <w:rPr>
                <w:sz w:val="20"/>
              </w:rPr>
              <w:t>34,16</w:t>
            </w:r>
          </w:p>
        </w:tc>
        <w:tc>
          <w:tcPr>
            <w:tcW w:w="2040" w:type="dxa"/>
            <w:vAlign w:val="bottom"/>
          </w:tcPr>
          <w:p w:rsidR="00000000" w:rsidRDefault="00000000">
            <w:pPr>
              <w:jc w:val="center"/>
              <w:rPr>
                <w:sz w:val="20"/>
              </w:rPr>
            </w:pPr>
            <w:r>
              <w:rPr>
                <w:sz w:val="20"/>
              </w:rPr>
              <w:t>-</w:t>
            </w:r>
          </w:p>
        </w:tc>
      </w:tr>
    </w:tbl>
    <w:p w:rsidR="00000000" w:rsidRDefault="00000000">
      <w:pPr>
        <w:spacing w:before="200" w:after="440"/>
        <w:rPr>
          <w:sz w:val="20"/>
        </w:rPr>
      </w:pPr>
      <w:r>
        <w:rPr>
          <w:i/>
          <w:iCs/>
          <w:sz w:val="20"/>
        </w:rPr>
        <w:t>Referencia del cuadro</w:t>
      </w:r>
      <w:r>
        <w:rPr>
          <w:sz w:val="20"/>
        </w:rPr>
        <w:t>:  Ministerio de Economía, de Finanzas y del Plan (1999).</w:t>
      </w:r>
    </w:p>
    <w:p w:rsidR="00000000" w:rsidRDefault="00000000">
      <w:pPr>
        <w:spacing w:after="240"/>
        <w:rPr>
          <w:b/>
          <w:bCs/>
        </w:rPr>
      </w:pPr>
      <w:r>
        <w:rPr>
          <w:b/>
          <w:bCs/>
        </w:rPr>
        <w:t>6.2.</w:t>
      </w:r>
      <w:r>
        <w:rPr>
          <w:b/>
          <w:bCs/>
        </w:rPr>
        <w:tab/>
        <w:t>La salud de los niños</w:t>
      </w:r>
    </w:p>
    <w:p w:rsidR="00000000" w:rsidRDefault="00000000">
      <w:pPr>
        <w:spacing w:after="240"/>
      </w:pPr>
      <w:r>
        <w:t>222.</w:t>
      </w:r>
      <w:r>
        <w:tab/>
        <w:t>En materia de la salud, hay un sistema de obtención y recogida de datos estadísticos hasta el nivel más periférico (casillas de salud).  Cabe citar a título de ejemplo el sistema de información y de gestión (SIG), la vigilancia y las encuestas demográficas y de salud.  Este sistema permite determinar, entre otros indicadores, la tasa de vacunación por antígeno y por región, el índice de mortalidad en los primeros años de vida e índice de morbilidad y mortalidad causadas por las diez enfermedades más comunes en la infancia, malnutrición infantil, duración media de la lactancia materna, etc.</w:t>
      </w:r>
    </w:p>
    <w:p w:rsidR="00000000" w:rsidRDefault="00000000">
      <w:pPr>
        <w:spacing w:after="240"/>
      </w:pPr>
      <w:r>
        <w:t>223.</w:t>
      </w:r>
      <w:r>
        <w:tab/>
        <w:t>Por lo que se refiere a los niños amamantados en el período 1990-1998, se dispone de los siguientes indicadores:</w:t>
      </w:r>
    </w:p>
    <w:p w:rsidR="00000000" w:rsidRDefault="00000000">
      <w:pPr>
        <w:spacing w:after="240"/>
      </w:pPr>
      <w:r>
        <w:tab/>
        <w:t>Exclusivamente (0 a 3 meses), 16%:</w:t>
      </w:r>
    </w:p>
    <w:p w:rsidR="00000000" w:rsidRDefault="00000000">
      <w:pPr>
        <w:spacing w:after="240"/>
        <w:ind w:left="924" w:hanging="357"/>
      </w:pPr>
      <w:r>
        <w:t>-</w:t>
      </w:r>
      <w:r>
        <w:tab/>
        <w:t>Más alimentos de destete (6 a 9 meses), 69%;</w:t>
      </w:r>
    </w:p>
    <w:p w:rsidR="00000000" w:rsidRDefault="00000000">
      <w:pPr>
        <w:spacing w:after="240"/>
        <w:ind w:left="924" w:hanging="357"/>
      </w:pPr>
      <w:r>
        <w:t>-</w:t>
      </w:r>
      <w:r>
        <w:tab/>
        <w:t>Todavía amamantados (20 a 23 meses), 50%.</w:t>
      </w:r>
    </w:p>
    <w:p w:rsidR="00000000" w:rsidRDefault="00000000">
      <w:pPr>
        <w:spacing w:after="240"/>
      </w:pPr>
      <w:r>
        <w:tab/>
        <w:t>En cuanto a la nutrición, el porcentaje de recién nacidos con insuficiencia ponderal se estimaba en 4% en 1990-1997:</w:t>
      </w:r>
    </w:p>
    <w:p w:rsidR="00000000" w:rsidRDefault="00000000">
      <w:pPr>
        <w:spacing w:after="240"/>
        <w:ind w:left="924" w:hanging="357"/>
      </w:pPr>
      <w:r>
        <w:t>-</w:t>
      </w:r>
      <w:r>
        <w:tab/>
        <w:t>El 25% de los niños menores de 5 años sufren de insuficiencia ponderal moderada y grave;</w:t>
      </w:r>
    </w:p>
    <w:p w:rsidR="00000000" w:rsidRDefault="00000000">
      <w:pPr>
        <w:spacing w:after="240"/>
        <w:ind w:left="924" w:hanging="357"/>
      </w:pPr>
      <w:r>
        <w:t>-</w:t>
      </w:r>
      <w:r>
        <w:tab/>
        <w:t>El 7% padecen emaciación moderada y grave;</w:t>
      </w:r>
    </w:p>
    <w:p w:rsidR="00000000" w:rsidRDefault="00000000">
      <w:pPr>
        <w:spacing w:after="240"/>
        <w:ind w:left="924" w:hanging="357"/>
      </w:pPr>
      <w:r>
        <w:t>-</w:t>
      </w:r>
      <w:r>
        <w:tab/>
        <w:t>El 23% sufren de retraso del crecimiento moderado y grave.</w:t>
      </w:r>
    </w:p>
    <w:p w:rsidR="00000000" w:rsidRDefault="00000000">
      <w:pPr>
        <w:keepNext/>
        <w:spacing w:after="240"/>
        <w:rPr>
          <w:b/>
          <w:bCs/>
        </w:rPr>
      </w:pPr>
      <w:r>
        <w:rPr>
          <w:b/>
          <w:bCs/>
        </w:rPr>
        <w:t>Algunos indicadores de salud 2000/2001</w:t>
      </w:r>
    </w:p>
    <w:p w:rsidR="00000000" w:rsidRDefault="00000000">
      <w:pPr>
        <w:keepNext/>
        <w:spacing w:after="240"/>
        <w:jc w:val="center"/>
        <w:rPr>
          <w:b/>
          <w:bCs/>
        </w:rPr>
      </w:pPr>
      <w:r>
        <w:rPr>
          <w:b/>
          <w:bCs/>
        </w:rPr>
        <w:t>Tasa de mortalidad infantil (2000)</w:t>
      </w:r>
    </w:p>
    <w:tbl>
      <w:tblPr>
        <w:tblW w:w="0" w:type="auto"/>
        <w:jc w:val="center"/>
        <w:tblInd w:w="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10"/>
        <w:gridCol w:w="2145"/>
      </w:tblGrid>
      <w:tr w:rsidR="00000000">
        <w:tblPrEx>
          <w:tblCellMar>
            <w:top w:w="0" w:type="dxa"/>
            <w:bottom w:w="0" w:type="dxa"/>
          </w:tblCellMar>
        </w:tblPrEx>
        <w:trPr>
          <w:jc w:val="center"/>
        </w:trPr>
        <w:tc>
          <w:tcPr>
            <w:tcW w:w="4310" w:type="dxa"/>
            <w:vAlign w:val="center"/>
          </w:tcPr>
          <w:p w:rsidR="00000000" w:rsidRDefault="00000000">
            <w:pPr>
              <w:keepNext/>
              <w:jc w:val="center"/>
              <w:rPr>
                <w:b/>
                <w:bCs/>
              </w:rPr>
            </w:pPr>
            <w:r>
              <w:rPr>
                <w:b/>
                <w:bCs/>
              </w:rPr>
              <w:t>Denominación</w:t>
            </w:r>
          </w:p>
        </w:tc>
        <w:tc>
          <w:tcPr>
            <w:tcW w:w="2145" w:type="dxa"/>
          </w:tcPr>
          <w:p w:rsidR="00000000" w:rsidRDefault="00000000">
            <w:pPr>
              <w:keepNext/>
              <w:jc w:val="center"/>
              <w:rPr>
                <w:b/>
                <w:bCs/>
              </w:rPr>
            </w:pPr>
            <w:r>
              <w:rPr>
                <w:b/>
                <w:bCs/>
              </w:rPr>
              <w:t>Tasa de mortalidad</w:t>
            </w:r>
          </w:p>
        </w:tc>
      </w:tr>
      <w:tr w:rsidR="00000000">
        <w:tblPrEx>
          <w:tblCellMar>
            <w:top w:w="0" w:type="dxa"/>
            <w:bottom w:w="0" w:type="dxa"/>
          </w:tblCellMar>
        </w:tblPrEx>
        <w:trPr>
          <w:jc w:val="center"/>
        </w:trPr>
        <w:tc>
          <w:tcPr>
            <w:tcW w:w="4310" w:type="dxa"/>
          </w:tcPr>
          <w:p w:rsidR="00000000" w:rsidRDefault="00000000">
            <w:r>
              <w:t xml:space="preserve">Mortalidad en los primeros años de vida </w:t>
            </w:r>
            <w:r>
              <w:br/>
              <w:t>(niños de 0 a 5 años)</w:t>
            </w:r>
          </w:p>
        </w:tc>
        <w:tc>
          <w:tcPr>
            <w:tcW w:w="2145" w:type="dxa"/>
            <w:vAlign w:val="bottom"/>
          </w:tcPr>
          <w:p w:rsidR="00000000" w:rsidRDefault="00000000">
            <w:pPr>
              <w:jc w:val="center"/>
            </w:pPr>
            <w:r>
              <w:t>70‰</w:t>
            </w:r>
          </w:p>
        </w:tc>
      </w:tr>
      <w:tr w:rsidR="00000000">
        <w:tblPrEx>
          <w:tblCellMar>
            <w:top w:w="0" w:type="dxa"/>
            <w:bottom w:w="0" w:type="dxa"/>
          </w:tblCellMar>
        </w:tblPrEx>
        <w:trPr>
          <w:jc w:val="center"/>
        </w:trPr>
        <w:tc>
          <w:tcPr>
            <w:tcW w:w="4310" w:type="dxa"/>
          </w:tcPr>
          <w:p w:rsidR="00000000" w:rsidRDefault="00000000">
            <w:r>
              <w:t>Mortalidad infantil (niños de 0 a 1 año)</w:t>
            </w:r>
          </w:p>
        </w:tc>
        <w:tc>
          <w:tcPr>
            <w:tcW w:w="2145" w:type="dxa"/>
            <w:vAlign w:val="bottom"/>
          </w:tcPr>
          <w:p w:rsidR="00000000" w:rsidRDefault="00000000">
            <w:pPr>
              <w:jc w:val="center"/>
            </w:pPr>
            <w:r>
              <w:t>145,3‰</w:t>
            </w:r>
          </w:p>
        </w:tc>
      </w:tr>
    </w:tbl>
    <w:p w:rsidR="00000000" w:rsidRDefault="00000000">
      <w:pPr>
        <w:spacing w:before="240" w:after="480"/>
        <w:ind w:left="1440"/>
      </w:pPr>
      <w:r>
        <w:rPr>
          <w:i/>
          <w:iCs/>
        </w:rPr>
        <w:t>Fuente</w:t>
      </w:r>
      <w:r>
        <w:t xml:space="preserve">:  </w:t>
      </w:r>
      <w:proofErr w:type="spellStart"/>
      <w:r>
        <w:t>ESIS</w:t>
      </w:r>
      <w:proofErr w:type="spellEnd"/>
      <w:r>
        <w:t xml:space="preserve"> 1999/2000.</w:t>
      </w:r>
    </w:p>
    <w:p w:rsidR="00000000" w:rsidRDefault="00000000">
      <w:pPr>
        <w:spacing w:after="240"/>
        <w:jc w:val="center"/>
        <w:rPr>
          <w:b/>
          <w:bCs/>
        </w:rPr>
      </w:pPr>
      <w:r>
        <w:rPr>
          <w:b/>
          <w:bCs/>
        </w:rPr>
        <w:t xml:space="preserve">Tasa media de ingestión </w:t>
      </w:r>
      <w:proofErr w:type="spellStart"/>
      <w:r>
        <w:rPr>
          <w:b/>
          <w:bCs/>
        </w:rPr>
        <w:t>calórica</w:t>
      </w:r>
      <w:proofErr w:type="spellEnd"/>
    </w:p>
    <w:tbl>
      <w:tblPr>
        <w:tblW w:w="0" w:type="auto"/>
        <w:jc w:val="center"/>
        <w:tblInd w:w="1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27"/>
        <w:gridCol w:w="2621"/>
      </w:tblGrid>
      <w:tr w:rsidR="00000000">
        <w:tblPrEx>
          <w:tblCellMar>
            <w:top w:w="0" w:type="dxa"/>
            <w:bottom w:w="0" w:type="dxa"/>
          </w:tblCellMar>
        </w:tblPrEx>
        <w:trPr>
          <w:jc w:val="center"/>
        </w:trPr>
        <w:tc>
          <w:tcPr>
            <w:tcW w:w="3827" w:type="dxa"/>
            <w:vAlign w:val="center"/>
          </w:tcPr>
          <w:p w:rsidR="00000000" w:rsidRDefault="00000000">
            <w:pPr>
              <w:jc w:val="center"/>
              <w:rPr>
                <w:b/>
                <w:bCs/>
              </w:rPr>
            </w:pPr>
            <w:r>
              <w:rPr>
                <w:b/>
                <w:bCs/>
              </w:rPr>
              <w:t>Denominación</w:t>
            </w:r>
          </w:p>
        </w:tc>
        <w:tc>
          <w:tcPr>
            <w:tcW w:w="2621" w:type="dxa"/>
            <w:vAlign w:val="center"/>
          </w:tcPr>
          <w:p w:rsidR="00000000" w:rsidRDefault="00000000">
            <w:pPr>
              <w:jc w:val="center"/>
              <w:rPr>
                <w:b/>
                <w:bCs/>
              </w:rPr>
            </w:pPr>
            <w:r>
              <w:rPr>
                <w:b/>
                <w:bCs/>
              </w:rPr>
              <w:t xml:space="preserve">Necesidades cubiertas </w:t>
            </w:r>
            <w:r>
              <w:rPr>
                <w:b/>
                <w:bCs/>
              </w:rPr>
              <w:br/>
              <w:t>(porcentaje)</w:t>
            </w:r>
          </w:p>
        </w:tc>
      </w:tr>
      <w:tr w:rsidR="00000000">
        <w:tblPrEx>
          <w:tblCellMar>
            <w:top w:w="0" w:type="dxa"/>
            <w:bottom w:w="0" w:type="dxa"/>
          </w:tblCellMar>
        </w:tblPrEx>
        <w:trPr>
          <w:jc w:val="center"/>
        </w:trPr>
        <w:tc>
          <w:tcPr>
            <w:tcW w:w="3827" w:type="dxa"/>
          </w:tcPr>
          <w:p w:rsidR="00000000" w:rsidRDefault="00000000">
            <w:r>
              <w:t>Adultos</w:t>
            </w:r>
          </w:p>
        </w:tc>
        <w:tc>
          <w:tcPr>
            <w:tcW w:w="2621" w:type="dxa"/>
            <w:vAlign w:val="bottom"/>
          </w:tcPr>
          <w:p w:rsidR="00000000" w:rsidRDefault="00000000">
            <w:pPr>
              <w:jc w:val="center"/>
            </w:pPr>
            <w:r>
              <w:t>96</w:t>
            </w:r>
          </w:p>
        </w:tc>
      </w:tr>
      <w:tr w:rsidR="00000000">
        <w:tblPrEx>
          <w:tblCellMar>
            <w:top w:w="0" w:type="dxa"/>
            <w:bottom w:w="0" w:type="dxa"/>
          </w:tblCellMar>
        </w:tblPrEx>
        <w:trPr>
          <w:jc w:val="center"/>
        </w:trPr>
        <w:tc>
          <w:tcPr>
            <w:tcW w:w="3827" w:type="dxa"/>
          </w:tcPr>
          <w:p w:rsidR="00000000" w:rsidRDefault="00000000">
            <w:r>
              <w:t>Niños de 0 a 5 años</w:t>
            </w:r>
          </w:p>
        </w:tc>
        <w:tc>
          <w:tcPr>
            <w:tcW w:w="2621" w:type="dxa"/>
            <w:vAlign w:val="bottom"/>
          </w:tcPr>
          <w:p w:rsidR="00000000" w:rsidRDefault="00000000">
            <w:pPr>
              <w:jc w:val="center"/>
            </w:pPr>
            <w:r>
              <w:t>70</w:t>
            </w:r>
          </w:p>
        </w:tc>
      </w:tr>
      <w:tr w:rsidR="00000000">
        <w:tblPrEx>
          <w:tblCellMar>
            <w:top w:w="0" w:type="dxa"/>
            <w:bottom w:w="0" w:type="dxa"/>
          </w:tblCellMar>
        </w:tblPrEx>
        <w:trPr>
          <w:jc w:val="center"/>
        </w:trPr>
        <w:tc>
          <w:tcPr>
            <w:tcW w:w="3827" w:type="dxa"/>
          </w:tcPr>
          <w:p w:rsidR="00000000" w:rsidRDefault="00000000">
            <w:r>
              <w:t>Mujeres embarazadas</w:t>
            </w:r>
          </w:p>
        </w:tc>
        <w:tc>
          <w:tcPr>
            <w:tcW w:w="2621" w:type="dxa"/>
            <w:vAlign w:val="bottom"/>
          </w:tcPr>
          <w:p w:rsidR="00000000" w:rsidRDefault="00000000">
            <w:pPr>
              <w:jc w:val="center"/>
            </w:pPr>
            <w:r>
              <w:t>80</w:t>
            </w:r>
          </w:p>
        </w:tc>
      </w:tr>
    </w:tbl>
    <w:p w:rsidR="00000000" w:rsidRDefault="00000000">
      <w:pPr>
        <w:spacing w:before="240" w:after="480"/>
        <w:ind w:left="1423" w:right="1196"/>
      </w:pPr>
      <w:r>
        <w:rPr>
          <w:i/>
          <w:iCs/>
        </w:rPr>
        <w:t>Fuente</w:t>
      </w:r>
      <w:r>
        <w:t>:  Normas de los protocolos de los Servicios de Nutrición (agosto de 2001).</w:t>
      </w:r>
    </w:p>
    <w:p w:rsidR="00000000" w:rsidRDefault="00000000">
      <w:pPr>
        <w:spacing w:after="240"/>
        <w:jc w:val="center"/>
        <w:rPr>
          <w:b/>
          <w:bCs/>
        </w:rPr>
      </w:pPr>
      <w:r>
        <w:rPr>
          <w:b/>
          <w:bCs/>
        </w:rPr>
        <w:t xml:space="preserve">Malnutrición </w:t>
      </w:r>
      <w:proofErr w:type="spellStart"/>
      <w:r>
        <w:rPr>
          <w:b/>
          <w:bCs/>
        </w:rPr>
        <w:t>proteinoenergética</w:t>
      </w:r>
      <w:proofErr w:type="spellEnd"/>
    </w:p>
    <w:tbl>
      <w:tblPr>
        <w:tblW w:w="0" w:type="auto"/>
        <w:jc w:val="center"/>
        <w:tblInd w:w="2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28"/>
        <w:gridCol w:w="2617"/>
      </w:tblGrid>
      <w:tr w:rsidR="00000000">
        <w:tblPrEx>
          <w:tblCellMar>
            <w:top w:w="0" w:type="dxa"/>
            <w:bottom w:w="0" w:type="dxa"/>
          </w:tblCellMar>
        </w:tblPrEx>
        <w:trPr>
          <w:jc w:val="center"/>
        </w:trPr>
        <w:tc>
          <w:tcPr>
            <w:tcW w:w="3828" w:type="dxa"/>
          </w:tcPr>
          <w:p w:rsidR="00000000" w:rsidRDefault="00000000">
            <w:pPr>
              <w:jc w:val="center"/>
              <w:rPr>
                <w:b/>
                <w:bCs/>
              </w:rPr>
            </w:pPr>
            <w:r>
              <w:rPr>
                <w:b/>
                <w:bCs/>
              </w:rPr>
              <w:t>Denominación</w:t>
            </w:r>
          </w:p>
        </w:tc>
        <w:tc>
          <w:tcPr>
            <w:tcW w:w="2617" w:type="dxa"/>
          </w:tcPr>
          <w:p w:rsidR="00000000" w:rsidRDefault="00000000">
            <w:pPr>
              <w:jc w:val="center"/>
              <w:rPr>
                <w:b/>
                <w:bCs/>
              </w:rPr>
            </w:pPr>
            <w:r>
              <w:rPr>
                <w:b/>
                <w:bCs/>
              </w:rPr>
              <w:t>Porcentaje aceptado</w:t>
            </w:r>
          </w:p>
        </w:tc>
      </w:tr>
      <w:tr w:rsidR="00000000">
        <w:tblPrEx>
          <w:tblCellMar>
            <w:top w:w="0" w:type="dxa"/>
            <w:bottom w:w="0" w:type="dxa"/>
          </w:tblCellMar>
        </w:tblPrEx>
        <w:trPr>
          <w:jc w:val="center"/>
        </w:trPr>
        <w:tc>
          <w:tcPr>
            <w:tcW w:w="3828" w:type="dxa"/>
          </w:tcPr>
          <w:p w:rsidR="00000000" w:rsidRDefault="00000000">
            <w:r>
              <w:t>Insuficiencia ponderal</w:t>
            </w:r>
          </w:p>
        </w:tc>
        <w:tc>
          <w:tcPr>
            <w:tcW w:w="2617" w:type="dxa"/>
            <w:vAlign w:val="bottom"/>
          </w:tcPr>
          <w:p w:rsidR="00000000" w:rsidRDefault="00000000">
            <w:pPr>
              <w:tabs>
                <w:tab w:val="decimal" w:pos="1367"/>
              </w:tabs>
            </w:pPr>
            <w:r>
              <w:t>18,4</w:t>
            </w:r>
          </w:p>
        </w:tc>
      </w:tr>
      <w:tr w:rsidR="00000000">
        <w:tblPrEx>
          <w:tblCellMar>
            <w:top w:w="0" w:type="dxa"/>
            <w:bottom w:w="0" w:type="dxa"/>
          </w:tblCellMar>
        </w:tblPrEx>
        <w:trPr>
          <w:jc w:val="center"/>
        </w:trPr>
        <w:tc>
          <w:tcPr>
            <w:tcW w:w="3828" w:type="dxa"/>
          </w:tcPr>
          <w:p w:rsidR="00000000" w:rsidRDefault="00000000">
            <w:r>
              <w:t>Retraso del crecimiento</w:t>
            </w:r>
          </w:p>
        </w:tc>
        <w:tc>
          <w:tcPr>
            <w:tcW w:w="2617" w:type="dxa"/>
            <w:vAlign w:val="bottom"/>
          </w:tcPr>
          <w:p w:rsidR="00000000" w:rsidRDefault="00000000">
            <w:pPr>
              <w:tabs>
                <w:tab w:val="decimal" w:pos="1367"/>
              </w:tabs>
            </w:pPr>
            <w:r>
              <w:t>19</w:t>
            </w:r>
          </w:p>
        </w:tc>
      </w:tr>
      <w:tr w:rsidR="00000000">
        <w:tblPrEx>
          <w:tblCellMar>
            <w:top w:w="0" w:type="dxa"/>
            <w:bottom w:w="0" w:type="dxa"/>
          </w:tblCellMar>
        </w:tblPrEx>
        <w:trPr>
          <w:jc w:val="center"/>
        </w:trPr>
        <w:tc>
          <w:tcPr>
            <w:tcW w:w="3828" w:type="dxa"/>
          </w:tcPr>
          <w:p w:rsidR="00000000" w:rsidRDefault="00000000">
            <w:r>
              <w:t>Emaciación</w:t>
            </w:r>
          </w:p>
        </w:tc>
        <w:tc>
          <w:tcPr>
            <w:tcW w:w="2617" w:type="dxa"/>
            <w:vAlign w:val="bottom"/>
          </w:tcPr>
          <w:p w:rsidR="00000000" w:rsidRDefault="00000000">
            <w:pPr>
              <w:tabs>
                <w:tab w:val="decimal" w:pos="1367"/>
              </w:tabs>
            </w:pPr>
            <w:r>
              <w:t>8,3</w:t>
            </w:r>
          </w:p>
        </w:tc>
      </w:tr>
    </w:tbl>
    <w:p w:rsidR="00000000" w:rsidRDefault="00000000">
      <w:pPr>
        <w:spacing w:before="240" w:after="480"/>
        <w:ind w:left="1440" w:right="833"/>
      </w:pPr>
      <w:r>
        <w:rPr>
          <w:i/>
          <w:iCs/>
        </w:rPr>
        <w:t>Fuente</w:t>
      </w:r>
      <w:r>
        <w:t>:  Normas de los protocolos de los Servicios de Nutrición (agosto de 2001).</w:t>
      </w:r>
    </w:p>
    <w:p w:rsidR="00000000" w:rsidRDefault="00000000">
      <w:pPr>
        <w:spacing w:after="240"/>
        <w:ind w:left="924" w:hanging="357"/>
      </w:pPr>
      <w:r>
        <w:t>-</w:t>
      </w:r>
      <w:r>
        <w:tab/>
        <w:t xml:space="preserve">La malnutrición </w:t>
      </w:r>
      <w:proofErr w:type="spellStart"/>
      <w:r>
        <w:t>proteinoenergética</w:t>
      </w:r>
      <w:proofErr w:type="spellEnd"/>
      <w:r>
        <w:t xml:space="preserve"> se extiende a todo el territorio nacional, con una tasa más elevada en medio urbano que en medio rural, según las Normas de los protocolos de los Servicios de Nutrición (agosto de 2001);</w:t>
      </w:r>
    </w:p>
    <w:p w:rsidR="00000000" w:rsidRDefault="00000000">
      <w:pPr>
        <w:spacing w:after="240"/>
        <w:ind w:left="924" w:hanging="357"/>
      </w:pPr>
      <w:r>
        <w:t>-</w:t>
      </w:r>
      <w:r>
        <w:tab/>
        <w:t xml:space="preserve">Las regiones de </w:t>
      </w:r>
      <w:proofErr w:type="spellStart"/>
      <w:r>
        <w:t>Tambacounda</w:t>
      </w:r>
      <w:proofErr w:type="spellEnd"/>
      <w:r>
        <w:t xml:space="preserve">, </w:t>
      </w:r>
      <w:proofErr w:type="spellStart"/>
      <w:r>
        <w:t>Kolda</w:t>
      </w:r>
      <w:proofErr w:type="spellEnd"/>
      <w:r>
        <w:t xml:space="preserve"> y </w:t>
      </w:r>
      <w:proofErr w:type="spellStart"/>
      <w:r>
        <w:t>Fatick</w:t>
      </w:r>
      <w:proofErr w:type="spellEnd"/>
      <w:r>
        <w:t xml:space="preserve"> son las más afectadas, con retraso en el crecimiento de 23 a 24%;</w:t>
      </w:r>
    </w:p>
    <w:p w:rsidR="00000000" w:rsidRDefault="00000000">
      <w:pPr>
        <w:spacing w:after="240"/>
        <w:ind w:left="924" w:hanging="357"/>
      </w:pPr>
      <w:r>
        <w:t>-</w:t>
      </w:r>
      <w:r>
        <w:tab/>
        <w:t xml:space="preserve">Las regiones de San Luis y de </w:t>
      </w:r>
      <w:proofErr w:type="spellStart"/>
      <w:r>
        <w:t>Kaolack</w:t>
      </w:r>
      <w:proofErr w:type="spellEnd"/>
      <w:r>
        <w:t xml:space="preserve"> tienen las tasas de emaciación más elevadas con 14 y 12% respectivamente, frente a 2,7% en la región de Ziguinchor.</w:t>
      </w:r>
    </w:p>
    <w:p w:rsidR="00000000" w:rsidRDefault="00000000">
      <w:pPr>
        <w:spacing w:after="240"/>
      </w:pPr>
      <w:r>
        <w:t>224.</w:t>
      </w:r>
      <w:r>
        <w:tab/>
        <w:t xml:space="preserve">Las causas son la anemia nutricional debida a la </w:t>
      </w:r>
      <w:proofErr w:type="spellStart"/>
      <w:r>
        <w:t>multiparidad</w:t>
      </w:r>
      <w:proofErr w:type="spellEnd"/>
      <w:r>
        <w:t xml:space="preserve">, los embarazos muy seguidos y el parasitismo </w:t>
      </w:r>
      <w:proofErr w:type="spellStart"/>
      <w:r>
        <w:t>anemizante</w:t>
      </w:r>
      <w:proofErr w:type="spellEnd"/>
      <w:r>
        <w:t xml:space="preserve"> (anquilostomiasis, </w:t>
      </w:r>
      <w:proofErr w:type="spellStart"/>
      <w:r>
        <w:t>estrongiloidiasis</w:t>
      </w:r>
      <w:proofErr w:type="spellEnd"/>
      <w:r>
        <w:t xml:space="preserve"> y paludismo), particularmente en las mujeres y niños de edad preescolar.</w:t>
      </w:r>
    </w:p>
    <w:p w:rsidR="00000000" w:rsidRDefault="00000000">
      <w:pPr>
        <w:spacing w:after="240"/>
      </w:pPr>
      <w:r>
        <w:t>225.</w:t>
      </w:r>
      <w:r>
        <w:tab/>
        <w:t xml:space="preserve">Según la encuesta realizada por el Instituto de Pediatría Social en 1993, el 30% de los niños de 0 a 5 años estaban anémicos, y en otra encuesta de la misma institución efectuada en 1995 se estimaba que la anemia afectaba al 59% de las mujeres embarazadas en zonas </w:t>
      </w:r>
      <w:proofErr w:type="spellStart"/>
      <w:r>
        <w:t>periurbanas</w:t>
      </w:r>
      <w:proofErr w:type="spellEnd"/>
      <w:r>
        <w:t>.</w:t>
      </w:r>
    </w:p>
    <w:p w:rsidR="00000000" w:rsidRDefault="00000000">
      <w:pPr>
        <w:spacing w:after="240"/>
      </w:pPr>
      <w:r>
        <w:t>226.</w:t>
      </w:r>
      <w:r>
        <w:tab/>
        <w:t xml:space="preserve">En 1997 una evaluación del PNC, en la que el 67% de los niños de 0 a 36 meses presentaba anemia </w:t>
      </w:r>
      <w:proofErr w:type="spellStart"/>
      <w:r>
        <w:t>ferropénica</w:t>
      </w:r>
      <w:proofErr w:type="spellEnd"/>
      <w:r>
        <w:t>, confirmó esos datos.</w:t>
      </w:r>
    </w:p>
    <w:p w:rsidR="00000000" w:rsidRDefault="00000000">
      <w:pPr>
        <w:spacing w:after="240"/>
      </w:pPr>
      <w:r>
        <w:t>227.</w:t>
      </w:r>
      <w:r>
        <w:tab/>
        <w:t>Ahora bien, en el Senegal no existe una estrategia nacional de administración de suplemento de hierro a los niños y a las mujeres en edad de procrear.</w:t>
      </w:r>
    </w:p>
    <w:p w:rsidR="00000000" w:rsidRDefault="00000000">
      <w:pPr>
        <w:spacing w:after="240"/>
      </w:pPr>
      <w:r>
        <w:t>228.</w:t>
      </w:r>
      <w:r>
        <w:tab/>
        <w:t xml:space="preserve">No obstante, por lo que hace a la vitamina A, los programas de administración general de suplementos, unidos a las Jornadas Nacionales de Vacunación, han dado resultados espectaculares.  Así, en </w:t>
      </w:r>
      <w:proofErr w:type="spellStart"/>
      <w:r>
        <w:t>Ngaye</w:t>
      </w:r>
      <w:proofErr w:type="spellEnd"/>
      <w:r>
        <w:t xml:space="preserve"> </w:t>
      </w:r>
      <w:proofErr w:type="spellStart"/>
      <w:r>
        <w:t>Mékhé</w:t>
      </w:r>
      <w:proofErr w:type="spellEnd"/>
      <w:r>
        <w:t>, la carencia de vitamina A ha pasado de 26% en 1997 a 2% en 2001 (</w:t>
      </w:r>
      <w:r>
        <w:rPr>
          <w:i/>
          <w:iCs/>
        </w:rPr>
        <w:t>Fuentes</w:t>
      </w:r>
      <w:r>
        <w:t>:  Normas de los protocolos de los Servicios de Nutrición (agosto de 2001)).</w:t>
      </w:r>
    </w:p>
    <w:p w:rsidR="00000000" w:rsidRDefault="00000000">
      <w:pPr>
        <w:spacing w:after="240"/>
        <w:jc w:val="center"/>
        <w:rPr>
          <w:b/>
          <w:bCs/>
        </w:rPr>
      </w:pPr>
      <w:r>
        <w:rPr>
          <w:b/>
          <w:bCs/>
        </w:rPr>
        <w:t>Carencia de yodo</w:t>
      </w:r>
    </w:p>
    <w:tbl>
      <w:tblPr>
        <w:tblW w:w="0" w:type="auto"/>
        <w:jc w:val="center"/>
        <w:tblInd w:w="1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80"/>
        <w:gridCol w:w="2486"/>
      </w:tblGrid>
      <w:tr w:rsidR="00000000">
        <w:tblPrEx>
          <w:tblCellMar>
            <w:top w:w="0" w:type="dxa"/>
            <w:bottom w:w="0" w:type="dxa"/>
          </w:tblCellMar>
        </w:tblPrEx>
        <w:trPr>
          <w:jc w:val="center"/>
        </w:trPr>
        <w:tc>
          <w:tcPr>
            <w:tcW w:w="4080" w:type="dxa"/>
            <w:vAlign w:val="center"/>
          </w:tcPr>
          <w:p w:rsidR="00000000" w:rsidRDefault="00000000">
            <w:pPr>
              <w:jc w:val="center"/>
              <w:rPr>
                <w:b/>
                <w:bCs/>
              </w:rPr>
            </w:pPr>
            <w:r>
              <w:rPr>
                <w:b/>
                <w:bCs/>
              </w:rPr>
              <w:t>Denominación</w:t>
            </w:r>
          </w:p>
        </w:tc>
        <w:tc>
          <w:tcPr>
            <w:tcW w:w="2486" w:type="dxa"/>
            <w:vAlign w:val="center"/>
          </w:tcPr>
          <w:p w:rsidR="00000000" w:rsidRDefault="00000000">
            <w:pPr>
              <w:jc w:val="center"/>
              <w:rPr>
                <w:b/>
                <w:bCs/>
              </w:rPr>
            </w:pPr>
            <w:r>
              <w:rPr>
                <w:b/>
                <w:bCs/>
              </w:rPr>
              <w:t>Necesidades cubiertas (porcentaje)</w:t>
            </w:r>
          </w:p>
        </w:tc>
      </w:tr>
      <w:tr w:rsidR="00000000">
        <w:tblPrEx>
          <w:tblCellMar>
            <w:top w:w="0" w:type="dxa"/>
            <w:bottom w:w="0" w:type="dxa"/>
          </w:tblCellMar>
        </w:tblPrEx>
        <w:trPr>
          <w:jc w:val="center"/>
        </w:trPr>
        <w:tc>
          <w:tcPr>
            <w:tcW w:w="4080" w:type="dxa"/>
          </w:tcPr>
          <w:p w:rsidR="00000000" w:rsidRDefault="00000000">
            <w:r>
              <w:t>Bocio endémico</w:t>
            </w:r>
          </w:p>
        </w:tc>
        <w:tc>
          <w:tcPr>
            <w:tcW w:w="2486" w:type="dxa"/>
          </w:tcPr>
          <w:p w:rsidR="00000000" w:rsidRDefault="00000000">
            <w:pPr>
              <w:jc w:val="center"/>
            </w:pPr>
            <w:r>
              <w:t>23,4 a 35,5</w:t>
            </w:r>
          </w:p>
        </w:tc>
      </w:tr>
      <w:tr w:rsidR="00000000">
        <w:tblPrEx>
          <w:tblCellMar>
            <w:top w:w="0" w:type="dxa"/>
            <w:bottom w:w="0" w:type="dxa"/>
          </w:tblCellMar>
        </w:tblPrEx>
        <w:trPr>
          <w:jc w:val="center"/>
        </w:trPr>
        <w:tc>
          <w:tcPr>
            <w:tcW w:w="4080" w:type="dxa"/>
          </w:tcPr>
          <w:p w:rsidR="00000000" w:rsidRDefault="00000000">
            <w:r>
              <w:t>Carencia de yodo grave</w:t>
            </w:r>
          </w:p>
        </w:tc>
        <w:tc>
          <w:tcPr>
            <w:tcW w:w="2486" w:type="dxa"/>
          </w:tcPr>
          <w:p w:rsidR="00000000" w:rsidRDefault="00000000">
            <w:pPr>
              <w:jc w:val="center"/>
            </w:pPr>
            <w:r>
              <w:t>21</w:t>
            </w:r>
          </w:p>
        </w:tc>
      </w:tr>
      <w:tr w:rsidR="00000000">
        <w:tblPrEx>
          <w:tblCellMar>
            <w:top w:w="0" w:type="dxa"/>
            <w:bottom w:w="0" w:type="dxa"/>
          </w:tblCellMar>
        </w:tblPrEx>
        <w:trPr>
          <w:jc w:val="center"/>
        </w:trPr>
        <w:tc>
          <w:tcPr>
            <w:tcW w:w="4080" w:type="dxa"/>
          </w:tcPr>
          <w:p w:rsidR="00000000" w:rsidRDefault="00000000">
            <w:r>
              <w:t>Carencia de yodo moderada</w:t>
            </w:r>
          </w:p>
        </w:tc>
        <w:tc>
          <w:tcPr>
            <w:tcW w:w="2486" w:type="dxa"/>
          </w:tcPr>
          <w:p w:rsidR="00000000" w:rsidRDefault="00000000">
            <w:pPr>
              <w:jc w:val="center"/>
            </w:pPr>
            <w:r>
              <w:t>18</w:t>
            </w:r>
          </w:p>
        </w:tc>
      </w:tr>
    </w:tbl>
    <w:p w:rsidR="00000000" w:rsidRDefault="00000000">
      <w:pPr>
        <w:spacing w:before="240" w:after="480"/>
        <w:ind w:left="1440" w:right="1077"/>
      </w:pPr>
      <w:r>
        <w:rPr>
          <w:i/>
          <w:iCs/>
        </w:rPr>
        <w:t>Fuente</w:t>
      </w:r>
      <w:r>
        <w:t>:  Normas de los protocolos de los Servicios de Nutrición (agosto de 2001).</w:t>
      </w:r>
    </w:p>
    <w:p w:rsidR="00000000" w:rsidRDefault="00000000">
      <w:pPr>
        <w:spacing w:after="240"/>
      </w:pPr>
      <w:r>
        <w:t>229.</w:t>
      </w:r>
      <w:r>
        <w:tab/>
        <w:t>Las normas de la OMS fijan en 10% el umbral crítico más allá del cual hay un problema de salud pública.  El Senegal se halla pues en una situación delicada que merece medidas enérgicas.</w:t>
      </w:r>
    </w:p>
    <w:p w:rsidR="00000000" w:rsidRDefault="00000000">
      <w:pPr>
        <w:spacing w:after="240"/>
      </w:pPr>
      <w:r>
        <w:t>230.</w:t>
      </w:r>
      <w:r>
        <w:tab/>
        <w:t>El porcentaje de hogares en los que se consume sal yodada es de 9%.</w:t>
      </w:r>
    </w:p>
    <w:p w:rsidR="00000000" w:rsidRDefault="00000000">
      <w:pPr>
        <w:spacing w:after="240"/>
      </w:pPr>
      <w:r>
        <w:t>231.</w:t>
      </w:r>
      <w:r>
        <w:tab/>
        <w:t xml:space="preserve">Como la situación es incomparablemente más crítica en las regiones de </w:t>
      </w:r>
      <w:proofErr w:type="spellStart"/>
      <w:r>
        <w:t>Casamance</w:t>
      </w:r>
      <w:proofErr w:type="spellEnd"/>
      <w:r>
        <w:t xml:space="preserve"> y del Senegal oriental, el Gobierno del Senegal, con el apoyo del UNICEF, ejecuta un programa de lucha contra los trastornos por carencia de yodo (</w:t>
      </w:r>
      <w:proofErr w:type="spellStart"/>
      <w:r>
        <w:t>PLC/TDCI</w:t>
      </w:r>
      <w:proofErr w:type="spellEnd"/>
      <w:r>
        <w:t>) que ha dado resultados convincentes que convendría sin embargo conservar y mejorar.</w:t>
      </w:r>
    </w:p>
    <w:p w:rsidR="00000000" w:rsidRDefault="00000000">
      <w:pPr>
        <w:spacing w:after="240"/>
      </w:pPr>
      <w:r>
        <w:t>232.</w:t>
      </w:r>
      <w:r>
        <w:tab/>
        <w:t>La diarrea, que influye de manera insidiosa y negativa en el estado de nutrición de los niños, es objeto de un programa de lucha que se viene ejecutando desde 1986 en todo el territorio nacional con la colaboración del UNICEF.</w:t>
      </w:r>
    </w:p>
    <w:p w:rsidR="00000000" w:rsidRDefault="00000000">
      <w:pPr>
        <w:spacing w:after="240"/>
      </w:pPr>
      <w:r>
        <w:t>233.</w:t>
      </w:r>
      <w:r>
        <w:tab/>
        <w:t xml:space="preserve">No obstante, la </w:t>
      </w:r>
      <w:proofErr w:type="spellStart"/>
      <w:r>
        <w:t>prevalencia</w:t>
      </w:r>
      <w:proofErr w:type="spellEnd"/>
      <w:r>
        <w:t xml:space="preserve">, que había disminuido sensiblemente, aumentó en 1997 y 1999, pasando de 15% </w:t>
      </w:r>
      <w:proofErr w:type="spellStart"/>
      <w:r>
        <w:t>EDS</w:t>
      </w:r>
      <w:proofErr w:type="spellEnd"/>
      <w:r>
        <w:t xml:space="preserve"> III a 22% </w:t>
      </w:r>
      <w:proofErr w:type="spellStart"/>
      <w:r>
        <w:t>ESIS</w:t>
      </w:r>
      <w:proofErr w:type="spellEnd"/>
      <w:r>
        <w:t xml:space="preserve"> 1999, según las estadísticas de la Dirección de Salud/Servicio de Nutrición.</w:t>
      </w:r>
    </w:p>
    <w:p w:rsidR="00000000" w:rsidRDefault="00000000">
      <w:pPr>
        <w:spacing w:after="240"/>
      </w:pPr>
      <w:r>
        <w:t>234.</w:t>
      </w:r>
      <w:r>
        <w:tab/>
        <w:t xml:space="preserve">La </w:t>
      </w:r>
      <w:proofErr w:type="spellStart"/>
      <w:r>
        <w:t>prevalencia</w:t>
      </w:r>
      <w:proofErr w:type="spellEnd"/>
      <w:r>
        <w:t xml:space="preserve"> de peso bajo al nacer ha aumentado, pasando del 11% de los nacidos vivos en 1996 al 13,4% en 2000 (</w:t>
      </w:r>
      <w:proofErr w:type="spellStart"/>
      <w:r>
        <w:t>MICS</w:t>
      </w:r>
      <w:proofErr w:type="spellEnd"/>
      <w:r>
        <w:t xml:space="preserve"> II).</w:t>
      </w:r>
    </w:p>
    <w:p w:rsidR="00000000" w:rsidRDefault="00000000">
      <w:pPr>
        <w:spacing w:after="240"/>
      </w:pPr>
      <w:r>
        <w:t>235.</w:t>
      </w:r>
      <w:r>
        <w:tab/>
        <w:t xml:space="preserve">Los parásitos digestivos afectan al 46% de los niños de 0 a 36 meses en las regiones de Dakar, </w:t>
      </w:r>
      <w:proofErr w:type="spellStart"/>
      <w:r>
        <w:t>Thiès</w:t>
      </w:r>
      <w:proofErr w:type="spellEnd"/>
      <w:r>
        <w:t xml:space="preserve">, </w:t>
      </w:r>
      <w:proofErr w:type="spellStart"/>
      <w:r>
        <w:t>Diourbel</w:t>
      </w:r>
      <w:proofErr w:type="spellEnd"/>
      <w:r>
        <w:t xml:space="preserve"> y San Luis.</w:t>
      </w:r>
    </w:p>
    <w:p w:rsidR="00000000" w:rsidRDefault="00000000">
      <w:pPr>
        <w:spacing w:after="240"/>
      </w:pPr>
      <w:r>
        <w:t>236.</w:t>
      </w:r>
      <w:r>
        <w:tab/>
        <w:t>La geofagia, que practica el 45% de los niños, es un factor etiológico de primer orden.</w:t>
      </w:r>
    </w:p>
    <w:p w:rsidR="00000000" w:rsidRDefault="00000000">
      <w:pPr>
        <w:spacing w:after="240"/>
      </w:pPr>
      <w:r>
        <w:t>237.</w:t>
      </w:r>
      <w:r>
        <w:tab/>
        <w:t xml:space="preserve">Cabe subrayar que no existe en el Senegal una política nacional de tratamiento </w:t>
      </w:r>
      <w:proofErr w:type="spellStart"/>
      <w:r>
        <w:t>antiparasitario</w:t>
      </w:r>
      <w:proofErr w:type="spellEnd"/>
      <w:r>
        <w:t xml:space="preserve"> sistemático que acompañe al Programa de lucha contra la malnutrición y las carencias de </w:t>
      </w:r>
      <w:proofErr w:type="spellStart"/>
      <w:r>
        <w:t>micronutrientes</w:t>
      </w:r>
      <w:proofErr w:type="spellEnd"/>
      <w:r>
        <w:t>.</w:t>
      </w:r>
    </w:p>
    <w:p w:rsidR="00000000" w:rsidRDefault="00000000">
      <w:pPr>
        <w:spacing w:after="240"/>
      </w:pPr>
      <w:r>
        <w:t>238.</w:t>
      </w:r>
      <w:r>
        <w:tab/>
        <w:t>Es de señalar asimismo que la malnutrición en todas sus formas es un problema de salud prioritario en el Senegal, que dio lugar al Programa de Nutrición Comunitaria en 1991 y al Programa de Refuerzo de la Nutrición en 2001.</w:t>
      </w:r>
    </w:p>
    <w:p w:rsidR="00000000" w:rsidRDefault="00000000">
      <w:pPr>
        <w:spacing w:after="240"/>
      </w:pPr>
      <w:r>
        <w:t>239.</w:t>
      </w:r>
      <w:r>
        <w:tab/>
        <w:t>El Programa de Refuerzo de la Nutrición para hacer frente a todos estos males que aquejan a los niños y que de alguna manera atentan contra sus derechos persigue los siguientes objetivos:</w:t>
      </w:r>
    </w:p>
    <w:p w:rsidR="00000000" w:rsidRDefault="00000000">
      <w:pPr>
        <w:spacing w:after="240"/>
        <w:ind w:left="1134" w:hanging="567"/>
      </w:pPr>
      <w:r>
        <w:t>1.</w:t>
      </w:r>
      <w:r>
        <w:tab/>
        <w:t>Reducción del 45% de la insuficiencia ponderal en los niños de 0 a 5 años;</w:t>
      </w:r>
    </w:p>
    <w:p w:rsidR="00000000" w:rsidRDefault="00000000">
      <w:pPr>
        <w:spacing w:after="240"/>
        <w:ind w:left="1134" w:hanging="567"/>
      </w:pPr>
      <w:r>
        <w:t>2.</w:t>
      </w:r>
      <w:r>
        <w:tab/>
        <w:t>Creación de un conjunto de actividades integradas de nutrición (</w:t>
      </w:r>
      <w:proofErr w:type="spellStart"/>
      <w:r>
        <w:t>PAIN</w:t>
      </w:r>
      <w:proofErr w:type="spellEnd"/>
      <w:r>
        <w:t>);</w:t>
      </w:r>
    </w:p>
    <w:p w:rsidR="00000000" w:rsidRDefault="00000000">
      <w:pPr>
        <w:spacing w:after="240"/>
        <w:ind w:left="1134" w:hanging="567"/>
      </w:pPr>
      <w:r>
        <w:t>3.</w:t>
      </w:r>
      <w:r>
        <w:tab/>
        <w:t>Tratamiento integrado de las enfermedades infantiles (</w:t>
      </w:r>
      <w:proofErr w:type="spellStart"/>
      <w:r>
        <w:t>PCIME</w:t>
      </w:r>
      <w:proofErr w:type="spellEnd"/>
      <w:r>
        <w:t>);</w:t>
      </w:r>
    </w:p>
    <w:p w:rsidR="00000000" w:rsidRDefault="00000000">
      <w:pPr>
        <w:spacing w:after="240"/>
        <w:ind w:left="1134" w:hanging="567"/>
      </w:pPr>
      <w:r>
        <w:t>4.</w:t>
      </w:r>
      <w:r>
        <w:tab/>
        <w:t>Promoción de la práctica de la lactancia materna durante seis meses;</w:t>
      </w:r>
    </w:p>
    <w:p w:rsidR="00000000" w:rsidRDefault="00000000">
      <w:pPr>
        <w:spacing w:after="240"/>
        <w:ind w:left="1134" w:hanging="567"/>
      </w:pPr>
      <w:r>
        <w:t>5.</w:t>
      </w:r>
      <w:r>
        <w:tab/>
        <w:t xml:space="preserve">Promoción del </w:t>
      </w:r>
      <w:proofErr w:type="spellStart"/>
      <w:r>
        <w:t>BPA</w:t>
      </w:r>
      <w:proofErr w:type="spellEnd"/>
      <w:r>
        <w:t xml:space="preserve"> Complementario entre los niños a partir de los seis meses;</w:t>
      </w:r>
    </w:p>
    <w:p w:rsidR="00000000" w:rsidRDefault="00000000">
      <w:pPr>
        <w:spacing w:after="240"/>
        <w:ind w:left="1134" w:hanging="567"/>
      </w:pPr>
      <w:r>
        <w:t>6.</w:t>
      </w:r>
      <w:r>
        <w:tab/>
        <w:t>Seguimiento y Promoción del Crecimiento (</w:t>
      </w:r>
      <w:proofErr w:type="spellStart"/>
      <w:r>
        <w:t>SPC</w:t>
      </w:r>
      <w:proofErr w:type="spellEnd"/>
      <w:r>
        <w:t>) periódicos de al menos el 50% de los niños de 0 a 5 años;</w:t>
      </w:r>
    </w:p>
    <w:p w:rsidR="00000000" w:rsidRDefault="00000000">
      <w:pPr>
        <w:spacing w:after="240"/>
        <w:ind w:left="1134" w:hanging="567"/>
      </w:pPr>
      <w:r>
        <w:t>7.</w:t>
      </w:r>
      <w:r>
        <w:tab/>
        <w:t xml:space="preserve">Aporte de vitamina A </w:t>
      </w:r>
      <w:proofErr w:type="spellStart"/>
      <w:r>
        <w:t>a</w:t>
      </w:r>
      <w:proofErr w:type="spellEnd"/>
      <w:r>
        <w:t xml:space="preserve"> menos del 80% de los niños de 6 a 59 meses y de las mujeres lactantes con carácter inmediato;</w:t>
      </w:r>
    </w:p>
    <w:p w:rsidR="00000000" w:rsidRDefault="00000000">
      <w:pPr>
        <w:spacing w:after="240"/>
        <w:ind w:left="1134" w:hanging="567"/>
      </w:pPr>
      <w:r>
        <w:t>8.</w:t>
      </w:r>
      <w:r>
        <w:tab/>
        <w:t>Aporte periódico de hierro al 50% de los niños de 6 meses a 5 años, a los niños de edad escolar, a las mujeres en edad de procrear y a las embarazadas;</w:t>
      </w:r>
    </w:p>
    <w:p w:rsidR="00000000" w:rsidRDefault="00000000">
      <w:pPr>
        <w:spacing w:after="240"/>
        <w:ind w:left="1134" w:hanging="567"/>
      </w:pPr>
      <w:r>
        <w:t>9.</w:t>
      </w:r>
      <w:r>
        <w:tab/>
        <w:t>Erradicación de los trastornos debidos a la carencia de yodo de aquí a 2005;</w:t>
      </w:r>
    </w:p>
    <w:p w:rsidR="00000000" w:rsidRDefault="00000000">
      <w:pPr>
        <w:spacing w:after="240"/>
        <w:ind w:left="1134" w:hanging="567"/>
      </w:pPr>
      <w:r>
        <w:t>10.</w:t>
      </w:r>
      <w:r>
        <w:tab/>
        <w:t xml:space="preserve">Tratamiento </w:t>
      </w:r>
      <w:proofErr w:type="spellStart"/>
      <w:r>
        <w:t>antiparasitario</w:t>
      </w:r>
      <w:proofErr w:type="spellEnd"/>
      <w:r>
        <w:t xml:space="preserve"> sistemático al menos dos veces al año en el 50% de los niños de 6 meses a 5 años y los niños de edad escolar;</w:t>
      </w:r>
    </w:p>
    <w:p w:rsidR="00000000" w:rsidRDefault="00000000">
      <w:pPr>
        <w:spacing w:after="240"/>
        <w:ind w:left="1134" w:hanging="567"/>
      </w:pPr>
      <w:r>
        <w:t>11.</w:t>
      </w:r>
      <w:r>
        <w:tab/>
        <w:t xml:space="preserve">Tratamiento curativo adecuado de los casos de </w:t>
      </w:r>
      <w:proofErr w:type="spellStart"/>
      <w:r>
        <w:t>parasitosis</w:t>
      </w:r>
      <w:proofErr w:type="spellEnd"/>
      <w:r>
        <w:t xml:space="preserve"> digestivas;</w:t>
      </w:r>
    </w:p>
    <w:p w:rsidR="00000000" w:rsidRDefault="00000000">
      <w:pPr>
        <w:spacing w:after="240"/>
        <w:ind w:left="1134" w:hanging="567"/>
      </w:pPr>
      <w:r>
        <w:t>12.</w:t>
      </w:r>
      <w:r>
        <w:tab/>
        <w:t>Prevención de la desnutrición y la deshidratación en los niños enfermos;</w:t>
      </w:r>
    </w:p>
    <w:p w:rsidR="00000000" w:rsidRDefault="00000000">
      <w:pPr>
        <w:spacing w:after="240"/>
        <w:ind w:left="1134" w:hanging="567"/>
      </w:pPr>
      <w:r>
        <w:t>13.</w:t>
      </w:r>
      <w:r>
        <w:tab/>
        <w:t>Aporte a todos los niños que padecen malnutrición grave, de una alimentación suficiente y adaptada.</w:t>
      </w:r>
    </w:p>
    <w:p w:rsidR="00000000" w:rsidRDefault="00000000">
      <w:pPr>
        <w:spacing w:after="240"/>
      </w:pPr>
      <w:r>
        <w:t>240.</w:t>
      </w:r>
      <w:r>
        <w:tab/>
        <w:t>El porcentaje de la población que tiene acceso a un agua potable es de 63% en total, con 90% en medio urbano y 44% en medio rural.</w:t>
      </w:r>
    </w:p>
    <w:p w:rsidR="00000000" w:rsidRDefault="00000000">
      <w:pPr>
        <w:spacing w:after="240"/>
      </w:pPr>
      <w:r>
        <w:t>241.</w:t>
      </w:r>
      <w:r>
        <w:tab/>
        <w:t>Por lo que se refiere al saneamiento seguro, la tasa general en escala nacional es de 39%, 71% en medio urbano y 15% en medio rural.</w:t>
      </w:r>
    </w:p>
    <w:p w:rsidR="00000000" w:rsidRDefault="00000000">
      <w:pPr>
        <w:spacing w:after="240"/>
      </w:pPr>
      <w:r>
        <w:t>242.</w:t>
      </w:r>
      <w:r>
        <w:tab/>
        <w:t>En cuanto a la vacunación, el Estado se hace cargo de la compra de todas las vacunas en el Programa Ampliado de Vacunación.  En materia de vacunación se observan los siguientes datos:</w:t>
      </w:r>
    </w:p>
    <w:p w:rsidR="00000000" w:rsidRDefault="00000000">
      <w:pPr>
        <w:spacing w:after="240"/>
        <w:ind w:left="924" w:hanging="357"/>
      </w:pPr>
      <w:r>
        <w:t>-</w:t>
      </w:r>
      <w:r>
        <w:tab/>
        <w:t>Tuberculosis, 80%;</w:t>
      </w:r>
    </w:p>
    <w:p w:rsidR="00000000" w:rsidRDefault="00000000">
      <w:pPr>
        <w:spacing w:after="240"/>
        <w:ind w:left="924" w:hanging="357"/>
      </w:pPr>
      <w:r>
        <w:t>-</w:t>
      </w:r>
      <w:r>
        <w:tab/>
      </w:r>
      <w:proofErr w:type="spellStart"/>
      <w:r>
        <w:t>DPT</w:t>
      </w:r>
      <w:proofErr w:type="spellEnd"/>
      <w:r>
        <w:t>, 65%;</w:t>
      </w:r>
    </w:p>
    <w:p w:rsidR="00000000" w:rsidRDefault="00000000">
      <w:pPr>
        <w:spacing w:after="240"/>
        <w:ind w:left="924" w:hanging="357"/>
      </w:pPr>
      <w:r>
        <w:t>-</w:t>
      </w:r>
      <w:r>
        <w:tab/>
        <w:t>Polio, 65%;</w:t>
      </w:r>
    </w:p>
    <w:p w:rsidR="00000000" w:rsidRDefault="00000000">
      <w:pPr>
        <w:spacing w:after="240"/>
        <w:ind w:left="924" w:hanging="357"/>
      </w:pPr>
      <w:r>
        <w:t>-</w:t>
      </w:r>
      <w:r>
        <w:tab/>
        <w:t>Rubéola, 65%;</w:t>
      </w:r>
    </w:p>
    <w:p w:rsidR="00000000" w:rsidRDefault="00000000">
      <w:pPr>
        <w:spacing w:after="240"/>
        <w:ind w:left="924" w:hanging="357"/>
      </w:pPr>
      <w:r>
        <w:t>-</w:t>
      </w:r>
      <w:r>
        <w:tab/>
        <w:t>Mujeres embarazadas, 34%;</w:t>
      </w:r>
    </w:p>
    <w:p w:rsidR="00000000" w:rsidRDefault="00000000">
      <w:pPr>
        <w:spacing w:after="240"/>
        <w:ind w:left="924" w:hanging="357"/>
      </w:pPr>
      <w:r>
        <w:t>-</w:t>
      </w:r>
      <w:r>
        <w:tab/>
        <w:t>Tasa de utilización de la rehidratación oral, 39%.</w:t>
      </w:r>
    </w:p>
    <w:p w:rsidR="00000000" w:rsidRDefault="00000000">
      <w:pPr>
        <w:spacing w:after="240"/>
      </w:pPr>
      <w:r>
        <w:t>243.</w:t>
      </w:r>
      <w:r>
        <w:tab/>
        <w:t>Se han hecho esfuerzos encomiables en las inversiones.  El presupuesto de salud pasó del 6,5% del presupuesto nacional en 1995 al 8,75% en 1999.  En 2003 es del 9,5%, lo que supera el 9% fijado por la OMS, y se ha aumentado sensiblemente el número de hospitales y de centros.</w:t>
      </w:r>
    </w:p>
    <w:p w:rsidR="00000000" w:rsidRDefault="00000000">
      <w:pPr>
        <w:spacing w:after="240"/>
      </w:pPr>
      <w:r>
        <w:t>244.</w:t>
      </w:r>
      <w:r>
        <w:tab/>
        <w:t>Hay que celebrar también la participación comunitaria en la política de sanidad con los comités dirigidos por la propia población.  Esos comités garantizan el autofinanciamiento de las actividades hasta el 30%.</w:t>
      </w:r>
    </w:p>
    <w:p w:rsidR="00000000" w:rsidRDefault="00000000">
      <w:pPr>
        <w:spacing w:after="240"/>
      </w:pPr>
      <w:r>
        <w:t>245.</w:t>
      </w:r>
      <w:r>
        <w:tab/>
        <w:t xml:space="preserve">Los asociados en este sector como el UNICEF, el FNUAP, el Banco Mundial, la </w:t>
      </w:r>
      <w:proofErr w:type="spellStart"/>
      <w:r>
        <w:t>GTZ</w:t>
      </w:r>
      <w:proofErr w:type="spellEnd"/>
      <w:r>
        <w:t xml:space="preserve"> y otros interlocutores, contribuyen en los sectores de la construcción, el equipamiento y la formación del personal.</w:t>
      </w:r>
    </w:p>
    <w:p w:rsidR="00000000" w:rsidRDefault="00000000">
      <w:pPr>
        <w:spacing w:after="240"/>
      </w:pPr>
      <w:r>
        <w:t>246.</w:t>
      </w:r>
      <w:r>
        <w:tab/>
        <w:t>El Ministerio de Salud, ante la insuficiencia de personal sanitario, ha elaborado y empezado a ejecutar un programa coherente de contratación, escalonado en varios años.</w:t>
      </w:r>
    </w:p>
    <w:p w:rsidR="00000000" w:rsidRDefault="00000000">
      <w:pPr>
        <w:spacing w:after="240"/>
      </w:pPr>
      <w:r>
        <w:t>247.</w:t>
      </w:r>
      <w:r>
        <w:tab/>
        <w:t xml:space="preserve">Hay asimismo un programa nacional de lucha contra la mortalidad </w:t>
      </w:r>
      <w:proofErr w:type="spellStart"/>
      <w:r>
        <w:t>maternoinfantil</w:t>
      </w:r>
      <w:proofErr w:type="spellEnd"/>
      <w:r>
        <w:t>, con diversas facetas.</w:t>
      </w:r>
    </w:p>
    <w:p w:rsidR="00000000" w:rsidRDefault="00000000">
      <w:pPr>
        <w:spacing w:after="240"/>
      </w:pPr>
      <w:r>
        <w:t>248.</w:t>
      </w:r>
      <w:r>
        <w:tab/>
        <w:t>En este sentido hay que acoger favorablemente los esfuerzos que se han desplegado como parte de los proyectos de fomento de la planificación familiar, que permiten propiciar el espaciamiento de los embarazos y mejorar la salud de la familia al tiempo que facilitan la disponibilidad de los recursos necesarios para la educación, el mantenimiento y la formación de los hijos.</w:t>
      </w:r>
    </w:p>
    <w:p w:rsidR="00000000" w:rsidRDefault="00000000">
      <w:pPr>
        <w:spacing w:after="240"/>
      </w:pPr>
      <w:r>
        <w:t>249.</w:t>
      </w:r>
      <w:r>
        <w:tab/>
        <w:t xml:space="preserve">El </w:t>
      </w:r>
      <w:proofErr w:type="spellStart"/>
      <w:r>
        <w:t>teletón</w:t>
      </w:r>
      <w:proofErr w:type="spellEnd"/>
      <w:r>
        <w:t xml:space="preserve"> organizado este año toma parte de una política enérgica y duradera de movilización de recursos a nivel local en pro de una estrategia de la salud </w:t>
      </w:r>
      <w:proofErr w:type="spellStart"/>
      <w:r>
        <w:t>maternoinfantil</w:t>
      </w:r>
      <w:proofErr w:type="spellEnd"/>
      <w:r>
        <w:t xml:space="preserve"> fundada en la prevención médica y social.</w:t>
      </w:r>
    </w:p>
    <w:p w:rsidR="00000000" w:rsidRDefault="00000000">
      <w:pPr>
        <w:spacing w:after="240"/>
      </w:pPr>
      <w:r>
        <w:t>250.</w:t>
      </w:r>
      <w:r>
        <w:tab/>
        <w:t xml:space="preserve">A pesar de todo, las cuestiones relacionadas con la salud de los menores siguen siendo preocupantes.  Las tasas de mortalidad en los primeros años de vida siguen siendo elevadas y la insuficiencia ponderal y la carencia de </w:t>
      </w:r>
      <w:proofErr w:type="spellStart"/>
      <w:r>
        <w:t>micronutrientes</w:t>
      </w:r>
      <w:proofErr w:type="spellEnd"/>
      <w:r>
        <w:t xml:space="preserve"> y hierro siguen recordándonos que hay que perseverar y multiplicar los resultados que se obtienen.</w:t>
      </w:r>
    </w:p>
    <w:p w:rsidR="00000000" w:rsidRDefault="00000000">
      <w:pPr>
        <w:spacing w:after="240"/>
      </w:pPr>
      <w:r>
        <w:t>251.</w:t>
      </w:r>
      <w:r>
        <w:tab/>
        <w:t>Cabe subrayar que la dimensión social de los planes de ajuste estructural entra cada vez más en los nuevos programas de cooperación, tanto bilateral como multilateral.</w:t>
      </w:r>
    </w:p>
    <w:p w:rsidR="00000000" w:rsidRDefault="00000000">
      <w:pPr>
        <w:spacing w:after="240"/>
      </w:pPr>
      <w:r>
        <w:t>252.</w:t>
      </w:r>
      <w:r>
        <w:tab/>
        <w:t>De esta manera, el Gobierno del Senegal, gracias al apoyo de sus asociados en el desarrollo, ha creado un vasto programa de lucha contra la pobreza, cuyos sectores prioritarios de intervención se fundan en la valorización de los recursos humanos, la promoción de actividades productivas de base, el establecimiento de infraestructuras básicas y el reforzamiento de la capacidad de los beneficiarios y actores en el plano local.</w:t>
      </w:r>
    </w:p>
    <w:p w:rsidR="00000000" w:rsidRDefault="00000000">
      <w:pPr>
        <w:spacing w:after="240"/>
      </w:pPr>
      <w:r>
        <w:t>253.</w:t>
      </w:r>
      <w:r>
        <w:tab/>
        <w:t>En 1995, las autoridades definieron asimismo nuevas orientaciones para la política nacional de salud y de acción social a través de un Programa decenal de desarrollo sanitario y social (</w:t>
      </w:r>
      <w:proofErr w:type="spellStart"/>
      <w:r>
        <w:t>PNDS</w:t>
      </w:r>
      <w:proofErr w:type="spellEnd"/>
      <w:r>
        <w:t>) 1997</w:t>
      </w:r>
      <w:r>
        <w:noBreakHyphen/>
        <w:t>2007.  El Programa de Desarrollo Integrado de la Salud y de la Acción Social (</w:t>
      </w:r>
      <w:proofErr w:type="spellStart"/>
      <w:r>
        <w:t>PDIS</w:t>
      </w:r>
      <w:proofErr w:type="spellEnd"/>
      <w:r>
        <w:t xml:space="preserve">) encarna el aspecto operativo de las prioridades que figuran en el </w:t>
      </w:r>
      <w:proofErr w:type="spellStart"/>
      <w:r>
        <w:t>PNDS</w:t>
      </w:r>
      <w:proofErr w:type="spellEnd"/>
      <w:r>
        <w:t xml:space="preserve"> para el período 1998</w:t>
      </w:r>
      <w:r>
        <w:noBreakHyphen/>
        <w:t>2002.</w:t>
      </w:r>
    </w:p>
    <w:p w:rsidR="00000000" w:rsidRDefault="00000000">
      <w:pPr>
        <w:spacing w:after="240"/>
      </w:pPr>
      <w:r>
        <w:t>254.</w:t>
      </w:r>
      <w:r>
        <w:tab/>
        <w:t xml:space="preserve">El </w:t>
      </w:r>
      <w:proofErr w:type="spellStart"/>
      <w:r>
        <w:t>DELP</w:t>
      </w:r>
      <w:proofErr w:type="spellEnd"/>
      <w:r>
        <w:t>, nuevo marco de intervención de todos los interlocutores, tiene en cuenta una parte importante de las necesidades sanitarias y de educación de la población, y de los niños y las mujeres en particular.</w:t>
      </w:r>
    </w:p>
    <w:p w:rsidR="00000000" w:rsidRDefault="00000000">
      <w:pPr>
        <w:spacing w:after="480"/>
      </w:pPr>
      <w:r>
        <w:t>255.</w:t>
      </w:r>
      <w:r>
        <w:tab/>
        <w:t xml:space="preserve">Lo mismo ocurre con el </w:t>
      </w:r>
      <w:proofErr w:type="spellStart"/>
      <w:r>
        <w:t>MCA</w:t>
      </w:r>
      <w:proofErr w:type="spellEnd"/>
      <w:r>
        <w:t xml:space="preserve">, que pondrá a disposición los fondos más importantes jamás movilizados desde el comienzo de la elaboración y ejecución de los programas de lucha contra la pobreza y será un marco muy pertinente para la movilización de fondos destinados al </w:t>
      </w:r>
      <w:proofErr w:type="spellStart"/>
      <w:r>
        <w:t>DELP</w:t>
      </w:r>
      <w:proofErr w:type="spellEnd"/>
      <w:r>
        <w:t>.</w:t>
      </w:r>
    </w:p>
    <w:p w:rsidR="00000000" w:rsidRDefault="00000000">
      <w:pPr>
        <w:spacing w:after="240"/>
        <w:ind w:left="567" w:hanging="567"/>
        <w:jc w:val="center"/>
        <w:rPr>
          <w:b/>
          <w:bCs/>
        </w:rPr>
      </w:pPr>
      <w:r>
        <w:rPr>
          <w:b/>
          <w:bCs/>
        </w:rPr>
        <w:t>VII.  EDUCACIÓN, OCIO, DEPORTES Y ACTIVIDADES CULTURALES</w:t>
      </w:r>
      <w:r>
        <w:rPr>
          <w:b/>
          <w:bCs/>
        </w:rPr>
        <w:br/>
        <w:t>(ARTÍCULOS 28, 29 Y 31 DE LA CONVENCIÓN)</w:t>
      </w:r>
    </w:p>
    <w:p w:rsidR="00000000" w:rsidRDefault="00000000">
      <w:pPr>
        <w:spacing w:after="240"/>
        <w:rPr>
          <w:b/>
          <w:bCs/>
        </w:rPr>
      </w:pPr>
      <w:r>
        <w:rPr>
          <w:b/>
          <w:bCs/>
        </w:rPr>
        <w:t>7.1.</w:t>
      </w:r>
      <w:r>
        <w:rPr>
          <w:b/>
          <w:bCs/>
        </w:rPr>
        <w:tab/>
        <w:t>Educación</w:t>
      </w:r>
    </w:p>
    <w:p w:rsidR="00000000" w:rsidRDefault="00000000">
      <w:pPr>
        <w:spacing w:after="240"/>
      </w:pPr>
      <w:r>
        <w:t>256.</w:t>
      </w:r>
      <w:r>
        <w:tab/>
        <w:t>El derecho a la educación está garantizado en la Constitución del Senegal.  Se reafirma también en:</w:t>
      </w:r>
    </w:p>
    <w:p w:rsidR="00000000" w:rsidRDefault="00000000">
      <w:pPr>
        <w:spacing w:after="240"/>
        <w:ind w:left="924" w:hanging="357"/>
      </w:pPr>
      <w:r>
        <w:t>-</w:t>
      </w:r>
      <w:r>
        <w:tab/>
        <w:t>La Ley de orientación de la educación Nº 91/22 de 16 de febrero de 1991;</w:t>
      </w:r>
    </w:p>
    <w:p w:rsidR="00000000" w:rsidRDefault="00000000">
      <w:pPr>
        <w:spacing w:after="240"/>
        <w:ind w:left="924" w:hanging="357"/>
      </w:pPr>
      <w:r>
        <w:t>-</w:t>
      </w:r>
      <w:r>
        <w:tab/>
        <w:t>La Carta de política general de la educación de 1992;</w:t>
      </w:r>
    </w:p>
    <w:p w:rsidR="00000000" w:rsidRDefault="00000000">
      <w:pPr>
        <w:spacing w:after="240"/>
        <w:ind w:left="924" w:hanging="357"/>
      </w:pPr>
      <w:r>
        <w:t>-</w:t>
      </w:r>
      <w:r>
        <w:tab/>
        <w:t>La Conferencia general de la educación, así como el informe de la Comisión Nacional de Reforma de la Educación de 1981;</w:t>
      </w:r>
    </w:p>
    <w:p w:rsidR="00000000" w:rsidRDefault="00000000">
      <w:pPr>
        <w:spacing w:after="240"/>
        <w:ind w:left="924" w:hanging="357"/>
      </w:pPr>
      <w:r>
        <w:t>-</w:t>
      </w:r>
      <w:r>
        <w:tab/>
        <w:t>El Programa Decenal de Educación y Formación.</w:t>
      </w:r>
    </w:p>
    <w:p w:rsidR="00000000" w:rsidRDefault="00000000">
      <w:pPr>
        <w:spacing w:after="240"/>
      </w:pPr>
      <w:r>
        <w:t>257.</w:t>
      </w:r>
      <w:r>
        <w:tab/>
        <w:t xml:space="preserve">El Gobierno, en su carta de política general del sector dispone que "el desarrollo de la enseñanza primaria constituye ante todo un derecho fundamental".  Proclama además que:  "al tiempo que se rectifica la disparidad entre los sexos y entre las regiones, se establecerán mecanismos para el crecimiento cuantitativo de la población </w:t>
      </w:r>
      <w:proofErr w:type="spellStart"/>
      <w:r>
        <w:t>escolarizable</w:t>
      </w:r>
      <w:proofErr w:type="spellEnd"/>
      <w:r>
        <w:t xml:space="preserve"> (7 a 12 años) con miras a la universalización de la enseñanza primaria de aquí a 2010".</w:t>
      </w:r>
    </w:p>
    <w:p w:rsidR="00000000" w:rsidRDefault="00000000">
      <w:pPr>
        <w:spacing w:after="240"/>
      </w:pPr>
      <w:r>
        <w:t>258.</w:t>
      </w:r>
      <w:r>
        <w:tab/>
        <w:t>La educación en el Senegal es gratuita.</w:t>
      </w:r>
    </w:p>
    <w:p w:rsidR="00000000" w:rsidRDefault="00000000">
      <w:pPr>
        <w:spacing w:after="240"/>
      </w:pPr>
      <w:r>
        <w:t>259.</w:t>
      </w:r>
      <w:r>
        <w:tab/>
        <w:t>Por otra parte, el Senegal ha suscrito las decisiones adoptadas en cuatro conferencias sobre la educación:</w:t>
      </w:r>
    </w:p>
    <w:p w:rsidR="00000000" w:rsidRDefault="00000000">
      <w:pPr>
        <w:spacing w:after="240"/>
        <w:ind w:left="924" w:hanging="357"/>
      </w:pPr>
      <w:r>
        <w:t>-</w:t>
      </w:r>
      <w:r>
        <w:tab/>
        <w:t xml:space="preserve">La Conferencia de </w:t>
      </w:r>
      <w:proofErr w:type="spellStart"/>
      <w:r>
        <w:t>Addis</w:t>
      </w:r>
      <w:proofErr w:type="spellEnd"/>
      <w:r>
        <w:t xml:space="preserve"> Abeba (1963);</w:t>
      </w:r>
    </w:p>
    <w:p w:rsidR="00000000" w:rsidRDefault="00000000">
      <w:pPr>
        <w:spacing w:after="240"/>
        <w:ind w:left="924" w:hanging="357"/>
      </w:pPr>
      <w:r>
        <w:t>-</w:t>
      </w:r>
      <w:r>
        <w:tab/>
        <w:t>La resolución de Nairobi sobre la alfabetización (1978);</w:t>
      </w:r>
    </w:p>
    <w:p w:rsidR="00000000" w:rsidRDefault="00000000">
      <w:pPr>
        <w:spacing w:after="240"/>
        <w:ind w:left="924" w:hanging="357"/>
      </w:pPr>
      <w:r>
        <w:t>-</w:t>
      </w:r>
      <w:r>
        <w:tab/>
        <w:t>La Conferencia de Harare de Ministros de Educación Nacional y de Planificación Económica (1982);</w:t>
      </w:r>
    </w:p>
    <w:p w:rsidR="00000000" w:rsidRDefault="00000000">
      <w:pPr>
        <w:spacing w:after="240"/>
        <w:ind w:left="924" w:hanging="357"/>
      </w:pPr>
      <w:r>
        <w:t>-</w:t>
      </w:r>
      <w:r>
        <w:tab/>
        <w:t xml:space="preserve">La Conferencia Mundial sobre Educación para Todos de </w:t>
      </w:r>
      <w:proofErr w:type="spellStart"/>
      <w:r>
        <w:t>Jomtien</w:t>
      </w:r>
      <w:proofErr w:type="spellEnd"/>
      <w:r>
        <w:t xml:space="preserve"> (1990);</w:t>
      </w:r>
    </w:p>
    <w:p w:rsidR="00000000" w:rsidRDefault="00000000">
      <w:pPr>
        <w:spacing w:after="240"/>
        <w:ind w:left="924" w:hanging="357"/>
      </w:pPr>
      <w:r>
        <w:t>-</w:t>
      </w:r>
      <w:r>
        <w:tab/>
        <w:t>La Conferencia de Dakar de noviembre de 2001 sobre la Educación para Todos.</w:t>
      </w:r>
    </w:p>
    <w:p w:rsidR="00000000" w:rsidRDefault="00000000">
      <w:pPr>
        <w:spacing w:after="240"/>
      </w:pPr>
      <w:r>
        <w:t>260.</w:t>
      </w:r>
      <w:r>
        <w:tab/>
        <w:t>En materia de educación existe un sistema rutinario de estadística escolar, que está a cargo de la Dirección de Planificación y Reforma de la Educación del Ministerio de Educación Nacional (</w:t>
      </w:r>
      <w:proofErr w:type="spellStart"/>
      <w:r>
        <w:t>DPRE</w:t>
      </w:r>
      <w:proofErr w:type="spellEnd"/>
      <w:r>
        <w:t>).</w:t>
      </w:r>
    </w:p>
    <w:p w:rsidR="00000000" w:rsidRDefault="00000000">
      <w:pPr>
        <w:spacing w:after="240"/>
      </w:pPr>
      <w:r>
        <w:t>261.</w:t>
      </w:r>
      <w:r>
        <w:tab/>
        <w:t>La tasa de alfabetización de adultos se estimaba en 2000 en casi 49%, mientras que la tasa de escolarización en la enseñanza primaria en 2002/03 fue del 75,8%.</w:t>
      </w:r>
    </w:p>
    <w:p w:rsidR="00000000" w:rsidRDefault="00000000">
      <w:pPr>
        <w:spacing w:after="240"/>
      </w:pPr>
      <w:r>
        <w:t>262.</w:t>
      </w:r>
      <w:r>
        <w:tab/>
        <w:t>Por lo que se refiere a la tasa de escolarización en la enseñanza primaria, se advierte la siguiente evolución:</w:t>
      </w:r>
    </w:p>
    <w:p w:rsidR="00000000" w:rsidRDefault="00000000">
      <w:pPr>
        <w:tabs>
          <w:tab w:val="left" w:pos="3000"/>
          <w:tab w:val="left" w:pos="4680"/>
        </w:tabs>
        <w:spacing w:after="240"/>
        <w:ind w:left="924" w:hanging="357"/>
      </w:pPr>
      <w:r>
        <w:t>-</w:t>
      </w:r>
      <w:r>
        <w:tab/>
        <w:t>(1960-1996) Bruta:</w:t>
      </w:r>
      <w:r>
        <w:tab/>
        <w:t>Niños  76%</w:t>
      </w:r>
      <w:r>
        <w:tab/>
        <w:t>Niñas  62%</w:t>
      </w:r>
    </w:p>
    <w:p w:rsidR="00000000" w:rsidRDefault="00000000">
      <w:pPr>
        <w:tabs>
          <w:tab w:val="left" w:pos="3000"/>
          <w:tab w:val="left" w:pos="4680"/>
        </w:tabs>
        <w:spacing w:after="240"/>
        <w:ind w:left="924" w:hanging="357"/>
      </w:pPr>
      <w:r>
        <w:t>-</w:t>
      </w:r>
      <w:r>
        <w:tab/>
        <w:t>(1993-1995) Neta:</w:t>
      </w:r>
      <w:r>
        <w:tab/>
        <w:t>Niños  60%</w:t>
      </w:r>
      <w:r>
        <w:tab/>
        <w:t>Niñas  48%</w:t>
      </w:r>
    </w:p>
    <w:p w:rsidR="00000000" w:rsidRDefault="00000000">
      <w:pPr>
        <w:tabs>
          <w:tab w:val="left" w:pos="3000"/>
          <w:tab w:val="left" w:pos="4680"/>
        </w:tabs>
        <w:spacing w:after="240"/>
        <w:ind w:left="924" w:hanging="357"/>
      </w:pPr>
      <w:r>
        <w:t>-</w:t>
      </w:r>
      <w:r>
        <w:tab/>
        <w:t>(2002-2003) Bruta:</w:t>
      </w:r>
      <w:r>
        <w:tab/>
        <w:t>Niños  89%</w:t>
      </w:r>
      <w:r>
        <w:tab/>
        <w:t>Niñas  81%</w:t>
      </w:r>
    </w:p>
    <w:p w:rsidR="00000000" w:rsidRDefault="00000000">
      <w:pPr>
        <w:tabs>
          <w:tab w:val="left" w:pos="3000"/>
          <w:tab w:val="left" w:pos="4680"/>
        </w:tabs>
        <w:spacing w:after="240"/>
        <w:ind w:left="924" w:hanging="357"/>
      </w:pPr>
      <w:r>
        <w:t>-</w:t>
      </w:r>
      <w:r>
        <w:tab/>
        <w:t>(2002-2003) Neta:</w:t>
      </w:r>
      <w:r>
        <w:tab/>
        <w:t>Niños  76%</w:t>
      </w:r>
      <w:r>
        <w:tab/>
        <w:t>Niñas  69%</w:t>
      </w:r>
    </w:p>
    <w:p w:rsidR="00000000" w:rsidRDefault="00000000">
      <w:pPr>
        <w:spacing w:after="240"/>
      </w:pPr>
      <w:r>
        <w:t>263.</w:t>
      </w:r>
      <w:r>
        <w:tab/>
        <w:t>La tasa de escolarización pasó de 59,9% en 1996/97 a 61,7% en 1997/98 y a 65,5% en 1998/99.  En 2003 es del 75,8%.  Es fundamental subrayar su progreso pero ello no quita que el número de niños excluidos es muy importante.</w:t>
      </w:r>
    </w:p>
    <w:p w:rsidR="00000000" w:rsidRDefault="00000000">
      <w:pPr>
        <w:spacing w:after="240"/>
      </w:pPr>
      <w:r>
        <w:t>264.</w:t>
      </w:r>
      <w:r>
        <w:tab/>
        <w:t>La tasa neta en la enseñanza primaria durante el período 1993/97 fue de 48% en los niños y de 42% en las niñas.</w:t>
      </w:r>
    </w:p>
    <w:p w:rsidR="00000000" w:rsidRDefault="00000000">
      <w:pPr>
        <w:spacing w:after="240"/>
      </w:pPr>
      <w:r>
        <w:t>265.</w:t>
      </w:r>
      <w:r>
        <w:tab/>
        <w:t>La tasa bruta de escolarización en la enseñanza secundaria en el período 1990/96 fue de 20% entre los niños y de 12% en las niñas.</w:t>
      </w:r>
    </w:p>
    <w:p w:rsidR="00000000" w:rsidRDefault="00000000">
      <w:pPr>
        <w:spacing w:after="240"/>
      </w:pPr>
      <w:r>
        <w:t>266.</w:t>
      </w:r>
      <w:r>
        <w:tab/>
        <w:t>En cuanto a la enseñanza secundaria, de las 100.000 niñas escolarizadas, sólo 142 pasan a la enseñanza superior (PNUD 1999).</w:t>
      </w:r>
    </w:p>
    <w:p w:rsidR="00000000" w:rsidRDefault="00000000">
      <w:pPr>
        <w:spacing w:after="240"/>
      </w:pPr>
      <w:r>
        <w:t>267.</w:t>
      </w:r>
      <w:r>
        <w:tab/>
        <w:t>En 2003, la tasa de matriculación y de éxito de las mujeres en la facultad de ciencias, tecnología y servicios de la información y otras ramas técnicas y científicas de las escuelas superiores sigue siendo floja.</w:t>
      </w:r>
    </w:p>
    <w:p w:rsidR="00000000" w:rsidRDefault="00000000">
      <w:pPr>
        <w:spacing w:after="240"/>
        <w:ind w:left="567"/>
        <w:rPr>
          <w:b/>
          <w:bCs/>
        </w:rPr>
      </w:pPr>
      <w:r>
        <w:rPr>
          <w:b/>
          <w:bCs/>
        </w:rPr>
        <w:t>Calidad de la educación</w:t>
      </w:r>
    </w:p>
    <w:p w:rsidR="00000000" w:rsidRDefault="00000000">
      <w:pPr>
        <w:spacing w:after="240"/>
      </w:pPr>
      <w:r>
        <w:t>268.</w:t>
      </w:r>
      <w:r>
        <w:tab/>
        <w:t>La tasa bruta de escolarización pasó de 54% en 1993/94 a 66,5% en 1998/99.  La evolución es sobre todo importante en el caso de las niñas puesto que la tasa (de 1996/97 a 1997/98) ganó 2,6 puntos mientras que la de los niños sólo ganó 1,4 puntos.  En efecto, la tasa de las niñas pasó también de 49,83% en 1996 a 58,1% en 1999.  En 2003, la tasa de escolarización de los niños es de 76% y el de las niñas de 69%.</w:t>
      </w:r>
    </w:p>
    <w:p w:rsidR="00000000" w:rsidRDefault="00000000">
      <w:pPr>
        <w:spacing w:after="240"/>
        <w:rPr>
          <w:b/>
          <w:bCs/>
        </w:rPr>
      </w:pPr>
      <w:r>
        <w:rPr>
          <w:b/>
          <w:bCs/>
        </w:rPr>
        <w:t>7.2.</w:t>
      </w:r>
      <w:r>
        <w:rPr>
          <w:b/>
          <w:bCs/>
        </w:rPr>
        <w:tab/>
        <w:t>Escolarización de las niñas</w:t>
      </w:r>
    </w:p>
    <w:p w:rsidR="00000000" w:rsidRDefault="00000000">
      <w:pPr>
        <w:spacing w:after="240"/>
      </w:pPr>
      <w:r>
        <w:t>269.</w:t>
      </w:r>
      <w:r>
        <w:tab/>
        <w:t>Debido al peso de la tradición, las labores domésticas y los matrimonios precoces, la tasa de escolarización de la mujer es inferior al 50% antes de 1995.  En 1995, 20 de los 30 departamentos con que cuenta el Senegal tenían una tasa de escolarización de las niñas superior a la media nacional.</w:t>
      </w:r>
    </w:p>
    <w:p w:rsidR="00000000" w:rsidRDefault="00000000">
      <w:pPr>
        <w:spacing w:after="240"/>
      </w:pPr>
      <w:r>
        <w:t>270.</w:t>
      </w:r>
      <w:r>
        <w:tab/>
        <w:t>No obstante, la tasa sigue aumentando de año en año y, al ritmo actual, el Senegal podría lograr la escolarización universal de niñas y de niños el año 2010, si se mantienen e intensifican los esfuerzos de construcción de nuevas aulas y la política de contratación de personal docente recibe nuevo impulso.</w:t>
      </w:r>
    </w:p>
    <w:p w:rsidR="00000000" w:rsidRDefault="00000000">
      <w:pPr>
        <w:spacing w:after="240"/>
      </w:pPr>
      <w:r>
        <w:t>271.</w:t>
      </w:r>
      <w:r>
        <w:tab/>
        <w:t>Las reformas previstas para la transformación de la Escuela Normal Superior en facultad de ciencias de la enseñanza prefigura esta opción del Gobierno de la República del Senegal.</w:t>
      </w:r>
    </w:p>
    <w:p w:rsidR="00000000" w:rsidRDefault="00000000">
      <w:pPr>
        <w:spacing w:after="240"/>
      </w:pPr>
      <w:r>
        <w:t>272.</w:t>
      </w:r>
      <w:r>
        <w:tab/>
        <w:t>De ahí que se haya lanzado una importante actividad de movilización social en la que participan los líderes de la opinión, los políticos, los jefes religiosos, las agrupaciones femeninas, las asociaciones de jóvenes y las familias para sensibilizarlos a la necesidad de escolarizar a las niñas.</w:t>
      </w:r>
    </w:p>
    <w:p w:rsidR="00000000" w:rsidRDefault="00000000">
      <w:pPr>
        <w:spacing w:after="240"/>
      </w:pPr>
      <w:r>
        <w:t>273.</w:t>
      </w:r>
      <w:r>
        <w:tab/>
        <w:t>Uno de los hitos ha sido la celebración de los foros nacionales de escolarización de niñas presididos por el Jefe del Estado y el llamamiento anual en favor de la escolarización y del suministro de manuales y equipo escolar menudo.</w:t>
      </w:r>
    </w:p>
    <w:p w:rsidR="00000000" w:rsidRDefault="00000000">
      <w:pPr>
        <w:spacing w:after="240"/>
      </w:pPr>
      <w:r>
        <w:t>274.</w:t>
      </w:r>
      <w:r>
        <w:tab/>
        <w:t>Además de las campañas de movilización y de sensibilización, se han adoptado medidas específicas para garantizar la escolarización de las niñas, como, por ejemplo, su inscripción incluso sin certificado del registro civil, la puesta en marcha de proyectos de apoyo para aliviar la carga de las labores domésticas y la creación de un premio del Presidente de la República para las escuelas que se distingan por el número de niñas matriculadas.</w:t>
      </w:r>
    </w:p>
    <w:p w:rsidR="00000000" w:rsidRDefault="00000000">
      <w:pPr>
        <w:spacing w:after="240"/>
      </w:pPr>
      <w:r>
        <w:t>275.</w:t>
      </w:r>
      <w:r>
        <w:tab/>
        <w:t>El resultado inmediato de la campaña y de las medidas que la han acompañado ha sido la matriculación masiva de las niñas en las escuelas durante los cinco últimos años.  En 2003 la proporción de niñas matriculadas en la enseñanza primaria es de 69%, mientras que en 1994 sólo era de 33,8%.</w:t>
      </w:r>
    </w:p>
    <w:p w:rsidR="00000000" w:rsidRDefault="00000000">
      <w:pPr>
        <w:spacing w:after="240"/>
      </w:pPr>
      <w:r>
        <w:t>276.</w:t>
      </w:r>
      <w:r>
        <w:tab/>
        <w:t>La puesta en marcha de un programa de escolarización de las niñas (</w:t>
      </w:r>
      <w:proofErr w:type="spellStart"/>
      <w:r>
        <w:t>SCOFI</w:t>
      </w:r>
      <w:proofErr w:type="spellEnd"/>
      <w:r>
        <w:t>) y las escuelas comunitarias de base (</w:t>
      </w:r>
      <w:proofErr w:type="spellStart"/>
      <w:r>
        <w:t>ECB</w:t>
      </w:r>
      <w:proofErr w:type="spellEnd"/>
      <w:r>
        <w:t xml:space="preserve">) han contribuido enormemente a esta elevación.  Ahora habrá que esforzarse en mantener y aumentar ese nivel, recuperando el </w:t>
      </w:r>
      <w:proofErr w:type="spellStart"/>
      <w:r>
        <w:t>SCOFI</w:t>
      </w:r>
      <w:proofErr w:type="spellEnd"/>
      <w:r>
        <w:t xml:space="preserve"> en el Programa Decenal de Educación y Formación.</w:t>
      </w:r>
    </w:p>
    <w:p w:rsidR="00000000" w:rsidRDefault="00000000">
      <w:pPr>
        <w:spacing w:after="240"/>
      </w:pPr>
      <w:r>
        <w:t>277.</w:t>
      </w:r>
      <w:r>
        <w:tab/>
        <w:t>Hay que mencionar no obstante la insuficiencia de la oferta escolar frente a esta nueva demanda.  Para aliviarla, el Gobierno ha tomado medidas para la contratación de 1.200 voluntarios al año y ha creado un dispositivo que permitirá coordinar mejor la actuación de los distintos donantes de fondos y garantizar la disponibilidad de aulas y equipo.</w:t>
      </w:r>
    </w:p>
    <w:p w:rsidR="00000000" w:rsidRDefault="00000000">
      <w:pPr>
        <w:spacing w:after="240"/>
      </w:pPr>
      <w:r>
        <w:t>278.</w:t>
      </w:r>
      <w:r>
        <w:tab/>
        <w:t>Con ese fin, el UNICEF ha financiado la formación inicial de esos voluntarios y facilitado material escolar, como pupitres.</w:t>
      </w:r>
    </w:p>
    <w:p w:rsidR="00000000" w:rsidRDefault="00000000">
      <w:pPr>
        <w:spacing w:after="240"/>
      </w:pPr>
      <w:r>
        <w:t>279.</w:t>
      </w:r>
      <w:r>
        <w:tab/>
        <w:t xml:space="preserve">Se han emprendido actividades y se han realizado avances significativos.  Cabe citar entre otros la puesta en marcha del </w:t>
      </w:r>
      <w:proofErr w:type="spellStart"/>
      <w:r>
        <w:t>PDRH2</w:t>
      </w:r>
      <w:proofErr w:type="spellEnd"/>
      <w:r>
        <w:t xml:space="preserve"> y la contratación masiva de voluntarios de la educación que hacen que el aumento de la tasa de escolarización en el ciclo primario haya pasado de 59,7% en 1995/96 a 61,7% en 1997/98 y a 75,8% en 2003 (fuentes estadísticas de la </w:t>
      </w:r>
      <w:proofErr w:type="spellStart"/>
      <w:r>
        <w:t>DPRE</w:t>
      </w:r>
      <w:proofErr w:type="spellEnd"/>
      <w:r>
        <w:t>, 2003).</w:t>
      </w:r>
    </w:p>
    <w:p w:rsidR="00000000" w:rsidRDefault="00000000">
      <w:pPr>
        <w:spacing w:after="240"/>
      </w:pPr>
      <w:r>
        <w:t>280.</w:t>
      </w:r>
      <w:r>
        <w:tab/>
        <w:t>Sin embargo para que la calidad acompañe en la enseñaza este gran esfuerzo de contratación habría que reforzar la formación continua de los voluntarios y auxiliares, que en algunas regiones como Tamba constituyen más del 70% de los maestros, con una formación inicial únicamente:</w:t>
      </w:r>
    </w:p>
    <w:p w:rsidR="00000000" w:rsidRDefault="00000000">
      <w:pPr>
        <w:spacing w:after="240"/>
        <w:ind w:left="924" w:hanging="357"/>
      </w:pPr>
      <w:r>
        <w:t>-</w:t>
      </w:r>
      <w:r>
        <w:tab/>
        <w:t>El proyecto de apoyo a la Nueva Escuela que sostiene el UNICEF permite emprender acciones piloto con el fin de obtener una escuela que facilite la adquisición por parte del niño de los conocimientos, aptitudes y actitudes que necesita para funcionar en la sociedad senegalesa de hoy y de mañana.  Se trata de garantizar la consolidación de los lazos entre la escuela y la comunidad.  De esta manera, con la introducción de nuevos programas educativos (salud, trabajo productivo, medio ambiente), el proyecto garantiza una mejor preparación del niño a la vida familiar, la vida activa, la democracia y la ciudadanía.</w:t>
      </w:r>
    </w:p>
    <w:p w:rsidR="00000000" w:rsidRDefault="00000000">
      <w:pPr>
        <w:spacing w:after="240"/>
        <w:ind w:left="924" w:hanging="357"/>
      </w:pPr>
      <w:r>
        <w:t>-</w:t>
      </w:r>
      <w:r>
        <w:tab/>
        <w:t xml:space="preserve">El objetivo de la escolarización universal cuenta con el apoyo de asociados como Plan </w:t>
      </w:r>
      <w:proofErr w:type="spellStart"/>
      <w:r>
        <w:t>International</w:t>
      </w:r>
      <w:proofErr w:type="spellEnd"/>
      <w:r>
        <w:t xml:space="preserve">, </w:t>
      </w:r>
      <w:proofErr w:type="spellStart"/>
      <w:r>
        <w:t>Christian's</w:t>
      </w:r>
      <w:proofErr w:type="spellEnd"/>
      <w:r>
        <w:t xml:space="preserve"> </w:t>
      </w:r>
      <w:proofErr w:type="spellStart"/>
      <w:r>
        <w:t>Children</w:t>
      </w:r>
      <w:proofErr w:type="spellEnd"/>
      <w:r>
        <w:t xml:space="preserve"> </w:t>
      </w:r>
      <w:proofErr w:type="spellStart"/>
      <w:r>
        <w:t>Fund</w:t>
      </w:r>
      <w:proofErr w:type="spellEnd"/>
      <w:r>
        <w:t xml:space="preserve">, </w:t>
      </w:r>
      <w:proofErr w:type="spellStart"/>
      <w:r>
        <w:t>Aide</w:t>
      </w:r>
      <w:proofErr w:type="spellEnd"/>
      <w:r>
        <w:t xml:space="preserve"> </w:t>
      </w:r>
      <w:proofErr w:type="spellStart"/>
      <w:r>
        <w:t>Action</w:t>
      </w:r>
      <w:proofErr w:type="spellEnd"/>
      <w:r>
        <w:t xml:space="preserve"> y la Fundación </w:t>
      </w:r>
      <w:proofErr w:type="spellStart"/>
      <w:r>
        <w:t>Paul</w:t>
      </w:r>
      <w:proofErr w:type="spellEnd"/>
      <w:r>
        <w:t xml:space="preserve"> </w:t>
      </w:r>
      <w:proofErr w:type="spellStart"/>
      <w:r>
        <w:t>Guérin</w:t>
      </w:r>
      <w:proofErr w:type="spellEnd"/>
      <w:r>
        <w:t xml:space="preserve"> </w:t>
      </w:r>
      <w:proofErr w:type="spellStart"/>
      <w:r>
        <w:t>LAJOIE</w:t>
      </w:r>
      <w:proofErr w:type="spellEnd"/>
      <w:r>
        <w:t>.</w:t>
      </w:r>
    </w:p>
    <w:p w:rsidR="00000000" w:rsidRDefault="00000000">
      <w:pPr>
        <w:spacing w:after="240"/>
        <w:ind w:left="924" w:hanging="357"/>
      </w:pPr>
      <w:r>
        <w:t>-</w:t>
      </w:r>
      <w:r>
        <w:tab/>
        <w:t>Hay que citar también el Proyecto de apoyo a los grupos de promoción femenina (</w:t>
      </w:r>
      <w:proofErr w:type="spellStart"/>
      <w:r>
        <w:t>PAGPF</w:t>
      </w:r>
      <w:proofErr w:type="spellEnd"/>
      <w:r>
        <w:t xml:space="preserve">) emprendido por el Ministerio de la Familia, el Desarrollo Social y la Solidaridad Nacional, que en su sección de educación ha creado 158 guarderías comunitarias en las cinco regiones del Senegal.  Esas estructuras han logrado resultados significativos con el crecimiento de la tasa de matriculación, sobre todo de las niñas.  El proyecto se reanudó en 2002, con la prioridad de apoyar a las mujeres y a los jóvenes, siempre con la financiación del </w:t>
      </w:r>
      <w:proofErr w:type="spellStart"/>
      <w:r>
        <w:t>BAD/FND</w:t>
      </w:r>
      <w:proofErr w:type="spellEnd"/>
      <w:r>
        <w:t>.</w:t>
      </w:r>
    </w:p>
    <w:p w:rsidR="00000000" w:rsidRDefault="00000000">
      <w:pPr>
        <w:spacing w:after="240"/>
      </w:pPr>
      <w:r>
        <w:t>281.</w:t>
      </w:r>
      <w:r>
        <w:tab/>
        <w:t>Las escuelas comunitarias de base (</w:t>
      </w:r>
      <w:proofErr w:type="spellStart"/>
      <w:r>
        <w:t>ECB</w:t>
      </w:r>
      <w:proofErr w:type="spellEnd"/>
      <w:r>
        <w:t xml:space="preserve">) son una alternativa educativa para los niños de 9 a 15 años, con su programa flexible y un ciclo breve de cuatro años, y vienen a reforzar y apoyar el </w:t>
      </w:r>
      <w:proofErr w:type="spellStart"/>
      <w:r>
        <w:t>SCOFI</w:t>
      </w:r>
      <w:proofErr w:type="spellEnd"/>
      <w:r>
        <w:t>.</w:t>
      </w:r>
    </w:p>
    <w:p w:rsidR="00000000" w:rsidRDefault="00000000">
      <w:pPr>
        <w:spacing w:after="240"/>
      </w:pPr>
      <w:r>
        <w:t>282.</w:t>
      </w:r>
      <w:r>
        <w:tab/>
        <w:t>Además cabe citar la actividad de ciertas ONG como Medio Ambiente y Desarrollo en África (</w:t>
      </w:r>
      <w:proofErr w:type="spellStart"/>
      <w:r>
        <w:t>ENDA</w:t>
      </w:r>
      <w:proofErr w:type="spellEnd"/>
      <w:r>
        <w:t xml:space="preserve"> Tercer Mundo) que apoya el derecho a la educación de los niños trabajadores, el Fondo de Solidaridad para los Niños de la Calle (</w:t>
      </w:r>
      <w:proofErr w:type="spellStart"/>
      <w:r>
        <w:t>FSER</w:t>
      </w:r>
      <w:proofErr w:type="spellEnd"/>
      <w:r>
        <w:t xml:space="preserve">), </w:t>
      </w:r>
      <w:proofErr w:type="spellStart"/>
      <w:r>
        <w:t>Zakat</w:t>
      </w:r>
      <w:proofErr w:type="spellEnd"/>
      <w:r>
        <w:t xml:space="preserve"> </w:t>
      </w:r>
      <w:proofErr w:type="spellStart"/>
      <w:r>
        <w:t>House</w:t>
      </w:r>
      <w:proofErr w:type="spellEnd"/>
      <w:r>
        <w:t xml:space="preserve">, la Unión </w:t>
      </w:r>
      <w:proofErr w:type="spellStart"/>
      <w:r>
        <w:t>Socioecológica</w:t>
      </w:r>
      <w:proofErr w:type="spellEnd"/>
      <w:r>
        <w:t xml:space="preserve">, Caritas, </w:t>
      </w:r>
      <w:proofErr w:type="spellStart"/>
      <w:r>
        <w:t>ACAPES</w:t>
      </w:r>
      <w:proofErr w:type="spellEnd"/>
      <w:r>
        <w:t>, Infancia y Paz, que se hacen cargo de los niños escolarizados de las capas desfavorecidas de la población.</w:t>
      </w:r>
    </w:p>
    <w:p w:rsidR="00000000" w:rsidRDefault="00000000">
      <w:pPr>
        <w:spacing w:after="240"/>
        <w:rPr>
          <w:b/>
          <w:bCs/>
        </w:rPr>
      </w:pPr>
      <w:r>
        <w:rPr>
          <w:b/>
          <w:bCs/>
        </w:rPr>
        <w:t>7.3.</w:t>
      </w:r>
      <w:r>
        <w:rPr>
          <w:b/>
          <w:bCs/>
        </w:rPr>
        <w:tab/>
        <w:t>Formación profesional</w:t>
      </w:r>
    </w:p>
    <w:p w:rsidR="00000000" w:rsidRDefault="00000000">
      <w:pPr>
        <w:spacing w:after="240"/>
      </w:pPr>
      <w:r>
        <w:t>283.</w:t>
      </w:r>
      <w:r>
        <w:tab/>
        <w:t>La formación profesional sigue siendo el pariente pobre del sistema educativo.  A pesar de los objetivos pertinentes que se ha fijado, entre otros la preparación para la entrada en la vida activa mediante la adquisición por los alumnos (niñas y niños) de los conocimientos, aptitudes y competencias teóricos y prácticos necesarios para la maestría y el ejercicio de un oficio determinado, no goza todavía de pleno reconocimiento, a pesar de la fuerte demanda y sobre todo de las necesidades de desarrollo del país.</w:t>
      </w:r>
    </w:p>
    <w:p w:rsidR="00000000" w:rsidRDefault="00000000">
      <w:pPr>
        <w:spacing w:after="240"/>
      </w:pPr>
      <w:r>
        <w:t>284.</w:t>
      </w:r>
      <w:r>
        <w:tab/>
        <w:t xml:space="preserve">En 2000 sólo estaban inscritos 7.339 alumnos para los diplomas en formación profesional de una población </w:t>
      </w:r>
      <w:proofErr w:type="spellStart"/>
      <w:r>
        <w:t>escolarizable</w:t>
      </w:r>
      <w:proofErr w:type="spellEnd"/>
      <w:r>
        <w:t xml:space="preserve"> de casi 5 millones y una población activa de cerca de 3 millones.  En el año 2002 sólo un 3,2% de la población activa del Senegal tenía un diploma de formación profesional (</w:t>
      </w:r>
      <w:proofErr w:type="spellStart"/>
      <w:r>
        <w:t>DPETFP</w:t>
      </w:r>
      <w:proofErr w:type="spellEnd"/>
      <w:r>
        <w:t xml:space="preserve"> versión 2001).</w:t>
      </w:r>
    </w:p>
    <w:p w:rsidR="00000000" w:rsidRDefault="00000000">
      <w:pPr>
        <w:spacing w:after="240"/>
      </w:pPr>
      <w:r>
        <w:t>285.</w:t>
      </w:r>
      <w:r>
        <w:tab/>
        <w:t xml:space="preserve">En el documento sobre la política de enseñanza técnica y formación profesional de diciembre de 2001 se dice claramente que "en estos diez últimos años, este sector ha visto la desaparición de una serie de centros de formación en diversas ramas...  En la enseñanza técnica sólo se han creado dos centros, pero con problemas graves de equipamiento...  Por lo que se refiere al sector de la construcción, tan importante para toda la economía del país, no hay nadie matriculado a nivel de </w:t>
      </w:r>
      <w:proofErr w:type="spellStart"/>
      <w:r>
        <w:t>CAP</w:t>
      </w:r>
      <w:proofErr w:type="spellEnd"/>
      <w:r>
        <w:t xml:space="preserve">, </w:t>
      </w:r>
      <w:proofErr w:type="spellStart"/>
      <w:r>
        <w:t>BETP</w:t>
      </w:r>
      <w:proofErr w:type="spellEnd"/>
      <w:r>
        <w:t xml:space="preserve"> y </w:t>
      </w:r>
      <w:proofErr w:type="spellStart"/>
      <w:r>
        <w:t>BT</w:t>
      </w:r>
      <w:proofErr w:type="spellEnd"/>
      <w:r>
        <w:t>".</w:t>
      </w:r>
    </w:p>
    <w:p w:rsidR="00000000" w:rsidRDefault="00000000">
      <w:pPr>
        <w:spacing w:after="240"/>
      </w:pPr>
      <w:r>
        <w:t>286.</w:t>
      </w:r>
      <w:r>
        <w:tab/>
        <w:t>La disponibilidad de estadísticas sobre los menores de 20 años que siguen un ciclo de formación profesional o están en aprendizaje en una empresa rural o urbana de producción, o incluso en un sector agrícola de cualquier dimensión que sea, daría una imagen más clara de los niños que no tienen perspectivas y cuyo destino más probable es la incertidumbre.</w:t>
      </w:r>
    </w:p>
    <w:p w:rsidR="00000000" w:rsidRDefault="00000000">
      <w:pPr>
        <w:spacing w:after="240"/>
      </w:pPr>
      <w:r>
        <w:t>287.</w:t>
      </w:r>
      <w:r>
        <w:tab/>
        <w:t>De esta manera, algo más de 3 millones de niños (de uno u otro sexo), que o bien no están escolarizados, o bien están excluidos del sistema y no han podido obtener una formación práctica en los talleres, tendrán escasas posibilidades de adquirir una calificación que les permite competir en el mercado del empleo en trabajos que exigen cada vez más calificaciones avanzadas y una recalificación adaptada a las exigencias de un entorno cada vez más competitivo.</w:t>
      </w:r>
    </w:p>
    <w:p w:rsidR="00000000" w:rsidRDefault="00000000">
      <w:pPr>
        <w:spacing w:after="240"/>
      </w:pPr>
      <w:r>
        <w:t>288.</w:t>
      </w:r>
      <w:r>
        <w:tab/>
        <w:t>Ahora bien, el Senegal tiene necesidad de todo su potencial para acrecentar su riqueza, desarrollarse y erradicar duraderamente la pobreza.</w:t>
      </w:r>
    </w:p>
    <w:p w:rsidR="00000000" w:rsidRDefault="00000000">
      <w:pPr>
        <w:spacing w:after="240"/>
      </w:pPr>
      <w:r>
        <w:t>289.</w:t>
      </w:r>
      <w:r>
        <w:tab/>
        <w:t xml:space="preserve">El CNP o el CNES y más recientemente la </w:t>
      </w:r>
      <w:proofErr w:type="spellStart"/>
      <w:r>
        <w:t>UNCACOIS</w:t>
      </w:r>
      <w:proofErr w:type="spellEnd"/>
      <w:r>
        <w:t xml:space="preserve"> destacan sin cesar y desde hace largo tiempo la inadecuación entre la formación dispensada y las necesidades de una economía que busca todavía la manera de ser productiva y competitiva.</w:t>
      </w:r>
    </w:p>
    <w:p w:rsidR="00000000" w:rsidRDefault="00000000">
      <w:pPr>
        <w:spacing w:after="240"/>
      </w:pPr>
      <w:r>
        <w:t>290.</w:t>
      </w:r>
      <w:r>
        <w:tab/>
        <w:t>Los productos del sistema educativo senegalés tropiezan con dificultades reales para integrarse y adaptarse a la realidad de la empresa y del mundo laboral, salvo en la administración pública, e incluso en ella, con una productividad y una eficiencia que en muchos sectores quedan todavía por demostrar.</w:t>
      </w:r>
    </w:p>
    <w:p w:rsidR="00000000" w:rsidRDefault="00000000">
      <w:pPr>
        <w:spacing w:after="240"/>
      </w:pPr>
      <w:r>
        <w:t>291.</w:t>
      </w:r>
      <w:r>
        <w:tab/>
        <w:t>Así, la pobreza, a cuya erradicación debería contribuir paulatinamente el sistema educativo en vista de la estructura por edades de la población (58% menor de 20 años), aumenta y se afianza siempre más (un tercio de la población vivía por debajo del umbral de pobreza en 1994 y más de dos tercios en 2002), debido a los efectos perniciosos de ese mismo sistema educativo, limitadísimo en cuanto a su capacidad de crear productores y empresarios que conozcan la realidad de sus entornos socioeconómicos.</w:t>
      </w:r>
    </w:p>
    <w:p w:rsidR="00000000" w:rsidRDefault="00000000">
      <w:pPr>
        <w:spacing w:after="240"/>
      </w:pPr>
      <w:r>
        <w:t>292.</w:t>
      </w:r>
      <w:r>
        <w:tab/>
        <w:t>No obstante, hay muchos actores que se esfuerzan por favorecer un sistema educativo y una formación capaces de dotar a los jóvenes de uno y otro sexo de la capacitación necesaria.</w:t>
      </w:r>
    </w:p>
    <w:p w:rsidR="00000000" w:rsidRDefault="00000000">
      <w:pPr>
        <w:spacing w:after="240"/>
      </w:pPr>
      <w:r>
        <w:t>293.</w:t>
      </w:r>
      <w:r>
        <w:tab/>
        <w:t xml:space="preserve">Las asociaciones para la educación y la formación de los excluidos repescan y vuelven a enviar gratuitamente a la escuela a los niños no escolarizados y </w:t>
      </w:r>
      <w:proofErr w:type="spellStart"/>
      <w:r>
        <w:t>desescolarizados</w:t>
      </w:r>
      <w:proofErr w:type="spellEnd"/>
      <w:r>
        <w:t xml:space="preserve">.  La Asociación </w:t>
      </w:r>
      <w:proofErr w:type="spellStart"/>
      <w:r>
        <w:t>BALLAL</w:t>
      </w:r>
      <w:proofErr w:type="spellEnd"/>
      <w:r>
        <w:t>, por ejemplo, se ha ocupado de la formación pedagógica de 581 maestros, todos ellos insertados en la enseñanza pública o privada.</w:t>
      </w:r>
    </w:p>
    <w:p w:rsidR="00000000" w:rsidRDefault="00000000">
      <w:pPr>
        <w:spacing w:after="240"/>
      </w:pPr>
      <w:r>
        <w:t>294.</w:t>
      </w:r>
      <w:r>
        <w:tab/>
        <w:t>Queda que la familia de la enseñanza senegalesa sigue tropezando con dificultades estructurales para garantizar el derecho a la educación y a la formación de los jóvenes, especialmente a causa de las tasas escolares cada vez más elevadas, el crecimiento demográfico y la disminución de la calidad de la enseñanza.</w:t>
      </w:r>
    </w:p>
    <w:p w:rsidR="00000000" w:rsidRDefault="00000000">
      <w:pPr>
        <w:spacing w:after="240"/>
      </w:pPr>
      <w:r>
        <w:t>295.</w:t>
      </w:r>
      <w:r>
        <w:tab/>
        <w:t>No obstante, la elaboración del programa decenal de educación y formación (</w:t>
      </w:r>
      <w:proofErr w:type="spellStart"/>
      <w:r>
        <w:t>PDEF</w:t>
      </w:r>
      <w:proofErr w:type="spellEnd"/>
      <w:r>
        <w:t>) cuya sección de educación básica acaba de finalizar, promete mucho.  El programa, que cubrirá el período 1998-2007, se fija como objetivo, entre otras cosas, corregir las disparidades de género y las disparidades geográficas, garantizar una inclusión mejor de los niños discapacitados (estructuras, aparatos y equipo) y alcanzar la escolarización universal para todos (niñas y niños) que forma parte de los objetivos de la Cumbre Mundial de la Infancia.</w:t>
      </w:r>
    </w:p>
    <w:p w:rsidR="00000000" w:rsidRDefault="00000000">
      <w:pPr>
        <w:spacing w:after="240"/>
      </w:pPr>
      <w:r>
        <w:t>296.</w:t>
      </w:r>
      <w:r>
        <w:tab/>
        <w:t>En esta perspectiva hay que integrar los esfuerzos desplegados desde hace muchos años por el Estado, con el apoyo de la cooperación internacional, para garantizar a los jóvenes menores de 18 años una formación que les ofrezca las calificaciones y los diplomas necesarios.</w:t>
      </w:r>
    </w:p>
    <w:p w:rsidR="00000000" w:rsidRDefault="00000000">
      <w:pPr>
        <w:spacing w:after="240"/>
      </w:pPr>
      <w:r>
        <w:t>297.</w:t>
      </w:r>
      <w:r>
        <w:tab/>
        <w:t xml:space="preserve">Estos loables esfuerzos, además del </w:t>
      </w:r>
      <w:proofErr w:type="spellStart"/>
      <w:r>
        <w:t>CQFD</w:t>
      </w:r>
      <w:proofErr w:type="spellEnd"/>
      <w:r>
        <w:t xml:space="preserve"> existente desde hace más de dos decenios, han permitido la apertura del Centro de Formación Profesional y Técnica con apoyo de la cooperación japonesa y del Centro de Formación Empresarial con apoyo de la cooperación india que brindan ambos a los menores de 18 años formaciones con diploma, y el proyecto en gestación de apertura de un centro de apoyo a la empresa y a la incubación de </w:t>
      </w:r>
      <w:proofErr w:type="spellStart"/>
      <w:r>
        <w:t>PME</w:t>
      </w:r>
      <w:proofErr w:type="spellEnd"/>
      <w:r>
        <w:t xml:space="preserve"> y </w:t>
      </w:r>
      <w:proofErr w:type="spellStart"/>
      <w:r>
        <w:t>PMI</w:t>
      </w:r>
      <w:proofErr w:type="spellEnd"/>
      <w:r>
        <w:t xml:space="preserve"> con el apoyo de la ACDI.</w:t>
      </w:r>
    </w:p>
    <w:p w:rsidR="00000000" w:rsidRDefault="00000000">
      <w:pPr>
        <w:spacing w:after="240"/>
      </w:pPr>
      <w:r>
        <w:t>298.</w:t>
      </w:r>
      <w:r>
        <w:tab/>
        <w:t xml:space="preserve">Estos proyectos, que conviene alentar, son ejemplos que se deberán multiplicar, difundir y descentralizar en todas las regiones, con las modalidades que se decida y en articulación con los tres centros matrices que son el </w:t>
      </w:r>
      <w:proofErr w:type="spellStart"/>
      <w:r>
        <w:t>CQFD</w:t>
      </w:r>
      <w:proofErr w:type="spellEnd"/>
      <w:r>
        <w:t xml:space="preserve">, el Centro de Formación Empresarial y el Centro de Apoyo a la Empresa y a la Incubación de </w:t>
      </w:r>
      <w:proofErr w:type="spellStart"/>
      <w:r>
        <w:t>PME</w:t>
      </w:r>
      <w:proofErr w:type="spellEnd"/>
      <w:r>
        <w:t xml:space="preserve"> y </w:t>
      </w:r>
      <w:proofErr w:type="spellStart"/>
      <w:r>
        <w:t>PMI</w:t>
      </w:r>
      <w:proofErr w:type="spellEnd"/>
      <w:r>
        <w:t>, teniendo en cuenta al mismo tiempo las necesidades de formación profesional de las "</w:t>
      </w:r>
      <w:proofErr w:type="spellStart"/>
      <w:r>
        <w:rPr>
          <w:i/>
          <w:iCs/>
        </w:rPr>
        <w:t>daaras</w:t>
      </w:r>
      <w:proofErr w:type="spellEnd"/>
      <w:r>
        <w:t>" o escuelas coránicas.</w:t>
      </w:r>
    </w:p>
    <w:p w:rsidR="00000000" w:rsidRDefault="00000000">
      <w:pPr>
        <w:spacing w:after="240"/>
      </w:pPr>
      <w:r>
        <w:t>299.</w:t>
      </w:r>
      <w:r>
        <w:tab/>
        <w:t>De esta manera podrán responder al Centro para el Desarrollo de la Empresa y a los deseos expresados en el documento de política de la enseñanza técnica y la formación profesional elaborado en diciembre de 2001.</w:t>
      </w:r>
    </w:p>
    <w:p w:rsidR="00000000" w:rsidRDefault="00000000">
      <w:pPr>
        <w:spacing w:before="160" w:after="360"/>
      </w:pPr>
      <w:r>
        <w:t>300.</w:t>
      </w:r>
      <w:r>
        <w:tab/>
        <w:t>Una de las principales medidas que se enuncian en el programa decenal de educación y formación (</w:t>
      </w:r>
      <w:proofErr w:type="spellStart"/>
      <w:r>
        <w:t>PDEF</w:t>
      </w:r>
      <w:proofErr w:type="spellEnd"/>
      <w:r>
        <w:t>), es la reducción de la tasa de repetición en la enseñanza primaria, que pasará de un 17 al 10% anual a partir del comienzo del año escolar 2003/04.</w:t>
      </w:r>
    </w:p>
    <w:p w:rsidR="00000000" w:rsidRDefault="00000000">
      <w:pPr>
        <w:spacing w:before="160" w:after="360"/>
        <w:sectPr w:rsidR="00000000">
          <w:headerReference w:type="even" r:id="rId13"/>
          <w:headerReference w:type="default" r:id="rId14"/>
          <w:pgSz w:w="11906" w:h="16838" w:code="9"/>
          <w:pgMar w:top="1701" w:right="850" w:bottom="1984" w:left="1701" w:header="850" w:footer="567" w:gutter="0"/>
          <w:cols w:space="708"/>
          <w:docGrid w:linePitch="360"/>
        </w:sectPr>
      </w:pPr>
    </w:p>
    <w:p w:rsidR="00000000" w:rsidRDefault="00000000">
      <w:pPr>
        <w:keepNext/>
        <w:suppressAutoHyphens/>
        <w:spacing w:after="240"/>
        <w:jc w:val="center"/>
        <w:rPr>
          <w:b/>
          <w:bCs/>
        </w:rPr>
      </w:pPr>
      <w:r>
        <w:rPr>
          <w:b/>
          <w:bCs/>
        </w:rPr>
        <w:t>Datos estadísticos - Educación nacional (1995-1998)</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284"/>
        <w:gridCol w:w="3065"/>
        <w:gridCol w:w="1103"/>
        <w:gridCol w:w="1152"/>
        <w:gridCol w:w="1098"/>
        <w:gridCol w:w="913"/>
        <w:gridCol w:w="913"/>
        <w:gridCol w:w="1098"/>
        <w:gridCol w:w="913"/>
        <w:gridCol w:w="913"/>
        <w:gridCol w:w="1098"/>
      </w:tblGrid>
      <w:tr w:rsidR="00000000">
        <w:tblPrEx>
          <w:tblCellMar>
            <w:top w:w="0" w:type="dxa"/>
            <w:bottom w:w="0" w:type="dxa"/>
          </w:tblCellMar>
        </w:tblPrEx>
        <w:trPr>
          <w:cantSplit/>
          <w:trHeight w:val="20"/>
          <w:jc w:val="center"/>
        </w:trPr>
        <w:tc>
          <w:tcPr>
            <w:tcW w:w="1604" w:type="pct"/>
            <w:gridSpan w:val="2"/>
            <w:vMerge w:val="restart"/>
          </w:tcPr>
          <w:p w:rsidR="00000000" w:rsidRDefault="00000000">
            <w:pPr>
              <w:jc w:val="center"/>
              <w:rPr>
                <w:b/>
                <w:bCs/>
              </w:rPr>
            </w:pPr>
          </w:p>
        </w:tc>
        <w:tc>
          <w:tcPr>
            <w:tcW w:w="1237" w:type="pct"/>
            <w:gridSpan w:val="3"/>
            <w:vAlign w:val="center"/>
          </w:tcPr>
          <w:p w:rsidR="00000000" w:rsidRDefault="00000000">
            <w:pPr>
              <w:jc w:val="center"/>
              <w:rPr>
                <w:b/>
                <w:bCs/>
              </w:rPr>
            </w:pPr>
            <w:r>
              <w:rPr>
                <w:b/>
                <w:bCs/>
              </w:rPr>
              <w:t>1995/96</w:t>
            </w:r>
          </w:p>
        </w:tc>
        <w:tc>
          <w:tcPr>
            <w:tcW w:w="1079" w:type="pct"/>
            <w:gridSpan w:val="3"/>
            <w:vAlign w:val="center"/>
          </w:tcPr>
          <w:p w:rsidR="00000000" w:rsidRDefault="00000000">
            <w:pPr>
              <w:jc w:val="center"/>
              <w:rPr>
                <w:b/>
                <w:bCs/>
              </w:rPr>
            </w:pPr>
            <w:r>
              <w:rPr>
                <w:b/>
                <w:bCs/>
              </w:rPr>
              <w:t>1996/97</w:t>
            </w:r>
          </w:p>
        </w:tc>
        <w:tc>
          <w:tcPr>
            <w:tcW w:w="1079" w:type="pct"/>
            <w:gridSpan w:val="3"/>
            <w:vAlign w:val="center"/>
          </w:tcPr>
          <w:p w:rsidR="00000000" w:rsidRDefault="00000000">
            <w:pPr>
              <w:jc w:val="center"/>
              <w:rPr>
                <w:b/>
                <w:bCs/>
              </w:rPr>
            </w:pPr>
            <w:r>
              <w:rPr>
                <w:b/>
                <w:bCs/>
              </w:rPr>
              <w:t>1997/98</w:t>
            </w:r>
          </w:p>
        </w:tc>
      </w:tr>
      <w:tr w:rsidR="00000000">
        <w:tblPrEx>
          <w:tblCellMar>
            <w:top w:w="0" w:type="dxa"/>
            <w:bottom w:w="0" w:type="dxa"/>
          </w:tblCellMar>
        </w:tblPrEx>
        <w:trPr>
          <w:cantSplit/>
          <w:trHeight w:val="20"/>
          <w:jc w:val="center"/>
        </w:trPr>
        <w:tc>
          <w:tcPr>
            <w:tcW w:w="1604" w:type="pct"/>
            <w:gridSpan w:val="2"/>
            <w:vMerge/>
          </w:tcPr>
          <w:p w:rsidR="00000000" w:rsidRDefault="00000000">
            <w:pPr>
              <w:jc w:val="center"/>
              <w:rPr>
                <w:b/>
                <w:bCs/>
              </w:rPr>
            </w:pPr>
          </w:p>
        </w:tc>
        <w:tc>
          <w:tcPr>
            <w:tcW w:w="407" w:type="pct"/>
            <w:vAlign w:val="center"/>
          </w:tcPr>
          <w:p w:rsidR="00000000" w:rsidRDefault="00000000">
            <w:pPr>
              <w:jc w:val="center"/>
              <w:rPr>
                <w:b/>
                <w:bCs/>
              </w:rPr>
            </w:pPr>
            <w:r>
              <w:rPr>
                <w:b/>
                <w:bCs/>
              </w:rPr>
              <w:t>Niños</w:t>
            </w:r>
          </w:p>
        </w:tc>
        <w:tc>
          <w:tcPr>
            <w:tcW w:w="425" w:type="pct"/>
            <w:vAlign w:val="center"/>
          </w:tcPr>
          <w:p w:rsidR="00000000" w:rsidRDefault="00000000">
            <w:pPr>
              <w:jc w:val="center"/>
              <w:rPr>
                <w:b/>
                <w:bCs/>
              </w:rPr>
            </w:pPr>
            <w:r>
              <w:rPr>
                <w:b/>
                <w:bCs/>
              </w:rPr>
              <w:t>Niñas</w:t>
            </w:r>
          </w:p>
        </w:tc>
        <w:tc>
          <w:tcPr>
            <w:tcW w:w="405" w:type="pct"/>
            <w:vAlign w:val="center"/>
          </w:tcPr>
          <w:p w:rsidR="00000000" w:rsidRDefault="00000000">
            <w:pPr>
              <w:jc w:val="center"/>
              <w:rPr>
                <w:b/>
                <w:bCs/>
              </w:rPr>
            </w:pPr>
            <w:r>
              <w:rPr>
                <w:b/>
                <w:bCs/>
              </w:rPr>
              <w:t>Total</w:t>
            </w:r>
          </w:p>
        </w:tc>
        <w:tc>
          <w:tcPr>
            <w:tcW w:w="337" w:type="pct"/>
            <w:vAlign w:val="center"/>
          </w:tcPr>
          <w:p w:rsidR="00000000" w:rsidRDefault="00000000">
            <w:pPr>
              <w:jc w:val="center"/>
              <w:rPr>
                <w:b/>
                <w:bCs/>
              </w:rPr>
            </w:pPr>
            <w:r>
              <w:rPr>
                <w:b/>
                <w:bCs/>
              </w:rPr>
              <w:t>Niños</w:t>
            </w:r>
          </w:p>
        </w:tc>
        <w:tc>
          <w:tcPr>
            <w:tcW w:w="337" w:type="pct"/>
            <w:vAlign w:val="center"/>
          </w:tcPr>
          <w:p w:rsidR="00000000" w:rsidRDefault="00000000">
            <w:pPr>
              <w:jc w:val="center"/>
              <w:rPr>
                <w:b/>
                <w:bCs/>
              </w:rPr>
            </w:pPr>
            <w:r>
              <w:rPr>
                <w:b/>
                <w:bCs/>
              </w:rPr>
              <w:t>Niñas</w:t>
            </w:r>
          </w:p>
        </w:tc>
        <w:tc>
          <w:tcPr>
            <w:tcW w:w="405" w:type="pct"/>
            <w:vAlign w:val="center"/>
          </w:tcPr>
          <w:p w:rsidR="00000000" w:rsidRDefault="00000000">
            <w:pPr>
              <w:jc w:val="center"/>
              <w:rPr>
                <w:b/>
                <w:bCs/>
              </w:rPr>
            </w:pPr>
            <w:r>
              <w:rPr>
                <w:b/>
                <w:bCs/>
              </w:rPr>
              <w:t>Total</w:t>
            </w:r>
          </w:p>
        </w:tc>
        <w:tc>
          <w:tcPr>
            <w:tcW w:w="337" w:type="pct"/>
            <w:vAlign w:val="center"/>
          </w:tcPr>
          <w:p w:rsidR="00000000" w:rsidRDefault="00000000">
            <w:pPr>
              <w:jc w:val="center"/>
              <w:rPr>
                <w:b/>
                <w:bCs/>
              </w:rPr>
            </w:pPr>
            <w:r>
              <w:rPr>
                <w:b/>
                <w:bCs/>
              </w:rPr>
              <w:t>Niños</w:t>
            </w:r>
          </w:p>
        </w:tc>
        <w:tc>
          <w:tcPr>
            <w:tcW w:w="337" w:type="pct"/>
            <w:vAlign w:val="center"/>
          </w:tcPr>
          <w:p w:rsidR="00000000" w:rsidRDefault="00000000">
            <w:pPr>
              <w:jc w:val="center"/>
              <w:rPr>
                <w:b/>
                <w:bCs/>
              </w:rPr>
            </w:pPr>
            <w:r>
              <w:rPr>
                <w:b/>
                <w:bCs/>
              </w:rPr>
              <w:t>Niñas</w:t>
            </w:r>
          </w:p>
        </w:tc>
        <w:tc>
          <w:tcPr>
            <w:tcW w:w="405" w:type="pct"/>
            <w:vAlign w:val="center"/>
          </w:tcPr>
          <w:p w:rsidR="00000000" w:rsidRDefault="00000000">
            <w:pPr>
              <w:jc w:val="center"/>
              <w:rPr>
                <w:b/>
                <w:bCs/>
              </w:rPr>
            </w:pPr>
            <w:r>
              <w:rPr>
                <w:b/>
                <w:bCs/>
              </w:rPr>
              <w:t>Total</w:t>
            </w:r>
          </w:p>
        </w:tc>
      </w:tr>
      <w:tr w:rsidR="00000000">
        <w:tblPrEx>
          <w:tblCellMar>
            <w:top w:w="0" w:type="dxa"/>
            <w:bottom w:w="0" w:type="dxa"/>
          </w:tblCellMar>
        </w:tblPrEx>
        <w:trPr>
          <w:cantSplit/>
          <w:trHeight w:val="20"/>
          <w:jc w:val="center"/>
        </w:trPr>
        <w:tc>
          <w:tcPr>
            <w:tcW w:w="474" w:type="pct"/>
            <w:vMerge w:val="restart"/>
          </w:tcPr>
          <w:p w:rsidR="00000000" w:rsidRDefault="00000000">
            <w:r>
              <w:t>Enseñanza primaria</w:t>
            </w:r>
          </w:p>
        </w:tc>
        <w:tc>
          <w:tcPr>
            <w:tcW w:w="1131" w:type="pct"/>
            <w:vAlign w:val="center"/>
          </w:tcPr>
          <w:p w:rsidR="00000000" w:rsidRDefault="00000000">
            <w:r>
              <w:t xml:space="preserve">Población </w:t>
            </w:r>
            <w:proofErr w:type="spellStart"/>
            <w:r>
              <w:t>escolarizable</w:t>
            </w:r>
            <w:proofErr w:type="spellEnd"/>
          </w:p>
        </w:tc>
        <w:tc>
          <w:tcPr>
            <w:tcW w:w="407" w:type="pct"/>
            <w:vAlign w:val="bottom"/>
          </w:tcPr>
          <w:p w:rsidR="00000000" w:rsidRDefault="00000000">
            <w:pPr>
              <w:widowControl w:val="0"/>
              <w:ind w:right="57"/>
              <w:jc w:val="right"/>
            </w:pPr>
            <w:r>
              <w:t>795.189</w:t>
            </w:r>
          </w:p>
        </w:tc>
        <w:tc>
          <w:tcPr>
            <w:tcW w:w="425" w:type="pct"/>
            <w:vAlign w:val="bottom"/>
          </w:tcPr>
          <w:p w:rsidR="00000000" w:rsidRDefault="00000000">
            <w:pPr>
              <w:widowControl w:val="0"/>
              <w:ind w:right="57"/>
              <w:jc w:val="right"/>
            </w:pPr>
            <w:r>
              <w:t>809.091</w:t>
            </w:r>
          </w:p>
        </w:tc>
        <w:tc>
          <w:tcPr>
            <w:tcW w:w="405" w:type="pct"/>
            <w:vAlign w:val="bottom"/>
          </w:tcPr>
          <w:p w:rsidR="00000000" w:rsidRDefault="00000000">
            <w:pPr>
              <w:widowControl w:val="0"/>
              <w:jc w:val="right"/>
            </w:pPr>
            <w:r>
              <w:t>1.598.280</w:t>
            </w:r>
          </w:p>
        </w:tc>
        <w:tc>
          <w:tcPr>
            <w:tcW w:w="337" w:type="pct"/>
            <w:vAlign w:val="bottom"/>
          </w:tcPr>
          <w:p w:rsidR="00000000" w:rsidRDefault="00000000">
            <w:pPr>
              <w:widowControl w:val="0"/>
              <w:jc w:val="right"/>
            </w:pPr>
            <w:r>
              <w:t>801.122</w:t>
            </w:r>
          </w:p>
        </w:tc>
        <w:tc>
          <w:tcPr>
            <w:tcW w:w="337" w:type="pct"/>
            <w:vAlign w:val="bottom"/>
          </w:tcPr>
          <w:p w:rsidR="00000000" w:rsidRDefault="00000000">
            <w:pPr>
              <w:widowControl w:val="0"/>
              <w:jc w:val="right"/>
            </w:pPr>
            <w:r>
              <w:t>813.896</w:t>
            </w:r>
          </w:p>
        </w:tc>
        <w:tc>
          <w:tcPr>
            <w:tcW w:w="405" w:type="pct"/>
            <w:vAlign w:val="bottom"/>
          </w:tcPr>
          <w:p w:rsidR="00000000" w:rsidRDefault="00000000">
            <w:pPr>
              <w:widowControl w:val="0"/>
              <w:jc w:val="right"/>
            </w:pPr>
            <w:r>
              <w:t>1.615.018</w:t>
            </w:r>
          </w:p>
        </w:tc>
        <w:tc>
          <w:tcPr>
            <w:tcW w:w="337" w:type="pct"/>
            <w:vAlign w:val="bottom"/>
          </w:tcPr>
          <w:p w:rsidR="00000000" w:rsidRDefault="00000000">
            <w:pPr>
              <w:widowControl w:val="0"/>
              <w:jc w:val="right"/>
            </w:pPr>
            <w:r>
              <w:t>827.526</w:t>
            </w:r>
          </w:p>
        </w:tc>
        <w:tc>
          <w:tcPr>
            <w:tcW w:w="337" w:type="pct"/>
            <w:vAlign w:val="bottom"/>
          </w:tcPr>
          <w:p w:rsidR="00000000" w:rsidRDefault="00000000">
            <w:pPr>
              <w:widowControl w:val="0"/>
              <w:jc w:val="right"/>
            </w:pPr>
            <w:r>
              <w:t>835.738</w:t>
            </w:r>
          </w:p>
        </w:tc>
        <w:tc>
          <w:tcPr>
            <w:tcW w:w="405" w:type="pct"/>
            <w:vAlign w:val="bottom"/>
          </w:tcPr>
          <w:p w:rsidR="00000000" w:rsidRDefault="00000000">
            <w:pPr>
              <w:widowControl w:val="0"/>
              <w:jc w:val="right"/>
            </w:pPr>
            <w:r>
              <w:t>1.663.334</w:t>
            </w:r>
          </w:p>
        </w:tc>
      </w:tr>
      <w:tr w:rsidR="00000000">
        <w:tblPrEx>
          <w:tblCellMar>
            <w:top w:w="0" w:type="dxa"/>
            <w:bottom w:w="0" w:type="dxa"/>
          </w:tblCellMar>
        </w:tblPrEx>
        <w:trPr>
          <w:cantSplit/>
          <w:trHeight w:val="20"/>
          <w:jc w:val="center"/>
        </w:trPr>
        <w:tc>
          <w:tcPr>
            <w:tcW w:w="474" w:type="pct"/>
            <w:vMerge/>
          </w:tcPr>
          <w:p w:rsidR="00000000" w:rsidRDefault="00000000"/>
        </w:tc>
        <w:tc>
          <w:tcPr>
            <w:tcW w:w="1131" w:type="pct"/>
            <w:vAlign w:val="center"/>
          </w:tcPr>
          <w:p w:rsidR="00000000" w:rsidRDefault="00000000">
            <w:r>
              <w:t>Índice bruto de escolarización (7 a 12 años) (porcentaje)</w:t>
            </w:r>
          </w:p>
        </w:tc>
        <w:tc>
          <w:tcPr>
            <w:tcW w:w="407" w:type="pct"/>
            <w:vAlign w:val="bottom"/>
          </w:tcPr>
          <w:p w:rsidR="00000000" w:rsidRDefault="00000000">
            <w:pPr>
              <w:widowControl w:val="0"/>
              <w:ind w:right="57"/>
              <w:jc w:val="right"/>
            </w:pPr>
            <w:r>
              <w:t>66,7</w:t>
            </w:r>
          </w:p>
        </w:tc>
        <w:tc>
          <w:tcPr>
            <w:tcW w:w="425" w:type="pct"/>
            <w:vAlign w:val="bottom"/>
          </w:tcPr>
          <w:p w:rsidR="00000000" w:rsidRDefault="00000000">
            <w:pPr>
              <w:widowControl w:val="0"/>
              <w:ind w:right="57"/>
              <w:jc w:val="right"/>
            </w:pPr>
            <w:r>
              <w:t>52,9</w:t>
            </w:r>
          </w:p>
        </w:tc>
        <w:tc>
          <w:tcPr>
            <w:tcW w:w="405" w:type="pct"/>
            <w:vAlign w:val="bottom"/>
          </w:tcPr>
          <w:p w:rsidR="00000000" w:rsidRDefault="00000000">
            <w:pPr>
              <w:widowControl w:val="0"/>
              <w:jc w:val="right"/>
            </w:pPr>
            <w:r>
              <w:t>59,7</w:t>
            </w:r>
          </w:p>
        </w:tc>
        <w:tc>
          <w:tcPr>
            <w:tcW w:w="337" w:type="pct"/>
            <w:vAlign w:val="bottom"/>
          </w:tcPr>
          <w:p w:rsidR="00000000" w:rsidRDefault="00000000">
            <w:pPr>
              <w:widowControl w:val="0"/>
              <w:jc w:val="right"/>
            </w:pPr>
            <w:r>
              <w:t>67,08</w:t>
            </w:r>
          </w:p>
        </w:tc>
        <w:tc>
          <w:tcPr>
            <w:tcW w:w="337" w:type="pct"/>
            <w:vAlign w:val="bottom"/>
          </w:tcPr>
          <w:p w:rsidR="00000000" w:rsidRDefault="00000000">
            <w:pPr>
              <w:widowControl w:val="0"/>
              <w:jc w:val="right"/>
            </w:pPr>
            <w:r>
              <w:t>53,87</w:t>
            </w:r>
          </w:p>
        </w:tc>
        <w:tc>
          <w:tcPr>
            <w:tcW w:w="405" w:type="pct"/>
            <w:vAlign w:val="bottom"/>
          </w:tcPr>
          <w:p w:rsidR="00000000" w:rsidRDefault="00000000">
            <w:pPr>
              <w:widowControl w:val="0"/>
              <w:jc w:val="right"/>
            </w:pPr>
            <w:r>
              <w:t>59,9</w:t>
            </w:r>
          </w:p>
        </w:tc>
        <w:tc>
          <w:tcPr>
            <w:tcW w:w="337" w:type="pct"/>
            <w:vAlign w:val="bottom"/>
          </w:tcPr>
          <w:p w:rsidR="00000000" w:rsidRDefault="00000000">
            <w:pPr>
              <w:widowControl w:val="0"/>
              <w:jc w:val="right"/>
            </w:pPr>
            <w:r>
              <w:t>68</w:t>
            </w:r>
          </w:p>
        </w:tc>
        <w:tc>
          <w:tcPr>
            <w:tcW w:w="337" w:type="pct"/>
            <w:vAlign w:val="bottom"/>
          </w:tcPr>
          <w:p w:rsidR="00000000" w:rsidRDefault="00000000">
            <w:pPr>
              <w:widowControl w:val="0"/>
              <w:jc w:val="right"/>
            </w:pPr>
            <w:r>
              <w:t>55,5</w:t>
            </w:r>
          </w:p>
        </w:tc>
        <w:tc>
          <w:tcPr>
            <w:tcW w:w="405" w:type="pct"/>
            <w:vAlign w:val="bottom"/>
          </w:tcPr>
          <w:p w:rsidR="00000000" w:rsidRDefault="00000000">
            <w:pPr>
              <w:widowControl w:val="0"/>
              <w:jc w:val="right"/>
            </w:pPr>
            <w:r>
              <w:t>61,7</w:t>
            </w:r>
          </w:p>
        </w:tc>
      </w:tr>
      <w:tr w:rsidR="00000000">
        <w:tblPrEx>
          <w:tblCellMar>
            <w:top w:w="0" w:type="dxa"/>
            <w:bottom w:w="0" w:type="dxa"/>
          </w:tblCellMar>
        </w:tblPrEx>
        <w:trPr>
          <w:cantSplit/>
          <w:trHeight w:val="20"/>
          <w:jc w:val="center"/>
        </w:trPr>
        <w:tc>
          <w:tcPr>
            <w:tcW w:w="474" w:type="pct"/>
            <w:vMerge/>
          </w:tcPr>
          <w:p w:rsidR="00000000" w:rsidRDefault="00000000"/>
        </w:tc>
        <w:tc>
          <w:tcPr>
            <w:tcW w:w="1131" w:type="pct"/>
            <w:vAlign w:val="center"/>
          </w:tcPr>
          <w:p w:rsidR="00000000" w:rsidRDefault="00000000">
            <w:r>
              <w:t>Efectivos</w:t>
            </w:r>
          </w:p>
        </w:tc>
        <w:tc>
          <w:tcPr>
            <w:tcW w:w="407" w:type="pct"/>
            <w:vAlign w:val="center"/>
          </w:tcPr>
          <w:p w:rsidR="00000000" w:rsidRDefault="00000000">
            <w:pPr>
              <w:widowControl w:val="0"/>
              <w:ind w:right="57"/>
              <w:jc w:val="right"/>
            </w:pPr>
            <w:r>
              <w:t>529.558</w:t>
            </w:r>
          </w:p>
        </w:tc>
        <w:tc>
          <w:tcPr>
            <w:tcW w:w="425" w:type="pct"/>
            <w:vAlign w:val="center"/>
          </w:tcPr>
          <w:p w:rsidR="00000000" w:rsidRDefault="00000000">
            <w:pPr>
              <w:widowControl w:val="0"/>
              <w:ind w:right="57"/>
              <w:jc w:val="right"/>
            </w:pPr>
            <w:r>
              <w:t>425.200</w:t>
            </w:r>
          </w:p>
        </w:tc>
        <w:tc>
          <w:tcPr>
            <w:tcW w:w="405" w:type="pct"/>
            <w:vAlign w:val="center"/>
          </w:tcPr>
          <w:p w:rsidR="00000000" w:rsidRDefault="00000000">
            <w:pPr>
              <w:widowControl w:val="0"/>
              <w:jc w:val="right"/>
            </w:pPr>
            <w:r>
              <w:t>954.758</w:t>
            </w:r>
          </w:p>
        </w:tc>
        <w:tc>
          <w:tcPr>
            <w:tcW w:w="337" w:type="pct"/>
            <w:vAlign w:val="center"/>
          </w:tcPr>
          <w:p w:rsidR="00000000" w:rsidRDefault="00000000">
            <w:pPr>
              <w:widowControl w:val="0"/>
              <w:jc w:val="right"/>
            </w:pPr>
            <w:r>
              <w:t>491.248</w:t>
            </w:r>
          </w:p>
        </w:tc>
        <w:tc>
          <w:tcPr>
            <w:tcW w:w="337" w:type="pct"/>
            <w:vAlign w:val="center"/>
          </w:tcPr>
          <w:p w:rsidR="00000000" w:rsidRDefault="00000000">
            <w:pPr>
              <w:widowControl w:val="0"/>
              <w:jc w:val="right"/>
            </w:pPr>
            <w:r>
              <w:t>384.413</w:t>
            </w:r>
          </w:p>
        </w:tc>
        <w:tc>
          <w:tcPr>
            <w:tcW w:w="405" w:type="pct"/>
            <w:vAlign w:val="center"/>
          </w:tcPr>
          <w:p w:rsidR="00000000" w:rsidRDefault="00000000">
            <w:pPr>
              <w:widowControl w:val="0"/>
              <w:jc w:val="right"/>
            </w:pPr>
            <w:r>
              <w:t>875.661</w:t>
            </w:r>
          </w:p>
        </w:tc>
        <w:tc>
          <w:tcPr>
            <w:tcW w:w="337" w:type="pct"/>
            <w:vAlign w:val="center"/>
          </w:tcPr>
          <w:p w:rsidR="00000000" w:rsidRDefault="00000000">
            <w:pPr>
              <w:widowControl w:val="0"/>
              <w:jc w:val="right"/>
            </w:pPr>
            <w:r>
              <w:t>562.958</w:t>
            </w:r>
          </w:p>
        </w:tc>
        <w:tc>
          <w:tcPr>
            <w:tcW w:w="337" w:type="pct"/>
            <w:vAlign w:val="center"/>
          </w:tcPr>
          <w:p w:rsidR="00000000" w:rsidRDefault="00000000">
            <w:pPr>
              <w:widowControl w:val="0"/>
              <w:jc w:val="right"/>
            </w:pPr>
            <w:r>
              <w:t>463.612</w:t>
            </w:r>
          </w:p>
        </w:tc>
        <w:tc>
          <w:tcPr>
            <w:tcW w:w="405" w:type="pct"/>
            <w:vAlign w:val="center"/>
          </w:tcPr>
          <w:p w:rsidR="00000000" w:rsidRDefault="00000000">
            <w:pPr>
              <w:widowControl w:val="0"/>
              <w:jc w:val="right"/>
            </w:pPr>
            <w:r>
              <w:t>1.026.570</w:t>
            </w:r>
          </w:p>
        </w:tc>
      </w:tr>
      <w:tr w:rsidR="00000000">
        <w:tblPrEx>
          <w:tblCellMar>
            <w:top w:w="0" w:type="dxa"/>
            <w:bottom w:w="0" w:type="dxa"/>
          </w:tblCellMar>
        </w:tblPrEx>
        <w:trPr>
          <w:cantSplit/>
          <w:trHeight w:val="20"/>
          <w:jc w:val="center"/>
        </w:trPr>
        <w:tc>
          <w:tcPr>
            <w:tcW w:w="474" w:type="pct"/>
            <w:vMerge/>
          </w:tcPr>
          <w:p w:rsidR="00000000" w:rsidRDefault="00000000"/>
        </w:tc>
        <w:tc>
          <w:tcPr>
            <w:tcW w:w="1131" w:type="pct"/>
            <w:vAlign w:val="center"/>
          </w:tcPr>
          <w:p w:rsidR="00000000" w:rsidRDefault="00000000">
            <w:r>
              <w:t>Porcentaje</w:t>
            </w:r>
          </w:p>
        </w:tc>
        <w:tc>
          <w:tcPr>
            <w:tcW w:w="407" w:type="pct"/>
            <w:vAlign w:val="center"/>
          </w:tcPr>
          <w:p w:rsidR="00000000" w:rsidRDefault="00000000">
            <w:pPr>
              <w:widowControl w:val="0"/>
              <w:ind w:right="57"/>
              <w:jc w:val="right"/>
            </w:pPr>
            <w:r>
              <w:t>55,47</w:t>
            </w:r>
          </w:p>
        </w:tc>
        <w:tc>
          <w:tcPr>
            <w:tcW w:w="425" w:type="pct"/>
            <w:vAlign w:val="center"/>
          </w:tcPr>
          <w:p w:rsidR="00000000" w:rsidRDefault="00000000">
            <w:pPr>
              <w:widowControl w:val="0"/>
              <w:ind w:right="57"/>
              <w:jc w:val="right"/>
            </w:pPr>
            <w:r>
              <w:t>44,53</w:t>
            </w:r>
          </w:p>
        </w:tc>
        <w:tc>
          <w:tcPr>
            <w:tcW w:w="405" w:type="pct"/>
            <w:vAlign w:val="center"/>
          </w:tcPr>
          <w:p w:rsidR="00000000" w:rsidRDefault="00000000">
            <w:pPr>
              <w:widowControl w:val="0"/>
              <w:jc w:val="right"/>
            </w:pPr>
            <w:r>
              <w:t>100</w:t>
            </w:r>
          </w:p>
        </w:tc>
        <w:tc>
          <w:tcPr>
            <w:tcW w:w="337" w:type="pct"/>
            <w:vAlign w:val="center"/>
          </w:tcPr>
          <w:p w:rsidR="00000000" w:rsidRDefault="00000000">
            <w:pPr>
              <w:widowControl w:val="0"/>
              <w:jc w:val="right"/>
            </w:pPr>
            <w:r>
              <w:t>56,10</w:t>
            </w:r>
          </w:p>
        </w:tc>
        <w:tc>
          <w:tcPr>
            <w:tcW w:w="337" w:type="pct"/>
            <w:vAlign w:val="center"/>
          </w:tcPr>
          <w:p w:rsidR="00000000" w:rsidRDefault="00000000">
            <w:pPr>
              <w:widowControl w:val="0"/>
              <w:jc w:val="right"/>
            </w:pPr>
            <w:r>
              <w:t>43,90</w:t>
            </w:r>
          </w:p>
        </w:tc>
        <w:tc>
          <w:tcPr>
            <w:tcW w:w="405" w:type="pct"/>
            <w:vAlign w:val="center"/>
          </w:tcPr>
          <w:p w:rsidR="00000000" w:rsidRDefault="00000000">
            <w:pPr>
              <w:widowControl w:val="0"/>
              <w:jc w:val="right"/>
            </w:pPr>
            <w:r>
              <w:t>100</w:t>
            </w:r>
          </w:p>
        </w:tc>
        <w:tc>
          <w:tcPr>
            <w:tcW w:w="337" w:type="pct"/>
            <w:vAlign w:val="center"/>
          </w:tcPr>
          <w:p w:rsidR="00000000" w:rsidRDefault="00000000">
            <w:pPr>
              <w:widowControl w:val="0"/>
              <w:jc w:val="right"/>
            </w:pPr>
            <w:r>
              <w:t>54,84</w:t>
            </w:r>
          </w:p>
        </w:tc>
        <w:tc>
          <w:tcPr>
            <w:tcW w:w="337" w:type="pct"/>
            <w:vAlign w:val="center"/>
          </w:tcPr>
          <w:p w:rsidR="00000000" w:rsidRDefault="00000000">
            <w:pPr>
              <w:widowControl w:val="0"/>
              <w:jc w:val="right"/>
            </w:pPr>
            <w:r>
              <w:t>45,16</w:t>
            </w:r>
          </w:p>
        </w:tc>
        <w:tc>
          <w:tcPr>
            <w:tcW w:w="405" w:type="pct"/>
            <w:vAlign w:val="center"/>
          </w:tcPr>
          <w:p w:rsidR="00000000" w:rsidRDefault="00000000">
            <w:pPr>
              <w:widowControl w:val="0"/>
              <w:jc w:val="right"/>
            </w:pPr>
            <w:r>
              <w:t>100</w:t>
            </w:r>
          </w:p>
        </w:tc>
      </w:tr>
      <w:tr w:rsidR="00000000">
        <w:tblPrEx>
          <w:tblCellMar>
            <w:top w:w="0" w:type="dxa"/>
            <w:bottom w:w="0" w:type="dxa"/>
          </w:tblCellMar>
        </w:tblPrEx>
        <w:trPr>
          <w:cantSplit/>
          <w:trHeight w:val="20"/>
          <w:jc w:val="center"/>
        </w:trPr>
        <w:tc>
          <w:tcPr>
            <w:tcW w:w="474" w:type="pct"/>
            <w:vMerge/>
          </w:tcPr>
          <w:p w:rsidR="00000000" w:rsidRDefault="00000000"/>
        </w:tc>
        <w:tc>
          <w:tcPr>
            <w:tcW w:w="1131" w:type="pct"/>
            <w:vAlign w:val="center"/>
          </w:tcPr>
          <w:p w:rsidR="00000000" w:rsidRDefault="00000000">
            <w:r>
              <w:t>Repetidores</w:t>
            </w:r>
          </w:p>
        </w:tc>
        <w:tc>
          <w:tcPr>
            <w:tcW w:w="407" w:type="pct"/>
            <w:vAlign w:val="center"/>
          </w:tcPr>
          <w:p w:rsidR="00000000" w:rsidRDefault="00000000">
            <w:pPr>
              <w:widowControl w:val="0"/>
              <w:ind w:right="57"/>
              <w:jc w:val="right"/>
            </w:pPr>
            <w:r>
              <w:t>71.259</w:t>
            </w:r>
          </w:p>
        </w:tc>
        <w:tc>
          <w:tcPr>
            <w:tcW w:w="425" w:type="pct"/>
            <w:vAlign w:val="center"/>
          </w:tcPr>
          <w:p w:rsidR="00000000" w:rsidRDefault="00000000">
            <w:pPr>
              <w:widowControl w:val="0"/>
              <w:ind w:right="57"/>
              <w:jc w:val="right"/>
            </w:pPr>
            <w:r>
              <w:t>56.843</w:t>
            </w:r>
          </w:p>
        </w:tc>
        <w:tc>
          <w:tcPr>
            <w:tcW w:w="405" w:type="pct"/>
            <w:vAlign w:val="center"/>
          </w:tcPr>
          <w:p w:rsidR="00000000" w:rsidRDefault="00000000">
            <w:pPr>
              <w:widowControl w:val="0"/>
              <w:jc w:val="right"/>
            </w:pPr>
            <w:r>
              <w:t>128.102</w:t>
            </w:r>
          </w:p>
        </w:tc>
        <w:tc>
          <w:tcPr>
            <w:tcW w:w="337" w:type="pct"/>
            <w:vAlign w:val="center"/>
          </w:tcPr>
          <w:p w:rsidR="00000000" w:rsidRDefault="00000000">
            <w:pPr>
              <w:widowControl w:val="0"/>
              <w:jc w:val="right"/>
            </w:pPr>
            <w:r>
              <w:t>68.484</w:t>
            </w:r>
          </w:p>
        </w:tc>
        <w:tc>
          <w:tcPr>
            <w:tcW w:w="337" w:type="pct"/>
            <w:vAlign w:val="center"/>
          </w:tcPr>
          <w:p w:rsidR="00000000" w:rsidRDefault="00000000">
            <w:pPr>
              <w:widowControl w:val="0"/>
              <w:jc w:val="right"/>
            </w:pPr>
            <w:r>
              <w:t>53.700</w:t>
            </w:r>
          </w:p>
        </w:tc>
        <w:tc>
          <w:tcPr>
            <w:tcW w:w="405" w:type="pct"/>
            <w:vAlign w:val="center"/>
          </w:tcPr>
          <w:p w:rsidR="00000000" w:rsidRDefault="00000000">
            <w:pPr>
              <w:widowControl w:val="0"/>
              <w:jc w:val="right"/>
            </w:pPr>
            <w:r>
              <w:t>122.184</w:t>
            </w:r>
          </w:p>
        </w:tc>
        <w:tc>
          <w:tcPr>
            <w:tcW w:w="337" w:type="pct"/>
            <w:vAlign w:val="center"/>
          </w:tcPr>
          <w:p w:rsidR="00000000" w:rsidRDefault="00000000">
            <w:pPr>
              <w:widowControl w:val="0"/>
              <w:jc w:val="right"/>
            </w:pPr>
            <w:r>
              <w:t>75.467</w:t>
            </w:r>
          </w:p>
        </w:tc>
        <w:tc>
          <w:tcPr>
            <w:tcW w:w="337" w:type="pct"/>
            <w:vAlign w:val="center"/>
          </w:tcPr>
          <w:p w:rsidR="00000000" w:rsidRDefault="00000000">
            <w:pPr>
              <w:widowControl w:val="0"/>
              <w:jc w:val="right"/>
            </w:pPr>
            <w:r>
              <w:t>61.535</w:t>
            </w:r>
          </w:p>
        </w:tc>
        <w:tc>
          <w:tcPr>
            <w:tcW w:w="405" w:type="pct"/>
            <w:vAlign w:val="center"/>
          </w:tcPr>
          <w:p w:rsidR="00000000" w:rsidRDefault="00000000">
            <w:pPr>
              <w:widowControl w:val="0"/>
              <w:jc w:val="right"/>
            </w:pPr>
            <w:r>
              <w:t>137.002</w:t>
            </w:r>
          </w:p>
        </w:tc>
      </w:tr>
      <w:tr w:rsidR="00000000">
        <w:tblPrEx>
          <w:tblCellMar>
            <w:top w:w="0" w:type="dxa"/>
            <w:bottom w:w="0" w:type="dxa"/>
          </w:tblCellMar>
        </w:tblPrEx>
        <w:trPr>
          <w:cantSplit/>
          <w:trHeight w:val="20"/>
          <w:jc w:val="center"/>
        </w:trPr>
        <w:tc>
          <w:tcPr>
            <w:tcW w:w="474" w:type="pct"/>
            <w:vMerge/>
          </w:tcPr>
          <w:p w:rsidR="00000000" w:rsidRDefault="00000000"/>
        </w:tc>
        <w:tc>
          <w:tcPr>
            <w:tcW w:w="1131" w:type="pct"/>
            <w:vAlign w:val="center"/>
          </w:tcPr>
          <w:p w:rsidR="00000000" w:rsidRDefault="00000000">
            <w:r>
              <w:t>Porcentaje</w:t>
            </w:r>
          </w:p>
        </w:tc>
        <w:tc>
          <w:tcPr>
            <w:tcW w:w="407" w:type="pct"/>
            <w:vAlign w:val="center"/>
          </w:tcPr>
          <w:p w:rsidR="00000000" w:rsidRDefault="00000000">
            <w:pPr>
              <w:widowControl w:val="0"/>
              <w:ind w:right="57"/>
              <w:jc w:val="right"/>
            </w:pPr>
            <w:r>
              <w:t>13,47</w:t>
            </w:r>
          </w:p>
        </w:tc>
        <w:tc>
          <w:tcPr>
            <w:tcW w:w="425" w:type="pct"/>
            <w:vAlign w:val="center"/>
          </w:tcPr>
          <w:p w:rsidR="00000000" w:rsidRDefault="00000000">
            <w:pPr>
              <w:widowControl w:val="0"/>
              <w:ind w:right="57"/>
              <w:jc w:val="right"/>
            </w:pPr>
            <w:r>
              <w:t>13,37</w:t>
            </w:r>
          </w:p>
        </w:tc>
        <w:tc>
          <w:tcPr>
            <w:tcW w:w="405" w:type="pct"/>
            <w:vAlign w:val="center"/>
          </w:tcPr>
          <w:p w:rsidR="00000000" w:rsidRDefault="00000000">
            <w:pPr>
              <w:widowControl w:val="0"/>
              <w:jc w:val="right"/>
            </w:pPr>
            <w:r>
              <w:t>13,42</w:t>
            </w:r>
          </w:p>
        </w:tc>
        <w:tc>
          <w:tcPr>
            <w:tcW w:w="337" w:type="pct"/>
            <w:vAlign w:val="center"/>
          </w:tcPr>
          <w:p w:rsidR="00000000" w:rsidRDefault="00000000">
            <w:pPr>
              <w:widowControl w:val="0"/>
              <w:jc w:val="right"/>
            </w:pPr>
            <w:r>
              <w:t>7,82</w:t>
            </w:r>
          </w:p>
        </w:tc>
        <w:tc>
          <w:tcPr>
            <w:tcW w:w="337" w:type="pct"/>
            <w:vAlign w:val="center"/>
          </w:tcPr>
          <w:p w:rsidR="00000000" w:rsidRDefault="00000000">
            <w:pPr>
              <w:widowControl w:val="0"/>
              <w:jc w:val="right"/>
            </w:pPr>
            <w:r>
              <w:t>6,13</w:t>
            </w:r>
          </w:p>
        </w:tc>
        <w:tc>
          <w:tcPr>
            <w:tcW w:w="405" w:type="pct"/>
            <w:vAlign w:val="center"/>
          </w:tcPr>
          <w:p w:rsidR="00000000" w:rsidRDefault="00000000">
            <w:pPr>
              <w:widowControl w:val="0"/>
              <w:jc w:val="right"/>
            </w:pPr>
            <w:r>
              <w:t>13,95</w:t>
            </w:r>
          </w:p>
        </w:tc>
        <w:tc>
          <w:tcPr>
            <w:tcW w:w="337" w:type="pct"/>
            <w:vAlign w:val="center"/>
          </w:tcPr>
          <w:p w:rsidR="00000000" w:rsidRDefault="00000000">
            <w:pPr>
              <w:widowControl w:val="0"/>
              <w:jc w:val="right"/>
            </w:pPr>
            <w:r>
              <w:t>13,27</w:t>
            </w:r>
          </w:p>
        </w:tc>
        <w:tc>
          <w:tcPr>
            <w:tcW w:w="337" w:type="pct"/>
            <w:vAlign w:val="center"/>
          </w:tcPr>
          <w:p w:rsidR="00000000" w:rsidRDefault="00000000">
            <w:pPr>
              <w:widowControl w:val="0"/>
              <w:jc w:val="right"/>
            </w:pPr>
            <w:r>
              <w:t>13,41</w:t>
            </w:r>
          </w:p>
        </w:tc>
        <w:tc>
          <w:tcPr>
            <w:tcW w:w="405" w:type="pct"/>
            <w:vAlign w:val="center"/>
          </w:tcPr>
          <w:p w:rsidR="00000000" w:rsidRDefault="00000000">
            <w:pPr>
              <w:widowControl w:val="0"/>
              <w:jc w:val="right"/>
            </w:pPr>
            <w:r>
              <w:t>13,35</w:t>
            </w:r>
          </w:p>
        </w:tc>
      </w:tr>
      <w:tr w:rsidR="00000000">
        <w:tblPrEx>
          <w:tblCellMar>
            <w:top w:w="0" w:type="dxa"/>
            <w:bottom w:w="0" w:type="dxa"/>
          </w:tblCellMar>
        </w:tblPrEx>
        <w:trPr>
          <w:cantSplit/>
          <w:trHeight w:val="20"/>
          <w:jc w:val="center"/>
        </w:trPr>
        <w:tc>
          <w:tcPr>
            <w:tcW w:w="474" w:type="pct"/>
            <w:vMerge w:val="restart"/>
          </w:tcPr>
          <w:p w:rsidR="00000000" w:rsidRDefault="00000000">
            <w:r>
              <w:t>Enseñanza media</w:t>
            </w:r>
          </w:p>
        </w:tc>
        <w:tc>
          <w:tcPr>
            <w:tcW w:w="1131" w:type="pct"/>
            <w:vAlign w:val="center"/>
          </w:tcPr>
          <w:p w:rsidR="00000000" w:rsidRDefault="00000000">
            <w:r>
              <w:t>Efectivos</w:t>
            </w:r>
          </w:p>
        </w:tc>
        <w:tc>
          <w:tcPr>
            <w:tcW w:w="407" w:type="pct"/>
            <w:vAlign w:val="center"/>
          </w:tcPr>
          <w:p w:rsidR="00000000" w:rsidRDefault="00000000">
            <w:pPr>
              <w:widowControl w:val="0"/>
              <w:ind w:right="57"/>
              <w:jc w:val="right"/>
            </w:pPr>
            <w:r>
              <w:t>93.987</w:t>
            </w:r>
          </w:p>
        </w:tc>
        <w:tc>
          <w:tcPr>
            <w:tcW w:w="425" w:type="pct"/>
            <w:vAlign w:val="center"/>
          </w:tcPr>
          <w:p w:rsidR="00000000" w:rsidRDefault="00000000">
            <w:pPr>
              <w:widowControl w:val="0"/>
              <w:ind w:right="57"/>
              <w:jc w:val="right"/>
            </w:pPr>
            <w:r>
              <w:t>57.748</w:t>
            </w:r>
          </w:p>
        </w:tc>
        <w:tc>
          <w:tcPr>
            <w:tcW w:w="405" w:type="pct"/>
            <w:vAlign w:val="center"/>
          </w:tcPr>
          <w:p w:rsidR="00000000" w:rsidRDefault="00000000">
            <w:pPr>
              <w:widowControl w:val="0"/>
              <w:jc w:val="right"/>
            </w:pPr>
            <w:r>
              <w:t>151.735</w:t>
            </w:r>
          </w:p>
        </w:tc>
        <w:tc>
          <w:tcPr>
            <w:tcW w:w="337" w:type="pct"/>
            <w:vAlign w:val="center"/>
          </w:tcPr>
          <w:p w:rsidR="00000000" w:rsidRDefault="00000000">
            <w:pPr>
              <w:widowControl w:val="0"/>
              <w:jc w:val="right"/>
            </w:pPr>
            <w:r>
              <w:t>72.033</w:t>
            </w:r>
          </w:p>
        </w:tc>
        <w:tc>
          <w:tcPr>
            <w:tcW w:w="337" w:type="pct"/>
            <w:vAlign w:val="center"/>
          </w:tcPr>
          <w:p w:rsidR="00000000" w:rsidRDefault="00000000">
            <w:pPr>
              <w:widowControl w:val="0"/>
              <w:jc w:val="right"/>
            </w:pPr>
            <w:r>
              <w:t>40.193</w:t>
            </w:r>
          </w:p>
        </w:tc>
        <w:tc>
          <w:tcPr>
            <w:tcW w:w="405" w:type="pct"/>
            <w:vAlign w:val="center"/>
          </w:tcPr>
          <w:p w:rsidR="00000000" w:rsidRDefault="00000000">
            <w:pPr>
              <w:widowControl w:val="0"/>
              <w:jc w:val="right"/>
            </w:pPr>
            <w:r>
              <w:t>112.226</w:t>
            </w:r>
          </w:p>
        </w:tc>
        <w:tc>
          <w:tcPr>
            <w:tcW w:w="337" w:type="pct"/>
            <w:vAlign w:val="center"/>
          </w:tcPr>
          <w:p w:rsidR="00000000" w:rsidRDefault="00000000">
            <w:pPr>
              <w:widowControl w:val="0"/>
              <w:jc w:val="right"/>
            </w:pPr>
            <w:r>
              <w:t>72.349</w:t>
            </w:r>
          </w:p>
        </w:tc>
        <w:tc>
          <w:tcPr>
            <w:tcW w:w="337" w:type="pct"/>
            <w:vAlign w:val="center"/>
          </w:tcPr>
          <w:p w:rsidR="00000000" w:rsidRDefault="00000000">
            <w:pPr>
              <w:widowControl w:val="0"/>
              <w:jc w:val="right"/>
            </w:pPr>
            <w:r>
              <w:t>40.648</w:t>
            </w:r>
          </w:p>
        </w:tc>
        <w:tc>
          <w:tcPr>
            <w:tcW w:w="405" w:type="pct"/>
            <w:vAlign w:val="center"/>
          </w:tcPr>
          <w:p w:rsidR="00000000" w:rsidRDefault="00000000">
            <w:pPr>
              <w:widowControl w:val="0"/>
              <w:jc w:val="right"/>
            </w:pPr>
            <w:r>
              <w:t>112.997</w:t>
            </w:r>
          </w:p>
        </w:tc>
      </w:tr>
      <w:tr w:rsidR="00000000">
        <w:tblPrEx>
          <w:tblCellMar>
            <w:top w:w="0" w:type="dxa"/>
            <w:bottom w:w="0" w:type="dxa"/>
          </w:tblCellMar>
        </w:tblPrEx>
        <w:trPr>
          <w:cantSplit/>
          <w:trHeight w:val="20"/>
          <w:jc w:val="center"/>
        </w:trPr>
        <w:tc>
          <w:tcPr>
            <w:tcW w:w="474" w:type="pct"/>
            <w:vMerge/>
          </w:tcPr>
          <w:p w:rsidR="00000000" w:rsidRDefault="00000000"/>
        </w:tc>
        <w:tc>
          <w:tcPr>
            <w:tcW w:w="1131" w:type="pct"/>
            <w:vAlign w:val="center"/>
          </w:tcPr>
          <w:p w:rsidR="00000000" w:rsidRDefault="00000000">
            <w:r>
              <w:t>Repetidores</w:t>
            </w:r>
          </w:p>
        </w:tc>
        <w:tc>
          <w:tcPr>
            <w:tcW w:w="407" w:type="pct"/>
            <w:vAlign w:val="center"/>
          </w:tcPr>
          <w:p w:rsidR="00000000" w:rsidRDefault="00000000">
            <w:pPr>
              <w:widowControl w:val="0"/>
              <w:ind w:right="57"/>
              <w:jc w:val="right"/>
            </w:pPr>
            <w:r>
              <w:t>12.796</w:t>
            </w:r>
          </w:p>
        </w:tc>
        <w:tc>
          <w:tcPr>
            <w:tcW w:w="425" w:type="pct"/>
            <w:vAlign w:val="center"/>
          </w:tcPr>
          <w:p w:rsidR="00000000" w:rsidRDefault="00000000">
            <w:pPr>
              <w:widowControl w:val="0"/>
              <w:ind w:right="57"/>
              <w:jc w:val="right"/>
            </w:pPr>
            <w:r>
              <w:t>9.042</w:t>
            </w:r>
          </w:p>
        </w:tc>
        <w:tc>
          <w:tcPr>
            <w:tcW w:w="405" w:type="pct"/>
            <w:vAlign w:val="center"/>
          </w:tcPr>
          <w:p w:rsidR="00000000" w:rsidRDefault="00000000">
            <w:pPr>
              <w:widowControl w:val="0"/>
              <w:jc w:val="right"/>
            </w:pPr>
            <w:r>
              <w:t>21.838</w:t>
            </w:r>
          </w:p>
        </w:tc>
        <w:tc>
          <w:tcPr>
            <w:tcW w:w="337" w:type="pct"/>
            <w:vAlign w:val="center"/>
          </w:tcPr>
          <w:p w:rsidR="00000000" w:rsidRDefault="00000000">
            <w:pPr>
              <w:widowControl w:val="0"/>
              <w:jc w:val="right"/>
            </w:pPr>
            <w:r>
              <w:t>11.847</w:t>
            </w:r>
          </w:p>
        </w:tc>
        <w:tc>
          <w:tcPr>
            <w:tcW w:w="337" w:type="pct"/>
            <w:vAlign w:val="center"/>
          </w:tcPr>
          <w:p w:rsidR="00000000" w:rsidRDefault="00000000">
            <w:pPr>
              <w:widowControl w:val="0"/>
              <w:jc w:val="right"/>
            </w:pPr>
            <w:r>
              <w:t>7.851</w:t>
            </w:r>
          </w:p>
        </w:tc>
        <w:tc>
          <w:tcPr>
            <w:tcW w:w="405" w:type="pct"/>
            <w:vAlign w:val="center"/>
          </w:tcPr>
          <w:p w:rsidR="00000000" w:rsidRDefault="00000000">
            <w:pPr>
              <w:widowControl w:val="0"/>
              <w:jc w:val="right"/>
            </w:pPr>
            <w:r>
              <w:t>19.698</w:t>
            </w:r>
          </w:p>
        </w:tc>
        <w:tc>
          <w:tcPr>
            <w:tcW w:w="337" w:type="pct"/>
            <w:vAlign w:val="center"/>
          </w:tcPr>
          <w:p w:rsidR="00000000" w:rsidRDefault="00000000">
            <w:pPr>
              <w:widowControl w:val="0"/>
              <w:jc w:val="right"/>
            </w:pPr>
            <w:r>
              <w:t>10.523</w:t>
            </w:r>
          </w:p>
        </w:tc>
        <w:tc>
          <w:tcPr>
            <w:tcW w:w="337" w:type="pct"/>
            <w:vAlign w:val="center"/>
          </w:tcPr>
          <w:p w:rsidR="00000000" w:rsidRDefault="00000000">
            <w:pPr>
              <w:widowControl w:val="0"/>
              <w:jc w:val="right"/>
            </w:pPr>
            <w:r>
              <w:t>8.007</w:t>
            </w:r>
          </w:p>
        </w:tc>
        <w:tc>
          <w:tcPr>
            <w:tcW w:w="405" w:type="pct"/>
            <w:vAlign w:val="center"/>
          </w:tcPr>
          <w:p w:rsidR="00000000" w:rsidRDefault="00000000">
            <w:pPr>
              <w:widowControl w:val="0"/>
              <w:jc w:val="right"/>
            </w:pPr>
            <w:r>
              <w:t>18.530</w:t>
            </w:r>
          </w:p>
        </w:tc>
      </w:tr>
      <w:tr w:rsidR="00000000">
        <w:tblPrEx>
          <w:tblCellMar>
            <w:top w:w="0" w:type="dxa"/>
            <w:bottom w:w="0" w:type="dxa"/>
          </w:tblCellMar>
        </w:tblPrEx>
        <w:trPr>
          <w:cantSplit/>
          <w:trHeight w:val="20"/>
          <w:jc w:val="center"/>
        </w:trPr>
        <w:tc>
          <w:tcPr>
            <w:tcW w:w="474" w:type="pct"/>
            <w:vMerge w:val="restart"/>
          </w:tcPr>
          <w:p w:rsidR="00000000" w:rsidRDefault="00000000">
            <w:r>
              <w:t>Enseñanza secundaria</w:t>
            </w:r>
          </w:p>
        </w:tc>
        <w:tc>
          <w:tcPr>
            <w:tcW w:w="1131" w:type="pct"/>
            <w:vAlign w:val="center"/>
          </w:tcPr>
          <w:p w:rsidR="00000000" w:rsidRDefault="00000000">
            <w:r>
              <w:t>Efectivos</w:t>
            </w:r>
          </w:p>
        </w:tc>
        <w:tc>
          <w:tcPr>
            <w:tcW w:w="407" w:type="pct"/>
            <w:vAlign w:val="center"/>
          </w:tcPr>
          <w:p w:rsidR="00000000" w:rsidRDefault="00000000">
            <w:pPr>
              <w:widowControl w:val="0"/>
              <w:ind w:right="57"/>
              <w:jc w:val="right"/>
            </w:pPr>
            <w:r>
              <w:t>11.210</w:t>
            </w:r>
          </w:p>
        </w:tc>
        <w:tc>
          <w:tcPr>
            <w:tcW w:w="425" w:type="pct"/>
            <w:vAlign w:val="center"/>
          </w:tcPr>
          <w:p w:rsidR="00000000" w:rsidRDefault="00000000">
            <w:pPr>
              <w:widowControl w:val="0"/>
              <w:ind w:right="57"/>
              <w:jc w:val="right"/>
            </w:pPr>
            <w:r>
              <w:t>6.395</w:t>
            </w:r>
          </w:p>
        </w:tc>
        <w:tc>
          <w:tcPr>
            <w:tcW w:w="405" w:type="pct"/>
            <w:vAlign w:val="center"/>
          </w:tcPr>
          <w:p w:rsidR="00000000" w:rsidRDefault="00000000">
            <w:pPr>
              <w:widowControl w:val="0"/>
              <w:jc w:val="right"/>
            </w:pPr>
            <w:r>
              <w:t>17.605</w:t>
            </w:r>
          </w:p>
        </w:tc>
        <w:tc>
          <w:tcPr>
            <w:tcW w:w="337" w:type="pct"/>
            <w:vAlign w:val="center"/>
          </w:tcPr>
          <w:p w:rsidR="00000000" w:rsidRDefault="00000000">
            <w:pPr>
              <w:widowControl w:val="0"/>
              <w:jc w:val="right"/>
            </w:pPr>
            <w:r>
              <w:t>34.619</w:t>
            </w:r>
          </w:p>
        </w:tc>
        <w:tc>
          <w:tcPr>
            <w:tcW w:w="337" w:type="pct"/>
            <w:vAlign w:val="center"/>
          </w:tcPr>
          <w:p w:rsidR="00000000" w:rsidRDefault="00000000">
            <w:pPr>
              <w:widowControl w:val="0"/>
              <w:jc w:val="right"/>
            </w:pPr>
            <w:r>
              <w:t>18.739</w:t>
            </w:r>
          </w:p>
        </w:tc>
        <w:tc>
          <w:tcPr>
            <w:tcW w:w="405" w:type="pct"/>
            <w:vAlign w:val="center"/>
          </w:tcPr>
          <w:p w:rsidR="00000000" w:rsidRDefault="00000000">
            <w:pPr>
              <w:widowControl w:val="0"/>
              <w:jc w:val="right"/>
            </w:pPr>
            <w:r>
              <w:t>53.358</w:t>
            </w:r>
          </w:p>
        </w:tc>
        <w:tc>
          <w:tcPr>
            <w:tcW w:w="337" w:type="pct"/>
            <w:vAlign w:val="center"/>
          </w:tcPr>
          <w:p w:rsidR="00000000" w:rsidRDefault="00000000">
            <w:pPr>
              <w:widowControl w:val="0"/>
              <w:jc w:val="right"/>
            </w:pPr>
            <w:r>
              <w:t>35.217</w:t>
            </w:r>
          </w:p>
        </w:tc>
        <w:tc>
          <w:tcPr>
            <w:tcW w:w="337" w:type="pct"/>
            <w:vAlign w:val="center"/>
          </w:tcPr>
          <w:p w:rsidR="00000000" w:rsidRDefault="00000000">
            <w:pPr>
              <w:widowControl w:val="0"/>
              <w:jc w:val="right"/>
            </w:pPr>
            <w:r>
              <w:t>19.330</w:t>
            </w:r>
          </w:p>
        </w:tc>
        <w:tc>
          <w:tcPr>
            <w:tcW w:w="405" w:type="pct"/>
            <w:vAlign w:val="center"/>
          </w:tcPr>
          <w:p w:rsidR="00000000" w:rsidRDefault="00000000">
            <w:pPr>
              <w:widowControl w:val="0"/>
              <w:jc w:val="right"/>
            </w:pPr>
            <w:r>
              <w:t>54.511</w:t>
            </w:r>
          </w:p>
        </w:tc>
      </w:tr>
      <w:tr w:rsidR="00000000">
        <w:tblPrEx>
          <w:tblCellMar>
            <w:top w:w="0" w:type="dxa"/>
            <w:bottom w:w="0" w:type="dxa"/>
          </w:tblCellMar>
        </w:tblPrEx>
        <w:trPr>
          <w:cantSplit/>
          <w:trHeight w:val="20"/>
          <w:jc w:val="center"/>
        </w:trPr>
        <w:tc>
          <w:tcPr>
            <w:tcW w:w="474" w:type="pct"/>
            <w:vMerge/>
          </w:tcPr>
          <w:p w:rsidR="00000000" w:rsidRDefault="00000000"/>
        </w:tc>
        <w:tc>
          <w:tcPr>
            <w:tcW w:w="1131" w:type="pct"/>
            <w:vAlign w:val="center"/>
          </w:tcPr>
          <w:p w:rsidR="00000000" w:rsidRDefault="00000000">
            <w:r>
              <w:t>Repetidores</w:t>
            </w:r>
          </w:p>
        </w:tc>
        <w:tc>
          <w:tcPr>
            <w:tcW w:w="407" w:type="pct"/>
            <w:vAlign w:val="center"/>
          </w:tcPr>
          <w:p w:rsidR="00000000" w:rsidRDefault="00000000">
            <w:pPr>
              <w:widowControl w:val="0"/>
              <w:ind w:right="57"/>
              <w:jc w:val="right"/>
            </w:pPr>
            <w:r>
              <w:t>7.209</w:t>
            </w:r>
          </w:p>
        </w:tc>
        <w:tc>
          <w:tcPr>
            <w:tcW w:w="425" w:type="pct"/>
            <w:vAlign w:val="center"/>
          </w:tcPr>
          <w:p w:rsidR="00000000" w:rsidRDefault="00000000">
            <w:pPr>
              <w:widowControl w:val="0"/>
              <w:ind w:right="57"/>
              <w:jc w:val="right"/>
            </w:pPr>
            <w:r>
              <w:t>3.828</w:t>
            </w:r>
          </w:p>
        </w:tc>
        <w:tc>
          <w:tcPr>
            <w:tcW w:w="405" w:type="pct"/>
            <w:vAlign w:val="center"/>
          </w:tcPr>
          <w:p w:rsidR="00000000" w:rsidRDefault="00000000">
            <w:pPr>
              <w:widowControl w:val="0"/>
              <w:jc w:val="right"/>
            </w:pPr>
            <w:r>
              <w:t>11.037</w:t>
            </w:r>
          </w:p>
        </w:tc>
        <w:tc>
          <w:tcPr>
            <w:tcW w:w="337" w:type="pct"/>
            <w:vAlign w:val="center"/>
          </w:tcPr>
          <w:p w:rsidR="00000000" w:rsidRDefault="00000000">
            <w:pPr>
              <w:widowControl w:val="0"/>
              <w:jc w:val="right"/>
            </w:pPr>
            <w:r>
              <w:t>6.580</w:t>
            </w:r>
          </w:p>
        </w:tc>
        <w:tc>
          <w:tcPr>
            <w:tcW w:w="337" w:type="pct"/>
            <w:vAlign w:val="center"/>
          </w:tcPr>
          <w:p w:rsidR="00000000" w:rsidRDefault="00000000">
            <w:pPr>
              <w:widowControl w:val="0"/>
              <w:jc w:val="right"/>
            </w:pPr>
            <w:r>
              <w:t>3.472</w:t>
            </w:r>
          </w:p>
        </w:tc>
        <w:tc>
          <w:tcPr>
            <w:tcW w:w="405" w:type="pct"/>
            <w:vAlign w:val="center"/>
          </w:tcPr>
          <w:p w:rsidR="00000000" w:rsidRDefault="00000000">
            <w:pPr>
              <w:widowControl w:val="0"/>
              <w:jc w:val="right"/>
            </w:pPr>
            <w:r>
              <w:t>10.052</w:t>
            </w:r>
          </w:p>
        </w:tc>
        <w:tc>
          <w:tcPr>
            <w:tcW w:w="337" w:type="pct"/>
            <w:vAlign w:val="center"/>
          </w:tcPr>
          <w:p w:rsidR="00000000" w:rsidRDefault="00000000">
            <w:pPr>
              <w:widowControl w:val="0"/>
              <w:jc w:val="right"/>
            </w:pPr>
            <w:r>
              <w:t>6.741</w:t>
            </w:r>
          </w:p>
        </w:tc>
        <w:tc>
          <w:tcPr>
            <w:tcW w:w="337" w:type="pct"/>
            <w:vAlign w:val="center"/>
          </w:tcPr>
          <w:p w:rsidR="00000000" w:rsidRDefault="00000000">
            <w:pPr>
              <w:widowControl w:val="0"/>
              <w:jc w:val="right"/>
            </w:pPr>
            <w:r>
              <w:t>3.907</w:t>
            </w:r>
          </w:p>
        </w:tc>
        <w:tc>
          <w:tcPr>
            <w:tcW w:w="405" w:type="pct"/>
            <w:vAlign w:val="center"/>
          </w:tcPr>
          <w:p w:rsidR="00000000" w:rsidRDefault="00000000">
            <w:pPr>
              <w:widowControl w:val="0"/>
              <w:jc w:val="right"/>
            </w:pPr>
            <w:r>
              <w:t>10.648</w:t>
            </w:r>
          </w:p>
        </w:tc>
      </w:tr>
    </w:tbl>
    <w:p w:rsidR="00000000" w:rsidRDefault="00000000">
      <w:pPr>
        <w:spacing w:before="160" w:after="360"/>
      </w:pPr>
      <w:r>
        <w:rPr>
          <w:i/>
          <w:iCs/>
        </w:rPr>
        <w:t>Referencia del cuadro</w:t>
      </w:r>
      <w:r>
        <w:t>:  Ministerio de Educación Básica y de Idiomas Nacionales (1999).</w:t>
      </w:r>
    </w:p>
    <w:p w:rsidR="00000000" w:rsidRDefault="00000000">
      <w:pPr>
        <w:spacing w:before="160" w:after="360"/>
        <w:sectPr w:rsidR="00000000">
          <w:headerReference w:type="even" r:id="rId15"/>
          <w:pgSz w:w="16838" w:h="11906" w:orient="landscape" w:code="9"/>
          <w:pgMar w:top="1701" w:right="1701" w:bottom="1701" w:left="1701" w:header="851" w:footer="567" w:gutter="0"/>
          <w:cols w:space="708"/>
          <w:docGrid w:linePitch="360"/>
        </w:sectPr>
      </w:pPr>
    </w:p>
    <w:p w:rsidR="00000000" w:rsidRDefault="00000000">
      <w:pPr>
        <w:spacing w:after="240"/>
        <w:jc w:val="center"/>
        <w:rPr>
          <w:b/>
          <w:bCs/>
          <w:sz w:val="22"/>
        </w:rPr>
      </w:pPr>
      <w:r>
        <w:rPr>
          <w:b/>
          <w:bCs/>
          <w:sz w:val="22"/>
        </w:rPr>
        <w:t>Evolución la tasa bruta de escolarización, por región (1997/98 a 2002/03)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190"/>
        <w:gridCol w:w="614"/>
        <w:gridCol w:w="614"/>
        <w:gridCol w:w="915"/>
        <w:gridCol w:w="915"/>
        <w:gridCol w:w="915"/>
        <w:gridCol w:w="915"/>
        <w:gridCol w:w="915"/>
        <w:gridCol w:w="985"/>
        <w:gridCol w:w="1490"/>
      </w:tblGrid>
      <w:tr w:rsidR="00000000">
        <w:tblPrEx>
          <w:tblCellMar>
            <w:top w:w="0" w:type="dxa"/>
            <w:bottom w:w="0" w:type="dxa"/>
          </w:tblCellMar>
        </w:tblPrEx>
        <w:trPr>
          <w:jc w:val="center"/>
        </w:trPr>
        <w:tc>
          <w:tcPr>
            <w:tcW w:w="628" w:type="pct"/>
            <w:vAlign w:val="center"/>
          </w:tcPr>
          <w:p w:rsidR="00000000" w:rsidRDefault="00000000">
            <w:pPr>
              <w:jc w:val="center"/>
              <w:rPr>
                <w:b/>
                <w:bCs/>
                <w:sz w:val="22"/>
              </w:rPr>
            </w:pPr>
            <w:r>
              <w:rPr>
                <w:b/>
                <w:bCs/>
                <w:sz w:val="22"/>
              </w:rPr>
              <w:t>Regiones</w:t>
            </w:r>
          </w:p>
        </w:tc>
        <w:tc>
          <w:tcPr>
            <w:tcW w:w="324" w:type="pct"/>
            <w:vAlign w:val="center"/>
          </w:tcPr>
          <w:p w:rsidR="00000000" w:rsidRDefault="00000000">
            <w:pPr>
              <w:jc w:val="center"/>
              <w:rPr>
                <w:b/>
                <w:bCs/>
                <w:sz w:val="22"/>
              </w:rPr>
            </w:pPr>
            <w:r>
              <w:rPr>
                <w:b/>
                <w:bCs/>
                <w:sz w:val="22"/>
              </w:rPr>
              <w:t>1993</w:t>
            </w:r>
          </w:p>
        </w:tc>
        <w:tc>
          <w:tcPr>
            <w:tcW w:w="324" w:type="pct"/>
            <w:vAlign w:val="center"/>
          </w:tcPr>
          <w:p w:rsidR="00000000" w:rsidRDefault="00000000">
            <w:pPr>
              <w:jc w:val="center"/>
              <w:rPr>
                <w:b/>
                <w:bCs/>
                <w:sz w:val="22"/>
              </w:rPr>
            </w:pPr>
            <w:r>
              <w:rPr>
                <w:b/>
                <w:bCs/>
                <w:sz w:val="22"/>
              </w:rPr>
              <w:t>1994</w:t>
            </w:r>
          </w:p>
        </w:tc>
        <w:tc>
          <w:tcPr>
            <w:tcW w:w="483" w:type="pct"/>
            <w:vAlign w:val="center"/>
          </w:tcPr>
          <w:p w:rsidR="00000000" w:rsidRDefault="00000000">
            <w:pPr>
              <w:jc w:val="center"/>
              <w:rPr>
                <w:b/>
                <w:bCs/>
                <w:sz w:val="22"/>
              </w:rPr>
            </w:pPr>
            <w:r>
              <w:rPr>
                <w:b/>
                <w:bCs/>
                <w:sz w:val="22"/>
              </w:rPr>
              <w:t>1997/98</w:t>
            </w:r>
          </w:p>
        </w:tc>
        <w:tc>
          <w:tcPr>
            <w:tcW w:w="483" w:type="pct"/>
            <w:vAlign w:val="center"/>
          </w:tcPr>
          <w:p w:rsidR="00000000" w:rsidRDefault="00000000">
            <w:pPr>
              <w:jc w:val="center"/>
              <w:rPr>
                <w:b/>
                <w:bCs/>
                <w:sz w:val="22"/>
              </w:rPr>
            </w:pPr>
            <w:r>
              <w:rPr>
                <w:b/>
                <w:bCs/>
                <w:sz w:val="22"/>
              </w:rPr>
              <w:t>1998/99</w:t>
            </w:r>
          </w:p>
        </w:tc>
        <w:tc>
          <w:tcPr>
            <w:tcW w:w="483" w:type="pct"/>
            <w:vAlign w:val="center"/>
          </w:tcPr>
          <w:p w:rsidR="00000000" w:rsidRDefault="00000000">
            <w:pPr>
              <w:jc w:val="center"/>
              <w:rPr>
                <w:b/>
                <w:bCs/>
                <w:sz w:val="22"/>
              </w:rPr>
            </w:pPr>
            <w:r>
              <w:rPr>
                <w:b/>
                <w:bCs/>
                <w:sz w:val="22"/>
              </w:rPr>
              <w:t>1999/00</w:t>
            </w:r>
          </w:p>
        </w:tc>
        <w:tc>
          <w:tcPr>
            <w:tcW w:w="483" w:type="pct"/>
            <w:vAlign w:val="center"/>
          </w:tcPr>
          <w:p w:rsidR="00000000" w:rsidRDefault="00000000">
            <w:pPr>
              <w:jc w:val="center"/>
              <w:rPr>
                <w:b/>
                <w:bCs/>
                <w:sz w:val="22"/>
              </w:rPr>
            </w:pPr>
            <w:r>
              <w:rPr>
                <w:b/>
                <w:bCs/>
                <w:sz w:val="22"/>
              </w:rPr>
              <w:t>2000/01</w:t>
            </w:r>
          </w:p>
        </w:tc>
        <w:tc>
          <w:tcPr>
            <w:tcW w:w="483" w:type="pct"/>
            <w:vAlign w:val="center"/>
          </w:tcPr>
          <w:p w:rsidR="00000000" w:rsidRDefault="00000000">
            <w:pPr>
              <w:jc w:val="center"/>
              <w:rPr>
                <w:b/>
                <w:bCs/>
                <w:sz w:val="22"/>
              </w:rPr>
            </w:pPr>
            <w:r>
              <w:rPr>
                <w:b/>
                <w:bCs/>
                <w:sz w:val="22"/>
              </w:rPr>
              <w:t>2001/02</w:t>
            </w:r>
          </w:p>
        </w:tc>
        <w:tc>
          <w:tcPr>
            <w:tcW w:w="520" w:type="pct"/>
            <w:vAlign w:val="center"/>
          </w:tcPr>
          <w:p w:rsidR="00000000" w:rsidRDefault="00000000">
            <w:pPr>
              <w:jc w:val="center"/>
              <w:rPr>
                <w:b/>
                <w:bCs/>
                <w:sz w:val="22"/>
              </w:rPr>
            </w:pPr>
            <w:r>
              <w:rPr>
                <w:b/>
                <w:bCs/>
                <w:sz w:val="22"/>
              </w:rPr>
              <w:t>2002/03</w:t>
            </w:r>
          </w:p>
        </w:tc>
        <w:tc>
          <w:tcPr>
            <w:tcW w:w="787" w:type="pct"/>
            <w:vAlign w:val="center"/>
          </w:tcPr>
          <w:p w:rsidR="00000000" w:rsidRDefault="00000000">
            <w:pPr>
              <w:jc w:val="center"/>
              <w:rPr>
                <w:b/>
                <w:bCs/>
                <w:sz w:val="22"/>
              </w:rPr>
            </w:pPr>
            <w:r>
              <w:rPr>
                <w:b/>
                <w:bCs/>
                <w:sz w:val="22"/>
              </w:rPr>
              <w:t>Tasa bruta de escolarización (porcentaje)</w:t>
            </w:r>
          </w:p>
        </w:tc>
      </w:tr>
      <w:tr w:rsidR="00000000">
        <w:tblPrEx>
          <w:tblCellMar>
            <w:top w:w="0" w:type="dxa"/>
            <w:bottom w:w="0" w:type="dxa"/>
          </w:tblCellMar>
        </w:tblPrEx>
        <w:trPr>
          <w:jc w:val="center"/>
        </w:trPr>
        <w:tc>
          <w:tcPr>
            <w:tcW w:w="628" w:type="pct"/>
          </w:tcPr>
          <w:p w:rsidR="00000000" w:rsidRDefault="00000000">
            <w:pPr>
              <w:rPr>
                <w:sz w:val="22"/>
                <w:lang w:val="en-US"/>
              </w:rPr>
            </w:pPr>
            <w:r>
              <w:rPr>
                <w:sz w:val="22"/>
                <w:lang w:val="en-US"/>
              </w:rPr>
              <w:t>Dakar</w:t>
            </w:r>
          </w:p>
        </w:tc>
        <w:tc>
          <w:tcPr>
            <w:tcW w:w="324" w:type="pct"/>
          </w:tcPr>
          <w:p w:rsidR="00000000" w:rsidRDefault="00000000">
            <w:pPr>
              <w:widowControl w:val="0"/>
              <w:rPr>
                <w:sz w:val="22"/>
                <w:lang w:val="nl-NL"/>
              </w:rPr>
            </w:pPr>
          </w:p>
        </w:tc>
        <w:tc>
          <w:tcPr>
            <w:tcW w:w="324" w:type="pct"/>
          </w:tcPr>
          <w:p w:rsidR="00000000" w:rsidRDefault="00000000">
            <w:pPr>
              <w:widowControl w:val="0"/>
              <w:rPr>
                <w:sz w:val="22"/>
                <w:lang w:val="nl-NL"/>
              </w:rPr>
            </w:pPr>
          </w:p>
        </w:tc>
        <w:tc>
          <w:tcPr>
            <w:tcW w:w="483" w:type="pct"/>
          </w:tcPr>
          <w:p w:rsidR="00000000" w:rsidRDefault="00000000">
            <w:pPr>
              <w:widowControl w:val="0"/>
              <w:jc w:val="center"/>
              <w:rPr>
                <w:sz w:val="22"/>
                <w:lang w:val="nl-NL"/>
              </w:rPr>
            </w:pPr>
            <w:r>
              <w:rPr>
                <w:sz w:val="22"/>
                <w:lang w:val="nl-NL"/>
              </w:rPr>
              <w:t>91,5</w:t>
            </w:r>
          </w:p>
        </w:tc>
        <w:tc>
          <w:tcPr>
            <w:tcW w:w="483" w:type="pct"/>
          </w:tcPr>
          <w:p w:rsidR="00000000" w:rsidRDefault="00000000">
            <w:pPr>
              <w:widowControl w:val="0"/>
              <w:jc w:val="center"/>
              <w:rPr>
                <w:sz w:val="22"/>
                <w:lang w:val="nl-NL"/>
              </w:rPr>
            </w:pPr>
            <w:r>
              <w:rPr>
                <w:sz w:val="22"/>
                <w:lang w:val="nl-NL"/>
              </w:rPr>
              <w:t>90,0</w:t>
            </w:r>
          </w:p>
        </w:tc>
        <w:tc>
          <w:tcPr>
            <w:tcW w:w="483" w:type="pct"/>
          </w:tcPr>
          <w:p w:rsidR="00000000" w:rsidRDefault="00000000">
            <w:pPr>
              <w:widowControl w:val="0"/>
              <w:jc w:val="center"/>
              <w:rPr>
                <w:sz w:val="22"/>
                <w:lang w:val="nl-NL"/>
              </w:rPr>
            </w:pPr>
            <w:r>
              <w:rPr>
                <w:sz w:val="22"/>
                <w:lang w:val="nl-NL"/>
              </w:rPr>
              <w:t>86,3</w:t>
            </w:r>
          </w:p>
        </w:tc>
        <w:tc>
          <w:tcPr>
            <w:tcW w:w="483" w:type="pct"/>
          </w:tcPr>
          <w:p w:rsidR="00000000" w:rsidRDefault="00000000">
            <w:pPr>
              <w:widowControl w:val="0"/>
              <w:ind w:right="170"/>
              <w:jc w:val="right"/>
              <w:rPr>
                <w:sz w:val="22"/>
                <w:lang w:val="nl-NL"/>
              </w:rPr>
            </w:pPr>
            <w:r>
              <w:rPr>
                <w:sz w:val="22"/>
                <w:lang w:val="nl-NL"/>
              </w:rPr>
              <w:t>84,7</w:t>
            </w:r>
          </w:p>
        </w:tc>
        <w:tc>
          <w:tcPr>
            <w:tcW w:w="483" w:type="pct"/>
          </w:tcPr>
          <w:p w:rsidR="00000000" w:rsidRDefault="00000000">
            <w:pPr>
              <w:widowControl w:val="0"/>
              <w:ind w:right="170"/>
              <w:jc w:val="right"/>
              <w:rPr>
                <w:sz w:val="22"/>
                <w:lang w:val="nl-NL"/>
              </w:rPr>
            </w:pPr>
            <w:r>
              <w:rPr>
                <w:sz w:val="22"/>
                <w:lang w:val="nl-NL"/>
              </w:rPr>
              <w:t>83,3</w:t>
            </w:r>
          </w:p>
        </w:tc>
        <w:tc>
          <w:tcPr>
            <w:tcW w:w="520" w:type="pct"/>
          </w:tcPr>
          <w:p w:rsidR="00000000" w:rsidRDefault="00000000">
            <w:pPr>
              <w:widowControl w:val="0"/>
              <w:ind w:right="170"/>
              <w:jc w:val="right"/>
              <w:rPr>
                <w:sz w:val="22"/>
                <w:szCs w:val="28"/>
                <w:lang w:val="nl-NL"/>
              </w:rPr>
            </w:pPr>
            <w:r>
              <w:rPr>
                <w:sz w:val="22"/>
                <w:szCs w:val="28"/>
                <w:lang w:val="nl-NL"/>
              </w:rPr>
              <w:t>85,2</w:t>
            </w:r>
          </w:p>
        </w:tc>
        <w:tc>
          <w:tcPr>
            <w:tcW w:w="787" w:type="pct"/>
            <w:vAlign w:val="bottom"/>
          </w:tcPr>
          <w:p w:rsidR="00000000" w:rsidRDefault="00000000">
            <w:pPr>
              <w:widowControl w:val="0"/>
              <w:ind w:right="556"/>
              <w:jc w:val="right"/>
              <w:rPr>
                <w:sz w:val="22"/>
                <w:lang w:val="nl-NL"/>
              </w:rPr>
            </w:pPr>
            <w:r>
              <w:rPr>
                <w:sz w:val="22"/>
                <w:lang w:val="nl-NL"/>
              </w:rPr>
              <w:t>-1,9</w:t>
            </w:r>
          </w:p>
        </w:tc>
      </w:tr>
      <w:tr w:rsidR="00000000">
        <w:tblPrEx>
          <w:tblCellMar>
            <w:top w:w="0" w:type="dxa"/>
            <w:bottom w:w="0" w:type="dxa"/>
          </w:tblCellMar>
        </w:tblPrEx>
        <w:trPr>
          <w:jc w:val="center"/>
        </w:trPr>
        <w:tc>
          <w:tcPr>
            <w:tcW w:w="628" w:type="pct"/>
          </w:tcPr>
          <w:p w:rsidR="00000000" w:rsidRDefault="00000000">
            <w:pPr>
              <w:rPr>
                <w:sz w:val="22"/>
                <w:lang w:val="en-GB"/>
              </w:rPr>
            </w:pPr>
            <w:r>
              <w:rPr>
                <w:sz w:val="22"/>
                <w:lang w:val="en-US"/>
              </w:rPr>
              <w:t>Z</w:t>
            </w:r>
            <w:proofErr w:type="spellStart"/>
            <w:r>
              <w:rPr>
                <w:sz w:val="22"/>
                <w:lang w:val="en-GB"/>
              </w:rPr>
              <w:t>iguinchor</w:t>
            </w:r>
            <w:proofErr w:type="spellEnd"/>
          </w:p>
        </w:tc>
        <w:tc>
          <w:tcPr>
            <w:tcW w:w="324" w:type="pct"/>
          </w:tcPr>
          <w:p w:rsidR="00000000" w:rsidRDefault="00000000">
            <w:pPr>
              <w:widowControl w:val="0"/>
              <w:rPr>
                <w:sz w:val="22"/>
                <w:lang w:val="nl-NL"/>
              </w:rPr>
            </w:pPr>
          </w:p>
        </w:tc>
        <w:tc>
          <w:tcPr>
            <w:tcW w:w="324" w:type="pct"/>
          </w:tcPr>
          <w:p w:rsidR="00000000" w:rsidRDefault="00000000">
            <w:pPr>
              <w:widowControl w:val="0"/>
              <w:rPr>
                <w:sz w:val="22"/>
                <w:lang w:val="nl-NL"/>
              </w:rPr>
            </w:pPr>
          </w:p>
        </w:tc>
        <w:tc>
          <w:tcPr>
            <w:tcW w:w="483" w:type="pct"/>
          </w:tcPr>
          <w:p w:rsidR="00000000" w:rsidRDefault="00000000">
            <w:pPr>
              <w:widowControl w:val="0"/>
              <w:jc w:val="center"/>
              <w:rPr>
                <w:sz w:val="22"/>
                <w:lang w:val="nl-NL"/>
              </w:rPr>
            </w:pPr>
            <w:r>
              <w:rPr>
                <w:sz w:val="22"/>
                <w:lang w:val="nl-NL"/>
              </w:rPr>
              <w:t>90,6</w:t>
            </w:r>
          </w:p>
        </w:tc>
        <w:tc>
          <w:tcPr>
            <w:tcW w:w="483" w:type="pct"/>
          </w:tcPr>
          <w:p w:rsidR="00000000" w:rsidRDefault="00000000">
            <w:pPr>
              <w:widowControl w:val="0"/>
              <w:jc w:val="center"/>
              <w:rPr>
                <w:sz w:val="22"/>
                <w:lang w:val="nl-NL"/>
              </w:rPr>
            </w:pPr>
            <w:r>
              <w:rPr>
                <w:sz w:val="22"/>
                <w:lang w:val="nl-NL"/>
              </w:rPr>
              <w:t>92,9</w:t>
            </w:r>
          </w:p>
        </w:tc>
        <w:tc>
          <w:tcPr>
            <w:tcW w:w="483" w:type="pct"/>
          </w:tcPr>
          <w:p w:rsidR="00000000" w:rsidRDefault="00000000">
            <w:pPr>
              <w:widowControl w:val="0"/>
              <w:jc w:val="center"/>
              <w:rPr>
                <w:sz w:val="22"/>
                <w:lang w:val="nl-NL"/>
              </w:rPr>
            </w:pPr>
            <w:r>
              <w:rPr>
                <w:sz w:val="22"/>
                <w:lang w:val="nl-NL"/>
              </w:rPr>
              <w:t>99,1</w:t>
            </w:r>
          </w:p>
        </w:tc>
        <w:tc>
          <w:tcPr>
            <w:tcW w:w="483" w:type="pct"/>
          </w:tcPr>
          <w:p w:rsidR="00000000" w:rsidRDefault="00000000">
            <w:pPr>
              <w:widowControl w:val="0"/>
              <w:ind w:right="170"/>
              <w:jc w:val="right"/>
              <w:rPr>
                <w:sz w:val="22"/>
                <w:lang w:val="nl-NL"/>
              </w:rPr>
            </w:pPr>
            <w:r>
              <w:rPr>
                <w:sz w:val="22"/>
                <w:lang w:val="nl-NL"/>
              </w:rPr>
              <w:t>109,9</w:t>
            </w:r>
          </w:p>
        </w:tc>
        <w:tc>
          <w:tcPr>
            <w:tcW w:w="483" w:type="pct"/>
          </w:tcPr>
          <w:p w:rsidR="00000000" w:rsidRDefault="00000000">
            <w:pPr>
              <w:widowControl w:val="0"/>
              <w:ind w:right="170"/>
              <w:jc w:val="right"/>
              <w:rPr>
                <w:sz w:val="22"/>
                <w:lang w:val="nl-NL"/>
              </w:rPr>
            </w:pPr>
            <w:r>
              <w:rPr>
                <w:sz w:val="22"/>
                <w:lang w:val="nl-NL"/>
              </w:rPr>
              <w:t>113,7</w:t>
            </w:r>
          </w:p>
        </w:tc>
        <w:tc>
          <w:tcPr>
            <w:tcW w:w="520" w:type="pct"/>
          </w:tcPr>
          <w:p w:rsidR="00000000" w:rsidRDefault="00000000">
            <w:pPr>
              <w:widowControl w:val="0"/>
              <w:ind w:right="170"/>
              <w:jc w:val="right"/>
              <w:rPr>
                <w:sz w:val="22"/>
                <w:lang w:val="nl-NL"/>
              </w:rPr>
            </w:pPr>
            <w:r>
              <w:rPr>
                <w:sz w:val="22"/>
                <w:szCs w:val="28"/>
                <w:lang w:val="nl-NL"/>
              </w:rPr>
              <w:t>100,9</w:t>
            </w:r>
          </w:p>
        </w:tc>
        <w:tc>
          <w:tcPr>
            <w:tcW w:w="787" w:type="pct"/>
            <w:vAlign w:val="bottom"/>
          </w:tcPr>
          <w:p w:rsidR="00000000" w:rsidRDefault="00000000">
            <w:pPr>
              <w:widowControl w:val="0"/>
              <w:ind w:right="556"/>
              <w:jc w:val="right"/>
              <w:rPr>
                <w:sz w:val="22"/>
                <w:lang w:val="nl-NL"/>
              </w:rPr>
            </w:pPr>
            <w:r>
              <w:rPr>
                <w:sz w:val="22"/>
                <w:lang w:val="nl-NL"/>
              </w:rPr>
              <w:t>4,6</w:t>
            </w:r>
          </w:p>
        </w:tc>
      </w:tr>
      <w:tr w:rsidR="00000000">
        <w:tblPrEx>
          <w:tblCellMar>
            <w:top w:w="0" w:type="dxa"/>
            <w:bottom w:w="0" w:type="dxa"/>
          </w:tblCellMar>
        </w:tblPrEx>
        <w:trPr>
          <w:jc w:val="center"/>
        </w:trPr>
        <w:tc>
          <w:tcPr>
            <w:tcW w:w="628" w:type="pct"/>
          </w:tcPr>
          <w:p w:rsidR="00000000" w:rsidRDefault="00000000">
            <w:pPr>
              <w:rPr>
                <w:sz w:val="22"/>
                <w:lang w:val="en-GB"/>
              </w:rPr>
            </w:pPr>
            <w:proofErr w:type="spellStart"/>
            <w:r>
              <w:rPr>
                <w:sz w:val="22"/>
                <w:lang w:val="en-GB"/>
              </w:rPr>
              <w:t>Diourbel</w:t>
            </w:r>
            <w:proofErr w:type="spellEnd"/>
          </w:p>
        </w:tc>
        <w:tc>
          <w:tcPr>
            <w:tcW w:w="324" w:type="pct"/>
          </w:tcPr>
          <w:p w:rsidR="00000000" w:rsidRDefault="00000000">
            <w:pPr>
              <w:widowControl w:val="0"/>
              <w:rPr>
                <w:sz w:val="22"/>
                <w:lang w:val="nl-NL"/>
              </w:rPr>
            </w:pPr>
          </w:p>
        </w:tc>
        <w:tc>
          <w:tcPr>
            <w:tcW w:w="324" w:type="pct"/>
          </w:tcPr>
          <w:p w:rsidR="00000000" w:rsidRDefault="00000000">
            <w:pPr>
              <w:widowControl w:val="0"/>
              <w:rPr>
                <w:sz w:val="22"/>
                <w:lang w:val="nl-NL"/>
              </w:rPr>
            </w:pPr>
          </w:p>
        </w:tc>
        <w:tc>
          <w:tcPr>
            <w:tcW w:w="483" w:type="pct"/>
          </w:tcPr>
          <w:p w:rsidR="00000000" w:rsidRDefault="00000000">
            <w:pPr>
              <w:widowControl w:val="0"/>
              <w:jc w:val="center"/>
              <w:rPr>
                <w:sz w:val="22"/>
                <w:lang w:val="en-US"/>
              </w:rPr>
            </w:pPr>
            <w:r>
              <w:rPr>
                <w:sz w:val="22"/>
                <w:lang w:val="en-US"/>
              </w:rPr>
              <w:t>30,9</w:t>
            </w:r>
          </w:p>
        </w:tc>
        <w:tc>
          <w:tcPr>
            <w:tcW w:w="483" w:type="pct"/>
          </w:tcPr>
          <w:p w:rsidR="00000000" w:rsidRDefault="00000000">
            <w:pPr>
              <w:widowControl w:val="0"/>
              <w:jc w:val="center"/>
              <w:rPr>
                <w:sz w:val="22"/>
                <w:lang w:val="en-US"/>
              </w:rPr>
            </w:pPr>
            <w:r>
              <w:rPr>
                <w:sz w:val="22"/>
                <w:lang w:val="en-US"/>
              </w:rPr>
              <w:t>36,0</w:t>
            </w:r>
          </w:p>
        </w:tc>
        <w:tc>
          <w:tcPr>
            <w:tcW w:w="483" w:type="pct"/>
          </w:tcPr>
          <w:p w:rsidR="00000000" w:rsidRDefault="00000000">
            <w:pPr>
              <w:widowControl w:val="0"/>
              <w:jc w:val="center"/>
              <w:rPr>
                <w:sz w:val="22"/>
                <w:lang w:val="en-US"/>
              </w:rPr>
            </w:pPr>
            <w:r>
              <w:rPr>
                <w:sz w:val="22"/>
                <w:lang w:val="en-US"/>
              </w:rPr>
              <w:t>40,4</w:t>
            </w:r>
          </w:p>
        </w:tc>
        <w:tc>
          <w:tcPr>
            <w:tcW w:w="483" w:type="pct"/>
          </w:tcPr>
          <w:p w:rsidR="00000000" w:rsidRDefault="00000000">
            <w:pPr>
              <w:widowControl w:val="0"/>
              <w:ind w:right="170"/>
              <w:jc w:val="right"/>
              <w:rPr>
                <w:sz w:val="22"/>
                <w:lang w:val="en-US"/>
              </w:rPr>
            </w:pPr>
            <w:r>
              <w:rPr>
                <w:sz w:val="22"/>
                <w:lang w:val="en-US"/>
              </w:rPr>
              <w:t>42,0</w:t>
            </w:r>
          </w:p>
        </w:tc>
        <w:tc>
          <w:tcPr>
            <w:tcW w:w="483" w:type="pct"/>
          </w:tcPr>
          <w:p w:rsidR="00000000" w:rsidRDefault="00000000">
            <w:pPr>
              <w:widowControl w:val="0"/>
              <w:ind w:right="170"/>
              <w:jc w:val="right"/>
              <w:rPr>
                <w:sz w:val="22"/>
                <w:lang w:val="en-US"/>
              </w:rPr>
            </w:pPr>
            <w:r>
              <w:rPr>
                <w:sz w:val="22"/>
                <w:lang w:val="en-US"/>
              </w:rPr>
              <w:t>44,2</w:t>
            </w:r>
          </w:p>
        </w:tc>
        <w:tc>
          <w:tcPr>
            <w:tcW w:w="520" w:type="pct"/>
          </w:tcPr>
          <w:p w:rsidR="00000000" w:rsidRDefault="00000000">
            <w:pPr>
              <w:widowControl w:val="0"/>
              <w:ind w:right="170"/>
              <w:jc w:val="right"/>
              <w:rPr>
                <w:sz w:val="22"/>
                <w:lang w:val="en-US"/>
              </w:rPr>
            </w:pPr>
            <w:r>
              <w:rPr>
                <w:sz w:val="22"/>
                <w:szCs w:val="28"/>
                <w:lang w:val="en-US"/>
              </w:rPr>
              <w:t>46,8</w:t>
            </w:r>
          </w:p>
        </w:tc>
        <w:tc>
          <w:tcPr>
            <w:tcW w:w="787" w:type="pct"/>
            <w:vAlign w:val="bottom"/>
          </w:tcPr>
          <w:p w:rsidR="00000000" w:rsidRDefault="00000000">
            <w:pPr>
              <w:widowControl w:val="0"/>
              <w:ind w:right="556"/>
              <w:jc w:val="right"/>
              <w:rPr>
                <w:sz w:val="22"/>
                <w:lang w:val="en-US"/>
              </w:rPr>
            </w:pPr>
            <w:r>
              <w:rPr>
                <w:sz w:val="22"/>
                <w:lang w:val="en-US"/>
              </w:rPr>
              <w:t>7,4</w:t>
            </w:r>
          </w:p>
        </w:tc>
      </w:tr>
      <w:tr w:rsidR="00000000">
        <w:tblPrEx>
          <w:tblCellMar>
            <w:top w:w="0" w:type="dxa"/>
            <w:bottom w:w="0" w:type="dxa"/>
          </w:tblCellMar>
        </w:tblPrEx>
        <w:trPr>
          <w:jc w:val="center"/>
        </w:trPr>
        <w:tc>
          <w:tcPr>
            <w:tcW w:w="628" w:type="pct"/>
          </w:tcPr>
          <w:p w:rsidR="00000000" w:rsidRDefault="00000000">
            <w:pPr>
              <w:rPr>
                <w:sz w:val="22"/>
                <w:lang w:val="en-GB"/>
              </w:rPr>
            </w:pPr>
            <w:r>
              <w:rPr>
                <w:sz w:val="22"/>
                <w:lang w:val="en-GB"/>
              </w:rPr>
              <w:t>St-Louis</w:t>
            </w:r>
          </w:p>
        </w:tc>
        <w:tc>
          <w:tcPr>
            <w:tcW w:w="324" w:type="pct"/>
          </w:tcPr>
          <w:p w:rsidR="00000000" w:rsidRDefault="00000000">
            <w:pPr>
              <w:widowControl w:val="0"/>
              <w:rPr>
                <w:sz w:val="22"/>
                <w:lang w:val="en-US"/>
              </w:rPr>
            </w:pPr>
          </w:p>
        </w:tc>
        <w:tc>
          <w:tcPr>
            <w:tcW w:w="324" w:type="pct"/>
          </w:tcPr>
          <w:p w:rsidR="00000000" w:rsidRDefault="00000000">
            <w:pPr>
              <w:widowControl w:val="0"/>
              <w:rPr>
                <w:sz w:val="22"/>
                <w:lang w:val="en-US"/>
              </w:rPr>
            </w:pPr>
          </w:p>
        </w:tc>
        <w:tc>
          <w:tcPr>
            <w:tcW w:w="483" w:type="pct"/>
          </w:tcPr>
          <w:p w:rsidR="00000000" w:rsidRDefault="00000000">
            <w:pPr>
              <w:widowControl w:val="0"/>
              <w:jc w:val="center"/>
              <w:rPr>
                <w:sz w:val="22"/>
                <w:lang w:val="en-US"/>
              </w:rPr>
            </w:pPr>
            <w:r>
              <w:rPr>
                <w:sz w:val="22"/>
                <w:lang w:val="en-US"/>
              </w:rPr>
              <w:t>64,5</w:t>
            </w:r>
          </w:p>
        </w:tc>
        <w:tc>
          <w:tcPr>
            <w:tcW w:w="483" w:type="pct"/>
          </w:tcPr>
          <w:p w:rsidR="00000000" w:rsidRDefault="00000000">
            <w:pPr>
              <w:widowControl w:val="0"/>
              <w:jc w:val="center"/>
              <w:rPr>
                <w:sz w:val="22"/>
                <w:lang w:val="en-US"/>
              </w:rPr>
            </w:pPr>
            <w:r>
              <w:rPr>
                <w:sz w:val="22"/>
                <w:lang w:val="en-US"/>
              </w:rPr>
              <w:t>66,1</w:t>
            </w:r>
          </w:p>
        </w:tc>
        <w:tc>
          <w:tcPr>
            <w:tcW w:w="483" w:type="pct"/>
          </w:tcPr>
          <w:p w:rsidR="00000000" w:rsidRDefault="00000000">
            <w:pPr>
              <w:widowControl w:val="0"/>
              <w:jc w:val="center"/>
              <w:rPr>
                <w:sz w:val="22"/>
                <w:lang w:val="en-US"/>
              </w:rPr>
            </w:pPr>
            <w:r>
              <w:rPr>
                <w:sz w:val="22"/>
                <w:lang w:val="en-US"/>
              </w:rPr>
              <w:t>75,2</w:t>
            </w:r>
          </w:p>
        </w:tc>
        <w:tc>
          <w:tcPr>
            <w:tcW w:w="483" w:type="pct"/>
          </w:tcPr>
          <w:p w:rsidR="00000000" w:rsidRDefault="00000000">
            <w:pPr>
              <w:widowControl w:val="0"/>
              <w:ind w:right="170"/>
              <w:jc w:val="right"/>
              <w:rPr>
                <w:sz w:val="22"/>
                <w:lang w:val="en-US"/>
              </w:rPr>
            </w:pPr>
            <w:r>
              <w:rPr>
                <w:sz w:val="22"/>
                <w:lang w:val="en-US"/>
              </w:rPr>
              <w:t>74,9</w:t>
            </w:r>
          </w:p>
        </w:tc>
        <w:tc>
          <w:tcPr>
            <w:tcW w:w="483" w:type="pct"/>
          </w:tcPr>
          <w:p w:rsidR="00000000" w:rsidRDefault="00000000">
            <w:pPr>
              <w:widowControl w:val="0"/>
              <w:ind w:right="170"/>
              <w:jc w:val="right"/>
              <w:rPr>
                <w:sz w:val="22"/>
                <w:lang w:val="en-US"/>
              </w:rPr>
            </w:pPr>
            <w:r>
              <w:rPr>
                <w:sz w:val="22"/>
                <w:lang w:val="en-US"/>
              </w:rPr>
              <w:t>80,3</w:t>
            </w:r>
          </w:p>
        </w:tc>
        <w:tc>
          <w:tcPr>
            <w:tcW w:w="520" w:type="pct"/>
          </w:tcPr>
          <w:p w:rsidR="00000000" w:rsidRDefault="00000000">
            <w:pPr>
              <w:widowControl w:val="0"/>
              <w:ind w:right="170"/>
              <w:jc w:val="right"/>
              <w:rPr>
                <w:sz w:val="22"/>
                <w:lang w:val="en-US"/>
              </w:rPr>
            </w:pPr>
            <w:r>
              <w:rPr>
                <w:sz w:val="22"/>
                <w:szCs w:val="28"/>
                <w:lang w:val="en-GB"/>
              </w:rPr>
              <w:t>85,5</w:t>
            </w:r>
          </w:p>
        </w:tc>
        <w:tc>
          <w:tcPr>
            <w:tcW w:w="787" w:type="pct"/>
            <w:vAlign w:val="bottom"/>
          </w:tcPr>
          <w:p w:rsidR="00000000" w:rsidRDefault="00000000">
            <w:pPr>
              <w:widowControl w:val="0"/>
              <w:ind w:right="556"/>
              <w:jc w:val="right"/>
              <w:rPr>
                <w:sz w:val="22"/>
                <w:lang w:val="en-US"/>
              </w:rPr>
            </w:pPr>
            <w:r>
              <w:rPr>
                <w:sz w:val="22"/>
                <w:lang w:val="en-US"/>
              </w:rPr>
              <w:t>4,5</w:t>
            </w:r>
          </w:p>
        </w:tc>
      </w:tr>
      <w:tr w:rsidR="00000000">
        <w:tblPrEx>
          <w:tblCellMar>
            <w:top w:w="0" w:type="dxa"/>
            <w:bottom w:w="0" w:type="dxa"/>
          </w:tblCellMar>
        </w:tblPrEx>
        <w:trPr>
          <w:jc w:val="center"/>
        </w:trPr>
        <w:tc>
          <w:tcPr>
            <w:tcW w:w="628" w:type="pct"/>
          </w:tcPr>
          <w:p w:rsidR="00000000" w:rsidRDefault="00000000">
            <w:pPr>
              <w:rPr>
                <w:sz w:val="22"/>
                <w:lang w:val="en-GB"/>
              </w:rPr>
            </w:pPr>
            <w:proofErr w:type="spellStart"/>
            <w:r>
              <w:rPr>
                <w:sz w:val="22"/>
                <w:lang w:val="en-GB"/>
              </w:rPr>
              <w:t>Tamba</w:t>
            </w:r>
            <w:proofErr w:type="spellEnd"/>
          </w:p>
        </w:tc>
        <w:tc>
          <w:tcPr>
            <w:tcW w:w="324" w:type="pct"/>
          </w:tcPr>
          <w:p w:rsidR="00000000" w:rsidRDefault="00000000">
            <w:pPr>
              <w:widowControl w:val="0"/>
              <w:rPr>
                <w:sz w:val="22"/>
                <w:lang w:val="en-US"/>
              </w:rPr>
            </w:pPr>
          </w:p>
        </w:tc>
        <w:tc>
          <w:tcPr>
            <w:tcW w:w="324" w:type="pct"/>
          </w:tcPr>
          <w:p w:rsidR="00000000" w:rsidRDefault="00000000">
            <w:pPr>
              <w:widowControl w:val="0"/>
              <w:rPr>
                <w:sz w:val="22"/>
                <w:lang w:val="en-US"/>
              </w:rPr>
            </w:pPr>
          </w:p>
        </w:tc>
        <w:tc>
          <w:tcPr>
            <w:tcW w:w="483" w:type="pct"/>
          </w:tcPr>
          <w:p w:rsidR="00000000" w:rsidRDefault="00000000">
            <w:pPr>
              <w:widowControl w:val="0"/>
              <w:jc w:val="center"/>
              <w:rPr>
                <w:sz w:val="22"/>
                <w:lang w:val="en-US"/>
              </w:rPr>
            </w:pPr>
            <w:r>
              <w:rPr>
                <w:sz w:val="22"/>
                <w:lang w:val="en-US"/>
              </w:rPr>
              <w:t>60,0</w:t>
            </w:r>
          </w:p>
        </w:tc>
        <w:tc>
          <w:tcPr>
            <w:tcW w:w="483" w:type="pct"/>
          </w:tcPr>
          <w:p w:rsidR="00000000" w:rsidRDefault="00000000">
            <w:pPr>
              <w:widowControl w:val="0"/>
              <w:jc w:val="center"/>
              <w:rPr>
                <w:sz w:val="22"/>
                <w:lang w:val="en-US"/>
              </w:rPr>
            </w:pPr>
            <w:r>
              <w:rPr>
                <w:sz w:val="22"/>
                <w:lang w:val="en-US"/>
              </w:rPr>
              <w:t>71,1</w:t>
            </w:r>
          </w:p>
        </w:tc>
        <w:tc>
          <w:tcPr>
            <w:tcW w:w="483" w:type="pct"/>
          </w:tcPr>
          <w:p w:rsidR="00000000" w:rsidRDefault="00000000">
            <w:pPr>
              <w:widowControl w:val="0"/>
              <w:jc w:val="center"/>
              <w:rPr>
                <w:sz w:val="22"/>
                <w:lang w:val="en-US"/>
              </w:rPr>
            </w:pPr>
            <w:r>
              <w:rPr>
                <w:sz w:val="22"/>
                <w:lang w:val="en-US"/>
              </w:rPr>
              <w:t>76,3</w:t>
            </w:r>
          </w:p>
        </w:tc>
        <w:tc>
          <w:tcPr>
            <w:tcW w:w="483" w:type="pct"/>
          </w:tcPr>
          <w:p w:rsidR="00000000" w:rsidRDefault="00000000">
            <w:pPr>
              <w:widowControl w:val="0"/>
              <w:ind w:right="170"/>
              <w:jc w:val="right"/>
              <w:rPr>
                <w:sz w:val="22"/>
                <w:lang w:val="en-US"/>
              </w:rPr>
            </w:pPr>
            <w:r>
              <w:rPr>
                <w:sz w:val="22"/>
                <w:lang w:val="en-US"/>
              </w:rPr>
              <w:t>80,4</w:t>
            </w:r>
          </w:p>
        </w:tc>
        <w:tc>
          <w:tcPr>
            <w:tcW w:w="483" w:type="pct"/>
          </w:tcPr>
          <w:p w:rsidR="00000000" w:rsidRDefault="00000000">
            <w:pPr>
              <w:widowControl w:val="0"/>
              <w:ind w:right="170"/>
              <w:jc w:val="right"/>
              <w:rPr>
                <w:sz w:val="22"/>
                <w:lang w:val="en-US"/>
              </w:rPr>
            </w:pPr>
            <w:r>
              <w:rPr>
                <w:sz w:val="22"/>
                <w:lang w:val="en-US"/>
              </w:rPr>
              <w:t>82,9</w:t>
            </w:r>
          </w:p>
        </w:tc>
        <w:tc>
          <w:tcPr>
            <w:tcW w:w="520" w:type="pct"/>
          </w:tcPr>
          <w:p w:rsidR="00000000" w:rsidRDefault="00000000">
            <w:pPr>
              <w:widowControl w:val="0"/>
              <w:ind w:right="170"/>
              <w:jc w:val="right"/>
              <w:rPr>
                <w:sz w:val="22"/>
                <w:lang w:val="en-US"/>
              </w:rPr>
            </w:pPr>
            <w:r>
              <w:rPr>
                <w:sz w:val="22"/>
                <w:szCs w:val="28"/>
                <w:lang w:val="en-GB"/>
              </w:rPr>
              <w:t>88,3</w:t>
            </w:r>
          </w:p>
        </w:tc>
        <w:tc>
          <w:tcPr>
            <w:tcW w:w="787" w:type="pct"/>
            <w:vAlign w:val="bottom"/>
          </w:tcPr>
          <w:p w:rsidR="00000000" w:rsidRDefault="00000000">
            <w:pPr>
              <w:widowControl w:val="0"/>
              <w:ind w:right="556"/>
              <w:jc w:val="right"/>
              <w:rPr>
                <w:sz w:val="22"/>
                <w:lang w:val="en-US"/>
              </w:rPr>
            </w:pPr>
            <w:r>
              <w:rPr>
                <w:sz w:val="22"/>
                <w:lang w:val="en-US"/>
              </w:rPr>
              <w:t>6,7</w:t>
            </w:r>
          </w:p>
        </w:tc>
      </w:tr>
      <w:tr w:rsidR="00000000">
        <w:tblPrEx>
          <w:tblCellMar>
            <w:top w:w="0" w:type="dxa"/>
            <w:bottom w:w="0" w:type="dxa"/>
          </w:tblCellMar>
        </w:tblPrEx>
        <w:trPr>
          <w:jc w:val="center"/>
        </w:trPr>
        <w:tc>
          <w:tcPr>
            <w:tcW w:w="628" w:type="pct"/>
          </w:tcPr>
          <w:p w:rsidR="00000000" w:rsidRDefault="00000000">
            <w:pPr>
              <w:rPr>
                <w:sz w:val="22"/>
                <w:lang w:val="en-GB"/>
              </w:rPr>
            </w:pPr>
            <w:proofErr w:type="spellStart"/>
            <w:r>
              <w:rPr>
                <w:sz w:val="22"/>
                <w:lang w:val="en-GB"/>
              </w:rPr>
              <w:t>Kaolack</w:t>
            </w:r>
            <w:proofErr w:type="spellEnd"/>
          </w:p>
        </w:tc>
        <w:tc>
          <w:tcPr>
            <w:tcW w:w="324" w:type="pct"/>
          </w:tcPr>
          <w:p w:rsidR="00000000" w:rsidRDefault="00000000">
            <w:pPr>
              <w:widowControl w:val="0"/>
              <w:rPr>
                <w:sz w:val="22"/>
                <w:lang w:val="en-US"/>
              </w:rPr>
            </w:pPr>
          </w:p>
        </w:tc>
        <w:tc>
          <w:tcPr>
            <w:tcW w:w="324" w:type="pct"/>
          </w:tcPr>
          <w:p w:rsidR="00000000" w:rsidRDefault="00000000">
            <w:pPr>
              <w:widowControl w:val="0"/>
              <w:rPr>
                <w:sz w:val="22"/>
                <w:lang w:val="en-US"/>
              </w:rPr>
            </w:pPr>
          </w:p>
        </w:tc>
        <w:tc>
          <w:tcPr>
            <w:tcW w:w="483" w:type="pct"/>
          </w:tcPr>
          <w:p w:rsidR="00000000" w:rsidRDefault="00000000">
            <w:pPr>
              <w:widowControl w:val="0"/>
              <w:jc w:val="center"/>
              <w:rPr>
                <w:sz w:val="22"/>
                <w:lang w:val="en-US"/>
              </w:rPr>
            </w:pPr>
            <w:r>
              <w:rPr>
                <w:sz w:val="22"/>
                <w:lang w:val="en-US"/>
              </w:rPr>
              <w:t>42,1</w:t>
            </w:r>
          </w:p>
        </w:tc>
        <w:tc>
          <w:tcPr>
            <w:tcW w:w="483" w:type="pct"/>
          </w:tcPr>
          <w:p w:rsidR="00000000" w:rsidRDefault="00000000">
            <w:pPr>
              <w:widowControl w:val="0"/>
              <w:jc w:val="center"/>
              <w:rPr>
                <w:sz w:val="22"/>
                <w:lang w:val="en-US"/>
              </w:rPr>
            </w:pPr>
            <w:r>
              <w:rPr>
                <w:sz w:val="22"/>
                <w:lang w:val="en-US"/>
              </w:rPr>
              <w:t>40,9</w:t>
            </w:r>
          </w:p>
        </w:tc>
        <w:tc>
          <w:tcPr>
            <w:tcW w:w="483" w:type="pct"/>
          </w:tcPr>
          <w:p w:rsidR="00000000" w:rsidRDefault="00000000">
            <w:pPr>
              <w:widowControl w:val="0"/>
              <w:jc w:val="center"/>
              <w:rPr>
                <w:sz w:val="22"/>
                <w:lang w:val="en-US"/>
              </w:rPr>
            </w:pPr>
            <w:r>
              <w:rPr>
                <w:sz w:val="22"/>
                <w:lang w:val="en-US"/>
              </w:rPr>
              <w:t>44,3</w:t>
            </w:r>
          </w:p>
        </w:tc>
        <w:tc>
          <w:tcPr>
            <w:tcW w:w="483" w:type="pct"/>
          </w:tcPr>
          <w:p w:rsidR="00000000" w:rsidRDefault="00000000">
            <w:pPr>
              <w:widowControl w:val="0"/>
              <w:ind w:right="170"/>
              <w:jc w:val="right"/>
              <w:rPr>
                <w:sz w:val="22"/>
                <w:lang w:val="en-US"/>
              </w:rPr>
            </w:pPr>
            <w:r>
              <w:rPr>
                <w:sz w:val="22"/>
                <w:lang w:val="en-US"/>
              </w:rPr>
              <w:t>45,1</w:t>
            </w:r>
          </w:p>
        </w:tc>
        <w:tc>
          <w:tcPr>
            <w:tcW w:w="483" w:type="pct"/>
          </w:tcPr>
          <w:p w:rsidR="00000000" w:rsidRDefault="00000000">
            <w:pPr>
              <w:widowControl w:val="0"/>
              <w:ind w:right="170"/>
              <w:jc w:val="right"/>
              <w:rPr>
                <w:sz w:val="22"/>
                <w:lang w:val="en-US"/>
              </w:rPr>
            </w:pPr>
            <w:r>
              <w:rPr>
                <w:sz w:val="22"/>
                <w:lang w:val="en-US"/>
              </w:rPr>
              <w:t>47,5</w:t>
            </w:r>
          </w:p>
        </w:tc>
        <w:tc>
          <w:tcPr>
            <w:tcW w:w="520" w:type="pct"/>
          </w:tcPr>
          <w:p w:rsidR="00000000" w:rsidRDefault="00000000">
            <w:pPr>
              <w:widowControl w:val="0"/>
              <w:ind w:right="170"/>
              <w:jc w:val="right"/>
              <w:rPr>
                <w:sz w:val="22"/>
                <w:lang w:val="en-US"/>
              </w:rPr>
            </w:pPr>
            <w:r>
              <w:rPr>
                <w:sz w:val="22"/>
                <w:szCs w:val="28"/>
                <w:lang w:val="en-US"/>
              </w:rPr>
              <w:t>51,8</w:t>
            </w:r>
          </w:p>
        </w:tc>
        <w:tc>
          <w:tcPr>
            <w:tcW w:w="787" w:type="pct"/>
            <w:vAlign w:val="bottom"/>
          </w:tcPr>
          <w:p w:rsidR="00000000" w:rsidRDefault="00000000">
            <w:pPr>
              <w:widowControl w:val="0"/>
              <w:ind w:right="556"/>
              <w:jc w:val="right"/>
              <w:rPr>
                <w:sz w:val="22"/>
                <w:lang w:val="en-US"/>
              </w:rPr>
            </w:pPr>
            <w:r>
              <w:rPr>
                <w:sz w:val="22"/>
                <w:lang w:val="en-US"/>
              </w:rPr>
              <w:t>2,4</w:t>
            </w:r>
          </w:p>
        </w:tc>
      </w:tr>
      <w:tr w:rsidR="00000000">
        <w:tblPrEx>
          <w:tblCellMar>
            <w:top w:w="0" w:type="dxa"/>
            <w:bottom w:w="0" w:type="dxa"/>
          </w:tblCellMar>
        </w:tblPrEx>
        <w:trPr>
          <w:jc w:val="center"/>
        </w:trPr>
        <w:tc>
          <w:tcPr>
            <w:tcW w:w="628" w:type="pct"/>
          </w:tcPr>
          <w:p w:rsidR="00000000" w:rsidRDefault="00000000">
            <w:pPr>
              <w:rPr>
                <w:sz w:val="22"/>
                <w:lang w:val="en-GB"/>
              </w:rPr>
            </w:pPr>
            <w:proofErr w:type="spellStart"/>
            <w:r>
              <w:rPr>
                <w:sz w:val="22"/>
                <w:lang w:val="en-GB"/>
              </w:rPr>
              <w:t>Thiès</w:t>
            </w:r>
            <w:proofErr w:type="spellEnd"/>
          </w:p>
        </w:tc>
        <w:tc>
          <w:tcPr>
            <w:tcW w:w="324" w:type="pct"/>
          </w:tcPr>
          <w:p w:rsidR="00000000" w:rsidRDefault="00000000">
            <w:pPr>
              <w:widowControl w:val="0"/>
              <w:rPr>
                <w:sz w:val="22"/>
                <w:lang w:val="en-US"/>
              </w:rPr>
            </w:pPr>
          </w:p>
        </w:tc>
        <w:tc>
          <w:tcPr>
            <w:tcW w:w="324" w:type="pct"/>
          </w:tcPr>
          <w:p w:rsidR="00000000" w:rsidRDefault="00000000">
            <w:pPr>
              <w:widowControl w:val="0"/>
              <w:rPr>
                <w:sz w:val="22"/>
                <w:lang w:val="en-US"/>
              </w:rPr>
            </w:pPr>
          </w:p>
        </w:tc>
        <w:tc>
          <w:tcPr>
            <w:tcW w:w="483" w:type="pct"/>
          </w:tcPr>
          <w:p w:rsidR="00000000" w:rsidRDefault="00000000">
            <w:pPr>
              <w:widowControl w:val="0"/>
              <w:jc w:val="center"/>
              <w:rPr>
                <w:sz w:val="22"/>
                <w:lang w:val="en-US"/>
              </w:rPr>
            </w:pPr>
            <w:r>
              <w:rPr>
                <w:sz w:val="22"/>
                <w:lang w:val="en-US"/>
              </w:rPr>
              <w:t>59,7</w:t>
            </w:r>
          </w:p>
        </w:tc>
        <w:tc>
          <w:tcPr>
            <w:tcW w:w="483" w:type="pct"/>
          </w:tcPr>
          <w:p w:rsidR="00000000" w:rsidRDefault="00000000">
            <w:pPr>
              <w:widowControl w:val="0"/>
              <w:jc w:val="center"/>
              <w:rPr>
                <w:sz w:val="22"/>
                <w:lang w:val="en-US"/>
              </w:rPr>
            </w:pPr>
            <w:r>
              <w:rPr>
                <w:sz w:val="22"/>
                <w:lang w:val="en-US"/>
              </w:rPr>
              <w:t>68,8</w:t>
            </w:r>
          </w:p>
        </w:tc>
        <w:tc>
          <w:tcPr>
            <w:tcW w:w="483" w:type="pct"/>
          </w:tcPr>
          <w:p w:rsidR="00000000" w:rsidRDefault="00000000">
            <w:pPr>
              <w:widowControl w:val="0"/>
              <w:jc w:val="center"/>
              <w:rPr>
                <w:sz w:val="22"/>
                <w:lang w:val="en-US"/>
              </w:rPr>
            </w:pPr>
            <w:r>
              <w:rPr>
                <w:sz w:val="22"/>
                <w:lang w:val="en-US"/>
              </w:rPr>
              <w:t>69,6</w:t>
            </w:r>
          </w:p>
        </w:tc>
        <w:tc>
          <w:tcPr>
            <w:tcW w:w="483" w:type="pct"/>
          </w:tcPr>
          <w:p w:rsidR="00000000" w:rsidRDefault="00000000">
            <w:pPr>
              <w:widowControl w:val="0"/>
              <w:ind w:right="170"/>
              <w:jc w:val="right"/>
              <w:rPr>
                <w:sz w:val="22"/>
                <w:lang w:val="en-US"/>
              </w:rPr>
            </w:pPr>
            <w:r>
              <w:rPr>
                <w:sz w:val="22"/>
                <w:lang w:val="en-US"/>
              </w:rPr>
              <w:t>72,0</w:t>
            </w:r>
          </w:p>
        </w:tc>
        <w:tc>
          <w:tcPr>
            <w:tcW w:w="483" w:type="pct"/>
          </w:tcPr>
          <w:p w:rsidR="00000000" w:rsidRDefault="00000000">
            <w:pPr>
              <w:widowControl w:val="0"/>
              <w:ind w:right="170"/>
              <w:jc w:val="right"/>
              <w:rPr>
                <w:sz w:val="22"/>
                <w:lang w:val="en-US"/>
              </w:rPr>
            </w:pPr>
            <w:r>
              <w:rPr>
                <w:sz w:val="22"/>
                <w:lang w:val="en-US"/>
              </w:rPr>
              <w:t>75,8</w:t>
            </w:r>
          </w:p>
        </w:tc>
        <w:tc>
          <w:tcPr>
            <w:tcW w:w="520" w:type="pct"/>
          </w:tcPr>
          <w:p w:rsidR="00000000" w:rsidRDefault="00000000">
            <w:pPr>
              <w:widowControl w:val="0"/>
              <w:ind w:right="170"/>
              <w:jc w:val="right"/>
              <w:rPr>
                <w:sz w:val="22"/>
                <w:lang w:val="en-US"/>
              </w:rPr>
            </w:pPr>
            <w:r>
              <w:rPr>
                <w:sz w:val="22"/>
                <w:szCs w:val="28"/>
                <w:lang w:val="en-US"/>
              </w:rPr>
              <w:t>79,3</w:t>
            </w:r>
          </w:p>
        </w:tc>
        <w:tc>
          <w:tcPr>
            <w:tcW w:w="787" w:type="pct"/>
            <w:vAlign w:val="bottom"/>
          </w:tcPr>
          <w:p w:rsidR="00000000" w:rsidRDefault="00000000">
            <w:pPr>
              <w:widowControl w:val="0"/>
              <w:ind w:right="556"/>
              <w:jc w:val="right"/>
              <w:rPr>
                <w:sz w:val="22"/>
                <w:lang w:val="en-US"/>
              </w:rPr>
            </w:pPr>
            <w:r>
              <w:rPr>
                <w:sz w:val="22"/>
                <w:lang w:val="en-US"/>
              </w:rPr>
              <w:t>4,9</w:t>
            </w:r>
          </w:p>
        </w:tc>
      </w:tr>
      <w:tr w:rsidR="00000000">
        <w:tblPrEx>
          <w:tblCellMar>
            <w:top w:w="0" w:type="dxa"/>
            <w:bottom w:w="0" w:type="dxa"/>
          </w:tblCellMar>
        </w:tblPrEx>
        <w:trPr>
          <w:jc w:val="center"/>
        </w:trPr>
        <w:tc>
          <w:tcPr>
            <w:tcW w:w="628" w:type="pct"/>
          </w:tcPr>
          <w:p w:rsidR="00000000" w:rsidRDefault="00000000">
            <w:pPr>
              <w:rPr>
                <w:sz w:val="22"/>
                <w:lang w:val="en-GB"/>
              </w:rPr>
            </w:pPr>
            <w:proofErr w:type="spellStart"/>
            <w:r>
              <w:rPr>
                <w:sz w:val="22"/>
                <w:lang w:val="en-GB"/>
              </w:rPr>
              <w:t>Louga</w:t>
            </w:r>
            <w:proofErr w:type="spellEnd"/>
          </w:p>
        </w:tc>
        <w:tc>
          <w:tcPr>
            <w:tcW w:w="324" w:type="pct"/>
          </w:tcPr>
          <w:p w:rsidR="00000000" w:rsidRDefault="00000000">
            <w:pPr>
              <w:widowControl w:val="0"/>
              <w:rPr>
                <w:sz w:val="22"/>
                <w:lang w:val="en-US"/>
              </w:rPr>
            </w:pPr>
          </w:p>
        </w:tc>
        <w:tc>
          <w:tcPr>
            <w:tcW w:w="324" w:type="pct"/>
          </w:tcPr>
          <w:p w:rsidR="00000000" w:rsidRDefault="00000000">
            <w:pPr>
              <w:widowControl w:val="0"/>
              <w:rPr>
                <w:sz w:val="22"/>
                <w:lang w:val="en-US"/>
              </w:rPr>
            </w:pPr>
          </w:p>
        </w:tc>
        <w:tc>
          <w:tcPr>
            <w:tcW w:w="483" w:type="pct"/>
          </w:tcPr>
          <w:p w:rsidR="00000000" w:rsidRDefault="00000000">
            <w:pPr>
              <w:widowControl w:val="0"/>
              <w:jc w:val="center"/>
              <w:rPr>
                <w:sz w:val="22"/>
                <w:lang w:val="de-DE"/>
              </w:rPr>
            </w:pPr>
            <w:r>
              <w:rPr>
                <w:sz w:val="22"/>
                <w:lang w:val="de-DE"/>
              </w:rPr>
              <w:t>46,8</w:t>
            </w:r>
          </w:p>
        </w:tc>
        <w:tc>
          <w:tcPr>
            <w:tcW w:w="483" w:type="pct"/>
          </w:tcPr>
          <w:p w:rsidR="00000000" w:rsidRDefault="00000000">
            <w:pPr>
              <w:widowControl w:val="0"/>
              <w:jc w:val="center"/>
              <w:rPr>
                <w:sz w:val="22"/>
                <w:lang w:val="de-DE"/>
              </w:rPr>
            </w:pPr>
            <w:r>
              <w:rPr>
                <w:sz w:val="22"/>
                <w:lang w:val="de-DE"/>
              </w:rPr>
              <w:t>51,7</w:t>
            </w:r>
          </w:p>
        </w:tc>
        <w:tc>
          <w:tcPr>
            <w:tcW w:w="483" w:type="pct"/>
          </w:tcPr>
          <w:p w:rsidR="00000000" w:rsidRDefault="00000000">
            <w:pPr>
              <w:widowControl w:val="0"/>
              <w:jc w:val="center"/>
              <w:rPr>
                <w:sz w:val="22"/>
                <w:lang w:val="de-DE"/>
              </w:rPr>
            </w:pPr>
            <w:r>
              <w:rPr>
                <w:sz w:val="22"/>
                <w:lang w:val="de-DE"/>
              </w:rPr>
              <w:t>55,9</w:t>
            </w:r>
          </w:p>
        </w:tc>
        <w:tc>
          <w:tcPr>
            <w:tcW w:w="483" w:type="pct"/>
          </w:tcPr>
          <w:p w:rsidR="00000000" w:rsidRDefault="00000000">
            <w:pPr>
              <w:widowControl w:val="0"/>
              <w:ind w:right="170"/>
              <w:jc w:val="right"/>
              <w:rPr>
                <w:sz w:val="22"/>
                <w:lang w:val="de-DE"/>
              </w:rPr>
            </w:pPr>
            <w:r>
              <w:rPr>
                <w:sz w:val="22"/>
                <w:lang w:val="de-DE"/>
              </w:rPr>
              <w:t>59,2</w:t>
            </w:r>
          </w:p>
        </w:tc>
        <w:tc>
          <w:tcPr>
            <w:tcW w:w="483" w:type="pct"/>
          </w:tcPr>
          <w:p w:rsidR="00000000" w:rsidRDefault="00000000">
            <w:pPr>
              <w:widowControl w:val="0"/>
              <w:ind w:right="170"/>
              <w:jc w:val="right"/>
              <w:rPr>
                <w:sz w:val="22"/>
                <w:lang w:val="de-DE"/>
              </w:rPr>
            </w:pPr>
            <w:r>
              <w:rPr>
                <w:sz w:val="22"/>
                <w:lang w:val="de-DE"/>
              </w:rPr>
              <w:t>59,2</w:t>
            </w:r>
          </w:p>
        </w:tc>
        <w:tc>
          <w:tcPr>
            <w:tcW w:w="520" w:type="pct"/>
          </w:tcPr>
          <w:p w:rsidR="00000000" w:rsidRDefault="00000000">
            <w:pPr>
              <w:widowControl w:val="0"/>
              <w:ind w:right="170"/>
              <w:jc w:val="right"/>
              <w:rPr>
                <w:sz w:val="22"/>
                <w:lang w:val="de-DE"/>
              </w:rPr>
            </w:pPr>
            <w:r>
              <w:rPr>
                <w:sz w:val="22"/>
                <w:szCs w:val="28"/>
                <w:lang w:val="de-DE"/>
              </w:rPr>
              <w:t>65,5</w:t>
            </w:r>
          </w:p>
        </w:tc>
        <w:tc>
          <w:tcPr>
            <w:tcW w:w="787" w:type="pct"/>
            <w:vAlign w:val="bottom"/>
          </w:tcPr>
          <w:p w:rsidR="00000000" w:rsidRDefault="00000000">
            <w:pPr>
              <w:widowControl w:val="0"/>
              <w:ind w:right="556"/>
              <w:jc w:val="right"/>
              <w:rPr>
                <w:sz w:val="22"/>
                <w:lang w:val="de-DE"/>
              </w:rPr>
            </w:pPr>
            <w:r>
              <w:rPr>
                <w:sz w:val="22"/>
                <w:lang w:val="de-DE"/>
              </w:rPr>
              <w:t>4,8</w:t>
            </w:r>
          </w:p>
        </w:tc>
      </w:tr>
      <w:tr w:rsidR="00000000">
        <w:tblPrEx>
          <w:tblCellMar>
            <w:top w:w="0" w:type="dxa"/>
            <w:bottom w:w="0" w:type="dxa"/>
          </w:tblCellMar>
        </w:tblPrEx>
        <w:trPr>
          <w:jc w:val="center"/>
        </w:trPr>
        <w:tc>
          <w:tcPr>
            <w:tcW w:w="628" w:type="pct"/>
          </w:tcPr>
          <w:p w:rsidR="00000000" w:rsidRDefault="00000000">
            <w:pPr>
              <w:rPr>
                <w:sz w:val="22"/>
                <w:lang w:val="en-GB"/>
              </w:rPr>
            </w:pPr>
            <w:proofErr w:type="spellStart"/>
            <w:r>
              <w:rPr>
                <w:sz w:val="22"/>
                <w:lang w:val="en-GB"/>
              </w:rPr>
              <w:t>Fatick</w:t>
            </w:r>
            <w:proofErr w:type="spellEnd"/>
          </w:p>
        </w:tc>
        <w:tc>
          <w:tcPr>
            <w:tcW w:w="324" w:type="pct"/>
          </w:tcPr>
          <w:p w:rsidR="00000000" w:rsidRDefault="00000000">
            <w:pPr>
              <w:widowControl w:val="0"/>
              <w:rPr>
                <w:sz w:val="22"/>
                <w:lang w:val="de-DE"/>
              </w:rPr>
            </w:pPr>
          </w:p>
        </w:tc>
        <w:tc>
          <w:tcPr>
            <w:tcW w:w="324" w:type="pct"/>
          </w:tcPr>
          <w:p w:rsidR="00000000" w:rsidRDefault="00000000">
            <w:pPr>
              <w:widowControl w:val="0"/>
              <w:rPr>
                <w:sz w:val="22"/>
                <w:lang w:val="de-DE"/>
              </w:rPr>
            </w:pPr>
          </w:p>
        </w:tc>
        <w:tc>
          <w:tcPr>
            <w:tcW w:w="483" w:type="pct"/>
          </w:tcPr>
          <w:p w:rsidR="00000000" w:rsidRDefault="00000000">
            <w:pPr>
              <w:widowControl w:val="0"/>
              <w:jc w:val="center"/>
              <w:rPr>
                <w:sz w:val="22"/>
                <w:lang w:val="de-DE"/>
              </w:rPr>
            </w:pPr>
            <w:r>
              <w:rPr>
                <w:sz w:val="22"/>
                <w:lang w:val="de-DE"/>
              </w:rPr>
              <w:t>48,3</w:t>
            </w:r>
          </w:p>
        </w:tc>
        <w:tc>
          <w:tcPr>
            <w:tcW w:w="483" w:type="pct"/>
          </w:tcPr>
          <w:p w:rsidR="00000000" w:rsidRDefault="00000000">
            <w:pPr>
              <w:widowControl w:val="0"/>
              <w:jc w:val="center"/>
              <w:rPr>
                <w:sz w:val="22"/>
                <w:lang w:val="de-DE"/>
              </w:rPr>
            </w:pPr>
            <w:r>
              <w:rPr>
                <w:sz w:val="22"/>
                <w:lang w:val="de-DE"/>
              </w:rPr>
              <w:t>50,1</w:t>
            </w:r>
          </w:p>
        </w:tc>
        <w:tc>
          <w:tcPr>
            <w:tcW w:w="483" w:type="pct"/>
          </w:tcPr>
          <w:p w:rsidR="00000000" w:rsidRDefault="00000000">
            <w:pPr>
              <w:widowControl w:val="0"/>
              <w:jc w:val="center"/>
              <w:rPr>
                <w:sz w:val="22"/>
                <w:lang w:val="de-DE"/>
              </w:rPr>
            </w:pPr>
            <w:r>
              <w:rPr>
                <w:sz w:val="22"/>
                <w:lang w:val="de-DE"/>
              </w:rPr>
              <w:t>54,5</w:t>
            </w:r>
          </w:p>
        </w:tc>
        <w:tc>
          <w:tcPr>
            <w:tcW w:w="483" w:type="pct"/>
          </w:tcPr>
          <w:p w:rsidR="00000000" w:rsidRDefault="00000000">
            <w:pPr>
              <w:widowControl w:val="0"/>
              <w:ind w:right="170"/>
              <w:jc w:val="right"/>
              <w:rPr>
                <w:sz w:val="22"/>
                <w:lang w:val="de-DE"/>
              </w:rPr>
            </w:pPr>
            <w:r>
              <w:rPr>
                <w:sz w:val="22"/>
                <w:lang w:val="de-DE"/>
              </w:rPr>
              <w:t>57,0</w:t>
            </w:r>
          </w:p>
        </w:tc>
        <w:tc>
          <w:tcPr>
            <w:tcW w:w="483" w:type="pct"/>
          </w:tcPr>
          <w:p w:rsidR="00000000" w:rsidRDefault="00000000">
            <w:pPr>
              <w:widowControl w:val="0"/>
              <w:ind w:right="170"/>
              <w:jc w:val="right"/>
              <w:rPr>
                <w:sz w:val="22"/>
                <w:lang w:val="de-DE"/>
              </w:rPr>
            </w:pPr>
            <w:r>
              <w:rPr>
                <w:sz w:val="22"/>
                <w:lang w:val="de-DE"/>
              </w:rPr>
              <w:t>61,1</w:t>
            </w:r>
          </w:p>
        </w:tc>
        <w:tc>
          <w:tcPr>
            <w:tcW w:w="520" w:type="pct"/>
          </w:tcPr>
          <w:p w:rsidR="00000000" w:rsidRDefault="00000000">
            <w:pPr>
              <w:widowControl w:val="0"/>
              <w:ind w:right="170"/>
              <w:jc w:val="right"/>
              <w:rPr>
                <w:sz w:val="22"/>
                <w:lang w:val="de-DE"/>
              </w:rPr>
            </w:pPr>
            <w:r>
              <w:rPr>
                <w:sz w:val="22"/>
                <w:szCs w:val="28"/>
                <w:lang w:val="de-DE"/>
              </w:rPr>
              <w:t>66,9</w:t>
            </w:r>
          </w:p>
        </w:tc>
        <w:tc>
          <w:tcPr>
            <w:tcW w:w="787" w:type="pct"/>
            <w:vAlign w:val="bottom"/>
          </w:tcPr>
          <w:p w:rsidR="00000000" w:rsidRDefault="00000000">
            <w:pPr>
              <w:widowControl w:val="0"/>
              <w:ind w:right="556"/>
              <w:jc w:val="right"/>
              <w:rPr>
                <w:sz w:val="22"/>
                <w:lang w:val="de-DE"/>
              </w:rPr>
            </w:pPr>
            <w:r>
              <w:rPr>
                <w:sz w:val="22"/>
                <w:lang w:val="de-DE"/>
              </w:rPr>
              <w:t>4,8</w:t>
            </w:r>
          </w:p>
        </w:tc>
      </w:tr>
      <w:tr w:rsidR="00000000">
        <w:tblPrEx>
          <w:tblCellMar>
            <w:top w:w="0" w:type="dxa"/>
            <w:bottom w:w="0" w:type="dxa"/>
          </w:tblCellMar>
        </w:tblPrEx>
        <w:trPr>
          <w:jc w:val="center"/>
        </w:trPr>
        <w:tc>
          <w:tcPr>
            <w:tcW w:w="628" w:type="pct"/>
          </w:tcPr>
          <w:p w:rsidR="00000000" w:rsidRDefault="00000000">
            <w:pPr>
              <w:rPr>
                <w:sz w:val="22"/>
                <w:lang w:val="en-GB"/>
              </w:rPr>
            </w:pPr>
            <w:proofErr w:type="spellStart"/>
            <w:r>
              <w:rPr>
                <w:sz w:val="22"/>
                <w:lang w:val="en-GB"/>
              </w:rPr>
              <w:t>Kolda</w:t>
            </w:r>
            <w:proofErr w:type="spellEnd"/>
          </w:p>
        </w:tc>
        <w:tc>
          <w:tcPr>
            <w:tcW w:w="324" w:type="pct"/>
          </w:tcPr>
          <w:p w:rsidR="00000000" w:rsidRDefault="00000000">
            <w:pPr>
              <w:widowControl w:val="0"/>
              <w:rPr>
                <w:sz w:val="22"/>
                <w:lang w:val="de-DE"/>
              </w:rPr>
            </w:pPr>
          </w:p>
        </w:tc>
        <w:tc>
          <w:tcPr>
            <w:tcW w:w="324" w:type="pct"/>
          </w:tcPr>
          <w:p w:rsidR="00000000" w:rsidRDefault="00000000">
            <w:pPr>
              <w:widowControl w:val="0"/>
              <w:rPr>
                <w:sz w:val="22"/>
                <w:lang w:val="de-DE"/>
              </w:rPr>
            </w:pPr>
          </w:p>
        </w:tc>
        <w:tc>
          <w:tcPr>
            <w:tcW w:w="483" w:type="pct"/>
          </w:tcPr>
          <w:p w:rsidR="00000000" w:rsidRDefault="00000000">
            <w:pPr>
              <w:widowControl w:val="0"/>
              <w:jc w:val="center"/>
              <w:rPr>
                <w:sz w:val="22"/>
                <w:lang w:val="de-DE"/>
              </w:rPr>
            </w:pPr>
            <w:r>
              <w:rPr>
                <w:sz w:val="22"/>
                <w:lang w:val="de-DE"/>
              </w:rPr>
              <w:t>56,3</w:t>
            </w:r>
          </w:p>
        </w:tc>
        <w:tc>
          <w:tcPr>
            <w:tcW w:w="483" w:type="pct"/>
          </w:tcPr>
          <w:p w:rsidR="00000000" w:rsidRDefault="00000000">
            <w:pPr>
              <w:widowControl w:val="0"/>
              <w:jc w:val="center"/>
              <w:rPr>
                <w:sz w:val="22"/>
                <w:lang w:val="de-DE"/>
              </w:rPr>
            </w:pPr>
            <w:r>
              <w:rPr>
                <w:sz w:val="22"/>
                <w:lang w:val="de-DE"/>
              </w:rPr>
              <w:t>70,2</w:t>
            </w:r>
          </w:p>
        </w:tc>
        <w:tc>
          <w:tcPr>
            <w:tcW w:w="483" w:type="pct"/>
          </w:tcPr>
          <w:p w:rsidR="00000000" w:rsidRDefault="00000000">
            <w:pPr>
              <w:widowControl w:val="0"/>
              <w:jc w:val="center"/>
              <w:rPr>
                <w:sz w:val="22"/>
                <w:lang w:val="de-DE"/>
              </w:rPr>
            </w:pPr>
            <w:r>
              <w:rPr>
                <w:sz w:val="22"/>
                <w:lang w:val="de-DE"/>
              </w:rPr>
              <w:t>76,8</w:t>
            </w:r>
          </w:p>
        </w:tc>
        <w:tc>
          <w:tcPr>
            <w:tcW w:w="483" w:type="pct"/>
          </w:tcPr>
          <w:p w:rsidR="00000000" w:rsidRDefault="00000000">
            <w:pPr>
              <w:widowControl w:val="0"/>
              <w:ind w:right="170"/>
              <w:jc w:val="right"/>
              <w:rPr>
                <w:sz w:val="22"/>
                <w:lang w:val="de-DE"/>
              </w:rPr>
            </w:pPr>
            <w:r>
              <w:rPr>
                <w:sz w:val="22"/>
                <w:lang w:val="de-DE"/>
              </w:rPr>
              <w:t>80,9</w:t>
            </w:r>
          </w:p>
        </w:tc>
        <w:tc>
          <w:tcPr>
            <w:tcW w:w="483" w:type="pct"/>
          </w:tcPr>
          <w:p w:rsidR="00000000" w:rsidRDefault="00000000">
            <w:pPr>
              <w:widowControl w:val="0"/>
              <w:ind w:right="170"/>
              <w:jc w:val="right"/>
              <w:rPr>
                <w:sz w:val="22"/>
                <w:lang w:val="de-DE"/>
              </w:rPr>
            </w:pPr>
            <w:r>
              <w:rPr>
                <w:sz w:val="22"/>
                <w:lang w:val="de-DE"/>
              </w:rPr>
              <w:t>85,1</w:t>
            </w:r>
          </w:p>
        </w:tc>
        <w:tc>
          <w:tcPr>
            <w:tcW w:w="520" w:type="pct"/>
          </w:tcPr>
          <w:p w:rsidR="00000000" w:rsidRDefault="00000000">
            <w:pPr>
              <w:widowControl w:val="0"/>
              <w:ind w:right="170"/>
              <w:jc w:val="right"/>
              <w:rPr>
                <w:sz w:val="22"/>
                <w:lang w:val="de-DE"/>
              </w:rPr>
            </w:pPr>
            <w:r>
              <w:rPr>
                <w:sz w:val="22"/>
                <w:szCs w:val="28"/>
                <w:lang w:val="de-DE"/>
              </w:rPr>
              <w:t>96,5</w:t>
            </w:r>
          </w:p>
        </w:tc>
        <w:tc>
          <w:tcPr>
            <w:tcW w:w="787" w:type="pct"/>
            <w:vAlign w:val="bottom"/>
          </w:tcPr>
          <w:p w:rsidR="00000000" w:rsidRDefault="00000000">
            <w:pPr>
              <w:widowControl w:val="0"/>
              <w:ind w:right="556"/>
              <w:jc w:val="right"/>
              <w:rPr>
                <w:sz w:val="22"/>
                <w:lang w:val="de-DE"/>
              </w:rPr>
            </w:pPr>
            <w:r>
              <w:rPr>
                <w:sz w:val="22"/>
                <w:lang w:val="de-DE"/>
              </w:rPr>
              <w:t>8,6</w:t>
            </w:r>
          </w:p>
        </w:tc>
      </w:tr>
      <w:tr w:rsidR="00000000">
        <w:tblPrEx>
          <w:tblCellMar>
            <w:top w:w="0" w:type="dxa"/>
            <w:bottom w:w="0" w:type="dxa"/>
          </w:tblCellMar>
        </w:tblPrEx>
        <w:trPr>
          <w:jc w:val="center"/>
        </w:trPr>
        <w:tc>
          <w:tcPr>
            <w:tcW w:w="628" w:type="pct"/>
          </w:tcPr>
          <w:p w:rsidR="00000000" w:rsidRDefault="00000000">
            <w:pPr>
              <w:ind w:left="240"/>
              <w:rPr>
                <w:b/>
                <w:bCs/>
                <w:sz w:val="22"/>
              </w:rPr>
            </w:pPr>
            <w:r>
              <w:rPr>
                <w:b/>
                <w:bCs/>
                <w:sz w:val="22"/>
              </w:rPr>
              <w:t>Senegal</w:t>
            </w:r>
          </w:p>
        </w:tc>
        <w:tc>
          <w:tcPr>
            <w:tcW w:w="324" w:type="pct"/>
          </w:tcPr>
          <w:p w:rsidR="00000000" w:rsidRDefault="00000000">
            <w:pPr>
              <w:widowControl w:val="0"/>
              <w:rPr>
                <w:b/>
                <w:bCs/>
                <w:sz w:val="22"/>
                <w:lang w:val="de-DE"/>
              </w:rPr>
            </w:pPr>
          </w:p>
        </w:tc>
        <w:tc>
          <w:tcPr>
            <w:tcW w:w="324" w:type="pct"/>
          </w:tcPr>
          <w:p w:rsidR="00000000" w:rsidRDefault="00000000">
            <w:pPr>
              <w:widowControl w:val="0"/>
              <w:rPr>
                <w:b/>
                <w:bCs/>
                <w:sz w:val="22"/>
                <w:lang w:val="de-DE"/>
              </w:rPr>
            </w:pPr>
          </w:p>
        </w:tc>
        <w:tc>
          <w:tcPr>
            <w:tcW w:w="483" w:type="pct"/>
          </w:tcPr>
          <w:p w:rsidR="00000000" w:rsidRDefault="00000000">
            <w:pPr>
              <w:widowControl w:val="0"/>
              <w:jc w:val="center"/>
              <w:rPr>
                <w:b/>
                <w:bCs/>
                <w:sz w:val="22"/>
              </w:rPr>
            </w:pPr>
            <w:r>
              <w:rPr>
                <w:b/>
                <w:bCs/>
                <w:sz w:val="22"/>
              </w:rPr>
              <w:t>61,7</w:t>
            </w:r>
          </w:p>
        </w:tc>
        <w:tc>
          <w:tcPr>
            <w:tcW w:w="483" w:type="pct"/>
          </w:tcPr>
          <w:p w:rsidR="00000000" w:rsidRDefault="00000000">
            <w:pPr>
              <w:widowControl w:val="0"/>
              <w:jc w:val="center"/>
              <w:rPr>
                <w:b/>
                <w:bCs/>
                <w:sz w:val="22"/>
              </w:rPr>
            </w:pPr>
            <w:r>
              <w:rPr>
                <w:b/>
                <w:bCs/>
                <w:sz w:val="22"/>
              </w:rPr>
              <w:t>65,5</w:t>
            </w:r>
          </w:p>
        </w:tc>
        <w:tc>
          <w:tcPr>
            <w:tcW w:w="483" w:type="pct"/>
          </w:tcPr>
          <w:p w:rsidR="00000000" w:rsidRDefault="00000000">
            <w:pPr>
              <w:widowControl w:val="0"/>
              <w:jc w:val="center"/>
              <w:rPr>
                <w:b/>
                <w:bCs/>
                <w:sz w:val="22"/>
              </w:rPr>
            </w:pPr>
            <w:r>
              <w:rPr>
                <w:b/>
                <w:bCs/>
                <w:sz w:val="22"/>
              </w:rPr>
              <w:t>68,3</w:t>
            </w:r>
          </w:p>
        </w:tc>
        <w:tc>
          <w:tcPr>
            <w:tcW w:w="483" w:type="pct"/>
          </w:tcPr>
          <w:p w:rsidR="00000000" w:rsidRDefault="00000000">
            <w:pPr>
              <w:widowControl w:val="0"/>
              <w:ind w:right="170"/>
              <w:jc w:val="right"/>
              <w:rPr>
                <w:b/>
                <w:bCs/>
                <w:sz w:val="22"/>
              </w:rPr>
            </w:pPr>
            <w:r>
              <w:rPr>
                <w:b/>
                <w:bCs/>
                <w:sz w:val="22"/>
              </w:rPr>
              <w:t>69,4</w:t>
            </w:r>
          </w:p>
        </w:tc>
        <w:tc>
          <w:tcPr>
            <w:tcW w:w="483" w:type="pct"/>
          </w:tcPr>
          <w:p w:rsidR="00000000" w:rsidRDefault="00000000">
            <w:pPr>
              <w:widowControl w:val="0"/>
              <w:ind w:right="170"/>
              <w:jc w:val="right"/>
              <w:rPr>
                <w:b/>
                <w:bCs/>
                <w:sz w:val="22"/>
              </w:rPr>
            </w:pPr>
            <w:r>
              <w:rPr>
                <w:b/>
                <w:bCs/>
                <w:sz w:val="22"/>
              </w:rPr>
              <w:t>71,6</w:t>
            </w:r>
          </w:p>
        </w:tc>
        <w:tc>
          <w:tcPr>
            <w:tcW w:w="520" w:type="pct"/>
          </w:tcPr>
          <w:p w:rsidR="00000000" w:rsidRDefault="00000000">
            <w:pPr>
              <w:widowControl w:val="0"/>
              <w:ind w:right="170"/>
              <w:jc w:val="right"/>
              <w:rPr>
                <w:b/>
                <w:bCs/>
                <w:sz w:val="22"/>
                <w:szCs w:val="40"/>
              </w:rPr>
            </w:pPr>
            <w:r>
              <w:rPr>
                <w:b/>
                <w:bCs/>
                <w:sz w:val="22"/>
                <w:szCs w:val="40"/>
              </w:rPr>
              <w:t>75,8</w:t>
            </w:r>
          </w:p>
        </w:tc>
        <w:tc>
          <w:tcPr>
            <w:tcW w:w="787" w:type="pct"/>
            <w:vAlign w:val="bottom"/>
          </w:tcPr>
          <w:p w:rsidR="00000000" w:rsidRDefault="00000000">
            <w:pPr>
              <w:widowControl w:val="0"/>
              <w:ind w:right="556"/>
              <w:jc w:val="right"/>
              <w:rPr>
                <w:b/>
                <w:bCs/>
                <w:sz w:val="22"/>
              </w:rPr>
            </w:pPr>
            <w:r>
              <w:rPr>
                <w:b/>
                <w:bCs/>
                <w:sz w:val="22"/>
              </w:rPr>
              <w:t>3,0</w:t>
            </w:r>
          </w:p>
        </w:tc>
      </w:tr>
    </w:tbl>
    <w:p w:rsidR="00000000" w:rsidRDefault="00000000">
      <w:pPr>
        <w:spacing w:before="240" w:after="440"/>
        <w:rPr>
          <w:sz w:val="22"/>
        </w:rPr>
      </w:pPr>
      <w:r>
        <w:rPr>
          <w:i/>
          <w:iCs/>
          <w:sz w:val="22"/>
        </w:rPr>
        <w:t>Fuente</w:t>
      </w:r>
      <w:r>
        <w:rPr>
          <w:sz w:val="22"/>
        </w:rPr>
        <w:t xml:space="preserve">:  Anuarios de </w:t>
      </w:r>
      <w:proofErr w:type="spellStart"/>
      <w:r>
        <w:rPr>
          <w:sz w:val="22"/>
        </w:rPr>
        <w:t>BSS/DPRE</w:t>
      </w:r>
      <w:proofErr w:type="spellEnd"/>
      <w:r>
        <w:rPr>
          <w:sz w:val="22"/>
        </w:rPr>
        <w:t>.</w:t>
      </w:r>
    </w:p>
    <w:p w:rsidR="00000000" w:rsidRDefault="00000000">
      <w:pPr>
        <w:spacing w:after="240"/>
      </w:pPr>
      <w:r>
        <w:t>301.</w:t>
      </w:r>
      <w:r>
        <w:tab/>
        <w:t>Del estudio comparativo de ambos cuadros se deduce que se ha producido una progresión neta tanto a nivel regional como nacional, con un incremento neto de las tasas brutas de escolarización.  Asimismo se observa la esperanza clara de que, si se persevera, de aquí a los próximos siete años la escolarización sea universal.</w:t>
      </w:r>
    </w:p>
    <w:p w:rsidR="00000000" w:rsidRDefault="00000000">
      <w:pPr>
        <w:autoSpaceDE w:val="0"/>
        <w:autoSpaceDN w:val="0"/>
        <w:adjustRightInd w:val="0"/>
        <w:spacing w:after="240"/>
        <w:rPr>
          <w:b/>
          <w:bCs/>
        </w:rPr>
      </w:pPr>
      <w:r>
        <w:rPr>
          <w:b/>
          <w:bCs/>
        </w:rPr>
        <w:t>7.3.</w:t>
      </w:r>
      <w:r>
        <w:rPr>
          <w:b/>
          <w:bCs/>
        </w:rPr>
        <w:tab/>
        <w:t>Deportes, tiempo libre y actividades culturales</w:t>
      </w:r>
    </w:p>
    <w:p w:rsidR="00000000" w:rsidRDefault="00000000">
      <w:pPr>
        <w:autoSpaceDE w:val="0"/>
        <w:autoSpaceDN w:val="0"/>
        <w:adjustRightInd w:val="0"/>
        <w:spacing w:after="240"/>
      </w:pPr>
      <w:r>
        <w:t>302.</w:t>
      </w:r>
      <w:r>
        <w:tab/>
        <w:t>El Gobierno del Senegal ha establecido las directrices generales en materia de juventud, deportes y cultura y ha puesto la aplicación de su política en manos de las federaciones, que se encargan de satisfacer las necesidades específicas de los menores (niños y niñas):</w:t>
      </w:r>
    </w:p>
    <w:p w:rsidR="00000000" w:rsidRDefault="00000000">
      <w:pPr>
        <w:autoSpaceDE w:val="0"/>
        <w:autoSpaceDN w:val="0"/>
        <w:adjustRightInd w:val="0"/>
        <w:spacing w:after="240"/>
        <w:ind w:left="924" w:hanging="357"/>
      </w:pPr>
      <w:r>
        <w:t>-</w:t>
      </w:r>
      <w:r>
        <w:tab/>
        <w:t>La Federación Senegalesa de Fútbol, gracias al apoyo y a las normas de la FIFA, ha delegado en las asociaciones y agrupaciones de antiguos futbolistas, que reciben de ella diversas ayudas, la organización y satisfacción de las necesidades de los menores hasta los 14 ó 15 años.  Esta iniciativa se ha traducido en la creación de escuelas de fútbol y en la organización de torneos, sobre todo a escala local.</w:t>
      </w:r>
    </w:p>
    <w:p w:rsidR="00000000" w:rsidRDefault="00000000">
      <w:pPr>
        <w:autoSpaceDE w:val="0"/>
        <w:autoSpaceDN w:val="0"/>
        <w:adjustRightInd w:val="0"/>
        <w:spacing w:after="240"/>
        <w:ind w:left="924" w:hanging="357"/>
      </w:pPr>
      <w:r>
        <w:t>-</w:t>
      </w:r>
      <w:r>
        <w:tab/>
        <w:t>A nivel de primaria, el Ministerio confía al maestro la labor de planificar y organizar la práctica del deporte por los pequeños.</w:t>
      </w:r>
    </w:p>
    <w:p w:rsidR="00000000" w:rsidRDefault="00000000">
      <w:pPr>
        <w:autoSpaceDE w:val="0"/>
        <w:autoSpaceDN w:val="0"/>
        <w:adjustRightInd w:val="0"/>
        <w:spacing w:after="240"/>
        <w:ind w:left="924" w:hanging="357"/>
      </w:pPr>
      <w:r>
        <w:t>-</w:t>
      </w:r>
      <w:r>
        <w:tab/>
        <w:t>Sobre todo en los barrios de Dakar, se han creado escuelas deportivas que forman a los niños y organizan torneos en disciplinas tan variadas como el fútbol, el baloncesto, el balonmano y el atletismo a cambio de una participación simbólica de los padres del niño.</w:t>
      </w:r>
    </w:p>
    <w:p w:rsidR="00000000" w:rsidRDefault="00000000">
      <w:pPr>
        <w:autoSpaceDE w:val="0"/>
        <w:autoSpaceDN w:val="0"/>
        <w:adjustRightInd w:val="0"/>
        <w:spacing w:after="240"/>
        <w:ind w:left="924" w:hanging="357"/>
      </w:pPr>
      <w:r>
        <w:t>-</w:t>
      </w:r>
      <w:r>
        <w:tab/>
        <w:t xml:space="preserve">Cabe destacar que, en el marco del programa de creación de empleo en los barrios, la cooperación de Francia permitió al Ministerio de la Juventud y Deportes de la época fomentar el deporte de proximidad, lo que permitió que algunos niños tuvieran acceso a las infraestructuras y a la práctica de ciertas disciplinas deportivas.  El actual Ministerio de la Juventud prosigue esta labor de creación de empleo, sobre todo a través del </w:t>
      </w:r>
      <w:r>
        <w:rPr>
          <w:bCs/>
        </w:rPr>
        <w:t>Fondo Nacional de Promoción de la Juventud</w:t>
      </w:r>
      <w:r>
        <w:t>.</w:t>
      </w:r>
    </w:p>
    <w:p w:rsidR="00000000" w:rsidRDefault="00000000">
      <w:pPr>
        <w:autoSpaceDE w:val="0"/>
        <w:autoSpaceDN w:val="0"/>
        <w:adjustRightInd w:val="0"/>
        <w:spacing w:after="240"/>
      </w:pPr>
      <w:r>
        <w:t>303.</w:t>
      </w:r>
      <w:r>
        <w:tab/>
        <w:t>Se despliegan esfuerzos para favorecer la práctica del deporte y promover las actividades culturales, entre los que destacan:</w:t>
      </w:r>
    </w:p>
    <w:p w:rsidR="00000000" w:rsidRDefault="00000000">
      <w:pPr>
        <w:autoSpaceDE w:val="0"/>
        <w:autoSpaceDN w:val="0"/>
        <w:adjustRightInd w:val="0"/>
        <w:spacing w:after="240"/>
        <w:ind w:left="924" w:hanging="357"/>
      </w:pPr>
      <w:r>
        <w:t>-</w:t>
      </w:r>
      <w:r>
        <w:tab/>
        <w:t>La organización bianual de la Semana Nacional de la Juventud y la Cultura (que se celebra en las regiones de todo el país para favorecer la mezcla de las poblaciones y el descubrimiento de la diversidad cultural, los intercambios, el espíritu de sana emulación, el desarrollo de la creatividad, y la concienciación acerca de la pertenencia a un mismo espacio colectivo:  la nación senegalesa).</w:t>
      </w:r>
    </w:p>
    <w:p w:rsidR="00000000" w:rsidRDefault="00000000">
      <w:pPr>
        <w:autoSpaceDE w:val="0"/>
        <w:autoSpaceDN w:val="0"/>
        <w:adjustRightInd w:val="0"/>
        <w:spacing w:after="240"/>
        <w:ind w:left="924" w:hanging="357"/>
      </w:pPr>
      <w:r>
        <w:t>-</w:t>
      </w:r>
      <w:r>
        <w:tab/>
        <w:t xml:space="preserve">Las actividades conocidas como </w:t>
      </w:r>
      <w:proofErr w:type="spellStart"/>
      <w:r>
        <w:rPr>
          <w:i/>
          <w:iCs/>
        </w:rPr>
        <w:t>navétanes</w:t>
      </w:r>
      <w:proofErr w:type="spellEnd"/>
      <w:r>
        <w:t xml:space="preserve"> (de invierno), que movilizan todos los años a los jóvenes, tanto a nivel nacional, como en las aldeas más remotas, más pequeñas o menos pobladas en torno a competiciones de fútbol y de actividades educativas (sensibilización al VIH/SIDA, las enfermedades de transmisión sexual, el paludismo, etc.) y el teatro, los cantos y las danzas para transmitir mensajes, constituyen una de las actividades más importantes para movilizar y responsabilizar a los propios jóvenes.</w:t>
      </w:r>
    </w:p>
    <w:p w:rsidR="00000000" w:rsidRDefault="00000000">
      <w:pPr>
        <w:autoSpaceDE w:val="0"/>
        <w:autoSpaceDN w:val="0"/>
        <w:adjustRightInd w:val="0"/>
        <w:spacing w:after="240"/>
        <w:ind w:left="924" w:hanging="357"/>
      </w:pPr>
      <w:r>
        <w:t>-</w:t>
      </w:r>
      <w:r>
        <w:tab/>
        <w:t>El Festival de Jóvenes Creadores reúne a los jóvenes alrededor de la creación artística y del descubrimiento de lugares y monumentos.  El Festival ofrece asimismo la oportunidad de apreciar la percepción que tienen los jóvenes de su sociedad y del mundo, así como su conciencia de los temas de actualidad (lucha contra la pobreza, salud reproductiva, buen gobierno, etc.).</w:t>
      </w:r>
    </w:p>
    <w:p w:rsidR="00000000" w:rsidRDefault="00000000">
      <w:pPr>
        <w:autoSpaceDE w:val="0"/>
        <w:autoSpaceDN w:val="0"/>
        <w:adjustRightInd w:val="0"/>
        <w:spacing w:after="240"/>
        <w:ind w:left="924" w:hanging="357"/>
      </w:pPr>
      <w:r>
        <w:t>-</w:t>
      </w:r>
      <w:r>
        <w:tab/>
        <w:t>A nivel regional se organizan talleres de expresión artística para iniciar a los niños en la creación plástica y el lenguaje del arte dramático.  Se trata de una educación que contribuye al desarrollo de la sensibilidad, el sentido de la observación y la afirmación de la personalidad.</w:t>
      </w:r>
    </w:p>
    <w:p w:rsidR="00000000" w:rsidRDefault="00000000">
      <w:pPr>
        <w:autoSpaceDE w:val="0"/>
        <w:autoSpaceDN w:val="0"/>
        <w:adjustRightInd w:val="0"/>
        <w:spacing w:after="480"/>
        <w:ind w:left="924" w:hanging="357"/>
      </w:pPr>
      <w:r>
        <w:t>-</w:t>
      </w:r>
      <w:r>
        <w:tab/>
        <w:t xml:space="preserve">Las animaciones alrededor del libro mediante la creación de bibliotecas públicas regionales, con sesiones de lectura de cuentos, encuentros con los escritores, montajes poéticos y proyección de películas.  Con el apoyo de Plan Internacional se están creando bibliotecas en </w:t>
      </w:r>
      <w:proofErr w:type="spellStart"/>
      <w:r>
        <w:t>Pikine</w:t>
      </w:r>
      <w:proofErr w:type="spellEnd"/>
      <w:r>
        <w:t xml:space="preserve"> y en las zonas periféricas de las ciudades.</w:t>
      </w:r>
    </w:p>
    <w:p w:rsidR="00000000" w:rsidRDefault="00000000">
      <w:pPr>
        <w:spacing w:after="240"/>
        <w:ind w:left="482" w:hanging="482"/>
        <w:jc w:val="center"/>
        <w:rPr>
          <w:b/>
          <w:i/>
          <w:iCs/>
        </w:rPr>
      </w:pPr>
      <w:r>
        <w:rPr>
          <w:b/>
        </w:rPr>
        <w:t>VIII.  MEDIDAS ESPECIALES DE PROTECCIÓN DE LA INFANCIA</w:t>
      </w:r>
      <w:r>
        <w:rPr>
          <w:b/>
        </w:rPr>
        <w:br/>
        <w:t>(ARTÍCULOS 22, 30 Y 32 A 40 DE LA CONVENCIÓN)</w:t>
      </w:r>
    </w:p>
    <w:p w:rsidR="00000000" w:rsidRDefault="00000000">
      <w:pPr>
        <w:autoSpaceDE w:val="0"/>
        <w:autoSpaceDN w:val="0"/>
        <w:adjustRightInd w:val="0"/>
        <w:spacing w:after="240"/>
      </w:pPr>
      <w:r>
        <w:t>304.</w:t>
      </w:r>
      <w:r>
        <w:tab/>
        <w:t xml:space="preserve">En 1999 había en el Senegal aproximadamente 400.000 niños en situación de riesgo (niños de la calle, mendigos, </w:t>
      </w:r>
      <w:proofErr w:type="spellStart"/>
      <w:r>
        <w:rPr>
          <w:i/>
          <w:iCs/>
        </w:rPr>
        <w:t>talibés</w:t>
      </w:r>
      <w:proofErr w:type="spellEnd"/>
      <w:r>
        <w:t>, aprendices, sirvientes, refugiados, etc.).</w:t>
      </w:r>
    </w:p>
    <w:p w:rsidR="00000000" w:rsidRDefault="00000000">
      <w:pPr>
        <w:autoSpaceDE w:val="0"/>
        <w:autoSpaceDN w:val="0"/>
        <w:adjustRightInd w:val="0"/>
        <w:spacing w:after="240"/>
        <w:rPr>
          <w:b/>
          <w:bCs/>
        </w:rPr>
      </w:pPr>
      <w:r>
        <w:rPr>
          <w:b/>
          <w:bCs/>
        </w:rPr>
        <w:t>8.1.</w:t>
      </w:r>
      <w:r>
        <w:rPr>
          <w:b/>
          <w:bCs/>
        </w:rPr>
        <w:tab/>
        <w:t>Niños refugiados y solicitantes de asilo</w:t>
      </w:r>
    </w:p>
    <w:p w:rsidR="00000000" w:rsidRDefault="00000000">
      <w:pPr>
        <w:autoSpaceDE w:val="0"/>
        <w:autoSpaceDN w:val="0"/>
        <w:adjustRightInd w:val="0"/>
        <w:spacing w:after="240"/>
      </w:pPr>
      <w:r>
        <w:t>305.</w:t>
      </w:r>
      <w:r>
        <w:tab/>
        <w:t>El derecho de asilo está consagrado en la Constitución del Senegal (</w:t>
      </w:r>
      <w:proofErr w:type="spellStart"/>
      <w:r>
        <w:t>art.</w:t>
      </w:r>
      <w:proofErr w:type="spellEnd"/>
      <w:r>
        <w:t xml:space="preserve"> 6).  Se rige por la Ley Nº 68-27 de julio de 1968 y se basa en la idea de la protección de toda persona perseguida en su país.</w:t>
      </w:r>
    </w:p>
    <w:p w:rsidR="00000000" w:rsidRDefault="00000000">
      <w:pPr>
        <w:autoSpaceDE w:val="0"/>
        <w:autoSpaceDN w:val="0"/>
        <w:adjustRightInd w:val="0"/>
        <w:spacing w:after="240"/>
      </w:pPr>
      <w:r>
        <w:t>306.</w:t>
      </w:r>
      <w:r>
        <w:tab/>
        <w:t>La concesión del estatuto de refugiado incumbe a una comisión presidida por un magistrado del Tribunal de Casación.  El Alto Comisionado para los Derechos Humanos tiene rango de observador en esta comisión y puede pronunciarse sobre cada uno de los casos.</w:t>
      </w:r>
    </w:p>
    <w:p w:rsidR="00000000" w:rsidRDefault="00000000">
      <w:pPr>
        <w:autoSpaceDE w:val="0"/>
        <w:autoSpaceDN w:val="0"/>
        <w:adjustRightInd w:val="0"/>
        <w:spacing w:after="240"/>
      </w:pPr>
      <w:r>
        <w:t>307.</w:t>
      </w:r>
      <w:r>
        <w:tab/>
        <w:t>Este estatuto da derecho a todas las ventajas reconocidas a los nacionales del Senegal, entre otras, la obtención de becas, el derecho al trabajo, etc.</w:t>
      </w:r>
    </w:p>
    <w:p w:rsidR="00000000" w:rsidRDefault="00000000">
      <w:pPr>
        <w:autoSpaceDE w:val="0"/>
        <w:autoSpaceDN w:val="0"/>
        <w:adjustRightInd w:val="0"/>
        <w:spacing w:after="240"/>
      </w:pPr>
      <w:r>
        <w:t>308.</w:t>
      </w:r>
      <w:r>
        <w:tab/>
        <w:t>En el derecho del Senegal no existe ninguna distinción por motivos de edad, sexo o de otro tipo para la atribución del estatuto se refugiado.</w:t>
      </w:r>
    </w:p>
    <w:p w:rsidR="00000000" w:rsidRDefault="00000000">
      <w:pPr>
        <w:autoSpaceDE w:val="0"/>
        <w:autoSpaceDN w:val="0"/>
        <w:adjustRightInd w:val="0"/>
        <w:spacing w:after="240"/>
        <w:rPr>
          <w:b/>
          <w:bCs/>
        </w:rPr>
      </w:pPr>
      <w:r>
        <w:rPr>
          <w:b/>
          <w:bCs/>
        </w:rPr>
        <w:t>8.2.</w:t>
      </w:r>
      <w:r>
        <w:rPr>
          <w:b/>
          <w:bCs/>
        </w:rPr>
        <w:tab/>
        <w:t>Edad mínima penal</w:t>
      </w:r>
    </w:p>
    <w:p w:rsidR="00000000" w:rsidRDefault="00000000">
      <w:pPr>
        <w:autoSpaceDE w:val="0"/>
        <w:autoSpaceDN w:val="0"/>
        <w:adjustRightInd w:val="0"/>
        <w:spacing w:after="240"/>
      </w:pPr>
      <w:r>
        <w:t>309.</w:t>
      </w:r>
      <w:r>
        <w:tab/>
        <w:t>En el ordenamiento jurídico del Senegal la responsabilidad penal empieza a los 13 años.  Numerosos establecimientos públicos y privados acogen a menores en conflicto con la ley.</w:t>
      </w:r>
    </w:p>
    <w:p w:rsidR="00000000" w:rsidRDefault="00000000">
      <w:pPr>
        <w:autoSpaceDE w:val="0"/>
        <w:autoSpaceDN w:val="0"/>
        <w:adjustRightInd w:val="0"/>
        <w:spacing w:after="240"/>
      </w:pPr>
      <w:r>
        <w:t>310.</w:t>
      </w:r>
      <w:r>
        <w:tab/>
        <w:t>Actualmente el Senegal dispone de diez establecimientos que acogen a menores en situación de peligro moral o social y en situación de conflicto con la ley que son:</w:t>
      </w:r>
    </w:p>
    <w:p w:rsidR="00000000" w:rsidRDefault="00000000">
      <w:pPr>
        <w:autoSpaceDE w:val="0"/>
        <w:autoSpaceDN w:val="0"/>
        <w:adjustRightInd w:val="0"/>
        <w:spacing w:after="240"/>
        <w:ind w:left="924" w:hanging="357"/>
      </w:pPr>
      <w:r>
        <w:t>-</w:t>
      </w:r>
      <w:r>
        <w:tab/>
        <w:t xml:space="preserve">Tres centros polivalentes (Dakar, </w:t>
      </w:r>
      <w:proofErr w:type="spellStart"/>
      <w:r>
        <w:t>Thiaroye</w:t>
      </w:r>
      <w:proofErr w:type="spellEnd"/>
      <w:r>
        <w:t xml:space="preserve"> y </w:t>
      </w:r>
      <w:proofErr w:type="spellStart"/>
      <w:r>
        <w:t>Diourbel</w:t>
      </w:r>
      <w:proofErr w:type="spellEnd"/>
      <w:r>
        <w:t>);</w:t>
      </w:r>
    </w:p>
    <w:p w:rsidR="00000000" w:rsidRDefault="00000000">
      <w:pPr>
        <w:autoSpaceDE w:val="0"/>
        <w:autoSpaceDN w:val="0"/>
        <w:adjustRightInd w:val="0"/>
        <w:spacing w:after="240"/>
        <w:ind w:left="924" w:hanging="357"/>
      </w:pPr>
      <w:r>
        <w:t>-</w:t>
      </w:r>
      <w:r>
        <w:tab/>
        <w:t>Cuatro centros de protección (</w:t>
      </w:r>
      <w:proofErr w:type="spellStart"/>
      <w:r>
        <w:t>Pikine</w:t>
      </w:r>
      <w:proofErr w:type="spellEnd"/>
      <w:r>
        <w:t xml:space="preserve">, </w:t>
      </w:r>
      <w:proofErr w:type="spellStart"/>
      <w:r>
        <w:t>Cambérène</w:t>
      </w:r>
      <w:proofErr w:type="spellEnd"/>
      <w:r>
        <w:t>, Thies y Ziguinchor), dos centros de socialización (</w:t>
      </w:r>
      <w:proofErr w:type="spellStart"/>
      <w:r>
        <w:t>Nianing</w:t>
      </w:r>
      <w:proofErr w:type="spellEnd"/>
      <w:r>
        <w:t xml:space="preserve"> y </w:t>
      </w:r>
      <w:proofErr w:type="spellStart"/>
      <w:r>
        <w:t>Sébikotane</w:t>
      </w:r>
      <w:proofErr w:type="spellEnd"/>
      <w:r>
        <w:t>) y un centro de acogida para niñas (</w:t>
      </w:r>
      <w:proofErr w:type="spellStart"/>
      <w:r>
        <w:t>Thiaroye</w:t>
      </w:r>
      <w:proofErr w:type="spellEnd"/>
      <w:r>
        <w:t>);</w:t>
      </w:r>
    </w:p>
    <w:p w:rsidR="00000000" w:rsidRDefault="00000000">
      <w:pPr>
        <w:autoSpaceDE w:val="0"/>
        <w:autoSpaceDN w:val="0"/>
        <w:adjustRightInd w:val="0"/>
        <w:spacing w:after="240"/>
        <w:ind w:left="924" w:hanging="357"/>
      </w:pPr>
      <w:r>
        <w:t>-</w:t>
      </w:r>
      <w:r>
        <w:tab/>
        <w:t>Los servicios de acción educativa en medio urbano están representados en los tribunales departamentales.</w:t>
      </w:r>
    </w:p>
    <w:p w:rsidR="00000000" w:rsidRDefault="00000000">
      <w:pPr>
        <w:autoSpaceDE w:val="0"/>
        <w:autoSpaceDN w:val="0"/>
        <w:adjustRightInd w:val="0"/>
        <w:spacing w:after="240"/>
      </w:pPr>
      <w:r>
        <w:t>311.</w:t>
      </w:r>
      <w:r>
        <w:tab/>
        <w:t>Estos centros dependen de la Dirección de Educación Vigilada del Ministerio de Justicia.</w:t>
      </w:r>
    </w:p>
    <w:p w:rsidR="00000000" w:rsidRDefault="00000000">
      <w:pPr>
        <w:autoSpaceDE w:val="0"/>
        <w:autoSpaceDN w:val="0"/>
        <w:adjustRightInd w:val="0"/>
        <w:spacing w:after="240"/>
      </w:pPr>
      <w:r>
        <w:t>312.</w:t>
      </w:r>
      <w:r>
        <w:tab/>
        <w:t>Además existe un centro de libertad vigilada para menores.  Este centro está administrado por la agrupación caritativa Asociación Senegalesa para la Salvaguardia del Menor.  El Estado subvenciona este centro y la guardería infantil de las religiosas franciscanas.</w:t>
      </w:r>
    </w:p>
    <w:p w:rsidR="00000000" w:rsidRDefault="00000000">
      <w:pPr>
        <w:autoSpaceDE w:val="0"/>
        <w:autoSpaceDN w:val="0"/>
        <w:adjustRightInd w:val="0"/>
        <w:spacing w:after="240"/>
      </w:pPr>
      <w:r>
        <w:t>313.</w:t>
      </w:r>
      <w:r>
        <w:tab/>
        <w:t>El número de niños a cargo de los servicios externos de educación vigilada es de 10.050 aproximadamente.</w:t>
      </w:r>
    </w:p>
    <w:p w:rsidR="00000000" w:rsidRDefault="00000000">
      <w:pPr>
        <w:autoSpaceDE w:val="0"/>
        <w:autoSpaceDN w:val="0"/>
        <w:adjustRightInd w:val="0"/>
        <w:spacing w:after="240"/>
      </w:pPr>
      <w:r>
        <w:t>314.</w:t>
      </w:r>
      <w:r>
        <w:tab/>
        <w:t>Los menores objeto de una medida penal son confiados a la Administración Penitenciaria o a la Comisión de Libertad Juvenil.  Con arreglo a lo dispuesto en la Convención, el Senegal trata de evitar cada vez más la encarcelación de menores y da preferencia a la colocación en familias.  El recurso a la institución especializada constituye la excepción, pues el medio natural de vida del menor es su familia.  No obstante, quedan por resolver los problemas de la delincuencia y la mendicidad de las niñas, tanto desde el punto de vista jurídico como desde el punto de vista práctico.</w:t>
      </w:r>
    </w:p>
    <w:p w:rsidR="00000000" w:rsidRDefault="00000000">
      <w:pPr>
        <w:spacing w:after="240"/>
        <w:rPr>
          <w:b/>
        </w:rPr>
      </w:pPr>
      <w:r>
        <w:rPr>
          <w:b/>
        </w:rPr>
        <w:tab/>
        <w:t>Tratamiento de los jóvenes en situación difícil</w:t>
      </w:r>
    </w:p>
    <w:p w:rsidR="00000000" w:rsidRDefault="00000000">
      <w:pPr>
        <w:autoSpaceDE w:val="0"/>
        <w:autoSpaceDN w:val="0"/>
        <w:adjustRightInd w:val="0"/>
        <w:spacing w:after="240"/>
      </w:pPr>
      <w:r>
        <w:t>315.</w:t>
      </w:r>
      <w:r>
        <w:tab/>
        <w:t>Los jóvenes en situación de conflicto con la ley de que se hacen cargo estos centros son objeto de un tratamiento especial:</w:t>
      </w:r>
    </w:p>
    <w:p w:rsidR="00000000" w:rsidRDefault="00000000">
      <w:pPr>
        <w:autoSpaceDE w:val="0"/>
        <w:autoSpaceDN w:val="0"/>
        <w:adjustRightInd w:val="0"/>
        <w:spacing w:after="240"/>
        <w:ind w:left="924" w:hanging="357"/>
      </w:pPr>
      <w:r>
        <w:t>-</w:t>
      </w:r>
      <w:r>
        <w:tab/>
        <w:t>Los servicios especializados ofrecen una educación diversificada;</w:t>
      </w:r>
    </w:p>
    <w:p w:rsidR="00000000" w:rsidRDefault="00000000">
      <w:pPr>
        <w:autoSpaceDE w:val="0"/>
        <w:autoSpaceDN w:val="0"/>
        <w:adjustRightInd w:val="0"/>
        <w:spacing w:after="240"/>
        <w:ind w:left="924" w:hanging="357"/>
      </w:pPr>
      <w:r>
        <w:t>-</w:t>
      </w:r>
      <w:r>
        <w:tab/>
        <w:t>El mantenimiento del contacto del niño con su familia está garantizado por la ley;</w:t>
      </w:r>
    </w:p>
    <w:p w:rsidR="00000000" w:rsidRDefault="00000000">
      <w:pPr>
        <w:autoSpaceDE w:val="0"/>
        <w:autoSpaceDN w:val="0"/>
        <w:adjustRightInd w:val="0"/>
        <w:spacing w:after="240"/>
        <w:ind w:left="924" w:hanging="357"/>
      </w:pPr>
      <w:r>
        <w:t>-</w:t>
      </w:r>
      <w:r>
        <w:tab/>
        <w:t>Un servicio especializado (servicio de libertad vigilada) controla las condiciones de detención de los jóvenes en situación de conflicto con la ley e informa al juez de menores;</w:t>
      </w:r>
    </w:p>
    <w:p w:rsidR="00000000" w:rsidRDefault="00000000">
      <w:pPr>
        <w:autoSpaceDE w:val="0"/>
        <w:autoSpaceDN w:val="0"/>
        <w:adjustRightInd w:val="0"/>
        <w:spacing w:after="240"/>
        <w:ind w:left="924" w:hanging="357"/>
      </w:pPr>
      <w:r>
        <w:t>-</w:t>
      </w:r>
      <w:r>
        <w:tab/>
        <w:t>Se garantiza a los jóvenes en situación de conflicto con la ley la enseñanza primaria y secundaria;</w:t>
      </w:r>
    </w:p>
    <w:p w:rsidR="00000000" w:rsidRDefault="00000000">
      <w:pPr>
        <w:autoSpaceDE w:val="0"/>
        <w:autoSpaceDN w:val="0"/>
        <w:adjustRightInd w:val="0"/>
        <w:spacing w:after="240"/>
        <w:ind w:left="924" w:hanging="357"/>
      </w:pPr>
      <w:r>
        <w:t>-</w:t>
      </w:r>
      <w:r>
        <w:tab/>
        <w:t>Por circular del Ministerio del Interior se ha creado una comisaría para menores y probablemente la constitución de esta institución en Ministerio de Estado abrirá la vía a la promulgación de un auténtico código del menor en situación de conflicto con la ley, que ampliará las prerrogativas de la comisaría y la convertirá en comisaría de pleno derecho dotada del personal y del equipo y la infraestructura adecuados para que no haya que recluir a los menores en las mismas instituciones que a los delincuentes profesionales.</w:t>
      </w:r>
    </w:p>
    <w:p w:rsidR="00000000" w:rsidRDefault="00000000">
      <w:pPr>
        <w:keepNext/>
        <w:autoSpaceDE w:val="0"/>
        <w:autoSpaceDN w:val="0"/>
        <w:adjustRightInd w:val="0"/>
        <w:spacing w:after="240"/>
        <w:rPr>
          <w:b/>
          <w:bCs/>
        </w:rPr>
      </w:pPr>
      <w:r>
        <w:rPr>
          <w:b/>
          <w:bCs/>
        </w:rPr>
        <w:t>8.3.</w:t>
      </w:r>
      <w:r>
        <w:rPr>
          <w:b/>
          <w:bCs/>
        </w:rPr>
        <w:tab/>
        <w:t>La explotación económica de los menores</w:t>
      </w:r>
    </w:p>
    <w:p w:rsidR="00000000" w:rsidRDefault="00000000">
      <w:pPr>
        <w:keepNext/>
        <w:autoSpaceDE w:val="0"/>
        <w:autoSpaceDN w:val="0"/>
        <w:adjustRightInd w:val="0"/>
        <w:spacing w:after="240"/>
      </w:pPr>
      <w:r>
        <w:t>316.</w:t>
      </w:r>
      <w:r>
        <w:tab/>
        <w:t>En sus distintas disposiciones, el Código del Trabajo del Senegal, revisado en diciembre de 1997, protege a los menores contra el trabajo duro y peligroso:</w:t>
      </w:r>
    </w:p>
    <w:p w:rsidR="00000000" w:rsidRDefault="00000000">
      <w:pPr>
        <w:autoSpaceDE w:val="0"/>
        <w:autoSpaceDN w:val="0"/>
        <w:adjustRightInd w:val="0"/>
        <w:spacing w:after="240"/>
        <w:ind w:left="924" w:hanging="357"/>
      </w:pPr>
      <w:r>
        <w:t>-</w:t>
      </w:r>
      <w:r>
        <w:tab/>
        <w:t>Fija la edad mínima de acceso al empleo en 15 años;</w:t>
      </w:r>
    </w:p>
    <w:p w:rsidR="00000000" w:rsidRDefault="00000000">
      <w:pPr>
        <w:autoSpaceDE w:val="0"/>
        <w:autoSpaceDN w:val="0"/>
        <w:adjustRightInd w:val="0"/>
        <w:spacing w:after="240"/>
        <w:ind w:left="924" w:hanging="357"/>
      </w:pPr>
      <w:r>
        <w:t>-</w:t>
      </w:r>
      <w:r>
        <w:tab/>
        <w:t>Fija asimismo unos horarios específicos, un descanso semanal obligatorio de 24 horas y una visita y un seguimiento médicos obligatorios.</w:t>
      </w:r>
    </w:p>
    <w:p w:rsidR="00000000" w:rsidRDefault="00000000">
      <w:pPr>
        <w:autoSpaceDE w:val="0"/>
        <w:autoSpaceDN w:val="0"/>
        <w:adjustRightInd w:val="0"/>
        <w:spacing w:after="240"/>
      </w:pPr>
      <w:r>
        <w:t>317.</w:t>
      </w:r>
      <w:r>
        <w:tab/>
        <w:t>El aprendizaje previsto en el Código del Trabajo se reglamenta a través de cierto número de disposiciones legales relativas a la necesidad de establecer un contrato y al ejercicio de un control por la inspección del trabajo.</w:t>
      </w:r>
    </w:p>
    <w:p w:rsidR="00000000" w:rsidRDefault="00000000">
      <w:pPr>
        <w:autoSpaceDE w:val="0"/>
        <w:autoSpaceDN w:val="0"/>
        <w:adjustRightInd w:val="0"/>
        <w:spacing w:after="240"/>
      </w:pPr>
      <w:r>
        <w:t>318.</w:t>
      </w:r>
      <w:r>
        <w:tab/>
        <w:t>No obstante, este control no es sistemático como opción estructural y las autoridades competentes carecen desgraciadamente de medios para ejercerlo y aún más para sancionar a los infractores de leyes y reglamentos.</w:t>
      </w:r>
    </w:p>
    <w:p w:rsidR="00000000" w:rsidRDefault="00000000">
      <w:pPr>
        <w:autoSpaceDE w:val="0"/>
        <w:autoSpaceDN w:val="0"/>
        <w:adjustRightInd w:val="0"/>
        <w:spacing w:after="240"/>
        <w:rPr>
          <w:b/>
          <w:bCs/>
        </w:rPr>
      </w:pPr>
      <w:r>
        <w:rPr>
          <w:b/>
          <w:bCs/>
        </w:rPr>
        <w:tab/>
        <w:t>Medidas contra la explotación de menores en el sector no estructurado</w:t>
      </w:r>
    </w:p>
    <w:p w:rsidR="00000000" w:rsidRDefault="00000000">
      <w:pPr>
        <w:autoSpaceDE w:val="0"/>
        <w:autoSpaceDN w:val="0"/>
        <w:adjustRightInd w:val="0"/>
        <w:spacing w:after="240"/>
      </w:pPr>
      <w:r>
        <w:t>319.</w:t>
      </w:r>
      <w:r>
        <w:tab/>
        <w:t>A pesar de las excepciones que el Ministerio de Trabajo puede conceder a la edad legal de acceso al empleo, los menores de 13 a 15 años sólo pueden ser empleados para labores domésticas o para labores ligeras de carácter temporal si se cumplen dos condiciones:</w:t>
      </w:r>
    </w:p>
    <w:p w:rsidR="00000000" w:rsidRDefault="00000000">
      <w:pPr>
        <w:autoSpaceDE w:val="0"/>
        <w:autoSpaceDN w:val="0"/>
        <w:adjustRightInd w:val="0"/>
        <w:spacing w:after="240"/>
        <w:ind w:left="924" w:hanging="357"/>
      </w:pPr>
      <w:r>
        <w:t>-</w:t>
      </w:r>
      <w:r>
        <w:tab/>
        <w:t>Existe una autorización expresa de los padres o tutores, salvo si el menor trabaja en el mismo establecimiento y a su lado;</w:t>
      </w:r>
    </w:p>
    <w:p w:rsidR="00000000" w:rsidRDefault="00000000">
      <w:pPr>
        <w:autoSpaceDE w:val="0"/>
        <w:autoSpaceDN w:val="0"/>
        <w:adjustRightInd w:val="0"/>
        <w:spacing w:after="240"/>
        <w:ind w:left="924" w:hanging="357"/>
      </w:pPr>
      <w:r>
        <w:t>-</w:t>
      </w:r>
      <w:r>
        <w:tab/>
        <w:t>El trabajo no perjudica a las obligaciones escolares;</w:t>
      </w:r>
    </w:p>
    <w:p w:rsidR="00000000" w:rsidRDefault="00000000">
      <w:pPr>
        <w:autoSpaceDE w:val="0"/>
        <w:autoSpaceDN w:val="0"/>
        <w:adjustRightInd w:val="0"/>
        <w:spacing w:after="240"/>
        <w:ind w:left="924" w:hanging="357"/>
      </w:pPr>
      <w:r>
        <w:t>-</w:t>
      </w:r>
      <w:r>
        <w:tab/>
        <w:t>El trabajo no perjudica la salud y el desarrollo del menor;</w:t>
      </w:r>
    </w:p>
    <w:p w:rsidR="00000000" w:rsidRDefault="00000000">
      <w:pPr>
        <w:autoSpaceDE w:val="0"/>
        <w:autoSpaceDN w:val="0"/>
        <w:adjustRightInd w:val="0"/>
        <w:spacing w:after="240"/>
        <w:ind w:left="924" w:hanging="357"/>
      </w:pPr>
      <w:r>
        <w:t>-</w:t>
      </w:r>
      <w:r>
        <w:tab/>
        <w:t>El menor no está sometido a las peores formas de trabajo.</w:t>
      </w:r>
    </w:p>
    <w:p w:rsidR="00000000" w:rsidRDefault="00000000">
      <w:pPr>
        <w:autoSpaceDE w:val="0"/>
        <w:autoSpaceDN w:val="0"/>
        <w:adjustRightInd w:val="0"/>
        <w:spacing w:after="240"/>
      </w:pPr>
      <w:r>
        <w:t>320.</w:t>
      </w:r>
      <w:r>
        <w:tab/>
        <w:t>En el marco del Programa Niños en Situación Especialmente Difícil del Programa de Cooperación entre el Gobierno del Senegal y el UNICEF (1992-1996) y del Programa Internacional para la Erradicación del Trabajo Infantil de la Organización Internacional del Trabajo (</w:t>
      </w:r>
      <w:proofErr w:type="spellStart"/>
      <w:r>
        <w:t>IPEC</w:t>
      </w:r>
      <w:proofErr w:type="spellEnd"/>
      <w:r>
        <w:t xml:space="preserve">), la Dirección de Previsión y Estadística realizó en 1993 una encuesta sobre el trabajo de los niños en el Senegal.  Esta encuesta estadística se completó con un estudio sobre las niñas empleadas como personal doméstico (realizada por la ONG </w:t>
      </w:r>
      <w:r>
        <w:rPr>
          <w:lang w:val="es-ES_tradnl"/>
        </w:rPr>
        <w:t>Medio Ambiente y Desarrollo en el Tercer Mundo)</w:t>
      </w:r>
      <w:r>
        <w:t xml:space="preserve"> y con un estudio sobre los aprendices realizado por una consultora.</w:t>
      </w:r>
    </w:p>
    <w:p w:rsidR="00000000" w:rsidRDefault="00000000">
      <w:pPr>
        <w:autoSpaceDE w:val="0"/>
        <w:autoSpaceDN w:val="0"/>
        <w:adjustRightInd w:val="0"/>
        <w:spacing w:after="240"/>
      </w:pPr>
      <w:r>
        <w:t>321.</w:t>
      </w:r>
      <w:r>
        <w:tab/>
        <w:t>La OIT participó activamente en la realización de la encuesta y de esos dos estudios aportando su apoyo metodológico y financiero.</w:t>
      </w:r>
    </w:p>
    <w:p w:rsidR="00000000" w:rsidRDefault="00000000">
      <w:pPr>
        <w:autoSpaceDE w:val="0"/>
        <w:autoSpaceDN w:val="0"/>
        <w:adjustRightInd w:val="0"/>
        <w:spacing w:after="240"/>
      </w:pPr>
      <w:r>
        <w:t>322.</w:t>
      </w:r>
      <w:r>
        <w:tab/>
        <w:t>Cabe destacar que todos los departamentos ministeriales y ONG interesados por el trabajo de los niños participaron asimismo en la realización de la encuesta y de los dos estudios a través de un comité científico.</w:t>
      </w:r>
    </w:p>
    <w:p w:rsidR="00000000" w:rsidRDefault="00000000">
      <w:pPr>
        <w:autoSpaceDE w:val="0"/>
        <w:autoSpaceDN w:val="0"/>
        <w:adjustRightInd w:val="0"/>
        <w:spacing w:after="240"/>
      </w:pPr>
      <w:r>
        <w:t>323.</w:t>
      </w:r>
      <w:r>
        <w:tab/>
        <w:t>La encuesta estadística, que se realizó en ocho regiones del Senegal, se centró en los niños de 6 a 18 años que ejercen habitualmente una actividad profesional.  Así se contaron 293.783 niños en activo, es decir, el 15% del grupo de edad en que se centró el estudio.  Entre las categorías con riesgo se encuentran las niñas empleadas del hogar y los aprendices que ejercen su actividad en el sector no estructurado, cuyo número se calcula en 83.763, es decir, el 29% del total de los niños que trabajan.</w:t>
      </w:r>
    </w:p>
    <w:p w:rsidR="00000000" w:rsidRDefault="00000000">
      <w:pPr>
        <w:autoSpaceDE w:val="0"/>
        <w:autoSpaceDN w:val="0"/>
        <w:adjustRightInd w:val="0"/>
        <w:spacing w:after="240"/>
      </w:pPr>
      <w:r>
        <w:t>324.</w:t>
      </w:r>
      <w:r>
        <w:tab/>
        <w:t>Los niños trabajadores en medio rural, los empleados del hogar y los niños que ejercen pequeños oficios urbanos también se consideraron como grupos en peligro.</w:t>
      </w:r>
    </w:p>
    <w:p w:rsidR="00000000" w:rsidRDefault="00000000">
      <w:pPr>
        <w:autoSpaceDE w:val="0"/>
        <w:autoSpaceDN w:val="0"/>
        <w:adjustRightInd w:val="0"/>
        <w:spacing w:after="240"/>
      </w:pPr>
      <w:r>
        <w:t>325.</w:t>
      </w:r>
      <w:r>
        <w:tab/>
        <w:t>Bajo la dirección del Ministerio de Trabajo y Empleo se elaboró un Plan de Acción Nacional para los niños trabajadores que se ultimó en mayo de 1994 durante un seminario nacional celebrado con el apoyo de la OIT y del UNICEF y en el que participaron todos los departamentos ministeriales, las organizaciones profesionales (sindicatos de trabajadores, niños de la calle, organizaciones patronales), las ONG y las asociaciones nacionales.</w:t>
      </w:r>
    </w:p>
    <w:p w:rsidR="00000000" w:rsidRDefault="00000000">
      <w:pPr>
        <w:autoSpaceDE w:val="0"/>
        <w:autoSpaceDN w:val="0"/>
        <w:adjustRightInd w:val="0"/>
        <w:spacing w:after="240"/>
      </w:pPr>
      <w:r>
        <w:t>326.</w:t>
      </w:r>
      <w:r>
        <w:tab/>
        <w:t>Este Plan de Acción, objeto de un amplio consenso, tiene por objetivo a largo plazo la abolición del trabajo precoz y a corto y medio plazo la mejora de las condiciones de trabajo y la educación básica de los niños que trabajan por motivos de supervivencia o de ruptura de los mecanismos de socialización (como, por ejemplo, los niños víctima de la exclusión escolar).</w:t>
      </w:r>
    </w:p>
    <w:p w:rsidR="00000000" w:rsidRDefault="00000000">
      <w:pPr>
        <w:autoSpaceDE w:val="0"/>
        <w:autoSpaceDN w:val="0"/>
        <w:adjustRightInd w:val="0"/>
        <w:spacing w:after="240"/>
      </w:pPr>
      <w:r>
        <w:t>327.</w:t>
      </w:r>
      <w:r>
        <w:tab/>
        <w:t>Entre las medidas del Plan de Acción Nacional que favorecen a los niños trabajadores cabe citar la recomendación de que se apliquen las disposiciones del Código del Trabajo y sobre todo las medidas de prevención que tienden a la escolarización obligatoria hasta los 14 años como mínimo y el establecimiento en medio rural de proyectos para aliviar el trabajo de las niñas.</w:t>
      </w:r>
    </w:p>
    <w:p w:rsidR="00000000" w:rsidRDefault="00000000">
      <w:pPr>
        <w:autoSpaceDE w:val="0"/>
        <w:autoSpaceDN w:val="0"/>
        <w:adjustRightInd w:val="0"/>
        <w:spacing w:after="240"/>
      </w:pPr>
      <w:r>
        <w:t>328.</w:t>
      </w:r>
      <w:r>
        <w:tab/>
        <w:t>Cabe señalar asimismo que, desde hace casi diez años, el Senegal lleva a cabo una importante labor de investigación, análisis y solución de la problemática del trabajo infantil.  De este modo, una vez realizado el análisis de la situación y elaborado un plan de acción, se ha consolidado el proceso de validación de las prioridades para preparar las grandes conferencias internacionales sobre este tema (</w:t>
      </w:r>
      <w:proofErr w:type="spellStart"/>
      <w:r>
        <w:t>Amsterdam</w:t>
      </w:r>
      <w:proofErr w:type="spellEnd"/>
      <w:r>
        <w:t xml:space="preserve">, Oslo, </w:t>
      </w:r>
      <w:proofErr w:type="spellStart"/>
      <w:r>
        <w:t>Arusha</w:t>
      </w:r>
      <w:proofErr w:type="spellEnd"/>
      <w:r>
        <w:t>, Pretoria y Kampala) y participar en ellas.  Asimismo, en el programa de actividades especiales sobre la infancia, el trabajo de los niños constituye desde 1996 un tema especial de sensibilización.</w:t>
      </w:r>
    </w:p>
    <w:p w:rsidR="00000000" w:rsidRDefault="00000000">
      <w:pPr>
        <w:autoSpaceDE w:val="0"/>
        <w:autoSpaceDN w:val="0"/>
        <w:adjustRightInd w:val="0"/>
        <w:spacing w:after="240"/>
      </w:pPr>
      <w:r>
        <w:t>329.</w:t>
      </w:r>
      <w:r>
        <w:tab/>
        <w:t xml:space="preserve">En abril de 1998, con el apoyo de los Países Bajos, la OIT lanzó la aplicación del programa </w:t>
      </w:r>
      <w:proofErr w:type="spellStart"/>
      <w:r>
        <w:t>IPEC</w:t>
      </w:r>
      <w:proofErr w:type="spellEnd"/>
      <w:r>
        <w:t xml:space="preserve"> en el Senegal.  Este programa, de una duración de tres años, tiene por objetivo fundamental reforzar la capacidad nacional para prevenir el fenómeno del trabajo infantil y proteger a los niños trabajadores.  Coordina el programa un comité director nacional multidisciplinario.</w:t>
      </w:r>
    </w:p>
    <w:p w:rsidR="00000000" w:rsidRDefault="00000000">
      <w:pPr>
        <w:autoSpaceDE w:val="0"/>
        <w:autoSpaceDN w:val="0"/>
        <w:adjustRightInd w:val="0"/>
        <w:spacing w:after="240"/>
      </w:pPr>
      <w:r>
        <w:t>330.</w:t>
      </w:r>
      <w:r>
        <w:tab/>
        <w:t xml:space="preserve">Este comité apoya 15 </w:t>
      </w:r>
      <w:proofErr w:type="spellStart"/>
      <w:r>
        <w:t>subproyectos</w:t>
      </w:r>
      <w:proofErr w:type="spellEnd"/>
      <w:r>
        <w:t xml:space="preserve"> sobre armonización de la legislación laboral (2), salud y seguridad en el trabajo (3), educación y capacitación de las niñas en el servicio doméstico (1), defensa y apoyo </w:t>
      </w:r>
      <w:proofErr w:type="spellStart"/>
      <w:r>
        <w:t>sociolegal</w:t>
      </w:r>
      <w:proofErr w:type="spellEnd"/>
      <w:r>
        <w:t xml:space="preserve"> a los niños trabajadores (2), mejora del sistema de aprendizaje en el sector no estructurado (2) y rehabilitación de los niños traperos (1), así como prevención del trabajo infantil en medio rural en 7 regiones del Senegal.</w:t>
      </w:r>
    </w:p>
    <w:p w:rsidR="00000000" w:rsidRDefault="00000000">
      <w:pPr>
        <w:autoSpaceDE w:val="0"/>
        <w:autoSpaceDN w:val="0"/>
        <w:adjustRightInd w:val="0"/>
        <w:spacing w:after="240"/>
      </w:pPr>
      <w:r>
        <w:t>331.</w:t>
      </w:r>
      <w:r>
        <w:tab/>
        <w:t>Además, este programa apoya la formación de los empleadores, los sindicatos, las ONG, los medios de comunicación y las organizaciones de defensa de los derechos humanos en la problemática del trabajo infantil.  Asimismo ha facilitado la entrega de cajas de herramientas a algunos aprendices y la sensibilización de algunos maestros de taller a la necesidad de contar con un programa modulado para la formación de los aprendices.</w:t>
      </w:r>
    </w:p>
    <w:p w:rsidR="00000000" w:rsidRDefault="00000000">
      <w:pPr>
        <w:autoSpaceDE w:val="0"/>
        <w:autoSpaceDN w:val="0"/>
        <w:adjustRightInd w:val="0"/>
        <w:spacing w:after="240"/>
      </w:pPr>
      <w:r>
        <w:t>332.</w:t>
      </w:r>
      <w:r>
        <w:tab/>
        <w:t>El Programa de Cooperación entre el Gobierno del Senegal y el UNICEF (1997-2001) ha llegado a su fin.  Otro programa ya iniciado (2002-2005) prevé un proyecto de apoyo a los niños trabajadores y a los niños de la calle.  Este proyecto, que forma parte del Programa Niños en Situación Especialmente Difícil, tiene por objeto contribuir a la realización de los objetivos del Plan de Acción Nacional en favor de los Niños Trabajadores.</w:t>
      </w:r>
    </w:p>
    <w:p w:rsidR="00000000" w:rsidRDefault="00000000">
      <w:pPr>
        <w:autoSpaceDE w:val="0"/>
        <w:autoSpaceDN w:val="0"/>
        <w:adjustRightInd w:val="0"/>
        <w:spacing w:after="240"/>
      </w:pPr>
      <w:r>
        <w:t>333.</w:t>
      </w:r>
      <w:r>
        <w:tab/>
        <w:t>Las beneficiarias de este proyecto serán 15.000 niñas empleadas del hogar (aproximadamente el 50% de los aprendices del sector no estructurado tiene menos de 16 años).  Las actividades previstas contribuirán al logro de los objetivos relacionados con la mejora de las condiciones de salud e higiene y la educación básica de estas niñas.</w:t>
      </w:r>
    </w:p>
    <w:p w:rsidR="00000000" w:rsidRDefault="00000000">
      <w:pPr>
        <w:autoSpaceDE w:val="0"/>
        <w:autoSpaceDN w:val="0"/>
        <w:adjustRightInd w:val="0"/>
        <w:spacing w:after="240"/>
      </w:pPr>
      <w:r>
        <w:t>334.</w:t>
      </w:r>
      <w:r>
        <w:tab/>
        <w:t>También se ha previsto una parte importante para la defensa y la comunicación social con miras a obtener, a largo plazo, la abolición del trabajo precoz de los niños (el Convenio Nº 138 de la Organización Internacional del Trabajo determina que la edad mínima de acceso al empleo es de 15 años) y a corto plazo la aplicación de las disposiciones del Código del Trabajo y la mejora de las actitudes y el comportamiento de los empleadores y de la población en relación con el trabajo de los niños.</w:t>
      </w:r>
    </w:p>
    <w:p w:rsidR="00000000" w:rsidRDefault="00000000">
      <w:pPr>
        <w:autoSpaceDE w:val="0"/>
        <w:autoSpaceDN w:val="0"/>
        <w:adjustRightInd w:val="0"/>
        <w:spacing w:after="240"/>
        <w:rPr>
          <w:b/>
          <w:bCs/>
        </w:rPr>
      </w:pPr>
      <w:r>
        <w:rPr>
          <w:b/>
          <w:bCs/>
        </w:rPr>
        <w:t>8.4.</w:t>
      </w:r>
      <w:r>
        <w:rPr>
          <w:b/>
          <w:bCs/>
        </w:rPr>
        <w:tab/>
        <w:t>Lucha contra la droga</w:t>
      </w:r>
    </w:p>
    <w:p w:rsidR="00000000" w:rsidRDefault="00000000">
      <w:pPr>
        <w:autoSpaceDE w:val="0"/>
        <w:autoSpaceDN w:val="0"/>
        <w:adjustRightInd w:val="0"/>
        <w:spacing w:after="240"/>
      </w:pPr>
      <w:r>
        <w:t>335.</w:t>
      </w:r>
      <w:r>
        <w:tab/>
        <w:t xml:space="preserve">El Gobierno de la República del Senegal comprendió muy pronto el peligro que representaba la toxicomanía para el país.  Por ello, el 25 de junio de 1965 se creó la Comisión Nacional de Estupefacientes presidida por el Ministro del Interior y en la que intervienen otros ministerios como el </w:t>
      </w:r>
      <w:r>
        <w:rPr>
          <w:bCs/>
          <w:lang w:val="es-ES_tradnl"/>
        </w:rPr>
        <w:t>Ministerio de la Familia, el Desarrollo Social y la Solidaridad Nacional</w:t>
      </w:r>
      <w:r>
        <w:t xml:space="preserve"> y el Ministerio de Justicia.</w:t>
      </w:r>
    </w:p>
    <w:p w:rsidR="00000000" w:rsidRDefault="00000000">
      <w:pPr>
        <w:autoSpaceDE w:val="0"/>
        <w:autoSpaceDN w:val="0"/>
        <w:adjustRightInd w:val="0"/>
        <w:spacing w:after="240"/>
      </w:pPr>
      <w:r>
        <w:t>336.</w:t>
      </w:r>
      <w:r>
        <w:tab/>
        <w:t>Su principal misión consiste en definir una política nacional de lucha contra el uso y el tráfico de estupefacientes y coordinar las medidas de los distintos servicios estatales que intervienen en la lucha contra la toxicomanía y el tráfico ilícito de estupefacientes.</w:t>
      </w:r>
    </w:p>
    <w:p w:rsidR="00000000" w:rsidRDefault="00000000">
      <w:pPr>
        <w:autoSpaceDE w:val="0"/>
        <w:autoSpaceDN w:val="0"/>
        <w:adjustRightInd w:val="0"/>
        <w:spacing w:after="240"/>
      </w:pPr>
      <w:r>
        <w:t>337.</w:t>
      </w:r>
      <w:r>
        <w:tab/>
        <w:t>Cabe destacar asimismo la creación de la Oficina Central para la Represión del Tráfico Ilícito de Estupefacientes, que es uno de los servicios de la Dirección de Policía Judicial.  La Oficina, además de sus servicios centrales con base en Dakar, consta de siete brigadas regionales, diez unidades de lucha y dos funcionarios de contacto (gendarmería y aduanas).  En el Ministerio del Interior se ha creado también una Oficina Central de Represión del Crimen Organizado.</w:t>
      </w:r>
    </w:p>
    <w:p w:rsidR="00000000" w:rsidRDefault="00000000">
      <w:pPr>
        <w:autoSpaceDE w:val="0"/>
        <w:autoSpaceDN w:val="0"/>
        <w:adjustRightInd w:val="0"/>
        <w:spacing w:after="240"/>
      </w:pPr>
      <w:r>
        <w:t>338.</w:t>
      </w:r>
      <w:r>
        <w:tab/>
        <w:t xml:space="preserve">Por lo que respecta a la sensibilización del público, cabe destacar la reciente creación, gracias a la cooperación de Francia, del Centro de Sensibilización e Información sobre la Droga Jacques </w:t>
      </w:r>
      <w:proofErr w:type="spellStart"/>
      <w:r>
        <w:t>Chirac</w:t>
      </w:r>
      <w:proofErr w:type="spellEnd"/>
      <w:r>
        <w:t xml:space="preserve">, con sede en </w:t>
      </w:r>
      <w:proofErr w:type="spellStart"/>
      <w:r>
        <w:t>Thiaroye</w:t>
      </w:r>
      <w:proofErr w:type="spellEnd"/>
      <w:r>
        <w:t xml:space="preserve"> (afueras de Dakar).</w:t>
      </w:r>
    </w:p>
    <w:p w:rsidR="00000000" w:rsidRDefault="00000000">
      <w:pPr>
        <w:autoSpaceDE w:val="0"/>
        <w:autoSpaceDN w:val="0"/>
        <w:adjustRightInd w:val="0"/>
        <w:spacing w:after="240"/>
      </w:pPr>
      <w:r>
        <w:t>339.</w:t>
      </w:r>
      <w:r>
        <w:tab/>
        <w:t>Además, signo de la voluntad del Senegal de luchar contra esta plaga, la Comisión Nacional presidida por el Ministro del Interior ha estimado que la celebración el 26 de junio del Día Internacional de Lucha contra el Abuso de Drogas no basta para obtener el concurso de todas las fuerzas vivas del país.  Así, el día se convirtió en una semana de sensibilización.</w:t>
      </w:r>
    </w:p>
    <w:p w:rsidR="00000000" w:rsidRDefault="00000000">
      <w:pPr>
        <w:autoSpaceDE w:val="0"/>
        <w:autoSpaceDN w:val="0"/>
        <w:adjustRightInd w:val="0"/>
        <w:spacing w:after="240"/>
      </w:pPr>
      <w:r>
        <w:t>340.</w:t>
      </w:r>
      <w:r>
        <w:tab/>
        <w:t>Desde el punto de vista de la represión, mientras que el Código Penal prevé penas que van de un mes a un año de cárcel para el consumidor de drogas, la pena para el traficante es de dos a diez años de cárcel, más una multa de 1 millón a 10 millones de francos CFA.</w:t>
      </w:r>
    </w:p>
    <w:p w:rsidR="00000000" w:rsidRDefault="00000000">
      <w:pPr>
        <w:autoSpaceDE w:val="0"/>
        <w:autoSpaceDN w:val="0"/>
        <w:adjustRightInd w:val="0"/>
        <w:spacing w:after="240"/>
      </w:pPr>
      <w:r>
        <w:t>341.</w:t>
      </w:r>
      <w:r>
        <w:tab/>
        <w:t>Un Consejo Interministerial celebrado el 10 de mayo de 1995 y presidido por el Primer Ministro adoptó importantes medidas destinadas a fortalecer los dispositivos de lucha.  Se trata, entre otras cosas, de:</w:t>
      </w:r>
    </w:p>
    <w:p w:rsidR="00000000" w:rsidRDefault="00000000">
      <w:pPr>
        <w:autoSpaceDE w:val="0"/>
        <w:autoSpaceDN w:val="0"/>
        <w:adjustRightInd w:val="0"/>
        <w:spacing w:after="240"/>
        <w:ind w:left="924" w:hanging="357"/>
      </w:pPr>
      <w:r>
        <w:t>-</w:t>
      </w:r>
      <w:r>
        <w:tab/>
        <w:t>La lucha contra el blanqueo de dinero procedente del tráfico, que se emprenderá y reforzará rigurosamente;</w:t>
      </w:r>
    </w:p>
    <w:p w:rsidR="00000000" w:rsidRDefault="00000000">
      <w:pPr>
        <w:autoSpaceDE w:val="0"/>
        <w:autoSpaceDN w:val="0"/>
        <w:adjustRightInd w:val="0"/>
        <w:spacing w:after="240"/>
        <w:ind w:left="924" w:hanging="357"/>
      </w:pPr>
      <w:r>
        <w:t>-</w:t>
      </w:r>
      <w:r>
        <w:tab/>
        <w:t xml:space="preserve">El fortalecimiento de la cooperación </w:t>
      </w:r>
      <w:proofErr w:type="spellStart"/>
      <w:r>
        <w:t>subregional</w:t>
      </w:r>
      <w:proofErr w:type="spellEnd"/>
      <w:r>
        <w:t xml:space="preserve"> para armonizar las legislaciones nacionales;</w:t>
      </w:r>
    </w:p>
    <w:p w:rsidR="00000000" w:rsidRDefault="00000000">
      <w:pPr>
        <w:autoSpaceDE w:val="0"/>
        <w:autoSpaceDN w:val="0"/>
        <w:adjustRightInd w:val="0"/>
        <w:spacing w:after="240"/>
        <w:ind w:left="924" w:hanging="357"/>
      </w:pPr>
      <w:r>
        <w:t>-</w:t>
      </w:r>
      <w:r>
        <w:tab/>
        <w:t xml:space="preserve">La instalación de medios didácticos en el medio escolar para sensibilizar a los alumnos contra los peligros de la droga;  </w:t>
      </w:r>
    </w:p>
    <w:p w:rsidR="00000000" w:rsidRDefault="00000000">
      <w:pPr>
        <w:autoSpaceDE w:val="0"/>
        <w:autoSpaceDN w:val="0"/>
        <w:adjustRightInd w:val="0"/>
        <w:spacing w:after="240"/>
        <w:ind w:left="924" w:hanging="357"/>
      </w:pPr>
      <w:r>
        <w:t>-</w:t>
      </w:r>
      <w:r>
        <w:tab/>
        <w:t>La difusión en los medios estatales de comunicación de una emisión permanente sobre los daños causados por la droga;</w:t>
      </w:r>
    </w:p>
    <w:p w:rsidR="00000000" w:rsidRDefault="00000000">
      <w:pPr>
        <w:autoSpaceDE w:val="0"/>
        <w:autoSpaceDN w:val="0"/>
        <w:adjustRightInd w:val="0"/>
        <w:spacing w:after="240"/>
        <w:ind w:left="924" w:hanging="357"/>
      </w:pPr>
      <w:r>
        <w:t>-</w:t>
      </w:r>
      <w:r>
        <w:tab/>
        <w:t>La creación de un centro de tratamiento de los toxicómanos;</w:t>
      </w:r>
    </w:p>
    <w:p w:rsidR="00000000" w:rsidRDefault="00000000">
      <w:pPr>
        <w:autoSpaceDE w:val="0"/>
        <w:autoSpaceDN w:val="0"/>
        <w:adjustRightInd w:val="0"/>
        <w:spacing w:after="240"/>
        <w:ind w:left="924" w:hanging="357"/>
      </w:pPr>
      <w:r>
        <w:t>-</w:t>
      </w:r>
      <w:r>
        <w:tab/>
        <w:t>La Ley de lucha contra la droga, que sancionará con mayor severidad a los traficantes y productores.</w:t>
      </w:r>
    </w:p>
    <w:p w:rsidR="00000000" w:rsidRDefault="00000000">
      <w:pPr>
        <w:autoSpaceDE w:val="0"/>
        <w:autoSpaceDN w:val="0"/>
        <w:adjustRightInd w:val="0"/>
        <w:spacing w:after="240"/>
      </w:pPr>
      <w:r>
        <w:t>En el Ministerio de Salud existen programas de prevención social.</w:t>
      </w:r>
    </w:p>
    <w:p w:rsidR="00000000" w:rsidRDefault="00000000">
      <w:pPr>
        <w:autoSpaceDE w:val="0"/>
        <w:autoSpaceDN w:val="0"/>
        <w:adjustRightInd w:val="0"/>
        <w:spacing w:after="240"/>
      </w:pPr>
      <w:r>
        <w:t>342.</w:t>
      </w:r>
      <w:r>
        <w:tab/>
        <w:t xml:space="preserve">Cabe señalar que el Senegal ha ratificado las convenciones internacionales relativas a las drogas:  la </w:t>
      </w:r>
      <w:r>
        <w:rPr>
          <w:color w:val="000000"/>
        </w:rPr>
        <w:t xml:space="preserve">Convención única de </w:t>
      </w:r>
      <w:r>
        <w:rPr>
          <w:bCs/>
          <w:color w:val="000000"/>
        </w:rPr>
        <w:t>1961</w:t>
      </w:r>
      <w:r>
        <w:rPr>
          <w:color w:val="000000"/>
        </w:rPr>
        <w:t xml:space="preserve"> sobre Estupefacientes; </w:t>
      </w:r>
      <w:r>
        <w:t xml:space="preserve"> el </w:t>
      </w:r>
      <w:r>
        <w:rPr>
          <w:bCs/>
          <w:color w:val="000000"/>
        </w:rPr>
        <w:t>Convenio</w:t>
      </w:r>
      <w:r>
        <w:rPr>
          <w:color w:val="000000"/>
        </w:rPr>
        <w:t xml:space="preserve"> de las Naciones Unidas sobre s</w:t>
      </w:r>
      <w:r>
        <w:rPr>
          <w:bCs/>
          <w:color w:val="000000"/>
        </w:rPr>
        <w:t>ustancias psicotrópicas</w:t>
      </w:r>
      <w:r>
        <w:rPr>
          <w:color w:val="000000"/>
        </w:rPr>
        <w:t xml:space="preserve"> u toxicomanía causada por los medicamentos de 1972</w:t>
      </w:r>
      <w:r>
        <w:t xml:space="preserve"> y la Convención contra el Tráfico de Estupefacientes y Sustancias Psicotrópicas de 1988.</w:t>
      </w:r>
    </w:p>
    <w:p w:rsidR="00000000" w:rsidRDefault="00000000">
      <w:pPr>
        <w:autoSpaceDE w:val="0"/>
        <w:autoSpaceDN w:val="0"/>
        <w:adjustRightInd w:val="0"/>
        <w:spacing w:after="240"/>
      </w:pPr>
      <w:r>
        <w:t>343.</w:t>
      </w:r>
      <w:r>
        <w:tab/>
        <w:t>Para una mejor aplicación de las disposiciones de estos distintos instrumentos, el Senegal ha creado un Código de la Droga.  En el Ministerio del Interior hay una división especializada, que reúne altos funcionarios y agentes experimentados y con una formación de calidad, que se encarga de la vigilancia, el seguimiento y el apoyo a la represión del tráfico de drogas.</w:t>
      </w:r>
    </w:p>
    <w:p w:rsidR="00000000" w:rsidRDefault="00000000">
      <w:pPr>
        <w:autoSpaceDE w:val="0"/>
        <w:autoSpaceDN w:val="0"/>
        <w:adjustRightInd w:val="0"/>
        <w:spacing w:after="240"/>
      </w:pPr>
      <w:r>
        <w:t>344.</w:t>
      </w:r>
      <w:r>
        <w:tab/>
        <w:t>El Senegal también es miembro de la Comisión de Estupefacientes de Viena, de la OIPC</w:t>
      </w:r>
      <w:r>
        <w:noBreakHyphen/>
      </w:r>
      <w:proofErr w:type="spellStart"/>
      <w:r>
        <w:t>Interpol</w:t>
      </w:r>
      <w:proofErr w:type="spellEnd"/>
      <w:r>
        <w:t>, colabora activamente con el Programa de las Naciones Unidas para la Fiscalización Internacional de Drogas (</w:t>
      </w:r>
      <w:proofErr w:type="spellStart"/>
      <w:r>
        <w:t>PNUFID</w:t>
      </w:r>
      <w:proofErr w:type="spellEnd"/>
      <w:r>
        <w:t xml:space="preserve">) y es el principal instigador de la cooperación </w:t>
      </w:r>
      <w:proofErr w:type="spellStart"/>
      <w:r>
        <w:t>subregional</w:t>
      </w:r>
      <w:proofErr w:type="spellEnd"/>
      <w:r>
        <w:t xml:space="preserve">.  Cabe señalar que el </w:t>
      </w:r>
      <w:proofErr w:type="spellStart"/>
      <w:r>
        <w:t>PNUFID</w:t>
      </w:r>
      <w:proofErr w:type="spellEnd"/>
      <w:r>
        <w:t xml:space="preserve"> ha elegido al Senegal, firmemente comprometido en la lucha contra los estupefacientes, para que acoja su oficina </w:t>
      </w:r>
      <w:proofErr w:type="spellStart"/>
      <w:r>
        <w:t>subregional</w:t>
      </w:r>
      <w:proofErr w:type="spellEnd"/>
      <w:r>
        <w:t>.  Por último, está previsto crear un proyecto de plan de acción nacional de lucha contra la droga en el que se recomiende que se dé prioridad a la colaboración con las ONG (</w:t>
      </w:r>
      <w:proofErr w:type="spellStart"/>
      <w:r>
        <w:t>JAMRA</w:t>
      </w:r>
      <w:proofErr w:type="spellEnd"/>
      <w:r>
        <w:t xml:space="preserve">, centros de escucha, Centro Jacques </w:t>
      </w:r>
      <w:proofErr w:type="spellStart"/>
      <w:r>
        <w:t>Chirac</w:t>
      </w:r>
      <w:proofErr w:type="spellEnd"/>
      <w:r>
        <w:t>, etc.).</w:t>
      </w:r>
    </w:p>
    <w:p w:rsidR="00000000" w:rsidRDefault="00000000">
      <w:pPr>
        <w:autoSpaceDE w:val="0"/>
        <w:autoSpaceDN w:val="0"/>
        <w:adjustRightInd w:val="0"/>
        <w:spacing w:after="240"/>
        <w:rPr>
          <w:b/>
          <w:bCs/>
        </w:rPr>
      </w:pPr>
      <w:r>
        <w:rPr>
          <w:b/>
          <w:bCs/>
        </w:rPr>
        <w:t>8.5.</w:t>
      </w:r>
      <w:r>
        <w:rPr>
          <w:b/>
          <w:bCs/>
        </w:rPr>
        <w:tab/>
        <w:t>Protección contra todas las formas de violencia y explotación sexual</w:t>
      </w:r>
    </w:p>
    <w:p w:rsidR="00000000" w:rsidRDefault="00000000">
      <w:pPr>
        <w:autoSpaceDE w:val="0"/>
        <w:autoSpaceDN w:val="0"/>
        <w:adjustRightInd w:val="0"/>
        <w:spacing w:after="240"/>
      </w:pPr>
      <w:r>
        <w:t>345.</w:t>
      </w:r>
      <w:r>
        <w:tab/>
        <w:t>Las medidas adoptadas para proteger a los niños contra todas las formas de violencia y explotación sexual se sitúan a diversos niveles:</w:t>
      </w:r>
    </w:p>
    <w:p w:rsidR="00000000" w:rsidRDefault="00000000">
      <w:pPr>
        <w:autoSpaceDE w:val="0"/>
        <w:autoSpaceDN w:val="0"/>
        <w:adjustRightInd w:val="0"/>
        <w:spacing w:after="240"/>
        <w:ind w:left="924" w:hanging="357"/>
      </w:pPr>
      <w:r>
        <w:t>-</w:t>
      </w:r>
      <w:r>
        <w:tab/>
        <w:t>La violación de un menor de 13 años constituye circunstancia agravante, que impide toda suspensión en la ejecución de la pena;</w:t>
      </w:r>
    </w:p>
    <w:p w:rsidR="00000000" w:rsidRDefault="00000000">
      <w:pPr>
        <w:autoSpaceDE w:val="0"/>
        <w:autoSpaceDN w:val="0"/>
        <w:adjustRightInd w:val="0"/>
        <w:spacing w:after="240"/>
        <w:ind w:left="924" w:hanging="357"/>
      </w:pPr>
      <w:r>
        <w:t>-</w:t>
      </w:r>
      <w:r>
        <w:tab/>
        <w:t>La consumación del matrimonio con una menor de 16 años constituye delito;</w:t>
      </w:r>
    </w:p>
    <w:p w:rsidR="00000000" w:rsidRDefault="00000000">
      <w:pPr>
        <w:autoSpaceDE w:val="0"/>
        <w:autoSpaceDN w:val="0"/>
        <w:adjustRightInd w:val="0"/>
        <w:spacing w:after="240"/>
        <w:ind w:left="924" w:hanging="357"/>
      </w:pPr>
      <w:r>
        <w:t>-</w:t>
      </w:r>
      <w:r>
        <w:tab/>
        <w:t>La explotación sexual de menores con fines comerciales constituye circunstancia agravante;</w:t>
      </w:r>
    </w:p>
    <w:p w:rsidR="00000000" w:rsidRDefault="00000000">
      <w:pPr>
        <w:autoSpaceDE w:val="0"/>
        <w:autoSpaceDN w:val="0"/>
        <w:adjustRightInd w:val="0"/>
        <w:spacing w:after="240"/>
        <w:ind w:left="924" w:hanging="357"/>
      </w:pPr>
      <w:r>
        <w:t>-</w:t>
      </w:r>
      <w:r>
        <w:tab/>
        <w:t>La prostitución de una menor de 21 años está prohibida y reprimida y en el artículo 397 del Código Penal se prevé la reeducación;</w:t>
      </w:r>
    </w:p>
    <w:p w:rsidR="00000000" w:rsidRDefault="00000000">
      <w:pPr>
        <w:autoSpaceDE w:val="0"/>
        <w:autoSpaceDN w:val="0"/>
        <w:adjustRightInd w:val="0"/>
        <w:spacing w:after="240"/>
        <w:ind w:left="924" w:hanging="357"/>
      </w:pPr>
      <w:r>
        <w:t>-</w:t>
      </w:r>
      <w:r>
        <w:tab/>
        <w:t>Lo mismo sucede con la utilización del menor (o la menor) con fines pornográficos;</w:t>
      </w:r>
    </w:p>
    <w:p w:rsidR="00000000" w:rsidRDefault="00000000">
      <w:pPr>
        <w:autoSpaceDE w:val="0"/>
        <w:autoSpaceDN w:val="0"/>
        <w:adjustRightInd w:val="0"/>
        <w:spacing w:after="240"/>
        <w:ind w:left="924" w:hanging="357"/>
      </w:pPr>
      <w:r>
        <w:t>-</w:t>
      </w:r>
      <w:r>
        <w:tab/>
        <w:t>Los abusos deshonestos constituyen delito y los actos cometidos contra menores de 13 años constituyen circunstancia agravante;</w:t>
      </w:r>
    </w:p>
    <w:p w:rsidR="00000000" w:rsidRDefault="00000000">
      <w:pPr>
        <w:autoSpaceDE w:val="0"/>
        <w:autoSpaceDN w:val="0"/>
        <w:adjustRightInd w:val="0"/>
        <w:spacing w:after="240"/>
        <w:ind w:left="924" w:hanging="357"/>
      </w:pPr>
      <w:r>
        <w:t>-</w:t>
      </w:r>
      <w:r>
        <w:tab/>
        <w:t xml:space="preserve">En enero de 1999 se aprobó la ley que, entre otras disposiciones, castiga severamente la </w:t>
      </w:r>
      <w:proofErr w:type="spellStart"/>
      <w:r>
        <w:t>pedofilia</w:t>
      </w:r>
      <w:proofErr w:type="spellEnd"/>
      <w:r>
        <w:t>;</w:t>
      </w:r>
    </w:p>
    <w:p w:rsidR="00000000" w:rsidRDefault="00000000">
      <w:pPr>
        <w:autoSpaceDE w:val="0"/>
        <w:autoSpaceDN w:val="0"/>
        <w:adjustRightInd w:val="0"/>
        <w:spacing w:after="240"/>
        <w:ind w:left="924" w:hanging="357"/>
      </w:pPr>
      <w:r>
        <w:t>-</w:t>
      </w:r>
      <w:r>
        <w:tab/>
        <w:t>El tráfico de menores de 18 años está severamente castigado;</w:t>
      </w:r>
    </w:p>
    <w:p w:rsidR="00000000" w:rsidRDefault="00000000">
      <w:pPr>
        <w:autoSpaceDE w:val="0"/>
        <w:autoSpaceDN w:val="0"/>
        <w:adjustRightInd w:val="0"/>
        <w:spacing w:after="240"/>
        <w:ind w:left="924" w:hanging="357"/>
      </w:pPr>
      <w:r>
        <w:t>-</w:t>
      </w:r>
      <w:r>
        <w:tab/>
        <w:t>Se facilita a magistrados, gendarmes, periodistas, militares y policías formación y sensibilización sobre los abusos sexuales;</w:t>
      </w:r>
    </w:p>
    <w:p w:rsidR="00000000" w:rsidRDefault="00000000">
      <w:pPr>
        <w:autoSpaceDE w:val="0"/>
        <w:autoSpaceDN w:val="0"/>
        <w:adjustRightInd w:val="0"/>
        <w:spacing w:after="240"/>
        <w:ind w:left="924" w:hanging="357"/>
      </w:pPr>
      <w:r>
        <w:t>-</w:t>
      </w:r>
      <w:r>
        <w:tab/>
        <w:t>Se ha adoptado un Plan Nacional de Acción contra el abuso y la violencia sexuales;</w:t>
      </w:r>
    </w:p>
    <w:p w:rsidR="00000000" w:rsidRDefault="00000000">
      <w:pPr>
        <w:autoSpaceDE w:val="0"/>
        <w:autoSpaceDN w:val="0"/>
        <w:adjustRightInd w:val="0"/>
        <w:spacing w:after="240"/>
        <w:ind w:left="924" w:hanging="357"/>
      </w:pPr>
      <w:r>
        <w:t>-</w:t>
      </w:r>
      <w:r>
        <w:tab/>
        <w:t>Se ha aprobado un Plan Nacional de Acción contra la Trata de Niños;</w:t>
      </w:r>
    </w:p>
    <w:p w:rsidR="00000000" w:rsidRDefault="00000000">
      <w:pPr>
        <w:autoSpaceDE w:val="0"/>
        <w:autoSpaceDN w:val="0"/>
        <w:adjustRightInd w:val="0"/>
        <w:spacing w:after="240"/>
        <w:ind w:left="924" w:hanging="357"/>
      </w:pPr>
      <w:r>
        <w:t>-</w:t>
      </w:r>
      <w:r>
        <w:tab/>
        <w:t>Se está realizando una reforma para proteger a los niños contra los abusos y el turismo sexual;</w:t>
      </w:r>
    </w:p>
    <w:p w:rsidR="00000000" w:rsidRDefault="00000000">
      <w:pPr>
        <w:autoSpaceDE w:val="0"/>
        <w:autoSpaceDN w:val="0"/>
        <w:adjustRightInd w:val="0"/>
        <w:spacing w:after="240"/>
        <w:ind w:left="924" w:hanging="357"/>
      </w:pPr>
      <w:r>
        <w:t>-</w:t>
      </w:r>
      <w:r>
        <w:tab/>
        <w:t>El Programa Nacional de Lucha contra el SIDA se ocupa de los niños víctima del VIH/SIDA;</w:t>
      </w:r>
    </w:p>
    <w:p w:rsidR="00000000" w:rsidRDefault="00000000">
      <w:pPr>
        <w:autoSpaceDE w:val="0"/>
        <w:autoSpaceDN w:val="0"/>
        <w:adjustRightInd w:val="0"/>
        <w:spacing w:after="240"/>
        <w:ind w:left="924" w:hanging="357"/>
      </w:pPr>
      <w:r>
        <w:t>-</w:t>
      </w:r>
      <w:r>
        <w:tab/>
        <w:t>Se ha creado un Programa Nacional de Lucha contra el Paludismo;</w:t>
      </w:r>
    </w:p>
    <w:p w:rsidR="00000000" w:rsidRDefault="00000000">
      <w:pPr>
        <w:autoSpaceDE w:val="0"/>
        <w:autoSpaceDN w:val="0"/>
        <w:adjustRightInd w:val="0"/>
        <w:spacing w:after="240"/>
        <w:ind w:left="924" w:hanging="357"/>
      </w:pPr>
      <w:r>
        <w:t>-</w:t>
      </w:r>
      <w:r>
        <w:tab/>
        <w:t>Se está realizando un examen del Código de Procedimiento Penal para establecer penas alternativas, con un servicio social que ocupe a los menores en prisión;</w:t>
      </w:r>
    </w:p>
    <w:p w:rsidR="00000000" w:rsidRDefault="00000000">
      <w:pPr>
        <w:autoSpaceDE w:val="0"/>
        <w:autoSpaceDN w:val="0"/>
        <w:adjustRightInd w:val="0"/>
        <w:spacing w:after="240"/>
        <w:ind w:left="924" w:hanging="357"/>
      </w:pPr>
      <w:r>
        <w:t>-</w:t>
      </w:r>
      <w:r>
        <w:tab/>
        <w:t>Se ha puesto en marcha un Proyecto de Mediación Familiar para acompañar a los niños en ruptura con el núcleo familiar;</w:t>
      </w:r>
    </w:p>
    <w:p w:rsidR="00000000" w:rsidRDefault="00000000">
      <w:pPr>
        <w:autoSpaceDE w:val="0"/>
        <w:autoSpaceDN w:val="0"/>
        <w:adjustRightInd w:val="0"/>
        <w:spacing w:after="240"/>
        <w:ind w:left="924" w:hanging="357"/>
      </w:pPr>
      <w:r>
        <w:t>-</w:t>
      </w:r>
      <w:r>
        <w:tab/>
        <w:t>Pronto se abrirá una Casa de Justicia para abordar mejor el problema de los niños;</w:t>
      </w:r>
    </w:p>
    <w:p w:rsidR="00000000" w:rsidRDefault="00000000">
      <w:pPr>
        <w:autoSpaceDE w:val="0"/>
        <w:autoSpaceDN w:val="0"/>
        <w:adjustRightInd w:val="0"/>
        <w:spacing w:after="240"/>
        <w:ind w:left="924" w:hanging="357"/>
      </w:pPr>
      <w:r>
        <w:t>-</w:t>
      </w:r>
      <w:r>
        <w:tab/>
        <w:t>Hay en fase de proyecto varias Casas de Solidaridad Familiar y Centros de Promoción y Reinserción Social para niños;</w:t>
      </w:r>
    </w:p>
    <w:p w:rsidR="00000000" w:rsidRDefault="00000000">
      <w:pPr>
        <w:autoSpaceDE w:val="0"/>
        <w:autoSpaceDN w:val="0"/>
        <w:adjustRightInd w:val="0"/>
        <w:spacing w:after="240"/>
        <w:ind w:left="924" w:hanging="357"/>
      </w:pPr>
      <w:r>
        <w:t>-</w:t>
      </w:r>
      <w:r>
        <w:tab/>
        <w:t>Está programada la capacitación de policías y magistrados en materia de prostitución de menores;</w:t>
      </w:r>
    </w:p>
    <w:p w:rsidR="00000000" w:rsidRDefault="00000000">
      <w:pPr>
        <w:autoSpaceDE w:val="0"/>
        <w:autoSpaceDN w:val="0"/>
        <w:adjustRightInd w:val="0"/>
        <w:spacing w:after="240"/>
        <w:ind w:left="924" w:hanging="357"/>
      </w:pPr>
      <w:r>
        <w:t>-</w:t>
      </w:r>
      <w:r>
        <w:tab/>
        <w:t>Se ha comprendido la necesidad de armonizar las medidas y programas en favor de los niños huérfanos y se ha designado a una responsable en el Ministerio de Salud y Prevención Social;</w:t>
      </w:r>
    </w:p>
    <w:p w:rsidR="00000000" w:rsidRDefault="00000000">
      <w:pPr>
        <w:autoSpaceDE w:val="0"/>
        <w:autoSpaceDN w:val="0"/>
        <w:adjustRightInd w:val="0"/>
        <w:spacing w:after="240"/>
        <w:ind w:left="924" w:hanging="357"/>
      </w:pPr>
      <w:r>
        <w:t>-</w:t>
      </w:r>
      <w:r>
        <w:tab/>
        <w:t>Se ha adoptado un Plan de Acción para los Niños en Situación Vulnerable;</w:t>
      </w:r>
    </w:p>
    <w:p w:rsidR="00000000" w:rsidRDefault="00000000">
      <w:pPr>
        <w:autoSpaceDE w:val="0"/>
        <w:autoSpaceDN w:val="0"/>
        <w:adjustRightInd w:val="0"/>
        <w:spacing w:after="240"/>
        <w:ind w:left="924" w:hanging="357"/>
      </w:pPr>
      <w:r>
        <w:t>-</w:t>
      </w:r>
      <w:r>
        <w:tab/>
        <w:t>Se está elaborando un Programa de Formación de Policías, Magistrados y Otros Auxiliares de Justicia acerca de la Convención sobre los Derechos del Niño;</w:t>
      </w:r>
    </w:p>
    <w:p w:rsidR="00000000" w:rsidRDefault="00000000">
      <w:pPr>
        <w:autoSpaceDE w:val="0"/>
        <w:autoSpaceDN w:val="0"/>
        <w:adjustRightInd w:val="0"/>
        <w:spacing w:after="240"/>
        <w:ind w:left="924" w:hanging="357"/>
      </w:pPr>
      <w:r>
        <w:t>-</w:t>
      </w:r>
      <w:r>
        <w:tab/>
        <w:t xml:space="preserve">Tras la realización en 2000 de un estudio encomendado por el </w:t>
      </w:r>
      <w:r>
        <w:rPr>
          <w:bCs/>
          <w:lang w:val="es-ES_tradnl"/>
        </w:rPr>
        <w:t>Ministerio de la Familia, el Desarrollo Social y la Solidaridad Nacional</w:t>
      </w:r>
      <w:r>
        <w:t xml:space="preserve"> en colaboración con la Dirección sobre los Niños en Situación de Riesgo, se está preparando el correspondiente Plan Nacional de Acción en colaboración con el UNICEF.</w:t>
      </w:r>
    </w:p>
    <w:p w:rsidR="00000000" w:rsidRDefault="00000000">
      <w:pPr>
        <w:autoSpaceDE w:val="0"/>
        <w:autoSpaceDN w:val="0"/>
        <w:adjustRightInd w:val="0"/>
        <w:spacing w:after="240"/>
      </w:pPr>
      <w:r>
        <w:t>346.</w:t>
      </w:r>
      <w:r>
        <w:tab/>
        <w:t>Los culpables de violación o abuso sexual de menores de 13 años no pueden obtener la amnistía Presidencial.</w:t>
      </w:r>
    </w:p>
    <w:p w:rsidR="00000000" w:rsidRDefault="00000000">
      <w:pPr>
        <w:autoSpaceDE w:val="0"/>
        <w:autoSpaceDN w:val="0"/>
        <w:adjustRightInd w:val="0"/>
        <w:spacing w:after="240"/>
      </w:pPr>
      <w:r>
        <w:t>347.</w:t>
      </w:r>
      <w:r>
        <w:tab/>
        <w:t>En lo que respecta al cambio de comportamiento, la idea es combatir los matrimonios precoces y forzados.</w:t>
      </w:r>
    </w:p>
    <w:p w:rsidR="00000000" w:rsidRDefault="00000000">
      <w:pPr>
        <w:autoSpaceDE w:val="0"/>
        <w:autoSpaceDN w:val="0"/>
        <w:adjustRightInd w:val="0"/>
        <w:spacing w:after="240"/>
        <w:ind w:left="567" w:hanging="567"/>
        <w:rPr>
          <w:b/>
          <w:bCs/>
        </w:rPr>
      </w:pPr>
      <w:r>
        <w:rPr>
          <w:b/>
          <w:bCs/>
        </w:rPr>
        <w:t>8.6.</w:t>
      </w:r>
      <w:r>
        <w:rPr>
          <w:b/>
          <w:bCs/>
        </w:rPr>
        <w:tab/>
        <w:t>Medidas adoptadas para proteger a los niños que viven, trabajan y mendigan en la calle</w:t>
      </w:r>
    </w:p>
    <w:p w:rsidR="00000000" w:rsidRDefault="00000000">
      <w:pPr>
        <w:autoSpaceDE w:val="0"/>
        <w:autoSpaceDN w:val="0"/>
        <w:adjustRightInd w:val="0"/>
        <w:spacing w:after="240"/>
      </w:pPr>
      <w:r>
        <w:t>348.</w:t>
      </w:r>
      <w:r>
        <w:tab/>
        <w:t>El Gobierno del Senegal ve con preocupación la mendicidad infantil y el fenómeno de los niños de la calle.</w:t>
      </w:r>
    </w:p>
    <w:p w:rsidR="00000000" w:rsidRDefault="00000000">
      <w:pPr>
        <w:autoSpaceDE w:val="0"/>
        <w:autoSpaceDN w:val="0"/>
        <w:adjustRightInd w:val="0"/>
        <w:spacing w:after="240"/>
      </w:pPr>
      <w:r>
        <w:t>349.</w:t>
      </w:r>
      <w:r>
        <w:tab/>
        <w:t xml:space="preserve">Se han adoptado por ello, medidas reglamentarias (artículos 241 a 247 </w:t>
      </w:r>
      <w:r>
        <w:rPr>
          <w:i/>
          <w:iCs/>
        </w:rPr>
        <w:t>bis</w:t>
      </w:r>
      <w:r>
        <w:t xml:space="preserve"> del Código Penal, que prohíben la mendicidad, con las excepciones previstas por la religión).  Se puede citar por ejemplo el párrafo 2 del artículo 245 (Ley Nº 75-77 de 9 de julio de 1977) que dispone que se castigará con penas de tres a seis meses de cárcel a las personas que permitan mendigar a menores de 18 años que se encuentren bajo su autoridad.</w:t>
      </w:r>
    </w:p>
    <w:p w:rsidR="00000000" w:rsidRDefault="00000000">
      <w:pPr>
        <w:autoSpaceDE w:val="0"/>
        <w:autoSpaceDN w:val="0"/>
        <w:adjustRightInd w:val="0"/>
        <w:spacing w:after="240"/>
      </w:pPr>
      <w:r>
        <w:t>350.</w:t>
      </w:r>
      <w:r>
        <w:tab/>
        <w:t>Sin embargo, la ambigüedad de estos artículos atenúa su aplicación.  Más allá de estos aspectos jurídicos, el Gobierno, en colaboración con el UNICEF y con algunas ONG, ha puesto en marcha programas para mejorar las condiciones de vida y la educación básica de los niños de las escuelas coránicas (</w:t>
      </w:r>
      <w:proofErr w:type="spellStart"/>
      <w:r>
        <w:rPr>
          <w:i/>
          <w:iCs/>
        </w:rPr>
        <w:t>talibés</w:t>
      </w:r>
      <w:proofErr w:type="spellEnd"/>
      <w:r>
        <w:t>) y de los niños de la calle.</w:t>
      </w:r>
    </w:p>
    <w:p w:rsidR="00000000" w:rsidRDefault="00000000">
      <w:pPr>
        <w:spacing w:after="240"/>
      </w:pPr>
      <w:r>
        <w:t>351.</w:t>
      </w:r>
      <w:r>
        <w:tab/>
        <w:t xml:space="preserve">El proyecto "Restitución de los Derechos de los </w:t>
      </w:r>
      <w:proofErr w:type="spellStart"/>
      <w:r>
        <w:rPr>
          <w:i/>
          <w:iCs/>
        </w:rPr>
        <w:t>Talibés</w:t>
      </w:r>
      <w:proofErr w:type="spellEnd"/>
      <w:r>
        <w:t xml:space="preserve">" del Programa Niños en Situación Particularmente Difícil del Programa de Cooperación entre el Gobierno del Senegal y el UNICEF (1992-1996), cuyo objetivo general era contribuir a la lucha contra la mendicidad de los </w:t>
      </w:r>
      <w:proofErr w:type="spellStart"/>
      <w:r>
        <w:rPr>
          <w:i/>
          <w:iCs/>
        </w:rPr>
        <w:t>talibés</w:t>
      </w:r>
      <w:proofErr w:type="spellEnd"/>
      <w:r>
        <w:t>, cuyo número se estimaba en 100.000, en las encuestas realizadas en 1992 y 1993 por la Dirección de Acción Social (Ministerio de Salud y Acción Social) y el UNICEF, tiene por objeto mejorar las condiciones de vida y la educación básica de 30.000 alumnos de las escuelas coránicas que mendigan (</w:t>
      </w:r>
      <w:proofErr w:type="spellStart"/>
      <w:r>
        <w:rPr>
          <w:i/>
          <w:iCs/>
        </w:rPr>
        <w:t>talibés</w:t>
      </w:r>
      <w:proofErr w:type="spellEnd"/>
      <w:r>
        <w:t xml:space="preserve">).  Dentro del Programa de Cooperación entre el Gobierno del Senegal y el UNICEF (1997-2001), el proyecto se centra en otros 50.000 </w:t>
      </w:r>
      <w:proofErr w:type="spellStart"/>
      <w:r>
        <w:rPr>
          <w:i/>
          <w:iCs/>
        </w:rPr>
        <w:t>talibés</w:t>
      </w:r>
      <w:proofErr w:type="spellEnd"/>
      <w:r>
        <w:t xml:space="preserve">.  Organizaciones no gubernamentales como </w:t>
      </w:r>
      <w:proofErr w:type="spellStart"/>
      <w:r>
        <w:t>ATD</w:t>
      </w:r>
      <w:proofErr w:type="spellEnd"/>
      <w:r>
        <w:t xml:space="preserve"> Cuarto Mundo, asociaciones de jóvenes, asociaciones de mujeres, algunos líderes religiosos y comités de apoyo de las poblaciones apoyan al Gobierno.  La </w:t>
      </w:r>
      <w:proofErr w:type="spellStart"/>
      <w:r>
        <w:t>Daara</w:t>
      </w:r>
      <w:proofErr w:type="spellEnd"/>
      <w:r>
        <w:t xml:space="preserve"> de </w:t>
      </w:r>
      <w:proofErr w:type="spellStart"/>
      <w:r>
        <w:t>Malika</w:t>
      </w:r>
      <w:proofErr w:type="spellEnd"/>
      <w:r>
        <w:t xml:space="preserve"> es la figura emblemática en la lucha contra la mendicidad de los </w:t>
      </w:r>
      <w:proofErr w:type="spellStart"/>
      <w:r>
        <w:rPr>
          <w:i/>
          <w:iCs/>
        </w:rPr>
        <w:t>talibés</w:t>
      </w:r>
      <w:proofErr w:type="spellEnd"/>
      <w:r>
        <w:t xml:space="preserve">.  La Fundación </w:t>
      </w:r>
      <w:proofErr w:type="spellStart"/>
      <w:r>
        <w:t>Paul</w:t>
      </w:r>
      <w:proofErr w:type="spellEnd"/>
      <w:r>
        <w:t xml:space="preserve"> </w:t>
      </w:r>
      <w:proofErr w:type="spellStart"/>
      <w:r>
        <w:t>Guérin</w:t>
      </w:r>
      <w:proofErr w:type="spellEnd"/>
      <w:r>
        <w:t>-</w:t>
      </w:r>
      <w:proofErr w:type="spellStart"/>
      <w:r>
        <w:t>LAJOIE</w:t>
      </w:r>
      <w:proofErr w:type="spellEnd"/>
      <w:r>
        <w:t xml:space="preserve"> iniciará dentro de poco en Saint Louis un proyecto de apoyo a la formación de los </w:t>
      </w:r>
      <w:proofErr w:type="spellStart"/>
      <w:r>
        <w:rPr>
          <w:i/>
          <w:iCs/>
        </w:rPr>
        <w:t>talibés</w:t>
      </w:r>
      <w:proofErr w:type="spellEnd"/>
      <w:r>
        <w:t xml:space="preserve"> mendicantes que tendrá en cuenta a las niñas de la calle.  El proyecto realizará una inversión de 1 millón de dólares canadienses al año durante cinco años.</w:t>
      </w:r>
    </w:p>
    <w:p w:rsidR="00000000" w:rsidRDefault="00000000">
      <w:pPr>
        <w:autoSpaceDE w:val="0"/>
        <w:autoSpaceDN w:val="0"/>
        <w:adjustRightInd w:val="0"/>
        <w:spacing w:after="240"/>
      </w:pPr>
      <w:r>
        <w:t>352.</w:t>
      </w:r>
      <w:r>
        <w:tab/>
        <w:t xml:space="preserve">Por lo que respecta a los niños de la calle, se calcula que su número asciende a 10.000, según encuestas parciales realizadas entre 1992 y 1995.  Aunque las estadísticas siguen siendo imprecisas, se observa </w:t>
      </w:r>
      <w:proofErr w:type="spellStart"/>
      <w:r>
        <w:t>clarísimamente</w:t>
      </w:r>
      <w:proofErr w:type="spellEnd"/>
      <w:r>
        <w:t xml:space="preserve"> que el número de niños en situación de riesgo, que seguía siendo marginal a fines de los años setenta, ha aumentado progresivamente para culminar a fines de 1999 en más de 300.000, o incluso 400.000 según los cálculos del Gobierno realizados en el marco de la formulación de su "Visión del Niño en el Tercer Milenio".  El número de niñas y niños que viven en situación de riesgo oscilaría entre el 2,5 y el 3%, puede que incluso el 4% de la población total del país, que se calcula en unos 10 millones de habitantes en este principio del tercer milenio (extracto del Programa Nacional de Ayuda a los Niños en Situación de Riesgo (</w:t>
      </w:r>
      <w:r>
        <w:rPr>
          <w:bCs/>
          <w:lang w:val="es-ES_tradnl"/>
        </w:rPr>
        <w:t>Ministerio de la Familia, el Desarrollo Social y la Solidaridad Nacional</w:t>
      </w:r>
      <w:r>
        <w:t>, diciembre de 2000)).</w:t>
      </w:r>
    </w:p>
    <w:p w:rsidR="00000000" w:rsidRDefault="00000000">
      <w:pPr>
        <w:autoSpaceDE w:val="0"/>
        <w:autoSpaceDN w:val="0"/>
        <w:adjustRightInd w:val="0"/>
        <w:spacing w:after="240"/>
      </w:pPr>
      <w:r>
        <w:t>353.</w:t>
      </w:r>
      <w:r>
        <w:tab/>
        <w:t xml:space="preserve">En el marco del Programa de Cooperación entre el Gobierno del Senegal y el UNICEF (1997-2001), </w:t>
      </w:r>
      <w:proofErr w:type="spellStart"/>
      <w:r>
        <w:t>OIT/IPEC</w:t>
      </w:r>
      <w:proofErr w:type="spellEnd"/>
      <w:r>
        <w:t xml:space="preserve"> y el Fondo de Población de las Naciones Unidas (FNUAP)</w:t>
      </w:r>
      <w:r>
        <w:rPr>
          <w:color w:val="000000"/>
        </w:rPr>
        <w:t xml:space="preserve"> sobre</w:t>
      </w:r>
      <w:r>
        <w:t xml:space="preserve"> las </w:t>
      </w:r>
      <w:proofErr w:type="spellStart"/>
      <w:r>
        <w:rPr>
          <w:i/>
          <w:iCs/>
        </w:rPr>
        <w:t>daaras</w:t>
      </w:r>
      <w:proofErr w:type="spellEnd"/>
      <w:r>
        <w:t>, los niños son objeto de medidas que tienden a mejorar sus condiciones de vida y su educación básica.</w:t>
      </w:r>
    </w:p>
    <w:p w:rsidR="00000000" w:rsidRDefault="00000000">
      <w:pPr>
        <w:autoSpaceDE w:val="0"/>
        <w:autoSpaceDN w:val="0"/>
        <w:adjustRightInd w:val="0"/>
        <w:spacing w:after="480"/>
      </w:pPr>
      <w:r>
        <w:t>354.</w:t>
      </w:r>
      <w:r>
        <w:tab/>
        <w:t xml:space="preserve">Cabe destacar que organizaciones como </w:t>
      </w:r>
      <w:r>
        <w:rPr>
          <w:lang w:val="es-ES_tradnl"/>
        </w:rPr>
        <w:t>Medio Ambiente y Desarrollo en el Tercer Mundo</w:t>
      </w:r>
      <w:r>
        <w:t xml:space="preserve">, </w:t>
      </w:r>
      <w:proofErr w:type="spellStart"/>
      <w:r>
        <w:t>Pour</w:t>
      </w:r>
      <w:proofErr w:type="spellEnd"/>
      <w:r>
        <w:t xml:space="preserve"> le </w:t>
      </w:r>
      <w:proofErr w:type="spellStart"/>
      <w:r>
        <w:t>Sourire</w:t>
      </w:r>
      <w:proofErr w:type="spellEnd"/>
      <w:r>
        <w:t xml:space="preserve"> de </w:t>
      </w:r>
      <w:proofErr w:type="spellStart"/>
      <w:r>
        <w:t>l'Enfant</w:t>
      </w:r>
      <w:proofErr w:type="spellEnd"/>
      <w:r>
        <w:t xml:space="preserve">, el </w:t>
      </w:r>
      <w:proofErr w:type="spellStart"/>
      <w:r>
        <w:t>Fonds</w:t>
      </w:r>
      <w:proofErr w:type="spellEnd"/>
      <w:r>
        <w:t xml:space="preserve"> de </w:t>
      </w:r>
      <w:proofErr w:type="spellStart"/>
      <w:r>
        <w:t>Solidarité</w:t>
      </w:r>
      <w:proofErr w:type="spellEnd"/>
      <w:r>
        <w:t xml:space="preserve"> </w:t>
      </w:r>
      <w:proofErr w:type="spellStart"/>
      <w:r>
        <w:t>pour</w:t>
      </w:r>
      <w:proofErr w:type="spellEnd"/>
      <w:r>
        <w:t xml:space="preserve"> les </w:t>
      </w:r>
      <w:proofErr w:type="spellStart"/>
      <w:r>
        <w:t>Enfants</w:t>
      </w:r>
      <w:proofErr w:type="spellEnd"/>
      <w:r>
        <w:t xml:space="preserve"> de la </w:t>
      </w:r>
      <w:proofErr w:type="spellStart"/>
      <w:r>
        <w:t>Rue</w:t>
      </w:r>
      <w:proofErr w:type="spellEnd"/>
      <w:r>
        <w:t xml:space="preserve"> (</w:t>
      </w:r>
      <w:proofErr w:type="spellStart"/>
      <w:r>
        <w:t>FSER</w:t>
      </w:r>
      <w:proofErr w:type="spellEnd"/>
      <w:r>
        <w:t xml:space="preserve">), </w:t>
      </w:r>
      <w:proofErr w:type="spellStart"/>
      <w:r>
        <w:t>Espoir</w:t>
      </w:r>
      <w:proofErr w:type="spellEnd"/>
      <w:r>
        <w:t xml:space="preserve"> Sans </w:t>
      </w:r>
      <w:proofErr w:type="spellStart"/>
      <w:r>
        <w:t>Frontière</w:t>
      </w:r>
      <w:proofErr w:type="spellEnd"/>
      <w:r>
        <w:t xml:space="preserve">, la </w:t>
      </w:r>
      <w:proofErr w:type="spellStart"/>
      <w:r>
        <w:t>Association</w:t>
      </w:r>
      <w:proofErr w:type="spellEnd"/>
      <w:r>
        <w:t xml:space="preserve"> </w:t>
      </w:r>
      <w:proofErr w:type="spellStart"/>
      <w:r>
        <w:t>Sénégalaise</w:t>
      </w:r>
      <w:proofErr w:type="spellEnd"/>
      <w:r>
        <w:t xml:space="preserve"> </w:t>
      </w:r>
      <w:proofErr w:type="spellStart"/>
      <w:r>
        <w:t>pour</w:t>
      </w:r>
      <w:proofErr w:type="spellEnd"/>
      <w:r>
        <w:t xml:space="preserve"> le </w:t>
      </w:r>
      <w:proofErr w:type="spellStart"/>
      <w:r>
        <w:t>Développement</w:t>
      </w:r>
      <w:proofErr w:type="spellEnd"/>
      <w:r>
        <w:t xml:space="preserve"> des </w:t>
      </w:r>
      <w:proofErr w:type="spellStart"/>
      <w:r>
        <w:t>Initiatives</w:t>
      </w:r>
      <w:proofErr w:type="spellEnd"/>
      <w:r>
        <w:t xml:space="preserve"> </w:t>
      </w:r>
      <w:proofErr w:type="spellStart"/>
      <w:r>
        <w:t>Communautaires</w:t>
      </w:r>
      <w:proofErr w:type="spellEnd"/>
      <w:r>
        <w:t xml:space="preserve"> (</w:t>
      </w:r>
      <w:proofErr w:type="spellStart"/>
      <w:r>
        <w:t>ASDIC</w:t>
      </w:r>
      <w:proofErr w:type="spellEnd"/>
      <w:r>
        <w:t xml:space="preserve">) y Avenir de </w:t>
      </w:r>
      <w:proofErr w:type="spellStart"/>
      <w:r>
        <w:t>l'Enfant</w:t>
      </w:r>
      <w:proofErr w:type="spellEnd"/>
      <w:r>
        <w:t xml:space="preserve"> sur la </w:t>
      </w:r>
      <w:proofErr w:type="spellStart"/>
      <w:r>
        <w:t>Protection</w:t>
      </w:r>
      <w:proofErr w:type="spellEnd"/>
      <w:r>
        <w:t xml:space="preserve"> de </w:t>
      </w:r>
      <w:proofErr w:type="spellStart"/>
      <w:r>
        <w:t>l'Enfant</w:t>
      </w:r>
      <w:proofErr w:type="spellEnd"/>
      <w:r>
        <w:t xml:space="preserve"> (con un observatorio en </w:t>
      </w:r>
      <w:proofErr w:type="spellStart"/>
      <w:r>
        <w:t>Mbour</w:t>
      </w:r>
      <w:proofErr w:type="spellEnd"/>
      <w:r>
        <w:t>) despliegan ya actividades para mejorar las condiciones de vida de los niños de la calle y defenderlos.</w:t>
      </w:r>
    </w:p>
    <w:p w:rsidR="00000000" w:rsidRDefault="00000000">
      <w:pPr>
        <w:autoSpaceDE w:val="0"/>
        <w:autoSpaceDN w:val="0"/>
        <w:adjustRightInd w:val="0"/>
        <w:spacing w:after="240"/>
        <w:jc w:val="center"/>
      </w:pPr>
      <w:r>
        <w:rPr>
          <w:b/>
          <w:bCs/>
        </w:rPr>
        <w:t>CONCLUSIÓN GENERAL</w:t>
      </w:r>
    </w:p>
    <w:p w:rsidR="00000000" w:rsidRDefault="00000000">
      <w:pPr>
        <w:autoSpaceDE w:val="0"/>
        <w:autoSpaceDN w:val="0"/>
        <w:adjustRightInd w:val="0"/>
        <w:spacing w:after="240"/>
      </w:pPr>
      <w:r>
        <w:t>355.</w:t>
      </w:r>
      <w:r>
        <w:tab/>
        <w:t>Como se puede observar, el Senegal se preocupa constantemente de los niños en situación difícil.</w:t>
      </w:r>
    </w:p>
    <w:p w:rsidR="00000000" w:rsidRDefault="00000000">
      <w:pPr>
        <w:autoSpaceDE w:val="0"/>
        <w:autoSpaceDN w:val="0"/>
        <w:adjustRightInd w:val="0"/>
        <w:spacing w:after="240"/>
      </w:pPr>
      <w:r>
        <w:t>356.</w:t>
      </w:r>
      <w:r>
        <w:tab/>
        <w:t>Ello se ha traducido, entre otras cosas, en la ratificación de diversos instrumentos relativos a los derechos del niño, la satisfacción de las necesidades de los niños en la ejecución de los distintos proyectos sociales y la aplicación de distintos programas en el marco de la cooperación con los organismos de las Naciones Unidas y las distintas ONG.</w:t>
      </w:r>
    </w:p>
    <w:p w:rsidR="00000000" w:rsidRDefault="00000000">
      <w:pPr>
        <w:autoSpaceDE w:val="0"/>
        <w:autoSpaceDN w:val="0"/>
        <w:adjustRightInd w:val="0"/>
        <w:spacing w:after="240"/>
      </w:pPr>
      <w:r>
        <w:t>357.</w:t>
      </w:r>
      <w:r>
        <w:tab/>
        <w:t>Las centrales sindicales (</w:t>
      </w:r>
      <w:proofErr w:type="spellStart"/>
      <w:r>
        <w:t>CNTS</w:t>
      </w:r>
      <w:proofErr w:type="spellEnd"/>
      <w:r>
        <w:t xml:space="preserve">, </w:t>
      </w:r>
      <w:proofErr w:type="spellStart"/>
      <w:r>
        <w:t>UNSAS</w:t>
      </w:r>
      <w:proofErr w:type="spellEnd"/>
      <w:r>
        <w:t xml:space="preserve">, </w:t>
      </w:r>
      <w:proofErr w:type="spellStart"/>
      <w:r>
        <w:t>CSA</w:t>
      </w:r>
      <w:proofErr w:type="spellEnd"/>
      <w:r>
        <w:t>) han creado un Observatorio de los Jóvenes para supervisar el trabajo de los niños en las empresas y otros lugares de trabajo a fin de velar por el respeto de las convenciones internacionales y la legislación nacional y, en caso necesario, por su formación según las disposiciones de la legislación senegalesa.</w:t>
      </w:r>
    </w:p>
    <w:p w:rsidR="00000000" w:rsidRDefault="00000000">
      <w:pPr>
        <w:autoSpaceDE w:val="0"/>
        <w:autoSpaceDN w:val="0"/>
        <w:adjustRightInd w:val="0"/>
        <w:spacing w:after="240"/>
      </w:pPr>
      <w:r>
        <w:t>358.</w:t>
      </w:r>
      <w:r>
        <w:tab/>
        <w:t>Cabe señalar también la intervención personal del Jefe del Estado, que ha permitido la redacción de directrices presidenciales para perseguir los objetivos globales del año 2000 en materia de supervivencia, desarrollo y protección de los niños, así como su dotación en material escolar mediante el llamamiento urgente y muchas veces renovado a los colaboradores, industriales, dirigentes de empresas y sociedades para el equipo y la atención a los niños, sobre todo en lo que respecta a su escolarización.</w:t>
      </w:r>
    </w:p>
    <w:p w:rsidR="00000000" w:rsidRDefault="00000000">
      <w:pPr>
        <w:autoSpaceDE w:val="0"/>
        <w:autoSpaceDN w:val="0"/>
        <w:adjustRightInd w:val="0"/>
        <w:spacing w:after="240"/>
      </w:pPr>
      <w:r>
        <w:t>359.</w:t>
      </w:r>
      <w:r>
        <w:tab/>
        <w:t>El proyecto de construcción de 28.000 cabañas para la primera infancia es una forma viva de concretización práctica de esta voluntad, que se traduce en una importante orientación de política.  No obstante, este proyecto se deberá completar con la construcción de 3.500 aulas al año para la escolarización, además de una cantidad de institutos e institutos superiores, que esté a la altura de las necesidades.</w:t>
      </w:r>
    </w:p>
    <w:p w:rsidR="00000000" w:rsidRDefault="00000000">
      <w:pPr>
        <w:autoSpaceDE w:val="0"/>
        <w:autoSpaceDN w:val="0"/>
        <w:adjustRightInd w:val="0"/>
        <w:spacing w:after="240"/>
      </w:pPr>
      <w:r>
        <w:t>360.</w:t>
      </w:r>
      <w:r>
        <w:tab/>
        <w:t>Es evidente pues la voluntad de las autoridades de lograr un mayor respeto de los derechos del niño.</w:t>
      </w:r>
    </w:p>
    <w:p w:rsidR="00000000" w:rsidRDefault="00000000">
      <w:pPr>
        <w:autoSpaceDE w:val="0"/>
        <w:autoSpaceDN w:val="0"/>
        <w:adjustRightInd w:val="0"/>
        <w:spacing w:after="240"/>
      </w:pPr>
      <w:r>
        <w:t>361.</w:t>
      </w:r>
      <w:r>
        <w:tab/>
        <w:t>Queda sin embargo mucho por hacer, sobre todo en lo que respecta a la escolarización obligatoria, el límite superior para la definición de la edad escolar, la definición de niño, la participación del niño en la administración de la escuela (enseñanza primaria, media secundaria y secundaria), las infraestructuras escolares, los niños discapacitados, la asistencia a las niñas víctimas de embarazos precoces, la atención a los más pequeños, la mortalidad en los primeros años de vida, la desnutrición de los niños, etc.</w:t>
      </w:r>
    </w:p>
    <w:p w:rsidR="00000000" w:rsidRDefault="00000000">
      <w:pPr>
        <w:autoSpaceDE w:val="0"/>
        <w:autoSpaceDN w:val="0"/>
        <w:adjustRightInd w:val="0"/>
        <w:spacing w:after="240"/>
      </w:pPr>
      <w:r>
        <w:t>362.</w:t>
      </w:r>
      <w:r>
        <w:tab/>
        <w:t>Con la construcción de una visión nacional que se apoya en las fuerzas vivas de la nación decididas a preservar y hacer respetar los derechos del niño y la participación de las autoridades locales en el marco de la descentralización y la valoración de los recursos locales, está claro que la situación de los niños experimenta, ahora que comienza el tercer milenio, una evolución cualitativa importante.</w:t>
      </w:r>
    </w:p>
    <w:p w:rsidR="00000000" w:rsidRDefault="00000000">
      <w:pPr>
        <w:autoSpaceDE w:val="0"/>
        <w:autoSpaceDN w:val="0"/>
        <w:adjustRightInd w:val="0"/>
        <w:spacing w:after="240"/>
        <w:jc w:val="center"/>
        <w:rPr>
          <w:b/>
          <w:bCs/>
        </w:rPr>
      </w:pPr>
      <w:r>
        <w:br w:type="page"/>
      </w:r>
      <w:r>
        <w:rPr>
          <w:b/>
          <w:bCs/>
        </w:rPr>
        <w:t>Anexo</w:t>
      </w:r>
    </w:p>
    <w:p w:rsidR="00000000" w:rsidRDefault="00000000">
      <w:pPr>
        <w:autoSpaceDE w:val="0"/>
        <w:autoSpaceDN w:val="0"/>
        <w:adjustRightInd w:val="0"/>
        <w:spacing w:after="240"/>
        <w:jc w:val="center"/>
        <w:rPr>
          <w:b/>
          <w:bCs/>
        </w:rPr>
      </w:pPr>
      <w:r>
        <w:rPr>
          <w:b/>
          <w:bCs/>
        </w:rPr>
        <w:t>REPÚBLICA DEL SENEGAL</w:t>
      </w:r>
    </w:p>
    <w:p w:rsidR="00000000" w:rsidRDefault="00000000">
      <w:pPr>
        <w:autoSpaceDE w:val="0"/>
        <w:autoSpaceDN w:val="0"/>
        <w:adjustRightInd w:val="0"/>
        <w:spacing w:after="240"/>
        <w:jc w:val="center"/>
        <w:rPr>
          <w:b/>
          <w:bCs/>
        </w:rPr>
      </w:pPr>
      <w:r>
        <w:rPr>
          <w:b/>
          <w:bCs/>
        </w:rPr>
        <w:t>un pueblo, un objetivo, una fe</w:t>
      </w:r>
    </w:p>
    <w:p w:rsidR="00000000" w:rsidRDefault="00000000">
      <w:pPr>
        <w:autoSpaceDE w:val="0"/>
        <w:autoSpaceDN w:val="0"/>
        <w:adjustRightInd w:val="0"/>
        <w:spacing w:after="240"/>
        <w:jc w:val="center"/>
        <w:rPr>
          <w:b/>
          <w:bCs/>
        </w:rPr>
      </w:pPr>
      <w:r>
        <w:rPr>
          <w:b/>
          <w:bCs/>
        </w:rPr>
        <w:t>Ley Nº 99-05 de 31 de enero de 1999 por la que se modifican</w:t>
      </w:r>
      <w:r>
        <w:rPr>
          <w:b/>
          <w:bCs/>
        </w:rPr>
        <w:br/>
        <w:t>determinadas disposiciones del Código Penal</w:t>
      </w:r>
    </w:p>
    <w:p w:rsidR="00000000" w:rsidRDefault="00000000">
      <w:pPr>
        <w:autoSpaceDE w:val="0"/>
        <w:autoSpaceDN w:val="0"/>
        <w:adjustRightInd w:val="0"/>
        <w:spacing w:after="240"/>
      </w:pPr>
      <w:r>
        <w:tab/>
        <w:t>La Asamblea Nacional, tras haber deliberado, aprobó esta ley en su sesión del miércoles 13 de enero de 1999;</w:t>
      </w:r>
    </w:p>
    <w:p w:rsidR="00000000" w:rsidRDefault="00000000">
      <w:pPr>
        <w:autoSpaceDE w:val="0"/>
        <w:autoSpaceDN w:val="0"/>
        <w:adjustRightInd w:val="0"/>
        <w:spacing w:after="240"/>
      </w:pPr>
      <w:r>
        <w:tab/>
        <w:t>El Presidente de la República promulga esta ley, que dice lo siguiente:</w:t>
      </w:r>
    </w:p>
    <w:p w:rsidR="00000000" w:rsidRDefault="00000000">
      <w:pPr>
        <w:autoSpaceDE w:val="0"/>
        <w:autoSpaceDN w:val="0"/>
        <w:adjustRightInd w:val="0"/>
        <w:spacing w:after="240"/>
      </w:pPr>
      <w:r>
        <w:rPr>
          <w:b/>
          <w:bCs/>
        </w:rPr>
        <w:tab/>
        <w:t>Artículo Primero</w:t>
      </w:r>
      <w:r>
        <w:t>.  Quedan abolidos los artículos 4, 80, 238, 239, 240, artículo 294 (</w:t>
      </w:r>
      <w:proofErr w:type="spellStart"/>
      <w:r>
        <w:t>párr.</w:t>
      </w:r>
      <w:proofErr w:type="spellEnd"/>
      <w:r>
        <w:t> 2) y 320 del Código Penal, que serán sustituidos por las siguientes disposiciones:</w:t>
      </w:r>
    </w:p>
    <w:p w:rsidR="00000000" w:rsidRDefault="00000000">
      <w:pPr>
        <w:autoSpaceDE w:val="0"/>
        <w:autoSpaceDN w:val="0"/>
        <w:adjustRightInd w:val="0"/>
        <w:spacing w:after="240"/>
      </w:pPr>
      <w:r>
        <w:rPr>
          <w:b/>
          <w:bCs/>
        </w:rPr>
        <w:tab/>
        <w:t>Artículo 4</w:t>
      </w:r>
      <w:r>
        <w:t>.  Ningún crimen, delito o infracción se podrá castigar con penas que no estuvieran previstas en las leyes o reglamentos antes de su comisión.</w:t>
      </w:r>
    </w:p>
    <w:p w:rsidR="00000000" w:rsidRDefault="00000000">
      <w:pPr>
        <w:autoSpaceDE w:val="0"/>
        <w:autoSpaceDN w:val="0"/>
        <w:adjustRightInd w:val="0"/>
        <w:spacing w:after="240"/>
      </w:pPr>
      <w:r>
        <w:rPr>
          <w:b/>
          <w:bCs/>
        </w:rPr>
        <w:tab/>
        <w:t>Artículo 80</w:t>
      </w:r>
      <w:r>
        <w:t>.  Las demás maniobras y actos que comprometan la seguridad pública o provoquen desórdenes políticos graves, o que atenten contra las leyes del país, serán castigados con penas de cárcel de tres a cinco años y con una multa de 100.000 a 500.000 francos.  Además se desterrará a los culpables.</w:t>
      </w:r>
    </w:p>
    <w:p w:rsidR="00000000" w:rsidRDefault="00000000">
      <w:pPr>
        <w:autoSpaceDE w:val="0"/>
        <w:autoSpaceDN w:val="0"/>
        <w:adjustRightInd w:val="0"/>
        <w:spacing w:after="240"/>
      </w:pPr>
      <w:r>
        <w:tab/>
        <w:t>Toda persona que haya recibido, aceptado, solicitado o permitido donaciones, regalos, subsidios, ofertas, promesas o cualquier otro beneficio para dedicarse a una propaganda que comprometa la seguridad pública, que provoque desórdenes políticos graves o que incite a los ciudadanos a infringir las leyes del país será castigada con una pena de cárcel de un año a cinco años y con una multa que iguale o duplique el valor de las promesas aceptadas o de los objetos recibidos o solicitados, sin que dicha multa pueda ser inferior a 100.000 francos.  Además se desterrará a los culpables.</w:t>
      </w:r>
    </w:p>
    <w:p w:rsidR="00000000" w:rsidRDefault="00000000">
      <w:pPr>
        <w:autoSpaceDE w:val="0"/>
        <w:autoSpaceDN w:val="0"/>
        <w:adjustRightInd w:val="0"/>
        <w:spacing w:after="240"/>
      </w:pPr>
      <w:r>
        <w:tab/>
        <w:t>No se restituirán nunca los objetos recibidos ni su valor, que serán confiscados en beneficio del Tesoro público.</w:t>
      </w:r>
    </w:p>
    <w:p w:rsidR="00000000" w:rsidRDefault="00000000">
      <w:pPr>
        <w:autoSpaceDE w:val="0"/>
        <w:autoSpaceDN w:val="0"/>
        <w:adjustRightInd w:val="0"/>
        <w:spacing w:after="240"/>
      </w:pPr>
      <w:r>
        <w:rPr>
          <w:b/>
          <w:bCs/>
        </w:rPr>
        <w:tab/>
        <w:t>Artículo 238</w:t>
      </w:r>
      <w:r>
        <w:t>.  Toda asociación formada, sea cual sea su duración o el número de sus miembros, y todo acuerdo concertado con objeto de preparar o cometer uno o varios crímenes o delitos contra las personas o la propiedad, constituyen crimen</w:t>
      </w:r>
      <w:r>
        <w:rPr>
          <w:b/>
          <w:bCs/>
        </w:rPr>
        <w:t xml:space="preserve"> o delito</w:t>
      </w:r>
      <w:r>
        <w:t xml:space="preserve"> contra la paz pública.</w:t>
      </w:r>
    </w:p>
    <w:p w:rsidR="00000000" w:rsidRDefault="00000000">
      <w:pPr>
        <w:autoSpaceDE w:val="0"/>
        <w:autoSpaceDN w:val="0"/>
        <w:adjustRightInd w:val="0"/>
        <w:spacing w:after="240"/>
      </w:pPr>
      <w:r>
        <w:rPr>
          <w:b/>
          <w:bCs/>
        </w:rPr>
        <w:tab/>
        <w:t>Artículo 239</w:t>
      </w:r>
      <w:r>
        <w:t>.  Se castigará con pena de trabajos forzados de 10 a 20 años de duración</w:t>
      </w:r>
      <w:r>
        <w:rPr>
          <w:b/>
          <w:bCs/>
        </w:rPr>
        <w:t xml:space="preserve"> o con pena de cárcel </w:t>
      </w:r>
      <w:r>
        <w:t>de 5 a 10 años según los casos a toda persona que se afilie a una asociación formada con el objetivo que se especifica en el artículo anterior o que participe en un acuerdo concertado con este objetivo.</w:t>
      </w:r>
    </w:p>
    <w:p w:rsidR="00000000" w:rsidRDefault="00000000">
      <w:pPr>
        <w:autoSpaceDE w:val="0"/>
        <w:autoSpaceDN w:val="0"/>
        <w:adjustRightInd w:val="0"/>
        <w:spacing w:after="240"/>
      </w:pPr>
      <w:r>
        <w:tab/>
        <w:t>Las personas culpables del crimen</w:t>
      </w:r>
      <w:r>
        <w:rPr>
          <w:b/>
          <w:bCs/>
        </w:rPr>
        <w:t xml:space="preserve"> o delito</w:t>
      </w:r>
      <w:r>
        <w:t xml:space="preserve"> mencionado en el presente artículo quedarán exentas de pena si, antes de que se inicie todo proceso, revelan a las autoridades constituidas el acuerdo concertado o dan a conocer la existencia de la asociación.</w:t>
      </w:r>
    </w:p>
    <w:p w:rsidR="00000000" w:rsidRDefault="00000000">
      <w:pPr>
        <w:autoSpaceDE w:val="0"/>
        <w:autoSpaceDN w:val="0"/>
        <w:adjustRightInd w:val="0"/>
        <w:spacing w:after="240"/>
      </w:pPr>
      <w:r>
        <w:rPr>
          <w:b/>
          <w:bCs/>
        </w:rPr>
        <w:tab/>
        <w:t>Artículo 240</w:t>
      </w:r>
      <w:r>
        <w:t>.  Se castigará con pena de trabajos forzados de 10 a 20 años</w:t>
      </w:r>
      <w:r>
        <w:rPr>
          <w:b/>
          <w:bCs/>
        </w:rPr>
        <w:t xml:space="preserve"> </w:t>
      </w:r>
      <w:r>
        <w:rPr>
          <w:bCs/>
        </w:rPr>
        <w:t xml:space="preserve">de duración </w:t>
      </w:r>
      <w:r>
        <w:rPr>
          <w:b/>
          <w:bCs/>
        </w:rPr>
        <w:t xml:space="preserve">o con pena de cárcel </w:t>
      </w:r>
      <w:r>
        <w:t>de 5 a 10 años según los casos a toda persona que ayude a sabiendas y voluntariamente a los autores de los crímenes</w:t>
      </w:r>
      <w:r>
        <w:rPr>
          <w:b/>
          <w:bCs/>
        </w:rPr>
        <w:t xml:space="preserve"> o delitos</w:t>
      </w:r>
      <w:r>
        <w:t xml:space="preserve"> previstos en el artículo 238 proporcionándoles los instrumentos para cometer estas infracciones, los medios de correspondencia, el alojamiento o el lugar de reunión.</w:t>
      </w:r>
    </w:p>
    <w:p w:rsidR="00000000" w:rsidRDefault="00000000">
      <w:pPr>
        <w:autoSpaceDE w:val="0"/>
        <w:autoSpaceDN w:val="0"/>
        <w:adjustRightInd w:val="0"/>
        <w:spacing w:after="240"/>
      </w:pPr>
      <w:r>
        <w:tab/>
        <w:t>Además se condenará al culpable al destierro durante un período de cinco a diez años.</w:t>
      </w:r>
    </w:p>
    <w:p w:rsidR="00000000" w:rsidRDefault="00000000">
      <w:pPr>
        <w:autoSpaceDE w:val="0"/>
        <w:autoSpaceDN w:val="0"/>
        <w:adjustRightInd w:val="0"/>
        <w:spacing w:after="240"/>
      </w:pPr>
      <w:r>
        <w:tab/>
        <w:t>No obstante, podrán aplicarse a los culpables de los hechos previstos en el presente artículo las disposiciones que figuran en el párrafo 2 del artículo 239.</w:t>
      </w:r>
    </w:p>
    <w:p w:rsidR="00000000" w:rsidRDefault="00000000">
      <w:pPr>
        <w:autoSpaceDE w:val="0"/>
        <w:autoSpaceDN w:val="0"/>
        <w:adjustRightInd w:val="0"/>
        <w:spacing w:after="240"/>
      </w:pPr>
      <w:r>
        <w:rPr>
          <w:b/>
          <w:bCs/>
        </w:rPr>
        <w:tab/>
        <w:t>Párrafo 2 del artículo 294</w:t>
      </w:r>
      <w:r>
        <w:t>.  Cuando los actos de violencia que se acaban de especificar se hayan cometido contra una persona de sexo femenino o una persona especialmente vulnerable por su estado de embarazo, su edad avanzada o un estado de salud que haya causado una discapacidad física o psíquica, el culpable será castigado con una pena de cárcel de uno a cinco años y una multa de 30.000 a 150.000 francos.  No se podrá suspender la aplicación de la pena.</w:t>
      </w:r>
    </w:p>
    <w:p w:rsidR="00000000" w:rsidRDefault="00000000">
      <w:pPr>
        <w:autoSpaceDE w:val="0"/>
        <w:autoSpaceDN w:val="0"/>
        <w:adjustRightInd w:val="0"/>
        <w:spacing w:after="240"/>
      </w:pPr>
      <w:r>
        <w:rPr>
          <w:b/>
          <w:bCs/>
        </w:rPr>
        <w:tab/>
        <w:t>Artículo 320</w:t>
      </w:r>
      <w:r>
        <w:t>.  Todo acto de penetración sexual, sea cual sea su carácter, que se cometa contra otra persona con uso de violencia, fuerza, amenazas o sorpresa constituye violación.</w:t>
      </w:r>
    </w:p>
    <w:p w:rsidR="00000000" w:rsidRDefault="00000000">
      <w:pPr>
        <w:autoSpaceDE w:val="0"/>
        <w:autoSpaceDN w:val="0"/>
        <w:adjustRightInd w:val="0"/>
        <w:spacing w:after="240"/>
      </w:pPr>
      <w:r>
        <w:tab/>
        <w:t>La violación será castigada con una pena de cárcel de cinco a diez años.</w:t>
      </w:r>
    </w:p>
    <w:p w:rsidR="00000000" w:rsidRDefault="00000000">
      <w:pPr>
        <w:autoSpaceDE w:val="0"/>
        <w:autoSpaceDN w:val="0"/>
        <w:adjustRightInd w:val="0"/>
        <w:spacing w:after="240"/>
      </w:pPr>
      <w:r>
        <w:tab/>
        <w:t>Si el acto ha tenido como consecuencia una mutilación,</w:t>
      </w:r>
      <w:r>
        <w:rPr>
          <w:b/>
          <w:bCs/>
        </w:rPr>
        <w:t xml:space="preserve"> una discapacidad permanente</w:t>
      </w:r>
      <w:r>
        <w:t xml:space="preserve"> o si la infracción se combinó con el secuestro o intervinieron varias personas, la pena mencionada se duplicará.</w:t>
      </w:r>
    </w:p>
    <w:p w:rsidR="00000000" w:rsidRDefault="00000000">
      <w:pPr>
        <w:autoSpaceDE w:val="0"/>
        <w:autoSpaceDN w:val="0"/>
        <w:adjustRightInd w:val="0"/>
        <w:spacing w:after="240"/>
        <w:rPr>
          <w:b/>
          <w:bCs/>
        </w:rPr>
      </w:pPr>
      <w:r>
        <w:tab/>
        <w:t>Si el delito ha tenido como consecuencia la muerte de la víctima,</w:t>
      </w:r>
      <w:r>
        <w:rPr>
          <w:b/>
          <w:bCs/>
        </w:rPr>
        <w:t xml:space="preserve"> el o los autores serán castigados como culpables de asesinato</w:t>
      </w:r>
      <w:r>
        <w:t>.</w:t>
      </w:r>
    </w:p>
    <w:p w:rsidR="00000000" w:rsidRDefault="00000000">
      <w:pPr>
        <w:autoSpaceDE w:val="0"/>
        <w:autoSpaceDN w:val="0"/>
        <w:adjustRightInd w:val="0"/>
        <w:spacing w:after="240"/>
      </w:pPr>
      <w:r>
        <w:tab/>
        <w:t>Si la</w:t>
      </w:r>
      <w:r>
        <w:rPr>
          <w:b/>
          <w:bCs/>
        </w:rPr>
        <w:t xml:space="preserve"> infracción</w:t>
      </w:r>
      <w:r>
        <w:t xml:space="preserve"> se ha cometido contra un menor de 13 años o contra una persona especialmente vulnerable por su estado de embarazo, su edad avanzada o un estado de salud que haya causado una deficiencia física o psíquica, se impondrá al culpable la pena máxima.</w:t>
      </w:r>
    </w:p>
    <w:p w:rsidR="00000000" w:rsidRDefault="00000000">
      <w:pPr>
        <w:autoSpaceDE w:val="0"/>
        <w:autoSpaceDN w:val="0"/>
        <w:adjustRightInd w:val="0"/>
        <w:spacing w:after="240"/>
      </w:pPr>
      <w:r>
        <w:rPr>
          <w:b/>
          <w:bCs/>
        </w:rPr>
        <w:tab/>
        <w:t>Artículo 322</w:t>
      </w:r>
      <w:r>
        <w:t>.  En los casos previstos en los artículos 319, 320, 320-1, 320-2 y 321, no se podrá suspender la aplicación de la pena.</w:t>
      </w:r>
    </w:p>
    <w:p w:rsidR="00000000" w:rsidRDefault="00000000">
      <w:pPr>
        <w:autoSpaceDE w:val="0"/>
        <w:autoSpaceDN w:val="0"/>
        <w:adjustRightInd w:val="0"/>
        <w:spacing w:after="240"/>
      </w:pPr>
      <w:r>
        <w:tab/>
      </w:r>
      <w:r>
        <w:rPr>
          <w:b/>
          <w:bCs/>
        </w:rPr>
        <w:t>Artículo 2</w:t>
      </w:r>
      <w:r>
        <w:t xml:space="preserve">.  El Código Penal se completa con los artículos 397 </w:t>
      </w:r>
      <w:r>
        <w:rPr>
          <w:i/>
          <w:iCs/>
        </w:rPr>
        <w:t>bis</w:t>
      </w:r>
      <w:r>
        <w:t xml:space="preserve">, 299 </w:t>
      </w:r>
      <w:r>
        <w:rPr>
          <w:i/>
          <w:iCs/>
        </w:rPr>
        <w:t>bis</w:t>
      </w:r>
      <w:r>
        <w:t xml:space="preserve">, 319 </w:t>
      </w:r>
      <w:r>
        <w:rPr>
          <w:i/>
          <w:iCs/>
        </w:rPr>
        <w:t>bis</w:t>
      </w:r>
      <w:r>
        <w:t>, 320 </w:t>
      </w:r>
      <w:proofErr w:type="spellStart"/>
      <w:r>
        <w:rPr>
          <w:i/>
          <w:iCs/>
        </w:rPr>
        <w:t>ter</w:t>
      </w:r>
      <w:proofErr w:type="spellEnd"/>
      <w:r>
        <w:t xml:space="preserve"> y 379 </w:t>
      </w:r>
      <w:r>
        <w:rPr>
          <w:i/>
          <w:iCs/>
        </w:rPr>
        <w:t>bis</w:t>
      </w:r>
      <w:r>
        <w:t>, cuyo texto es el siguiente.</w:t>
      </w:r>
    </w:p>
    <w:p w:rsidR="00000000" w:rsidRDefault="00000000">
      <w:pPr>
        <w:autoSpaceDE w:val="0"/>
        <w:autoSpaceDN w:val="0"/>
        <w:adjustRightInd w:val="0"/>
        <w:spacing w:after="240"/>
      </w:pPr>
      <w:r>
        <w:rPr>
          <w:b/>
          <w:bCs/>
        </w:rPr>
        <w:tab/>
        <w:t xml:space="preserve">Artículo 297 </w:t>
      </w:r>
      <w:r>
        <w:rPr>
          <w:b/>
          <w:bCs/>
          <w:i/>
          <w:iCs/>
        </w:rPr>
        <w:t>bis</w:t>
      </w:r>
      <w:r>
        <w:t>.  La persona que voluntariamente provoque lesiones o propine golpes o cometa cualquier otro acto de violencia o agresión contra su cónyuge será castigado con una pena de uno a cinco años de cárcel y con una multa de 50.000 a 500.000 francos si como consecuencia de estos actos de violencia la víctima adquiere una enfermedad o sufre una incapacidad total de trabajo superior a 20 días.</w:t>
      </w:r>
    </w:p>
    <w:p w:rsidR="00000000" w:rsidRDefault="00000000">
      <w:pPr>
        <w:autoSpaceDE w:val="0"/>
        <w:autoSpaceDN w:val="0"/>
        <w:adjustRightInd w:val="0"/>
        <w:spacing w:after="240"/>
      </w:pPr>
      <w:r>
        <w:tab/>
        <w:t>Cuando las lesiones, los golpes o los demás actos de violencia o agresión no hayan provocado una enfermedad o una incapacidad total de trabajo de duración igual a la mencionada en el párrafo precedente, se impondrán al culpable las penas previstas en el párrafo 2 del artículo 294.</w:t>
      </w:r>
    </w:p>
    <w:p w:rsidR="00000000" w:rsidRDefault="00000000">
      <w:pPr>
        <w:autoSpaceDE w:val="0"/>
        <w:autoSpaceDN w:val="0"/>
        <w:adjustRightInd w:val="0"/>
        <w:spacing w:after="240"/>
      </w:pPr>
      <w:r>
        <w:tab/>
        <w:t>En los casos a que se refieren los dos primeros párrafos del presente artículo, no se podrá suspender la ejecución de la pena.</w:t>
      </w:r>
    </w:p>
    <w:p w:rsidR="00000000" w:rsidRDefault="00000000">
      <w:pPr>
        <w:autoSpaceDE w:val="0"/>
        <w:autoSpaceDN w:val="0"/>
        <w:adjustRightInd w:val="0"/>
        <w:spacing w:after="240"/>
      </w:pPr>
      <w:r>
        <w:tab/>
        <w:t>Si los distintos tipos de violencia causan mutilación, amputación o privación del uso de un miembro, ceguera o pérdida de un ojo u otras discapacidades permanentes, se impondrá una pena de trabajos forzados de 10 a 20 años de duración.</w:t>
      </w:r>
    </w:p>
    <w:p w:rsidR="00000000" w:rsidRDefault="00000000">
      <w:pPr>
        <w:autoSpaceDE w:val="0"/>
        <w:autoSpaceDN w:val="0"/>
        <w:adjustRightInd w:val="0"/>
        <w:spacing w:after="240"/>
      </w:pPr>
      <w:r>
        <w:tab/>
        <w:t>Si los golpes o los actos de violencia habitualmente cometidos han acarreado la muerte de la víctima, los autores serán castigados como culpables de asesinato.</w:t>
      </w:r>
    </w:p>
    <w:p w:rsidR="00000000" w:rsidRDefault="00000000">
      <w:pPr>
        <w:autoSpaceDE w:val="0"/>
        <w:autoSpaceDN w:val="0"/>
        <w:adjustRightInd w:val="0"/>
        <w:spacing w:after="240"/>
      </w:pPr>
      <w:r>
        <w:rPr>
          <w:b/>
          <w:bCs/>
        </w:rPr>
        <w:tab/>
        <w:t xml:space="preserve">Artículo 299 </w:t>
      </w:r>
      <w:r>
        <w:rPr>
          <w:b/>
          <w:bCs/>
          <w:i/>
          <w:iCs/>
        </w:rPr>
        <w:t>bis</w:t>
      </w:r>
      <w:r>
        <w:t>.  Será castigada con una pena de seis meses a cinco años de cárcel toda persona que haya atentado o tratado de atentar contra la integridad de los órganos genitales de una persona de sexo femenino por ablación total o parcial de uno o varios de sus elementos, infibulación, insensibilización o cualquier otro medio.</w:t>
      </w:r>
    </w:p>
    <w:p w:rsidR="00000000" w:rsidRDefault="00000000">
      <w:pPr>
        <w:autoSpaceDE w:val="0"/>
        <w:autoSpaceDN w:val="0"/>
        <w:adjustRightInd w:val="0"/>
        <w:spacing w:after="240"/>
      </w:pPr>
      <w:r>
        <w:tab/>
        <w:t>Se aplicará la pena máxima cuando estas mutilaciones sexuales hayan sido practicadas por una persona perteneciente al cuerpo médico o paramédico, o cuando esta persona haya favorecido su realización.</w:t>
      </w:r>
    </w:p>
    <w:p w:rsidR="00000000" w:rsidRDefault="00000000">
      <w:pPr>
        <w:autoSpaceDE w:val="0"/>
        <w:autoSpaceDN w:val="0"/>
        <w:adjustRightInd w:val="0"/>
        <w:spacing w:after="240"/>
      </w:pPr>
      <w:r>
        <w:tab/>
        <w:t>Cuando estas mutilaciones tengan como consecuencia la muerte de la víctima, se pronunciara siempre la pena de trabajos forzados a perpetuidad.</w:t>
      </w:r>
    </w:p>
    <w:p w:rsidR="00000000" w:rsidRDefault="00000000">
      <w:pPr>
        <w:autoSpaceDE w:val="0"/>
        <w:autoSpaceDN w:val="0"/>
        <w:adjustRightInd w:val="0"/>
        <w:spacing w:after="240"/>
      </w:pPr>
      <w:r>
        <w:tab/>
        <w:t>Se castigará con las mismas penas a cualquier persona que, mediante donaciones, promesas, influencia, amenazas, intimidación, abuso de autoridad o de poder, haya provocado estas mutilaciones sexuales o haya dado instrucciones para practicarlas.</w:t>
      </w:r>
    </w:p>
    <w:p w:rsidR="00000000" w:rsidRDefault="00000000">
      <w:pPr>
        <w:autoSpaceDE w:val="0"/>
        <w:autoSpaceDN w:val="0"/>
        <w:adjustRightInd w:val="0"/>
        <w:spacing w:after="240"/>
      </w:pPr>
      <w:r>
        <w:rPr>
          <w:b/>
          <w:bCs/>
        </w:rPr>
        <w:tab/>
        <w:t xml:space="preserve">Artículo 319 </w:t>
      </w:r>
      <w:r>
        <w:rPr>
          <w:b/>
          <w:bCs/>
          <w:i/>
          <w:iCs/>
        </w:rPr>
        <w:t>bis</w:t>
      </w:r>
      <w:r>
        <w:t>.  El acoso de otra persona haciendo uso de órdenes, gestos, amenazas, palabras, escritos o presión con objeto de obtener favores de carácter sexual por parte de una persona que abuse de la autoridad que le confieren sus funciones será castigado con una pena de seis meses a tres años de cárcel y una multa de 50.000 a 500.000 francos.</w:t>
      </w:r>
    </w:p>
    <w:p w:rsidR="00000000" w:rsidRDefault="00000000">
      <w:pPr>
        <w:autoSpaceDE w:val="0"/>
        <w:autoSpaceDN w:val="0"/>
        <w:adjustRightInd w:val="0"/>
        <w:spacing w:after="240"/>
      </w:pPr>
      <w:r>
        <w:tab/>
        <w:t>Cuando la víctima de la infracción tenga menos de 16 años, se pronunciará la pena de cárcel máxima.</w:t>
      </w:r>
    </w:p>
    <w:p w:rsidR="00000000" w:rsidRDefault="00000000">
      <w:pPr>
        <w:autoSpaceDE w:val="0"/>
        <w:autoSpaceDN w:val="0"/>
        <w:adjustRightInd w:val="0"/>
        <w:spacing w:after="240"/>
      </w:pPr>
      <w:r>
        <w:rPr>
          <w:b/>
          <w:bCs/>
        </w:rPr>
        <w:tab/>
        <w:t xml:space="preserve">Artículo 320 </w:t>
      </w:r>
      <w:r>
        <w:rPr>
          <w:b/>
          <w:bCs/>
          <w:i/>
          <w:iCs/>
        </w:rPr>
        <w:t>bis</w:t>
      </w:r>
      <w:r>
        <w:t xml:space="preserve">.  Todo gesto, contacto físico, caricia, manipulación pornográfica o utilización de imágenes o sonidos por cualquier procedimiento técnico con fines sexuales sobre un menor de 16 años de cualquiera de los dos sexos es un acto de </w:t>
      </w:r>
      <w:proofErr w:type="spellStart"/>
      <w:r>
        <w:t>pedofilia</w:t>
      </w:r>
      <w:proofErr w:type="spellEnd"/>
      <w:r>
        <w:t xml:space="preserve"> castigado con penas de cárcel de cinco a diez años.</w:t>
      </w:r>
    </w:p>
    <w:p w:rsidR="00000000" w:rsidRDefault="00000000">
      <w:pPr>
        <w:autoSpaceDE w:val="0"/>
        <w:autoSpaceDN w:val="0"/>
        <w:adjustRightInd w:val="0"/>
        <w:spacing w:after="240"/>
      </w:pPr>
      <w:r>
        <w:tab/>
        <w:t>Si ha cometido el delito un ascendiente de la víctima o una persona que tenga autoridad sobre ella, se pronunciará siempre la pena máxima.</w:t>
      </w:r>
    </w:p>
    <w:p w:rsidR="00000000" w:rsidRDefault="00000000">
      <w:pPr>
        <w:autoSpaceDE w:val="0"/>
        <w:autoSpaceDN w:val="0"/>
        <w:adjustRightInd w:val="0"/>
        <w:spacing w:after="240"/>
      </w:pPr>
      <w:r>
        <w:tab/>
        <w:t>La tentativa se castigará como el delito consumado.</w:t>
      </w:r>
    </w:p>
    <w:p w:rsidR="00000000" w:rsidRDefault="00000000">
      <w:pPr>
        <w:autoSpaceDE w:val="0"/>
        <w:autoSpaceDN w:val="0"/>
        <w:adjustRightInd w:val="0"/>
        <w:spacing w:after="240"/>
      </w:pPr>
      <w:r>
        <w:rPr>
          <w:b/>
          <w:bCs/>
        </w:rPr>
        <w:tab/>
        <w:t xml:space="preserve">Artículo 320 </w:t>
      </w:r>
      <w:proofErr w:type="spellStart"/>
      <w:r>
        <w:rPr>
          <w:b/>
          <w:bCs/>
          <w:i/>
          <w:iCs/>
        </w:rPr>
        <w:t>ter</w:t>
      </w:r>
      <w:proofErr w:type="spellEnd"/>
      <w:r>
        <w:t>.  El hecho de favorecer la corrupción de un menor está castigado con una pena de uno a cinco años de cárcel y una multa de 100.000 a 1.500.000 francos.  Las penas a que se exponen los autores son de tres a siete años de cárcel y de 200.000 a 3.000.000 de francos de multa cuando el menor tenga menos de 13 años cumplidos.</w:t>
      </w:r>
    </w:p>
    <w:p w:rsidR="00000000" w:rsidRDefault="00000000">
      <w:pPr>
        <w:autoSpaceDE w:val="0"/>
        <w:autoSpaceDN w:val="0"/>
        <w:adjustRightInd w:val="0"/>
        <w:spacing w:after="240"/>
      </w:pPr>
      <w:r>
        <w:tab/>
        <w:t>Las mismas penas se aplican en particular al hecho, cometido por un mayor de edad, de organizar reuniones con exhibiciones o relaciones sexuales a las que asista un menor o en las que éste participe.</w:t>
      </w:r>
    </w:p>
    <w:p w:rsidR="00000000" w:rsidRDefault="00000000">
      <w:pPr>
        <w:autoSpaceDE w:val="0"/>
        <w:autoSpaceDN w:val="0"/>
        <w:adjustRightInd w:val="0"/>
        <w:spacing w:after="240"/>
      </w:pPr>
      <w:r>
        <w:rPr>
          <w:b/>
          <w:bCs/>
        </w:rPr>
        <w:tab/>
        <w:t xml:space="preserve">Artículo 379 </w:t>
      </w:r>
      <w:r>
        <w:rPr>
          <w:b/>
          <w:bCs/>
          <w:i/>
          <w:iCs/>
        </w:rPr>
        <w:t>bis</w:t>
      </w:r>
      <w:r>
        <w:t>.  Toda persona que, empleando maniobras fraudulentas, de cualquier clase que sea, o utilizando nombres o atributos falsos reciba favores, ventajas materiales, prestaciones o servicios, será castigada con las penas previstas en el primer párrafo del artículo precedente.</w:t>
      </w:r>
    </w:p>
    <w:p w:rsidR="00000000" w:rsidRDefault="00000000">
      <w:pPr>
        <w:spacing w:after="240"/>
        <w:jc w:val="center"/>
      </w:pPr>
      <w:r>
        <w:t>-----</w:t>
      </w:r>
    </w:p>
    <w:p w:rsidR="00000000" w:rsidRDefault="00000000">
      <w:pPr>
        <w:spacing w:before="160" w:after="360"/>
      </w:pPr>
    </w:p>
    <w:sectPr w:rsidR="00000000">
      <w:headerReference w:type="even" r:id="rId16"/>
      <w:pgSz w:w="11906" w:h="16838" w:code="9"/>
      <w:pgMar w:top="1701" w:right="851" w:bottom="1985"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del Senegal figura en el documento CRC/C/3/Add.31; los documentos CRC/C/SR.247, 248 y 249 guardan relación con el examen de ese informe por el Comité y en el documento CRC/C/15/Add.44 figuran las observaciones finales.</w:t>
      </w:r>
    </w:p>
  </w:footnote>
  <w:footnote w:id="2">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antes de ser enviado a los servicios de traducción de las Naciones Unidas.</w:t>
      </w:r>
    </w:p>
    <w:p w:rsidR="00000000" w:rsidRDefault="00000000">
      <w:pPr>
        <w:pStyle w:val="FootnoteText"/>
        <w:spacing w:after="0" w:line="240" w:lineRule="auto"/>
      </w:pPr>
    </w:p>
    <w:p w:rsidR="00000000" w:rsidRDefault="00000000">
      <w:pPr>
        <w:pStyle w:val="FootnoteText"/>
        <w:spacing w:line="240" w:lineRule="auto"/>
      </w:pPr>
      <w:r>
        <w:t>GE.06-40553  (S)    210406    270406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CRC/C/SEN/2</w:t>
    </w:r>
  </w:p>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49" type="#_x0000_t202" style="position:absolute;margin-left:721.85pt;margin-top:28.7pt;width:35pt;height:128pt;z-index:1;mso-position-horizontal-relative:margin" filled="f" stroked="f">
          <v:textbox style="layout-flow:vertical" inset="0,0,0,0">
            <w:txbxContent>
              <w:p w:rsidR="00000000" w:rsidRDefault="00000000">
                <w:pPr>
                  <w:rPr>
                    <w:lang w:val="en-GB"/>
                  </w:rPr>
                </w:pPr>
                <w:r>
                  <w:rPr>
                    <w:lang w:val="en-GB"/>
                  </w:rPr>
                  <w:t>CRC/C/SEN/2</w:t>
                </w:r>
              </w:p>
              <w:p w:rsidR="00000000" w:rsidRDefault="00000000">
                <w:r>
                  <w:t xml:space="preserve">página </w:t>
                </w:r>
                <w:r>
                  <w:fldChar w:fldCharType="begin"/>
                </w:r>
                <w:r>
                  <w:instrText xml:space="preserve"> PAGE  \* MERGEFORMAT </w:instrText>
                </w:r>
                <w:r>
                  <w:fldChar w:fldCharType="separate"/>
                </w:r>
                <w:r>
                  <w:rPr>
                    <w:noProof/>
                  </w:rPr>
                  <w:t>20</w:t>
                </w:r>
                <w:r>
                  <w:fldChar w:fldCharType="end"/>
                </w:r>
              </w:p>
            </w:txbxContent>
          </v:textbox>
          <w10:anchorlock/>
        </v:shape>
      </w:pict>
    </w:r>
    <w:r>
      <w:rPr>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rPr>
        <w:lang w:val="en-GB"/>
      </w:rPr>
    </w:pPr>
    <w:r>
      <w:tab/>
    </w:r>
    <w:r>
      <w:rPr>
        <w:lang w:val="en-GB"/>
      </w:rPr>
      <w:t>CRC/C/SEN/2</w:t>
    </w:r>
  </w:p>
  <w:p w:rsidR="00000000" w:rsidRDefault="00000000">
    <w:pPr>
      <w:tabs>
        <w:tab w:val="left" w:pos="7920"/>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p>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0" type="#_x0000_t202" style="position:absolute;margin-left:682.75pt;margin-top:28.7pt;width:35pt;height:128pt;z-index:2;mso-position-horizontal-relative:margin" filled="f" stroked="f">
          <v:textbox style="layout-flow:vertical" inset="0,0,0,0">
            <w:txbxContent>
              <w:p w:rsidR="00000000" w:rsidRDefault="00000000">
                <w:pPr>
                  <w:rPr>
                    <w:lang w:val="en-GB"/>
                  </w:rPr>
                </w:pPr>
                <w:r>
                  <w:rPr>
                    <w:lang w:val="en-GB"/>
                  </w:rPr>
                  <w:t>CRC/C/SEN/2</w:t>
                </w:r>
              </w:p>
              <w:p w:rsidR="00000000" w:rsidRDefault="00000000">
                <w:r>
                  <w:t xml:space="preserve">página </w:t>
                </w:r>
                <w:r>
                  <w:fldChar w:fldCharType="begin"/>
                </w:r>
                <w:r>
                  <w:instrText xml:space="preserve"> PAGE  \* MERGEFORMAT </w:instrText>
                </w:r>
                <w:r>
                  <w:fldChar w:fldCharType="separate"/>
                </w:r>
                <w:r>
                  <w:rPr>
                    <w:noProof/>
                  </w:rPr>
                  <w:t>22</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CRC/C/SEN/2</w:t>
    </w:r>
  </w:p>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1" type="#_x0000_t202" style="position:absolute;margin-left:682.75pt;margin-top:28.7pt;width:35pt;height:128pt;z-index:3;mso-position-horizontal-relative:margin" filled="f" stroked="f">
          <v:textbox style="layout-flow:vertical" inset="0,0,0,0">
            <w:txbxContent>
              <w:p w:rsidR="00000000" w:rsidRDefault="00000000">
                <w:pPr>
                  <w:rPr>
                    <w:lang w:val="en-GB"/>
                  </w:rPr>
                </w:pPr>
                <w:r>
                  <w:rPr>
                    <w:lang w:val="en-GB"/>
                  </w:rPr>
                  <w:t>CRC/C/SEN/2</w:t>
                </w:r>
              </w:p>
              <w:p w:rsidR="00000000" w:rsidRDefault="00000000">
                <w:r>
                  <w:t xml:space="preserve">página </w:t>
                </w:r>
                <w:r>
                  <w:fldChar w:fldCharType="begin"/>
                </w:r>
                <w:r>
                  <w:instrText xml:space="preserve"> PAGE  \* MERGEFORMAT </w:instrText>
                </w:r>
                <w:r>
                  <w:fldChar w:fldCharType="separate"/>
                </w:r>
                <w:r>
                  <w:rPr>
                    <w:noProof/>
                  </w:rPr>
                  <w:t>60</w:t>
                </w:r>
                <w:r>
                  <w:fldChar w:fldCharType="end"/>
                </w:r>
              </w:p>
            </w:txbxContent>
          </v:textbox>
          <w10:anchorlock/>
        </v:shape>
      </w:pict>
    </w:r>
    <w:r>
      <w:rPr>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60</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rPr>
        <w:lang w:val="en-GB"/>
      </w:rPr>
    </w:pPr>
    <w:r>
      <w:tab/>
    </w:r>
    <w:r>
      <w:rPr>
        <w:lang w:val="en-GB"/>
      </w:rPr>
      <w:t>CRC/C/SEN/2</w:t>
    </w:r>
  </w:p>
  <w:p w:rsidR="00000000" w:rsidRDefault="00000000">
    <w:pPr>
      <w:tabs>
        <w:tab w:val="left" w:pos="7920"/>
      </w:tabs>
    </w:pPr>
    <w:r>
      <w:rPr>
        <w:lang w:val="en-GB"/>
      </w:rPr>
      <w:tab/>
    </w:r>
    <w:r>
      <w:t xml:space="preserve">página </w:t>
    </w:r>
    <w:r>
      <w:fldChar w:fldCharType="begin"/>
    </w:r>
    <w:r>
      <w:instrText xml:space="preserve"> PAGE  \* MERGEFORMAT </w:instrText>
    </w:r>
    <w:r>
      <w:fldChar w:fldCharType="separate"/>
    </w:r>
    <w:r>
      <w:rPr>
        <w:noProof/>
      </w:rPr>
      <w:t>77</w:t>
    </w:r>
    <w: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p>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2" type="#_x0000_t202" style="position:absolute;margin-left:682.75pt;margin-top:28.7pt;width:35pt;height:128pt;z-index:4;mso-position-horizontal-relative:margin" filled="f" stroked="f">
          <v:textbox style="layout-flow:vertical;mso-next-textbox:#_x0000_s2052" inset="0,0,0,0">
            <w:txbxContent>
              <w:p w:rsidR="00000000" w:rsidRDefault="00000000">
                <w:pPr>
                  <w:rPr>
                    <w:lang w:val="en-GB"/>
                  </w:rPr>
                </w:pPr>
                <w:r>
                  <w:rPr>
                    <w:lang w:val="en-GB"/>
                  </w:rPr>
                  <w:t>CRC/C/SEN/2</w:t>
                </w:r>
              </w:p>
              <w:p w:rsidR="00000000" w:rsidRDefault="00000000">
                <w:r>
                  <w:t xml:space="preserve">página </w:t>
                </w:r>
                <w:r>
                  <w:fldChar w:fldCharType="begin"/>
                </w:r>
                <w:r>
                  <w:instrText xml:space="preserve"> PAGE  \* MERGEFORMAT </w:instrText>
                </w:r>
                <w:r>
                  <w:fldChar w:fldCharType="separate"/>
                </w:r>
                <w:r>
                  <w:rPr>
                    <w:noProof/>
                  </w:rPr>
                  <w:t>62</w:t>
                </w:r>
                <w:r>
                  <w:fldChar w:fldCharType="end"/>
                </w:r>
              </w:p>
            </w:txbxContent>
          </v:textbox>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CRC/C/SEN/2</w:t>
    </w:r>
  </w:p>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4" type="#_x0000_t202" style="position:absolute;margin-left:682.75pt;margin-top:28.7pt;width:35pt;height:128pt;z-index:5;mso-position-horizontal-relative:margin" filled="f" stroked="f">
          <v:textbox style="layout-flow:vertical;mso-next-textbox:#_x0000_s2054" inset="0,0,0,0">
            <w:txbxContent>
              <w:p w:rsidR="00000000" w:rsidRDefault="00000000">
                <w:pPr>
                  <w:rPr>
                    <w:lang w:val="en-GB"/>
                  </w:rPr>
                </w:pPr>
                <w:r>
                  <w:rPr>
                    <w:lang w:val="en-GB"/>
                  </w:rPr>
                  <w:t>CRC/C/SEN/2</w:t>
                </w:r>
              </w:p>
              <w:p w:rsidR="00000000" w:rsidRDefault="00000000">
                <w:r>
                  <w:t xml:space="preserve">página </w:t>
                </w:r>
                <w:r>
                  <w:fldChar w:fldCharType="begin"/>
                </w:r>
                <w:r>
                  <w:instrText xml:space="preserve"> PAGE  \* MERGEFORMAT </w:instrText>
                </w:r>
                <w:r>
                  <w:fldChar w:fldCharType="separate"/>
                </w:r>
                <w:r>
                  <w:rPr>
                    <w:noProof/>
                  </w:rPr>
                  <w:t>76</w:t>
                </w:r>
                <w:r>
                  <w:fldChar w:fldCharType="end"/>
                </w:r>
              </w:p>
            </w:txbxContent>
          </v:textbox>
          <w10:anchorlock/>
        </v:shape>
      </w:pict>
    </w:r>
    <w:r>
      <w:rPr>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76</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1A244F8"/>
    <w:lvl w:ilvl="0">
      <w:numFmt w:val="bullet"/>
      <w:lvlText w:val="*"/>
      <w:lvlJc w:val="left"/>
    </w:lvl>
  </w:abstractNum>
  <w:abstractNum w:abstractNumId="1">
    <w:nsid w:val="02896B4E"/>
    <w:multiLevelType w:val="hybridMultilevel"/>
    <w:tmpl w:val="E166BF3C"/>
    <w:lvl w:ilvl="0" w:tplc="A4C830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3B14857"/>
    <w:multiLevelType w:val="hybridMultilevel"/>
    <w:tmpl w:val="FC20DBAC"/>
    <w:lvl w:ilvl="0" w:tplc="65061B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992C95"/>
    <w:multiLevelType w:val="hybridMultilevel"/>
    <w:tmpl w:val="280A4E7C"/>
    <w:lvl w:ilvl="0" w:tplc="932226A8">
      <w:start w:val="16"/>
      <w:numFmt w:val="bullet"/>
      <w:lvlText w:val="-"/>
      <w:lvlJc w:val="left"/>
      <w:pPr>
        <w:tabs>
          <w:tab w:val="num" w:pos="184"/>
        </w:tabs>
        <w:ind w:left="184" w:hanging="360"/>
      </w:pPr>
      <w:rPr>
        <w:rFonts w:ascii="Century" w:eastAsia="Times New Roman" w:hAnsi="Century"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7C95B65"/>
    <w:multiLevelType w:val="hybridMultilevel"/>
    <w:tmpl w:val="D1B258B4"/>
    <w:lvl w:ilvl="0" w:tplc="A4C830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7CB1BE4"/>
    <w:multiLevelType w:val="hybridMultilevel"/>
    <w:tmpl w:val="62B07208"/>
    <w:lvl w:ilvl="0" w:tplc="65061B30">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A1D1BDF"/>
    <w:multiLevelType w:val="hybridMultilevel"/>
    <w:tmpl w:val="BBE0F6B0"/>
    <w:lvl w:ilvl="0" w:tplc="046ABD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A616775"/>
    <w:multiLevelType w:val="hybridMultilevel"/>
    <w:tmpl w:val="8FD0B31E"/>
    <w:lvl w:ilvl="0" w:tplc="65061B30">
      <w:start w:val="1"/>
      <w:numFmt w:val="bullet"/>
      <w:lvlText w:val=""/>
      <w:lvlJc w:val="left"/>
      <w:pPr>
        <w:tabs>
          <w:tab w:val="num" w:pos="1134"/>
        </w:tabs>
        <w:ind w:left="1134" w:hanging="567"/>
      </w:pPr>
      <w:rPr>
        <w:rFonts w:ascii="Symbol" w:hAnsi="Symbol" w:hint="default"/>
      </w:rPr>
    </w:lvl>
    <w:lvl w:ilvl="1" w:tplc="2430A5CA">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D2E485A"/>
    <w:multiLevelType w:val="hybridMultilevel"/>
    <w:tmpl w:val="AC9E9AFC"/>
    <w:lvl w:ilvl="0" w:tplc="A4C830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D372D82"/>
    <w:multiLevelType w:val="hybridMultilevel"/>
    <w:tmpl w:val="0AE2DCC0"/>
    <w:lvl w:ilvl="0" w:tplc="A58EB6B6">
      <w:start w:val="289"/>
      <w:numFmt w:val="decimal"/>
      <w:lvlText w:val="%1."/>
      <w:lvlJc w:val="left"/>
      <w:pPr>
        <w:tabs>
          <w:tab w:val="num" w:pos="1125"/>
        </w:tabs>
        <w:ind w:left="1125" w:hanging="7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0D935FA7"/>
    <w:multiLevelType w:val="hybridMultilevel"/>
    <w:tmpl w:val="C4CA1A58"/>
    <w:lvl w:ilvl="0" w:tplc="3A3424EE">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FBE3103"/>
    <w:multiLevelType w:val="hybridMultilevel"/>
    <w:tmpl w:val="15F47EC0"/>
    <w:lvl w:ilvl="0" w:tplc="6FA22E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56628DF"/>
    <w:multiLevelType w:val="multilevel"/>
    <w:tmpl w:val="80B8B354"/>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5FF7E9D"/>
    <w:multiLevelType w:val="hybridMultilevel"/>
    <w:tmpl w:val="5AFE20C0"/>
    <w:lvl w:ilvl="0" w:tplc="046ABD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70843CE"/>
    <w:multiLevelType w:val="hybridMultilevel"/>
    <w:tmpl w:val="FC04B96E"/>
    <w:lvl w:ilvl="0" w:tplc="6566553A">
      <w:start w:val="1"/>
      <w:numFmt w:val="lowerLetter"/>
      <w:lvlText w:val="%1)"/>
      <w:lvlJc w:val="left"/>
      <w:pPr>
        <w:tabs>
          <w:tab w:val="num" w:pos="1068"/>
        </w:tabs>
        <w:ind w:left="1068" w:hanging="36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15">
    <w:nsid w:val="18E95031"/>
    <w:multiLevelType w:val="hybridMultilevel"/>
    <w:tmpl w:val="64DE25C4"/>
    <w:lvl w:ilvl="0" w:tplc="046ABD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F72016B"/>
    <w:multiLevelType w:val="hybridMultilevel"/>
    <w:tmpl w:val="21EA61BA"/>
    <w:lvl w:ilvl="0" w:tplc="046ABD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20711A7"/>
    <w:multiLevelType w:val="hybridMultilevel"/>
    <w:tmpl w:val="11C2C1DC"/>
    <w:lvl w:ilvl="0" w:tplc="A2FC07A2">
      <w:numFmt w:val="bullet"/>
      <w:lvlText w:val="-"/>
      <w:lvlJc w:val="left"/>
      <w:pPr>
        <w:tabs>
          <w:tab w:val="num" w:pos="1620"/>
        </w:tabs>
        <w:ind w:left="1620" w:hanging="360"/>
      </w:pPr>
      <w:rPr>
        <w:rFonts w:ascii="Times New Roman" w:eastAsia="Times New Roman" w:hAnsi="Times New Roman" w:cs="Times New Roman" w:hint="default"/>
      </w:rPr>
    </w:lvl>
    <w:lvl w:ilvl="1" w:tplc="040C0003" w:tentative="1">
      <w:start w:val="1"/>
      <w:numFmt w:val="bullet"/>
      <w:lvlText w:val="o"/>
      <w:lvlJc w:val="left"/>
      <w:pPr>
        <w:tabs>
          <w:tab w:val="num" w:pos="2340"/>
        </w:tabs>
        <w:ind w:left="2340" w:hanging="360"/>
      </w:pPr>
      <w:rPr>
        <w:rFonts w:ascii="Courier New" w:hAnsi="Courier New" w:cs="Courier New" w:hint="default"/>
      </w:rPr>
    </w:lvl>
    <w:lvl w:ilvl="2" w:tplc="040C0005" w:tentative="1">
      <w:start w:val="1"/>
      <w:numFmt w:val="bullet"/>
      <w:lvlText w:val=""/>
      <w:lvlJc w:val="left"/>
      <w:pPr>
        <w:tabs>
          <w:tab w:val="num" w:pos="3060"/>
        </w:tabs>
        <w:ind w:left="3060" w:hanging="360"/>
      </w:pPr>
      <w:rPr>
        <w:rFonts w:ascii="Wingdings" w:hAnsi="Wingdings" w:hint="default"/>
      </w:rPr>
    </w:lvl>
    <w:lvl w:ilvl="3" w:tplc="040C0001" w:tentative="1">
      <w:start w:val="1"/>
      <w:numFmt w:val="bullet"/>
      <w:lvlText w:val=""/>
      <w:lvlJc w:val="left"/>
      <w:pPr>
        <w:tabs>
          <w:tab w:val="num" w:pos="3780"/>
        </w:tabs>
        <w:ind w:left="3780" w:hanging="360"/>
      </w:pPr>
      <w:rPr>
        <w:rFonts w:ascii="Symbol" w:hAnsi="Symbol" w:hint="default"/>
      </w:rPr>
    </w:lvl>
    <w:lvl w:ilvl="4" w:tplc="040C0003" w:tentative="1">
      <w:start w:val="1"/>
      <w:numFmt w:val="bullet"/>
      <w:lvlText w:val="o"/>
      <w:lvlJc w:val="left"/>
      <w:pPr>
        <w:tabs>
          <w:tab w:val="num" w:pos="4500"/>
        </w:tabs>
        <w:ind w:left="4500" w:hanging="360"/>
      </w:pPr>
      <w:rPr>
        <w:rFonts w:ascii="Courier New" w:hAnsi="Courier New" w:cs="Courier New" w:hint="default"/>
      </w:rPr>
    </w:lvl>
    <w:lvl w:ilvl="5" w:tplc="040C0005" w:tentative="1">
      <w:start w:val="1"/>
      <w:numFmt w:val="bullet"/>
      <w:lvlText w:val=""/>
      <w:lvlJc w:val="left"/>
      <w:pPr>
        <w:tabs>
          <w:tab w:val="num" w:pos="5220"/>
        </w:tabs>
        <w:ind w:left="5220" w:hanging="360"/>
      </w:pPr>
      <w:rPr>
        <w:rFonts w:ascii="Wingdings" w:hAnsi="Wingdings" w:hint="default"/>
      </w:rPr>
    </w:lvl>
    <w:lvl w:ilvl="6" w:tplc="040C0001" w:tentative="1">
      <w:start w:val="1"/>
      <w:numFmt w:val="bullet"/>
      <w:lvlText w:val=""/>
      <w:lvlJc w:val="left"/>
      <w:pPr>
        <w:tabs>
          <w:tab w:val="num" w:pos="5940"/>
        </w:tabs>
        <w:ind w:left="5940" w:hanging="360"/>
      </w:pPr>
      <w:rPr>
        <w:rFonts w:ascii="Symbol" w:hAnsi="Symbol" w:hint="default"/>
      </w:rPr>
    </w:lvl>
    <w:lvl w:ilvl="7" w:tplc="040C0003" w:tentative="1">
      <w:start w:val="1"/>
      <w:numFmt w:val="bullet"/>
      <w:lvlText w:val="o"/>
      <w:lvlJc w:val="left"/>
      <w:pPr>
        <w:tabs>
          <w:tab w:val="num" w:pos="6660"/>
        </w:tabs>
        <w:ind w:left="6660" w:hanging="360"/>
      </w:pPr>
      <w:rPr>
        <w:rFonts w:ascii="Courier New" w:hAnsi="Courier New" w:cs="Courier New" w:hint="default"/>
      </w:rPr>
    </w:lvl>
    <w:lvl w:ilvl="8" w:tplc="040C0005" w:tentative="1">
      <w:start w:val="1"/>
      <w:numFmt w:val="bullet"/>
      <w:lvlText w:val=""/>
      <w:lvlJc w:val="left"/>
      <w:pPr>
        <w:tabs>
          <w:tab w:val="num" w:pos="7380"/>
        </w:tabs>
        <w:ind w:left="7380" w:hanging="360"/>
      </w:pPr>
      <w:rPr>
        <w:rFonts w:ascii="Wingdings" w:hAnsi="Wingdings" w:hint="default"/>
      </w:rPr>
    </w:lvl>
  </w:abstractNum>
  <w:abstractNum w:abstractNumId="18">
    <w:nsid w:val="238671DA"/>
    <w:multiLevelType w:val="hybridMultilevel"/>
    <w:tmpl w:val="1C76618C"/>
    <w:lvl w:ilvl="0" w:tplc="046ABD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26751EDD"/>
    <w:multiLevelType w:val="hybridMultilevel"/>
    <w:tmpl w:val="9D148E7C"/>
    <w:lvl w:ilvl="0" w:tplc="6FA22E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B3F49C6"/>
    <w:multiLevelType w:val="singleLevel"/>
    <w:tmpl w:val="E3B2C61A"/>
    <w:lvl w:ilvl="0">
      <w:start w:val="1"/>
      <w:numFmt w:val="lowerRoman"/>
      <w:lvlText w:val="%1)"/>
      <w:lvlJc w:val="right"/>
      <w:pPr>
        <w:tabs>
          <w:tab w:val="num" w:pos="927"/>
        </w:tabs>
        <w:ind w:left="567" w:firstLine="0"/>
      </w:pPr>
    </w:lvl>
  </w:abstractNum>
  <w:abstractNum w:abstractNumId="21">
    <w:nsid w:val="309F0E68"/>
    <w:multiLevelType w:val="hybridMultilevel"/>
    <w:tmpl w:val="C72A4C46"/>
    <w:lvl w:ilvl="0" w:tplc="6CA8C4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3432108F"/>
    <w:multiLevelType w:val="hybridMultilevel"/>
    <w:tmpl w:val="6F929968"/>
    <w:lvl w:ilvl="0" w:tplc="040C0017">
      <w:start w:val="1"/>
      <w:numFmt w:val="lowerLetter"/>
      <w:lvlText w:val="%1)"/>
      <w:lvlJc w:val="left"/>
      <w:pPr>
        <w:tabs>
          <w:tab w:val="num" w:pos="720"/>
        </w:tabs>
        <w:ind w:left="720" w:hanging="360"/>
      </w:pPr>
      <w:rPr>
        <w:rFonts w:hint="default"/>
      </w:rPr>
    </w:lvl>
    <w:lvl w:ilvl="1" w:tplc="8946C404">
      <w:start w:val="1"/>
      <w:numFmt w:val="bullet"/>
      <w:lvlText w:val=""/>
      <w:lvlJc w:val="left"/>
      <w:pPr>
        <w:tabs>
          <w:tab w:val="num" w:pos="1440"/>
        </w:tabs>
        <w:ind w:left="1440" w:hanging="360"/>
      </w:pPr>
      <w:rPr>
        <w:rFonts w:ascii="Symbol" w:eastAsia="Times New Roman" w:hAnsi="Symbol" w:cs="Times New Roman" w:hint="default"/>
      </w:rPr>
    </w:lvl>
    <w:lvl w:ilvl="2" w:tplc="D8CEF7D4">
      <w:start w:val="1"/>
      <w:numFmt w:val="bullet"/>
      <w:lvlText w:val="-"/>
      <w:lvlJc w:val="left"/>
      <w:pPr>
        <w:tabs>
          <w:tab w:val="num" w:pos="2340"/>
        </w:tabs>
        <w:ind w:left="2340" w:hanging="360"/>
      </w:pPr>
      <w:rPr>
        <w:rFonts w:ascii="Times New Roman" w:eastAsia="Times New Roman" w:hAnsi="Times New Roman" w:cs="Times New Roman"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3487604B"/>
    <w:multiLevelType w:val="hybridMultilevel"/>
    <w:tmpl w:val="D55E13DE"/>
    <w:lvl w:ilvl="0" w:tplc="A4C830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377C4A23"/>
    <w:multiLevelType w:val="hybridMultilevel"/>
    <w:tmpl w:val="EF4A95BE"/>
    <w:lvl w:ilvl="0" w:tplc="6CA8C4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39C91757"/>
    <w:multiLevelType w:val="hybridMultilevel"/>
    <w:tmpl w:val="1F3CA59E"/>
    <w:lvl w:ilvl="0" w:tplc="6FA22E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3C832893"/>
    <w:multiLevelType w:val="hybridMultilevel"/>
    <w:tmpl w:val="8FD0B31E"/>
    <w:lvl w:ilvl="0" w:tplc="162033AA">
      <w:start w:val="1"/>
      <w:numFmt w:val="bullet"/>
      <w:lvlText w:val=""/>
      <w:lvlJc w:val="left"/>
      <w:pPr>
        <w:tabs>
          <w:tab w:val="num" w:pos="567"/>
        </w:tabs>
        <w:ind w:left="567" w:hanging="567"/>
      </w:pPr>
      <w:rPr>
        <w:rFonts w:ascii="Symbol" w:hAnsi="Symbol" w:hint="default"/>
      </w:rPr>
    </w:lvl>
    <w:lvl w:ilvl="1" w:tplc="2430A5CA">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8">
    <w:nsid w:val="3E9A5C3B"/>
    <w:multiLevelType w:val="hybridMultilevel"/>
    <w:tmpl w:val="1A00E432"/>
    <w:lvl w:ilvl="0" w:tplc="65061B30">
      <w:start w:val="1"/>
      <w:numFmt w:val="bullet"/>
      <w:lvlText w:val=""/>
      <w:lvlJc w:val="left"/>
      <w:pPr>
        <w:tabs>
          <w:tab w:val="num" w:pos="1134"/>
        </w:tabs>
        <w:ind w:left="1134" w:hanging="567"/>
      </w:pPr>
      <w:rPr>
        <w:rFonts w:ascii="Symbol" w:hAnsi="Symbol" w:hint="default"/>
      </w:rPr>
    </w:lvl>
    <w:lvl w:ilvl="1" w:tplc="D63EB1E6">
      <w:numFmt w:val="bullet"/>
      <w:lvlText w:val="-"/>
      <w:lvlJc w:val="left"/>
      <w:pPr>
        <w:tabs>
          <w:tab w:val="num" w:pos="1800"/>
        </w:tabs>
        <w:ind w:left="1800" w:hanging="72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3EBF5A9B"/>
    <w:multiLevelType w:val="hybridMultilevel"/>
    <w:tmpl w:val="85EEA3C0"/>
    <w:lvl w:ilvl="0" w:tplc="A4C830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40DA296C"/>
    <w:multiLevelType w:val="hybridMultilevel"/>
    <w:tmpl w:val="9EFA8BD4"/>
    <w:lvl w:ilvl="0" w:tplc="6FA22E4A">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44524784"/>
    <w:multiLevelType w:val="hybridMultilevel"/>
    <w:tmpl w:val="3794A15C"/>
    <w:lvl w:ilvl="0" w:tplc="D5D4B4EE">
      <w:start w:val="1"/>
      <w:numFmt w:val="bullet"/>
      <w:lvlText w:val=""/>
      <w:lvlJc w:val="left"/>
      <w:pPr>
        <w:tabs>
          <w:tab w:val="num" w:pos="567"/>
        </w:tabs>
        <w:ind w:left="567" w:hanging="567"/>
      </w:pPr>
      <w:rPr>
        <w:rFonts w:ascii="Symbol" w:hAnsi="Symbol" w:hint="default"/>
      </w:rPr>
    </w:lvl>
    <w:lvl w:ilvl="1" w:tplc="3A3424EE">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460272AC"/>
    <w:multiLevelType w:val="hybridMultilevel"/>
    <w:tmpl w:val="A802C256"/>
    <w:lvl w:ilvl="0" w:tplc="43A43AC2">
      <w:start w:val="1"/>
      <w:numFmt w:val="bullet"/>
      <w:lvlText w:val=""/>
      <w:lvlJc w:val="left"/>
      <w:pPr>
        <w:tabs>
          <w:tab w:val="num" w:pos="1134"/>
        </w:tabs>
        <w:ind w:left="1134" w:hanging="567"/>
      </w:pPr>
      <w:rPr>
        <w:rFonts w:ascii="Symbol" w:hAnsi="Symbol" w:hint="default"/>
      </w:rPr>
    </w:lvl>
    <w:lvl w:ilvl="1" w:tplc="E90889C8">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496A1B8D"/>
    <w:multiLevelType w:val="hybridMultilevel"/>
    <w:tmpl w:val="51AA4272"/>
    <w:lvl w:ilvl="0" w:tplc="A4C830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5">
    <w:nsid w:val="502A3019"/>
    <w:multiLevelType w:val="hybridMultilevel"/>
    <w:tmpl w:val="C74E850C"/>
    <w:lvl w:ilvl="0" w:tplc="A4C830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520B429A"/>
    <w:multiLevelType w:val="hybridMultilevel"/>
    <w:tmpl w:val="7E888DE0"/>
    <w:lvl w:ilvl="0" w:tplc="D5D4B4EE">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52A5452C"/>
    <w:multiLevelType w:val="hybridMultilevel"/>
    <w:tmpl w:val="FBD8370A"/>
    <w:lvl w:ilvl="0" w:tplc="9F7498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53F105AD"/>
    <w:multiLevelType w:val="hybridMultilevel"/>
    <w:tmpl w:val="F754DAD8"/>
    <w:lvl w:ilvl="0" w:tplc="046ABD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565412FB"/>
    <w:multiLevelType w:val="hybridMultilevel"/>
    <w:tmpl w:val="AB4AA4D4"/>
    <w:lvl w:ilvl="0" w:tplc="A2FC07A2">
      <w:numFmt w:val="bullet"/>
      <w:lvlText w:val="-"/>
      <w:lvlJc w:val="left"/>
      <w:pPr>
        <w:tabs>
          <w:tab w:val="num" w:pos="1620"/>
        </w:tabs>
        <w:ind w:left="16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583D6B99"/>
    <w:multiLevelType w:val="hybridMultilevel"/>
    <w:tmpl w:val="115C6A1C"/>
    <w:lvl w:ilvl="0" w:tplc="046ABD4C">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585A3B73"/>
    <w:multiLevelType w:val="hybridMultilevel"/>
    <w:tmpl w:val="D160E4A0"/>
    <w:lvl w:ilvl="0" w:tplc="A4C830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595D1F22"/>
    <w:multiLevelType w:val="hybridMultilevel"/>
    <w:tmpl w:val="20EA19EE"/>
    <w:lvl w:ilvl="0" w:tplc="046ABD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5AA838F0"/>
    <w:multiLevelType w:val="hybridMultilevel"/>
    <w:tmpl w:val="081C9062"/>
    <w:lvl w:ilvl="0" w:tplc="6CA8C48C">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609040FF"/>
    <w:multiLevelType w:val="hybridMultilevel"/>
    <w:tmpl w:val="6CE88032"/>
    <w:lvl w:ilvl="0" w:tplc="6FA22E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6333742B"/>
    <w:multiLevelType w:val="hybridMultilevel"/>
    <w:tmpl w:val="C9160FFE"/>
    <w:lvl w:ilvl="0" w:tplc="F22C4590">
      <w:start w:val="33"/>
      <w:numFmt w:val="decimal"/>
      <w:lvlText w:val="%1."/>
      <w:lvlJc w:val="left"/>
      <w:pPr>
        <w:tabs>
          <w:tab w:val="num" w:pos="795"/>
        </w:tabs>
        <w:ind w:left="795" w:hanging="435"/>
      </w:pPr>
      <w:rPr>
        <w:rFonts w:ascii="Courier New" w:hAnsi="Courier New" w:cs="Courier New" w:hint="default"/>
        <w:color w:val="auto"/>
        <w:sz w:val="24"/>
        <w:szCs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65A076DA"/>
    <w:multiLevelType w:val="hybridMultilevel"/>
    <w:tmpl w:val="8FDECDFC"/>
    <w:lvl w:ilvl="0" w:tplc="6FA22E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65AE1CA5"/>
    <w:multiLevelType w:val="hybridMultilevel"/>
    <w:tmpl w:val="3794A15C"/>
    <w:lvl w:ilvl="0" w:tplc="046ABD4C">
      <w:start w:val="1"/>
      <w:numFmt w:val="bullet"/>
      <w:lvlText w:val=""/>
      <w:lvlJc w:val="left"/>
      <w:pPr>
        <w:tabs>
          <w:tab w:val="num" w:pos="1134"/>
        </w:tabs>
        <w:ind w:left="1134" w:hanging="567"/>
      </w:pPr>
      <w:rPr>
        <w:rFonts w:ascii="Symbol" w:hAnsi="Symbol" w:hint="default"/>
      </w:rPr>
    </w:lvl>
    <w:lvl w:ilvl="1" w:tplc="3A3424EE">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6BC82971"/>
    <w:multiLevelType w:val="hybridMultilevel"/>
    <w:tmpl w:val="331C3C22"/>
    <w:lvl w:ilvl="0" w:tplc="E42ABFBA">
      <w:start w:val="1"/>
      <w:numFmt w:val="bullet"/>
      <w:lvlText w:val=""/>
      <w:lvlJc w:val="left"/>
      <w:pPr>
        <w:tabs>
          <w:tab w:val="num" w:pos="1134"/>
        </w:tabs>
        <w:ind w:left="1134" w:hanging="567"/>
      </w:pPr>
      <w:rPr>
        <w:rFonts w:ascii="Symbol" w:hAnsi="Symbol" w:hint="default"/>
      </w:rPr>
    </w:lvl>
    <w:lvl w:ilvl="1" w:tplc="6FA22E4A">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708451FB"/>
    <w:multiLevelType w:val="hybridMultilevel"/>
    <w:tmpl w:val="6D56D3E2"/>
    <w:lvl w:ilvl="0" w:tplc="5B788AE8">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50">
    <w:nsid w:val="71AF13B7"/>
    <w:multiLevelType w:val="hybridMultilevel"/>
    <w:tmpl w:val="1B90DE08"/>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1">
    <w:nsid w:val="733D3CBE"/>
    <w:multiLevelType w:val="hybridMultilevel"/>
    <w:tmpl w:val="0B4827CA"/>
    <w:lvl w:ilvl="0" w:tplc="65061B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73B95B16"/>
    <w:multiLevelType w:val="hybridMultilevel"/>
    <w:tmpl w:val="331C3C22"/>
    <w:lvl w:ilvl="0" w:tplc="2430A5CA">
      <w:start w:val="1"/>
      <w:numFmt w:val="bullet"/>
      <w:lvlText w:val=""/>
      <w:lvlJc w:val="left"/>
      <w:pPr>
        <w:tabs>
          <w:tab w:val="num" w:pos="567"/>
        </w:tabs>
        <w:ind w:left="567" w:hanging="567"/>
      </w:pPr>
      <w:rPr>
        <w:rFonts w:ascii="Symbol" w:hAnsi="Symbol" w:hint="default"/>
      </w:rPr>
    </w:lvl>
    <w:lvl w:ilvl="1" w:tplc="6FA22E4A">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7624182C"/>
    <w:multiLevelType w:val="hybridMultilevel"/>
    <w:tmpl w:val="78920C3E"/>
    <w:lvl w:ilvl="0" w:tplc="ACFA9AE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7A7A77CC"/>
    <w:multiLevelType w:val="hybridMultilevel"/>
    <w:tmpl w:val="A802C256"/>
    <w:lvl w:ilvl="0" w:tplc="5C3AAEC2">
      <w:start w:val="1"/>
      <w:numFmt w:val="bullet"/>
      <w:lvlText w:val=""/>
      <w:lvlJc w:val="left"/>
      <w:pPr>
        <w:tabs>
          <w:tab w:val="num" w:pos="1134"/>
        </w:tabs>
        <w:ind w:left="1134" w:hanging="567"/>
      </w:pPr>
      <w:rPr>
        <w:rFonts w:ascii="Symbol" w:hAnsi="Symbol" w:hint="default"/>
      </w:rPr>
    </w:lvl>
    <w:lvl w:ilvl="1" w:tplc="E90889C8">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7CA46B7D"/>
    <w:multiLevelType w:val="hybridMultilevel"/>
    <w:tmpl w:val="DB18D7D0"/>
    <w:lvl w:ilvl="0" w:tplc="6FA22E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7CF349BD"/>
    <w:multiLevelType w:val="singleLevel"/>
    <w:tmpl w:val="1AEC463A"/>
    <w:lvl w:ilvl="0">
      <w:start w:val="1"/>
      <w:numFmt w:val="lowerRoman"/>
      <w:lvlText w:val="%1)"/>
      <w:lvlJc w:val="right"/>
      <w:pPr>
        <w:tabs>
          <w:tab w:val="num" w:pos="504"/>
        </w:tabs>
        <w:ind w:left="504" w:hanging="216"/>
      </w:pPr>
    </w:lvl>
  </w:abstractNum>
  <w:abstractNum w:abstractNumId="57">
    <w:nsid w:val="7F4A018A"/>
    <w:multiLevelType w:val="multilevel"/>
    <w:tmpl w:val="509CFD3C"/>
    <w:lvl w:ilvl="0">
      <w:start w:val="6"/>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7FDD0437"/>
    <w:multiLevelType w:val="hybridMultilevel"/>
    <w:tmpl w:val="E1D8997C"/>
    <w:lvl w:ilvl="0" w:tplc="A4C830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56"/>
  </w:num>
  <w:num w:numId="3">
    <w:abstractNumId w:val="20"/>
  </w:num>
  <w:num w:numId="4">
    <w:abstractNumId w:val="34"/>
  </w:num>
  <w:num w:numId="5">
    <w:abstractNumId w:val="33"/>
  </w:num>
  <w:num w:numId="6">
    <w:abstractNumId w:val="28"/>
  </w:num>
  <w:num w:numId="7">
    <w:abstractNumId w:val="2"/>
  </w:num>
  <w:num w:numId="8">
    <w:abstractNumId w:val="5"/>
  </w:num>
  <w:num w:numId="9">
    <w:abstractNumId w:val="43"/>
  </w:num>
  <w:num w:numId="10">
    <w:abstractNumId w:val="21"/>
  </w:num>
  <w:num w:numId="11">
    <w:abstractNumId w:val="24"/>
  </w:num>
  <w:num w:numId="12">
    <w:abstractNumId w:val="22"/>
  </w:num>
  <w:num w:numId="13">
    <w:abstractNumId w:val="53"/>
  </w:num>
  <w:num w:numId="14">
    <w:abstractNumId w:val="57"/>
  </w:num>
  <w:num w:numId="15">
    <w:abstractNumId w:val="12"/>
  </w:num>
  <w:num w:numId="16">
    <w:abstractNumId w:val="14"/>
  </w:num>
  <w:num w:numId="17">
    <w:abstractNumId w:val="49"/>
  </w:num>
  <w:num w:numId="18">
    <w:abstractNumId w:val="3"/>
  </w:num>
  <w:num w:numId="19">
    <w:abstractNumId w:val="17"/>
  </w:num>
  <w:num w:numId="20">
    <w:abstractNumId w:val="39"/>
  </w:num>
  <w:num w:numId="21">
    <w:abstractNumId w:val="40"/>
  </w:num>
  <w:num w:numId="22">
    <w:abstractNumId w:val="15"/>
  </w:num>
  <w:num w:numId="23">
    <w:abstractNumId w:val="6"/>
  </w:num>
  <w:num w:numId="24">
    <w:abstractNumId w:val="18"/>
  </w:num>
  <w:num w:numId="25">
    <w:abstractNumId w:val="42"/>
  </w:num>
  <w:num w:numId="26">
    <w:abstractNumId w:val="16"/>
  </w:num>
  <w:num w:numId="27">
    <w:abstractNumId w:val="38"/>
  </w:num>
  <w:num w:numId="28">
    <w:abstractNumId w:val="10"/>
  </w:num>
  <w:num w:numId="29">
    <w:abstractNumId w:val="13"/>
  </w:num>
  <w:num w:numId="30">
    <w:abstractNumId w:val="47"/>
  </w:num>
  <w:num w:numId="31">
    <w:abstractNumId w:val="31"/>
  </w:num>
  <w:num w:numId="32">
    <w:abstractNumId w:val="36"/>
  </w:num>
  <w:num w:numId="33">
    <w:abstractNumId w:val="32"/>
  </w:num>
  <w:num w:numId="34">
    <w:abstractNumId w:val="54"/>
  </w:num>
  <w:num w:numId="35">
    <w:abstractNumId w:val="52"/>
  </w:num>
  <w:num w:numId="36">
    <w:abstractNumId w:val="19"/>
  </w:num>
  <w:num w:numId="37">
    <w:abstractNumId w:val="46"/>
  </w:num>
  <w:num w:numId="38">
    <w:abstractNumId w:val="55"/>
  </w:num>
  <w:num w:numId="39">
    <w:abstractNumId w:val="1"/>
  </w:num>
  <w:num w:numId="40">
    <w:abstractNumId w:val="8"/>
  </w:num>
  <w:num w:numId="41">
    <w:abstractNumId w:val="11"/>
  </w:num>
  <w:num w:numId="42">
    <w:abstractNumId w:val="58"/>
  </w:num>
  <w:num w:numId="43">
    <w:abstractNumId w:val="41"/>
  </w:num>
  <w:num w:numId="44">
    <w:abstractNumId w:val="25"/>
  </w:num>
  <w:num w:numId="45">
    <w:abstractNumId w:val="4"/>
  </w:num>
  <w:num w:numId="46">
    <w:abstractNumId w:val="29"/>
  </w:num>
  <w:num w:numId="47">
    <w:abstractNumId w:val="23"/>
  </w:num>
  <w:num w:numId="48">
    <w:abstractNumId w:val="35"/>
  </w:num>
  <w:num w:numId="49">
    <w:abstractNumId w:val="44"/>
  </w:num>
  <w:num w:numId="50">
    <w:abstractNumId w:val="30"/>
  </w:num>
  <w:num w:numId="51">
    <w:abstractNumId w:val="51"/>
  </w:num>
  <w:num w:numId="52">
    <w:abstractNumId w:val="48"/>
  </w:num>
  <w:num w:numId="53">
    <w:abstractNumId w:val="7"/>
  </w:num>
  <w:num w:numId="54">
    <w:abstractNumId w:val="26"/>
  </w:num>
  <w:num w:numId="55">
    <w:abstractNumId w:val="37"/>
  </w:num>
  <w:num w:numId="56">
    <w:abstractNumId w:val="50"/>
  </w:num>
  <w:num w:numId="57">
    <w:abstractNumId w:val="45"/>
  </w:num>
  <w:num w:numId="58">
    <w:abstractNumId w:val="9"/>
  </w:num>
  <w:num w:numId="59">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27602</Words>
  <Characters>157337</Characters>
  <Application>Microsoft Office Word</Application>
  <DocSecurity>4</DocSecurity>
  <Lines>1311</Lines>
  <Paragraphs>314</Paragraphs>
  <ScaleCrop>false</ScaleCrop>
  <HeadingPairs>
    <vt:vector size="2" baseType="variant">
      <vt:variant>
        <vt:lpstr>Título</vt:lpstr>
      </vt:variant>
      <vt:variant>
        <vt:i4>1</vt:i4>
      </vt:variant>
    </vt:vector>
  </HeadingPairs>
  <TitlesOfParts>
    <vt:vector size="1" baseType="lpstr">
      <vt:lpstr>CRC/C/SEN/2  06-40553</vt:lpstr>
    </vt:vector>
  </TitlesOfParts>
  <Company>ONU</Company>
  <LinksUpToDate>false</LinksUpToDate>
  <CharactersWithSpaces>193220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CRC/C/SEN/2  06-40553</dc:title>
  <dc:subject>FINAL</dc:subject>
  <dc:creator>Javier Rodríguez</dc:creator>
  <cp:keywords/>
  <dc:description/>
  <cp:lastModifiedBy>PDF</cp:lastModifiedBy>
  <cp:revision>3</cp:revision>
  <cp:lastPrinted>2006-04-27T09:23:00Z</cp:lastPrinted>
  <dcterms:created xsi:type="dcterms:W3CDTF">2006-04-27T09:23:00Z</dcterms:created>
  <dcterms:modified xsi:type="dcterms:W3CDTF">2006-04-27T09:25:00Z</dcterms:modified>
</cp:coreProperties>
</file>