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ED7442">
        <w:trPr>
          <w:trHeight w:hRule="exact" w:val="851"/>
        </w:trPr>
        <w:tc>
          <w:tcPr>
            <w:tcW w:w="1274" w:type="dxa"/>
            <w:tcBorders>
              <w:bottom w:val="single" w:sz="4" w:space="0" w:color="auto"/>
            </w:tcBorders>
          </w:tcPr>
          <w:p w:rsidR="006B3E27" w:rsidRPr="00ED7442" w:rsidRDefault="006B3E27" w:rsidP="00E70E04">
            <w:pPr>
              <w:jc w:val="center"/>
              <w:rPr>
                <w:rFonts w:hint="cs"/>
                <w:sz w:val="56"/>
                <w:szCs w:val="56"/>
              </w:rPr>
            </w:pPr>
          </w:p>
        </w:tc>
        <w:tc>
          <w:tcPr>
            <w:tcW w:w="4537"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FA093F" w:rsidP="00FA093F">
            <w:pPr>
              <w:bidi w:val="0"/>
              <w:spacing w:after="20"/>
              <w:jc w:val="left"/>
              <w:rPr>
                <w:szCs w:val="20"/>
              </w:rPr>
            </w:pPr>
            <w:r w:rsidRPr="00FA093F">
              <w:rPr>
                <w:sz w:val="40"/>
                <w:szCs w:val="20"/>
              </w:rPr>
              <w:t>CCPR</w:t>
            </w:r>
            <w:r>
              <w:rPr>
                <w:szCs w:val="20"/>
              </w:rPr>
              <w:t>/C/MCO/CO/3</w:t>
            </w:r>
          </w:p>
        </w:tc>
      </w:tr>
      <w:tr w:rsidR="006B3E27" w:rsidRPr="00ED7442" w:rsidTr="00ED7442">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0B6650F9" wp14:editId="6F3D1581">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ED7442">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FA093F" w:rsidP="00FA093F">
            <w:pPr>
              <w:bidi w:val="0"/>
              <w:spacing w:before="240"/>
              <w:jc w:val="left"/>
              <w:rPr>
                <w:szCs w:val="20"/>
              </w:rPr>
            </w:pPr>
            <w:r>
              <w:rPr>
                <w:szCs w:val="20"/>
              </w:rPr>
              <w:t>Distr.: General</w:t>
            </w:r>
          </w:p>
          <w:p w:rsidR="00FA093F" w:rsidRDefault="00FA093F" w:rsidP="00FA093F">
            <w:pPr>
              <w:bidi w:val="0"/>
              <w:jc w:val="left"/>
              <w:rPr>
                <w:szCs w:val="20"/>
              </w:rPr>
            </w:pPr>
            <w:r>
              <w:rPr>
                <w:szCs w:val="20"/>
              </w:rPr>
              <w:t>28 April 2015</w:t>
            </w:r>
          </w:p>
          <w:p w:rsidR="00FA093F" w:rsidRDefault="00FA093F" w:rsidP="00FA093F">
            <w:pPr>
              <w:bidi w:val="0"/>
              <w:jc w:val="left"/>
              <w:rPr>
                <w:szCs w:val="20"/>
              </w:rPr>
            </w:pPr>
            <w:r>
              <w:rPr>
                <w:szCs w:val="20"/>
              </w:rPr>
              <w:t>Arabic</w:t>
            </w:r>
          </w:p>
          <w:p w:rsidR="00FA093F" w:rsidRPr="00CB6622" w:rsidRDefault="00FA093F" w:rsidP="00FA093F">
            <w:pPr>
              <w:bidi w:val="0"/>
              <w:jc w:val="left"/>
              <w:rPr>
                <w:szCs w:val="20"/>
              </w:rPr>
            </w:pPr>
            <w:r>
              <w:rPr>
                <w:szCs w:val="20"/>
              </w:rPr>
              <w:t>Original: French</w:t>
            </w:r>
          </w:p>
        </w:tc>
      </w:tr>
    </w:tbl>
    <w:p w:rsidR="00FA093F" w:rsidRPr="00FA093F" w:rsidRDefault="0064080B" w:rsidP="00FA093F">
      <w:pPr>
        <w:spacing w:before="120" w:line="380" w:lineRule="exact"/>
        <w:rPr>
          <w:b/>
          <w:bCs/>
          <w:sz w:val="26"/>
          <w:szCs w:val="36"/>
          <w:rtl/>
        </w:rPr>
      </w:pPr>
      <w:dir w:val="rtl">
        <w:r w:rsidR="00FA093F" w:rsidRPr="00FA093F">
          <w:rPr>
            <w:b/>
            <w:bCs/>
            <w:sz w:val="26"/>
            <w:szCs w:val="36"/>
            <w:rtl/>
          </w:rPr>
          <w:t>اللجنة المعنية بحقوق الإنسان</w:t>
        </w:r>
        <w:r w:rsidR="00FA093F" w:rsidRPr="00FA093F">
          <w:rPr>
            <w:rFonts w:cs="Times New Roman" w:hint="cs"/>
            <w:b/>
            <w:bCs/>
            <w:sz w:val="26"/>
            <w:szCs w:val="36"/>
            <w:rtl/>
          </w:rPr>
          <w:t>‬</w:t>
        </w:r>
        <w:r w:rsidR="00FA093F" w:rsidRPr="00FA093F">
          <w:rPr>
            <w:rFonts w:cs="Times New Roman" w:hint="cs"/>
            <w:b/>
            <w:bCs/>
            <w:sz w:val="26"/>
            <w:szCs w:val="36"/>
            <w:rtl/>
            <w:lang w:val="en-GB"/>
          </w:rPr>
          <w:t>‬</w:t>
        </w:r>
        <w:r w:rsidR="00FA093F" w:rsidRPr="00FA093F">
          <w:rPr>
            <w:rFonts w:cs="Times New Roman" w:hint="cs"/>
            <w:b/>
            <w:bCs/>
            <w:sz w:val="26"/>
            <w:szCs w:val="36"/>
            <w:rtl/>
            <w:lang w:val="en-GB"/>
          </w:rPr>
          <w:t>‬</w:t>
        </w:r>
        <w:r w:rsidR="00FA093F" w:rsidRPr="00FA093F">
          <w:rPr>
            <w:rFonts w:cs="Times New Roman" w:hint="cs"/>
            <w:b/>
            <w:bCs/>
            <w:sz w:val="26"/>
            <w:szCs w:val="36"/>
            <w:rtl/>
            <w:lang w:val="en-GB"/>
          </w:rPr>
          <w:t>‬</w:t>
        </w:r>
        <w:r w:rsidR="00FA093F" w:rsidRPr="00FA093F">
          <w:rPr>
            <w:rFonts w:cs="Times New Roman" w:hint="cs"/>
            <w:b/>
            <w:bCs/>
            <w:sz w:val="26"/>
            <w:szCs w:val="36"/>
            <w:rtl/>
            <w:lang w:val="en-GB"/>
          </w:rPr>
          <w:t>‬</w:t>
        </w:r>
        <w:r w:rsidR="00FA093F" w:rsidRPr="00FA093F">
          <w:rPr>
            <w:rFonts w:cs="Times New Roman" w:hint="cs"/>
            <w:b/>
            <w:bCs/>
            <w:sz w:val="26"/>
            <w:szCs w:val="36"/>
            <w:rtl/>
            <w:lang w:val="en-GB"/>
          </w:rPr>
          <w:t>‬</w:t>
        </w:r>
        <w:r w:rsidR="00FA093F" w:rsidRPr="00FA093F">
          <w:rPr>
            <w:rFonts w:cs="Times New Roman" w:hint="cs"/>
            <w:b/>
            <w:bCs/>
            <w:sz w:val="26"/>
            <w:szCs w:val="36"/>
            <w:rtl/>
            <w:lang w:val="en-GB"/>
          </w:rPr>
          <w:t>‬</w:t>
        </w:r>
        <w:r w:rsidR="005612F0">
          <w:t>‬</w:t>
        </w:r>
        <w:r w:rsidR="00FE02DC">
          <w:t>‬</w:t>
        </w:r>
        <w:r>
          <w:t>‬</w:t>
        </w:r>
      </w:dir>
    </w:p>
    <w:p w:rsidR="00FA093F" w:rsidRPr="00FA093F" w:rsidRDefault="00FA093F" w:rsidP="00270496">
      <w:pPr>
        <w:pStyle w:val="HChGA"/>
        <w:rPr>
          <w:rtl/>
        </w:rPr>
      </w:pPr>
      <w:r>
        <w:rPr>
          <w:rFonts w:hint="cs"/>
          <w:rtl/>
        </w:rPr>
        <w:tab/>
      </w:r>
      <w:r w:rsidRPr="00FA093F">
        <w:rPr>
          <w:rtl/>
        </w:rPr>
        <w:tab/>
      </w:r>
      <w:dir w:val="rtl">
        <w:r w:rsidRPr="00FA093F">
          <w:rPr>
            <w:rtl/>
          </w:rPr>
          <w:t>الملاحظات الختامية بشأن التقرير الدوري الثالث لموناكو</w:t>
        </w:r>
        <w:r w:rsidR="00270496" w:rsidRPr="00270496">
          <w:rPr>
            <w:rStyle w:val="FootnoteReference"/>
            <w:sz w:val="20"/>
            <w:vertAlign w:val="baseline"/>
            <w:rtl/>
          </w:rPr>
          <w:footnoteReference w:customMarkFollows="1" w:id="1"/>
          <w:t>*</w:t>
        </w:r>
        <w:r w:rsidRPr="00FA093F">
          <w:rPr>
            <w:rFonts w:cs="Times New Roman" w:hint="cs"/>
            <w:rtl/>
            <w:lang w:val="en-GB"/>
          </w:rPr>
          <w:t>‬</w:t>
        </w:r>
        <w:r w:rsidRPr="00FA093F">
          <w:rPr>
            <w:rFonts w:cs="Times New Roman" w:hint="cs"/>
            <w:rtl/>
            <w:lang w:val="en-GB"/>
          </w:rPr>
          <w:t>‬</w:t>
        </w:r>
        <w:r w:rsidRPr="00FA093F">
          <w:rPr>
            <w:rFonts w:cs="Times New Roman" w:hint="cs"/>
            <w:rtl/>
            <w:lang w:val="en-GB"/>
          </w:rPr>
          <w:t>‬</w:t>
        </w:r>
        <w:r w:rsidRPr="00FA093F">
          <w:rPr>
            <w:rFonts w:cs="Times New Roman" w:hint="cs"/>
            <w:rtl/>
            <w:lang w:val="en-GB"/>
          </w:rPr>
          <w:t>‬</w:t>
        </w:r>
        <w:r w:rsidRPr="00FA093F">
          <w:rPr>
            <w:rFonts w:cs="Times New Roman" w:hint="cs"/>
            <w:rtl/>
            <w:lang w:val="en-GB"/>
          </w:rPr>
          <w:t>‬</w:t>
        </w:r>
        <w:r w:rsidRPr="00FA093F">
          <w:rPr>
            <w:rFonts w:cs="Times New Roman" w:hint="cs"/>
            <w:rtl/>
            <w:lang w:val="en-GB"/>
          </w:rPr>
          <w:t>‬</w:t>
        </w:r>
        <w:r w:rsidR="005612F0">
          <w:t>‬</w:t>
        </w:r>
        <w:r w:rsidR="00FE02DC">
          <w:t>‬</w:t>
        </w:r>
        <w:r w:rsidR="0064080B">
          <w:t>‬</w:t>
        </w:r>
      </w:dir>
    </w:p>
    <w:p w:rsidR="00FA093F" w:rsidRPr="005A2C8C" w:rsidRDefault="00FA093F" w:rsidP="008D39B0">
      <w:pPr>
        <w:pStyle w:val="SingleTxtGA"/>
        <w:rPr>
          <w:spacing w:val="-1"/>
          <w:rtl/>
        </w:rPr>
      </w:pPr>
      <w:r w:rsidRPr="005A2C8C">
        <w:rPr>
          <w:spacing w:val="-1"/>
          <w:rtl/>
        </w:rPr>
        <w:t>١-</w:t>
      </w:r>
      <w:dir w:val="rtl">
        <w:r w:rsidRPr="005A2C8C">
          <w:rPr>
            <w:spacing w:val="-1"/>
            <w:rtl/>
          </w:rPr>
          <w:tab/>
          <w:t>نظرت اللجنة المعنية بحقوق الإنسان في التقرير الدوري الثالث المقدم من موناكو</w:t>
        </w:r>
        <w:r w:rsidR="00DB6397" w:rsidRPr="005A2C8C">
          <w:rPr>
            <w:rFonts w:hint="cs"/>
            <w:spacing w:val="-1"/>
            <w:rtl/>
          </w:rPr>
          <w:t xml:space="preserve"> </w:t>
        </w:r>
        <w:r w:rsidRPr="005A2C8C">
          <w:rPr>
            <w:spacing w:val="-1"/>
            <w:rtl/>
          </w:rPr>
          <w:t>(</w:t>
        </w:r>
        <w:r w:rsidRPr="005A2C8C">
          <w:rPr>
            <w:spacing w:val="-1"/>
            <w:lang w:val="en-GB"/>
          </w:rPr>
          <w:t>CCPR/C/MCO/3</w:t>
        </w:r>
        <w:r w:rsidRPr="005A2C8C">
          <w:rPr>
            <w:spacing w:val="-1"/>
            <w:rtl/>
          </w:rPr>
          <w:t>) في جلستيها 3148 و3149</w:t>
        </w:r>
        <w:r w:rsidRPr="005A2C8C">
          <w:rPr>
            <w:spacing w:val="-1"/>
            <w:rtl/>
            <w:lang w:val="en-GB"/>
          </w:rPr>
          <w:t xml:space="preserve"> </w:t>
        </w:r>
        <w:r w:rsidRPr="005A2C8C">
          <w:rPr>
            <w:spacing w:val="-1"/>
            <w:rtl/>
          </w:rPr>
          <w:t>(</w:t>
        </w:r>
        <w:r w:rsidRPr="005A2C8C">
          <w:rPr>
            <w:spacing w:val="-1"/>
            <w:lang w:val="en-GB"/>
          </w:rPr>
          <w:t>CCPR/C/SR.3148</w:t>
        </w:r>
        <w:r w:rsidRPr="005A2C8C">
          <w:rPr>
            <w:spacing w:val="-1"/>
            <w:rtl/>
            <w:lang w:val="en-GB"/>
          </w:rPr>
          <w:t xml:space="preserve"> </w:t>
        </w:r>
        <w:r w:rsidRPr="005A2C8C">
          <w:rPr>
            <w:spacing w:val="-1"/>
            <w:rtl/>
          </w:rPr>
          <w:t>و</w:t>
        </w:r>
        <w:r w:rsidR="00DB6397" w:rsidRPr="005A2C8C">
          <w:rPr>
            <w:spacing w:val="-1"/>
            <w:lang w:val="en-GB"/>
          </w:rPr>
          <w:t>SR.</w:t>
        </w:r>
        <w:r w:rsidRPr="005A2C8C">
          <w:rPr>
            <w:spacing w:val="-1"/>
            <w:lang w:val="en-GB"/>
          </w:rPr>
          <w:t>3149</w:t>
        </w:r>
        <w:r w:rsidRPr="005A2C8C">
          <w:rPr>
            <w:spacing w:val="-1"/>
            <w:rtl/>
          </w:rPr>
          <w:t>) المعقودتين يومي 24 و25 آذار/مارس 2015.</w:t>
        </w:r>
        <w:r w:rsidRPr="005A2C8C">
          <w:rPr>
            <w:rFonts w:cs="Times New Roman" w:hint="cs"/>
            <w:spacing w:val="-1"/>
            <w:rtl/>
          </w:rPr>
          <w:t>‬</w:t>
        </w:r>
        <w:r w:rsidRPr="005A2C8C">
          <w:rPr>
            <w:spacing w:val="-1"/>
            <w:rtl/>
          </w:rPr>
          <w:t xml:space="preserve"> </w:t>
        </w:r>
        <w:r w:rsidRPr="005A2C8C">
          <w:rPr>
            <w:rFonts w:ascii="Traditional Arabic" w:hAnsi="Traditional Arabic" w:hint="cs"/>
            <w:spacing w:val="-1"/>
            <w:rtl/>
          </w:rPr>
          <w:t>واعتمدت</w:t>
        </w:r>
        <w:r w:rsidRPr="005A2C8C">
          <w:rPr>
            <w:spacing w:val="-1"/>
            <w:rtl/>
          </w:rPr>
          <w:t xml:space="preserve"> </w:t>
        </w:r>
        <w:r w:rsidRPr="005A2C8C">
          <w:rPr>
            <w:rFonts w:ascii="Traditional Arabic" w:hAnsi="Traditional Arabic" w:hint="cs"/>
            <w:spacing w:val="-1"/>
            <w:rtl/>
          </w:rPr>
          <w:t>اللجنة</w:t>
        </w:r>
        <w:r w:rsidRPr="005A2C8C">
          <w:rPr>
            <w:spacing w:val="-1"/>
            <w:rtl/>
          </w:rPr>
          <w:t xml:space="preserve"> الملاحظات الختامية التالية في جلستها</w:t>
        </w:r>
        <w:r w:rsidR="008D39B0">
          <w:rPr>
            <w:rFonts w:hint="cs"/>
            <w:spacing w:val="-1"/>
            <w:rtl/>
          </w:rPr>
          <w:t> </w:t>
        </w:r>
        <w:r w:rsidRPr="005A2C8C">
          <w:rPr>
            <w:spacing w:val="-1"/>
            <w:rtl/>
          </w:rPr>
          <w:t>3158 المعقودة في ٣١ آذار/مارس ٢٠١٥.</w:t>
        </w:r>
        <w:r w:rsidRPr="005A2C8C">
          <w:rPr>
            <w:rFonts w:cs="Times New Roman" w:hint="cs"/>
            <w:spacing w:val="-1"/>
            <w:rtl/>
          </w:rPr>
          <w:t>‬</w:t>
        </w:r>
        <w:r w:rsidRPr="005A2C8C">
          <w:rPr>
            <w:rFonts w:cs="Times New Roman" w:hint="cs"/>
            <w:spacing w:val="-1"/>
            <w:rtl/>
            <w:lang w:val="en-GB"/>
          </w:rPr>
          <w:t>‬</w:t>
        </w:r>
        <w:r w:rsidRPr="005A2C8C">
          <w:rPr>
            <w:rFonts w:cs="Times New Roman" w:hint="cs"/>
            <w:spacing w:val="-1"/>
            <w:rtl/>
            <w:lang w:val="en-GB"/>
          </w:rPr>
          <w:t>‬</w:t>
        </w:r>
        <w:r w:rsidRPr="005A2C8C">
          <w:rPr>
            <w:rFonts w:cs="Times New Roman" w:hint="cs"/>
            <w:spacing w:val="-1"/>
            <w:rtl/>
            <w:lang w:val="en-GB"/>
          </w:rPr>
          <w:t>‬</w:t>
        </w:r>
        <w:r w:rsidRPr="005A2C8C">
          <w:rPr>
            <w:rFonts w:cs="Times New Roman" w:hint="cs"/>
            <w:spacing w:val="-1"/>
            <w:rtl/>
            <w:lang w:val="en-GB"/>
          </w:rPr>
          <w:t>‬</w:t>
        </w:r>
        <w:r w:rsidRPr="005A2C8C">
          <w:rPr>
            <w:rFonts w:cs="Times New Roman" w:hint="cs"/>
            <w:spacing w:val="-1"/>
            <w:rtl/>
            <w:lang w:val="en-GB"/>
          </w:rPr>
          <w:t>‬</w:t>
        </w:r>
        <w:r w:rsidR="005612F0">
          <w:t>‬</w:t>
        </w:r>
        <w:r w:rsidR="00FE02DC">
          <w:t>‬</w:t>
        </w:r>
        <w:r w:rsidR="0064080B">
          <w:t>‬</w:t>
        </w:r>
      </w:dir>
    </w:p>
    <w:p w:rsidR="00FA093F" w:rsidRPr="00FA093F" w:rsidRDefault="00FA093F" w:rsidP="00FA093F">
      <w:pPr>
        <w:pStyle w:val="H1GA"/>
        <w:rPr>
          <w:rtl/>
        </w:rPr>
      </w:pPr>
      <w:r w:rsidRPr="00FA093F">
        <w:rPr>
          <w:rtl/>
        </w:rPr>
        <w:tab/>
        <w:t>ألف-</w:t>
      </w:r>
      <w:r>
        <w:rPr>
          <w:rFonts w:hint="cs"/>
          <w:rtl/>
        </w:rPr>
        <w:tab/>
      </w:r>
      <w:r w:rsidRPr="00FA093F">
        <w:rPr>
          <w:rtl/>
        </w:rPr>
        <w:t>مقدمة</w:t>
      </w:r>
    </w:p>
    <w:p w:rsidR="00FA093F" w:rsidRPr="00FA093F" w:rsidRDefault="00FA093F" w:rsidP="003823DE">
      <w:pPr>
        <w:pStyle w:val="SingleTxtGA"/>
        <w:rPr>
          <w:rtl/>
        </w:rPr>
      </w:pPr>
      <w:r w:rsidRPr="00FA093F">
        <w:rPr>
          <w:rtl/>
        </w:rPr>
        <w:t>٢-</w:t>
      </w:r>
      <w:r>
        <w:rPr>
          <w:rFonts w:hint="cs"/>
          <w:rtl/>
        </w:rPr>
        <w:tab/>
      </w:r>
      <w:r w:rsidRPr="00FA093F">
        <w:rPr>
          <w:rtl/>
        </w:rPr>
        <w:t>توجه اللجنة شكرها إلى الدولة الطرف لقبولها الإجراء الاختياري الجديد لتقديم التقارير ولاعتماده في إعداد تقريرها الثالث بالرد</w:t>
      </w:r>
      <w:r w:rsidR="003823DE">
        <w:rPr>
          <w:rFonts w:hint="cs"/>
          <w:rtl/>
        </w:rPr>
        <w:t xml:space="preserve"> </w:t>
      </w:r>
      <w:r w:rsidRPr="00FA093F">
        <w:rPr>
          <w:rtl/>
        </w:rPr>
        <w:t>على قائمة المسائل المحددة في مرحلة سابقة لتقديم التقرير (</w:t>
      </w:r>
      <w:r w:rsidRPr="00FA093F">
        <w:rPr>
          <w:lang w:val="en-GB"/>
        </w:rPr>
        <w:t>CCPR/C/MCO/Q/3</w:t>
      </w:r>
      <w:r w:rsidRPr="00FA093F">
        <w:rPr>
          <w:rtl/>
        </w:rPr>
        <w:t>)</w:t>
      </w:r>
      <w:r w:rsidRPr="00FA093F">
        <w:rPr>
          <w:rtl/>
          <w:lang w:val="en-GB"/>
        </w:rPr>
        <w:t>.</w:t>
      </w:r>
      <w:r w:rsidRPr="00FA093F">
        <w:rPr>
          <w:rtl/>
        </w:rPr>
        <w:t xml:space="preserve"> </w:t>
      </w:r>
      <w:dir w:val="rtl">
        <w:r w:rsidRPr="00FA093F">
          <w:rPr>
            <w:rtl/>
          </w:rPr>
          <w:t>وتحيط اللجنة علماً بارتياح بالمعلومات المقدمة بشأن تنفيذ أحكام العهد في البلد، وتعرب عن شكرها للدولة الطرف على الردود الشفوية التي قدمها الوفد فضلاً عن المعلومات الإضافية المقدمة خطياً</w:t>
        </w:r>
        <w:r w:rsidRPr="00FA093F">
          <w:rPr>
            <w:rtl/>
            <w:lang w:val="en-GB"/>
          </w:rPr>
          <w:t>.</w:t>
        </w:r>
        <w:r w:rsidRPr="00FA093F">
          <w:rPr>
            <w:rFonts w:cs="Times New Roman" w:hint="cs"/>
            <w:rtl/>
            <w:lang w:val="en-GB"/>
          </w:rPr>
          <w:t>‬</w:t>
        </w:r>
        <w:r w:rsidRPr="00FA093F">
          <w:rPr>
            <w:rFonts w:cs="Times New Roman" w:hint="cs"/>
            <w:rtl/>
            <w:lang w:val="en-GB"/>
          </w:rPr>
          <w:t>‬</w:t>
        </w:r>
        <w:r w:rsidRPr="00FA093F">
          <w:rPr>
            <w:rFonts w:cs="Times New Roman" w:hint="cs"/>
            <w:rtl/>
            <w:lang w:val="en-GB"/>
          </w:rPr>
          <w:t>‬</w:t>
        </w:r>
        <w:r w:rsidRPr="00FA093F">
          <w:rPr>
            <w:rFonts w:cs="Times New Roman" w:hint="cs"/>
            <w:rtl/>
            <w:lang w:val="en-GB"/>
          </w:rPr>
          <w:t>‬</w:t>
        </w:r>
        <w:r w:rsidRPr="00FA093F">
          <w:rPr>
            <w:rFonts w:cs="Times New Roman" w:hint="cs"/>
            <w:rtl/>
            <w:lang w:val="en-GB"/>
          </w:rPr>
          <w:t>‬</w:t>
        </w:r>
        <w:r w:rsidRPr="00FA093F">
          <w:rPr>
            <w:rFonts w:cs="Times New Roman" w:hint="cs"/>
            <w:rtl/>
            <w:lang w:val="en-GB"/>
          </w:rPr>
          <w:t>‬</w:t>
        </w:r>
        <w:r w:rsidR="005612F0">
          <w:t>‬</w:t>
        </w:r>
        <w:r w:rsidR="00FE02DC">
          <w:t>‬</w:t>
        </w:r>
        <w:r w:rsidR="0064080B">
          <w:t>‬</w:t>
        </w:r>
      </w:dir>
    </w:p>
    <w:p w:rsidR="00FA093F" w:rsidRPr="00FA093F" w:rsidRDefault="00FA093F" w:rsidP="00FA093F">
      <w:pPr>
        <w:pStyle w:val="H1GA"/>
        <w:rPr>
          <w:rtl/>
        </w:rPr>
      </w:pPr>
      <w:r w:rsidRPr="00FA093F">
        <w:rPr>
          <w:rtl/>
        </w:rPr>
        <w:tab/>
        <w:t>باء-</w:t>
      </w:r>
      <w:dir w:val="rtl">
        <w:r>
          <w:rPr>
            <w:rFonts w:hint="cs"/>
            <w:rtl/>
          </w:rPr>
          <w:tab/>
        </w:r>
        <w:r w:rsidRPr="00FA093F">
          <w:rPr>
            <w:rtl/>
          </w:rPr>
          <w:t>الجوانب الإيجابية</w:t>
        </w:r>
        <w:r w:rsidRPr="00FA093F">
          <w:rPr>
            <w:rFonts w:cs="Times New Roman" w:hint="cs"/>
            <w:rtl/>
          </w:rPr>
          <w:t>‬</w:t>
        </w:r>
        <w:r w:rsidRPr="00FA093F">
          <w:rPr>
            <w:rFonts w:cs="Times New Roman" w:hint="cs"/>
            <w:rtl/>
            <w:lang w:val="en-GB"/>
          </w:rPr>
          <w:t>‬</w:t>
        </w:r>
        <w:r w:rsidRPr="00FA093F">
          <w:rPr>
            <w:rFonts w:cs="Times New Roman" w:hint="cs"/>
            <w:rtl/>
            <w:lang w:val="en-GB"/>
          </w:rPr>
          <w:t>‬</w:t>
        </w:r>
        <w:r w:rsidRPr="00FA093F">
          <w:rPr>
            <w:rFonts w:cs="Times New Roman" w:hint="cs"/>
            <w:rtl/>
            <w:lang w:val="en-GB"/>
          </w:rPr>
          <w:t>‬</w:t>
        </w:r>
        <w:r w:rsidRPr="00FA093F">
          <w:rPr>
            <w:rFonts w:cs="Times New Roman" w:hint="cs"/>
            <w:rtl/>
            <w:lang w:val="en-GB"/>
          </w:rPr>
          <w:t>‬</w:t>
        </w:r>
        <w:r w:rsidRPr="00FA093F">
          <w:rPr>
            <w:rFonts w:cs="Times New Roman" w:hint="cs"/>
            <w:rtl/>
            <w:lang w:val="en-GB"/>
          </w:rPr>
          <w:t>‬</w:t>
        </w:r>
        <w:r w:rsidRPr="00FA093F">
          <w:rPr>
            <w:rFonts w:cs="Times New Roman" w:hint="cs"/>
            <w:rtl/>
            <w:lang w:val="en-GB"/>
          </w:rPr>
          <w:t>‬</w:t>
        </w:r>
        <w:r w:rsidR="005612F0">
          <w:t>‬</w:t>
        </w:r>
        <w:r w:rsidR="00FE02DC">
          <w:t>‬</w:t>
        </w:r>
        <w:r w:rsidR="0064080B">
          <w:t>‬</w:t>
        </w:r>
      </w:dir>
    </w:p>
    <w:p w:rsidR="00FA093F" w:rsidRPr="00FA093F" w:rsidRDefault="00FA093F" w:rsidP="00FA093F">
      <w:pPr>
        <w:pStyle w:val="SingleTxtGA"/>
        <w:rPr>
          <w:rtl/>
        </w:rPr>
      </w:pPr>
      <w:r w:rsidRPr="00FA093F">
        <w:rPr>
          <w:rtl/>
        </w:rPr>
        <w:t>٣-</w:t>
      </w:r>
      <w:r>
        <w:rPr>
          <w:rFonts w:hint="cs"/>
          <w:rtl/>
        </w:rPr>
        <w:tab/>
      </w:r>
      <w:r w:rsidRPr="00FA093F">
        <w:rPr>
          <w:rtl/>
        </w:rPr>
        <w:t>ترحب اللجنة بالتدابير التشريعية المتخذة في مجال حماية حقوق الإنسان، وخصوصاً باعتماد القوانين التالية</w:t>
      </w:r>
      <w:r w:rsidRPr="00FA093F">
        <w:rPr>
          <w:rtl/>
          <w:lang w:val="en-GB"/>
        </w:rPr>
        <w:t>:</w:t>
      </w:r>
    </w:p>
    <w:p w:rsidR="00FA093F" w:rsidRPr="00FA093F" w:rsidRDefault="00FA093F" w:rsidP="002A7F17">
      <w:pPr>
        <w:pStyle w:val="SingleTxtGA"/>
        <w:rPr>
          <w:rtl/>
        </w:rPr>
      </w:pPr>
      <w:r>
        <w:rPr>
          <w:rFonts w:hint="cs"/>
          <w:rtl/>
        </w:rPr>
        <w:tab/>
      </w:r>
      <w:r w:rsidRPr="00FA093F">
        <w:rPr>
          <w:rtl/>
        </w:rPr>
        <w:t>(أ)</w:t>
      </w:r>
      <w:r>
        <w:rPr>
          <w:rFonts w:hint="cs"/>
          <w:rtl/>
        </w:rPr>
        <w:tab/>
      </w:r>
      <w:r w:rsidRPr="00FA093F">
        <w:rPr>
          <w:rtl/>
        </w:rPr>
        <w:t xml:space="preserve">القانون رقم </w:t>
      </w:r>
      <w:r w:rsidR="002A7F17">
        <w:rPr>
          <w:rFonts w:hint="cs"/>
          <w:rtl/>
        </w:rPr>
        <w:t>382-1</w:t>
      </w:r>
      <w:r w:rsidRPr="00FA093F">
        <w:rPr>
          <w:rtl/>
          <w:lang w:val="en-GB"/>
        </w:rPr>
        <w:t xml:space="preserve"> </w:t>
      </w:r>
      <w:r w:rsidRPr="00FA093F">
        <w:rPr>
          <w:rtl/>
        </w:rPr>
        <w:t>الصادر في 20 تموز/يوليه 2011 بشأن منع أشكال محددة من العنف والمعاقبة عليها، وهو قانون أدى إلى تعزيز حماية المرأة والأطفال والأشخاص ذوي الإعاقة في إطار متابعة التوصية التي قدمتها اللجنة (انظر</w:t>
      </w:r>
      <w:r w:rsidRPr="00FA093F">
        <w:rPr>
          <w:rtl/>
          <w:lang w:val="en-GB"/>
        </w:rPr>
        <w:t xml:space="preserve"> </w:t>
      </w:r>
      <w:r w:rsidRPr="00FA093F">
        <w:rPr>
          <w:lang w:val="en-GB"/>
        </w:rPr>
        <w:t>CCPR/C/MCO/CO/2</w:t>
      </w:r>
      <w:r w:rsidRPr="00FA093F">
        <w:rPr>
          <w:rtl/>
        </w:rPr>
        <w:t>، الفقرة</w:t>
      </w:r>
      <w:r w:rsidR="003E2D4A">
        <w:rPr>
          <w:rFonts w:hint="cs"/>
          <w:rtl/>
        </w:rPr>
        <w:t> </w:t>
      </w:r>
      <w:r w:rsidRPr="00FA093F">
        <w:rPr>
          <w:rtl/>
        </w:rPr>
        <w:t>9)؛</w:t>
      </w:r>
    </w:p>
    <w:p w:rsidR="00FA093F" w:rsidRPr="00FA093F" w:rsidRDefault="00FA093F" w:rsidP="00FE02DC">
      <w:pPr>
        <w:pStyle w:val="SingleTxtGA"/>
        <w:rPr>
          <w:rtl/>
        </w:rPr>
      </w:pPr>
      <w:r>
        <w:rPr>
          <w:rFonts w:hint="cs"/>
          <w:rtl/>
        </w:rPr>
        <w:lastRenderedPageBreak/>
        <w:tab/>
      </w:r>
      <w:r w:rsidRPr="00FA093F">
        <w:rPr>
          <w:rtl/>
        </w:rPr>
        <w:t>(ب)</w:t>
      </w:r>
      <w:r>
        <w:rPr>
          <w:rFonts w:hint="cs"/>
          <w:rtl/>
        </w:rPr>
        <w:tab/>
      </w:r>
      <w:r w:rsidRPr="00FA093F">
        <w:rPr>
          <w:rtl/>
        </w:rPr>
        <w:t xml:space="preserve">القانون رقم </w:t>
      </w:r>
      <w:r w:rsidR="00FE02DC">
        <w:rPr>
          <w:rFonts w:hint="cs"/>
          <w:rtl/>
        </w:rPr>
        <w:t>399-1</w:t>
      </w:r>
      <w:r w:rsidRPr="00FA093F">
        <w:rPr>
          <w:rtl/>
        </w:rPr>
        <w:t xml:space="preserve"> الصادر في 25 حزيران/يونيه 2013 بشأن إصلاح قانون الإجراءات الجنائية في مجال الحبس الاحتياطي، والمرسوم الأميري رقم </w:t>
      </w:r>
      <w:r w:rsidR="00FE02DC">
        <w:rPr>
          <w:rFonts w:hint="cs"/>
          <w:rtl/>
        </w:rPr>
        <w:t>782-3</w:t>
      </w:r>
      <w:r w:rsidRPr="00FA093F">
        <w:rPr>
          <w:rtl/>
          <w:lang w:val="en-GB"/>
        </w:rPr>
        <w:t xml:space="preserve"> </w:t>
      </w:r>
      <w:r w:rsidRPr="00FA093F">
        <w:rPr>
          <w:rtl/>
        </w:rPr>
        <w:t>الصادر في</w:t>
      </w:r>
      <w:r w:rsidR="003E2D4A">
        <w:rPr>
          <w:rFonts w:hint="cs"/>
          <w:rtl/>
        </w:rPr>
        <w:t> </w:t>
      </w:r>
      <w:r w:rsidRPr="00FA093F">
        <w:rPr>
          <w:rtl/>
        </w:rPr>
        <w:t>16 أيار/مايو 2012 بشأن تنظيم إدارة السجون ومراكز الاحتجاز وهو يكفل احترام الكرامة الإنسانية.</w:t>
      </w:r>
    </w:p>
    <w:p w:rsidR="00FA093F" w:rsidRPr="00FA093F" w:rsidRDefault="00FA093F" w:rsidP="00FA093F">
      <w:pPr>
        <w:pStyle w:val="SingleTxtGA"/>
        <w:rPr>
          <w:rtl/>
        </w:rPr>
      </w:pPr>
      <w:r w:rsidRPr="00FA093F">
        <w:rPr>
          <w:rtl/>
        </w:rPr>
        <w:t>٤-</w:t>
      </w:r>
      <w:r>
        <w:rPr>
          <w:rFonts w:hint="cs"/>
          <w:rtl/>
        </w:rPr>
        <w:tab/>
      </w:r>
      <w:r w:rsidRPr="00FA093F">
        <w:rPr>
          <w:rtl/>
        </w:rPr>
        <w:t>وترحب اللجنة بتصديق موناكو على عدة صكوك دولية تشمل ما يلي:</w:t>
      </w:r>
    </w:p>
    <w:p w:rsidR="00FA093F" w:rsidRPr="00FA093F" w:rsidRDefault="00FA093F" w:rsidP="00FA093F">
      <w:pPr>
        <w:pStyle w:val="SingleTxtGA"/>
        <w:rPr>
          <w:rtl/>
        </w:rPr>
      </w:pPr>
      <w:r>
        <w:rPr>
          <w:rFonts w:hint="cs"/>
          <w:rtl/>
        </w:rPr>
        <w:tab/>
      </w:r>
      <w:r w:rsidRPr="00FA093F">
        <w:rPr>
          <w:rtl/>
        </w:rPr>
        <w:t>(أ)</w:t>
      </w:r>
      <w:r>
        <w:rPr>
          <w:rFonts w:hint="cs"/>
          <w:rtl/>
        </w:rPr>
        <w:tab/>
      </w:r>
      <w:r w:rsidRPr="00FA093F">
        <w:rPr>
          <w:rtl/>
        </w:rPr>
        <w:t>البروتوكول الاختياري لاتفاقية حقوق الطفل المتعلق بإجراء تقديم البلاغات، في 24 أيلول/سبتمبر 2014؛</w:t>
      </w:r>
    </w:p>
    <w:p w:rsidR="00FA093F" w:rsidRPr="00FA093F" w:rsidRDefault="00FA093F" w:rsidP="00FA093F">
      <w:pPr>
        <w:pStyle w:val="SingleTxtGA"/>
        <w:rPr>
          <w:rtl/>
        </w:rPr>
      </w:pPr>
      <w:r>
        <w:rPr>
          <w:rFonts w:hint="cs"/>
          <w:rtl/>
        </w:rPr>
        <w:tab/>
      </w:r>
      <w:r>
        <w:rPr>
          <w:rtl/>
        </w:rPr>
        <w:t>(ب)</w:t>
      </w:r>
      <w:r>
        <w:rPr>
          <w:rFonts w:hint="cs"/>
          <w:rtl/>
        </w:rPr>
        <w:tab/>
      </w:r>
      <w:r w:rsidRPr="00FA093F">
        <w:rPr>
          <w:rtl/>
        </w:rPr>
        <w:t>اتفاقية منظمة الأمم المتحدة للتربية والعلم والثقافة الخاصة بمكافحة التمييز في مجال التعليم، في 28 آب/أغسطس 2012؛</w:t>
      </w:r>
    </w:p>
    <w:p w:rsidR="00FA093F" w:rsidRPr="00FA093F" w:rsidRDefault="00FA093F" w:rsidP="00FA093F">
      <w:pPr>
        <w:pStyle w:val="SingleTxtGA"/>
        <w:rPr>
          <w:rtl/>
        </w:rPr>
      </w:pPr>
      <w:r>
        <w:rPr>
          <w:rFonts w:hint="cs"/>
          <w:rtl/>
        </w:rPr>
        <w:tab/>
      </w:r>
      <w:r w:rsidRPr="00FA093F">
        <w:rPr>
          <w:rtl/>
        </w:rPr>
        <w:t>(ج)</w:t>
      </w:r>
      <w:r>
        <w:rPr>
          <w:rFonts w:hint="cs"/>
          <w:rtl/>
        </w:rPr>
        <w:tab/>
      </w:r>
      <w:r w:rsidRPr="00FA093F">
        <w:rPr>
          <w:rtl/>
        </w:rPr>
        <w:t>البروتوكول الخاص بوضع اللاجئين، في 16 حزيران/يونيه 2010.</w:t>
      </w:r>
    </w:p>
    <w:p w:rsidR="00FA093F" w:rsidRPr="00FA093F" w:rsidRDefault="00FA093F" w:rsidP="00FA093F">
      <w:pPr>
        <w:pStyle w:val="SingleTxtGA"/>
        <w:rPr>
          <w:rtl/>
        </w:rPr>
      </w:pPr>
      <w:r w:rsidRPr="00FA093F">
        <w:rPr>
          <w:rtl/>
        </w:rPr>
        <w:t>٥-</w:t>
      </w:r>
      <w:r>
        <w:rPr>
          <w:rFonts w:hint="cs"/>
          <w:rtl/>
        </w:rPr>
        <w:tab/>
      </w:r>
      <w:r w:rsidRPr="00FA093F">
        <w:rPr>
          <w:rtl/>
        </w:rPr>
        <w:t>وترحب اللجنة أيضا</w:t>
      </w:r>
      <w:r w:rsidR="003823DE">
        <w:rPr>
          <w:rFonts w:hint="cs"/>
          <w:rtl/>
        </w:rPr>
        <w:t>ً</w:t>
      </w:r>
      <w:r w:rsidRPr="00FA093F">
        <w:rPr>
          <w:rtl/>
        </w:rPr>
        <w:t xml:space="preserve"> بالمعلومات المقدمة من الدولة الطرف عن الحالات التي احتجت فيها المحاكم المحلية بأحكام العهد وطبقتها.</w:t>
      </w:r>
    </w:p>
    <w:p w:rsidR="00FA093F" w:rsidRPr="00FA093F" w:rsidRDefault="00FA093F" w:rsidP="00FA093F">
      <w:pPr>
        <w:pStyle w:val="SingleTxtGA"/>
        <w:rPr>
          <w:rtl/>
        </w:rPr>
      </w:pPr>
      <w:r w:rsidRPr="00FA093F">
        <w:rPr>
          <w:rtl/>
        </w:rPr>
        <w:t>٦-</w:t>
      </w:r>
      <w:r>
        <w:rPr>
          <w:rFonts w:hint="cs"/>
          <w:rtl/>
        </w:rPr>
        <w:tab/>
      </w:r>
      <w:r w:rsidRPr="00FA093F">
        <w:rPr>
          <w:rtl/>
        </w:rPr>
        <w:t>وأخيرا</w:t>
      </w:r>
      <w:r w:rsidR="00315695">
        <w:rPr>
          <w:rFonts w:hint="cs"/>
          <w:rtl/>
        </w:rPr>
        <w:t>ً</w:t>
      </w:r>
      <w:r w:rsidRPr="00FA093F">
        <w:rPr>
          <w:rtl/>
        </w:rPr>
        <w:t>، ترحب اللجنة بإنشاء رابطة تعاقدية لمساعدة ضحايا العنف البدني والجنسي والنفسي، في تشرين الثاني/نوفمبر 2014.</w:t>
      </w:r>
    </w:p>
    <w:p w:rsidR="00FA093F" w:rsidRPr="00FA093F" w:rsidRDefault="00FA093F" w:rsidP="00FA093F">
      <w:pPr>
        <w:pStyle w:val="H1GA"/>
        <w:rPr>
          <w:rtl/>
        </w:rPr>
      </w:pPr>
      <w:r w:rsidRPr="00FA093F">
        <w:rPr>
          <w:rtl/>
        </w:rPr>
        <w:tab/>
        <w:t>جيم-</w:t>
      </w:r>
      <w:dir w:val="rtl">
        <w:r>
          <w:rPr>
            <w:rtl/>
          </w:rPr>
          <w:tab/>
        </w:r>
        <w:r w:rsidRPr="00FA093F">
          <w:rPr>
            <w:rtl/>
          </w:rPr>
          <w:t>دواعي القلق الرئيسية والتوصيات</w:t>
        </w:r>
        <w:r w:rsidRPr="00FA093F">
          <w:rPr>
            <w:rFonts w:cs="Times New Roman" w:hint="cs"/>
            <w:rtl/>
          </w:rPr>
          <w:t>‬</w:t>
        </w:r>
        <w:r w:rsidRPr="00FA093F">
          <w:rPr>
            <w:rFonts w:cs="Times New Roman" w:hint="cs"/>
            <w:rtl/>
            <w:lang w:val="en-GB"/>
          </w:rPr>
          <w:t>‬</w:t>
        </w:r>
        <w:r w:rsidRPr="00FA093F">
          <w:rPr>
            <w:rFonts w:cs="Times New Roman" w:hint="cs"/>
            <w:rtl/>
            <w:lang w:val="en-GB"/>
          </w:rPr>
          <w:t>‬</w:t>
        </w:r>
        <w:r w:rsidRPr="00FA093F">
          <w:rPr>
            <w:rFonts w:cs="Times New Roman" w:hint="cs"/>
            <w:rtl/>
            <w:lang w:val="en-GB"/>
          </w:rPr>
          <w:t>‬</w:t>
        </w:r>
        <w:r w:rsidRPr="00FA093F">
          <w:rPr>
            <w:rFonts w:cs="Times New Roman" w:hint="cs"/>
            <w:rtl/>
            <w:lang w:val="en-GB"/>
          </w:rPr>
          <w:t>‬</w:t>
        </w:r>
        <w:r w:rsidRPr="00FA093F">
          <w:rPr>
            <w:rFonts w:cs="Times New Roman" w:hint="cs"/>
            <w:rtl/>
            <w:lang w:val="en-GB"/>
          </w:rPr>
          <w:t>‬</w:t>
        </w:r>
        <w:r w:rsidRPr="00FA093F">
          <w:rPr>
            <w:rFonts w:cs="Times New Roman" w:hint="cs"/>
            <w:rtl/>
            <w:lang w:val="en-GB"/>
          </w:rPr>
          <w:t>‬</w:t>
        </w:r>
        <w:r w:rsidR="005612F0">
          <w:t>‬</w:t>
        </w:r>
        <w:r w:rsidR="00FE02DC">
          <w:t>‬</w:t>
        </w:r>
        <w:r w:rsidR="0064080B">
          <w:t>‬</w:t>
        </w:r>
      </w:dir>
    </w:p>
    <w:p w:rsidR="00FA093F" w:rsidRPr="00FA093F" w:rsidRDefault="00FA093F" w:rsidP="00FA093F">
      <w:pPr>
        <w:pStyle w:val="H23GA"/>
        <w:rPr>
          <w:rtl/>
        </w:rPr>
      </w:pPr>
      <w:r w:rsidRPr="00FA093F">
        <w:rPr>
          <w:rtl/>
        </w:rPr>
        <w:tab/>
      </w:r>
      <w:r w:rsidRPr="00FA093F">
        <w:rPr>
          <w:rtl/>
        </w:rPr>
        <w:tab/>
        <w:t>الإعلانات التفسيرية والتحفظات على العهد</w:t>
      </w:r>
    </w:p>
    <w:p w:rsidR="00FA093F" w:rsidRPr="00FA093F" w:rsidRDefault="00FA093F" w:rsidP="00FA093F">
      <w:pPr>
        <w:pStyle w:val="SingleTxtGA"/>
        <w:rPr>
          <w:rtl/>
        </w:rPr>
      </w:pPr>
      <w:r w:rsidRPr="00FA093F">
        <w:rPr>
          <w:rtl/>
        </w:rPr>
        <w:t>٧-</w:t>
      </w:r>
      <w:r>
        <w:rPr>
          <w:rFonts w:hint="cs"/>
          <w:rtl/>
        </w:rPr>
        <w:tab/>
      </w:r>
      <w:r w:rsidRPr="00FA093F">
        <w:rPr>
          <w:rtl/>
        </w:rPr>
        <w:t xml:space="preserve">تلاحظ اللجنة الإبقاء على الإعلانات التفسيرية والتحفظات التي أبدتها الدولة الطرف لدى التصديق على العهد، ولا سيما فيما يتعلق بالمواد 13 و14(الفقرة 5) </w:t>
      </w:r>
      <w:r w:rsidR="00315695">
        <w:rPr>
          <w:rtl/>
        </w:rPr>
        <w:t>و19و</w:t>
      </w:r>
      <w:r>
        <w:rPr>
          <w:rtl/>
        </w:rPr>
        <w:t>21 و</w:t>
      </w:r>
      <w:r w:rsidRPr="00FA093F">
        <w:rPr>
          <w:rtl/>
        </w:rPr>
        <w:t>22. وتلاحظ اللجنة أيضا</w:t>
      </w:r>
      <w:r w:rsidR="003823DE">
        <w:rPr>
          <w:rFonts w:hint="cs"/>
          <w:rtl/>
        </w:rPr>
        <w:t>ً</w:t>
      </w:r>
      <w:r w:rsidRPr="00FA093F">
        <w:rPr>
          <w:rtl/>
        </w:rPr>
        <w:t xml:space="preserve"> أن العملية التي استهلت لمواءمة المجلس الوطني مع الإصلاح الدستوري لعام 2002</w:t>
      </w:r>
      <w:r w:rsidRPr="00FA093F">
        <w:rPr>
          <w:rtl/>
          <w:lang w:val="en-GB"/>
        </w:rPr>
        <w:t xml:space="preserve"> </w:t>
      </w:r>
      <w:r w:rsidRPr="00FA093F">
        <w:rPr>
          <w:rtl/>
        </w:rPr>
        <w:t>لم تستكمل بعد.</w:t>
      </w:r>
    </w:p>
    <w:p w:rsidR="00FA093F" w:rsidRPr="00FA093F" w:rsidRDefault="00FA093F" w:rsidP="00FA093F">
      <w:pPr>
        <w:pStyle w:val="SingleTxtGA"/>
        <w:rPr>
          <w:b/>
          <w:bCs/>
          <w:rtl/>
        </w:rPr>
      </w:pPr>
      <w:r>
        <w:rPr>
          <w:rFonts w:hint="cs"/>
          <w:b/>
          <w:bCs/>
          <w:rtl/>
        </w:rPr>
        <w:tab/>
      </w:r>
      <w:r w:rsidRPr="00FA093F">
        <w:rPr>
          <w:b/>
          <w:bCs/>
          <w:rtl/>
        </w:rPr>
        <w:t>توصي اللجنة الدولة الطرف بإعادة النظر في إعلاناتها التفسيرية وتحفظاتها بهدف تقليص عددها إلى حد كبير وكفالة تطبيق أحكام العهد بفعالية. وبالإضافة إلى ذلك، تشجع اللجنة الدولة الطرف على توسيع نطاق صلاحيات المجلس الوطني من أجل مواءمة النظام القانوني للدولة مع أحكام العهد</w:t>
      </w:r>
      <w:r w:rsidRPr="00FA093F">
        <w:rPr>
          <w:rtl/>
        </w:rPr>
        <w:t>.</w:t>
      </w:r>
    </w:p>
    <w:p w:rsidR="00FA093F" w:rsidRPr="00FA093F" w:rsidRDefault="00FA093F" w:rsidP="00FA093F">
      <w:pPr>
        <w:pStyle w:val="H23GA"/>
        <w:rPr>
          <w:rtl/>
        </w:rPr>
      </w:pPr>
      <w:r w:rsidRPr="00FA093F">
        <w:rPr>
          <w:rtl/>
        </w:rPr>
        <w:tab/>
      </w:r>
      <w:r w:rsidRPr="00FA093F">
        <w:rPr>
          <w:rtl/>
        </w:rPr>
        <w:tab/>
        <w:t>البروتوكول الاختياري الملحق بالعهد</w:t>
      </w:r>
    </w:p>
    <w:p w:rsidR="00FA093F" w:rsidRPr="00FA093F" w:rsidRDefault="00FA093F" w:rsidP="00FA093F">
      <w:pPr>
        <w:pStyle w:val="SingleTxtGA"/>
        <w:rPr>
          <w:rtl/>
        </w:rPr>
      </w:pPr>
      <w:r w:rsidRPr="00FA093F">
        <w:rPr>
          <w:rtl/>
        </w:rPr>
        <w:t>٨-</w:t>
      </w:r>
      <w:r>
        <w:rPr>
          <w:rFonts w:hint="cs"/>
          <w:rtl/>
        </w:rPr>
        <w:tab/>
      </w:r>
      <w:r w:rsidRPr="00FA093F">
        <w:rPr>
          <w:rtl/>
        </w:rPr>
        <w:t xml:space="preserve">تلاحظ اللجنة أن الدولة الطرف لم تنضم بعد إلى البروتوكول الاختياري الملحق بالعهد، على الرغم من المعلومات المقدمة إلى اللجنة في عام 2008 وأشارت فيها إلى هذه المسألة قيد الاستعراض (انظر </w:t>
      </w:r>
      <w:r w:rsidRPr="00FA093F">
        <w:rPr>
          <w:lang w:val="en-GB"/>
        </w:rPr>
        <w:t>CCPR/C/MCO/Q/2/Add.1</w:t>
      </w:r>
      <w:r w:rsidRPr="00FA093F">
        <w:rPr>
          <w:rtl/>
        </w:rPr>
        <w:t>).</w:t>
      </w:r>
    </w:p>
    <w:p w:rsidR="00FA093F" w:rsidRPr="00FA093F" w:rsidRDefault="00FA093F" w:rsidP="003823DE">
      <w:pPr>
        <w:pStyle w:val="SingleTxtGA"/>
        <w:rPr>
          <w:b/>
          <w:bCs/>
          <w:rtl/>
        </w:rPr>
      </w:pPr>
      <w:r>
        <w:rPr>
          <w:rFonts w:hint="cs"/>
          <w:b/>
          <w:bCs/>
          <w:rtl/>
        </w:rPr>
        <w:lastRenderedPageBreak/>
        <w:tab/>
      </w:r>
      <w:r w:rsidRPr="00FA093F">
        <w:rPr>
          <w:b/>
          <w:bCs/>
          <w:rtl/>
        </w:rPr>
        <w:t>توصي اللجنة الدولة الطرف بالانضمام إلى البروتوكول الاختياري لتعترف</w:t>
      </w:r>
      <w:r w:rsidR="003823DE">
        <w:rPr>
          <w:rFonts w:hint="cs"/>
          <w:b/>
          <w:bCs/>
          <w:rtl/>
        </w:rPr>
        <w:t xml:space="preserve"> </w:t>
      </w:r>
      <w:r w:rsidRPr="00FA093F">
        <w:rPr>
          <w:b/>
          <w:bCs/>
          <w:rtl/>
        </w:rPr>
        <w:t>باختصاص اللجنة بتلقي ودراسة بلاغات أو شكاوى من الأفراد الخاضعين لولاية الدولة الطرف القضائية فيما يتعلق بانتهاكات الحقوق المنصوص عليها في العهد</w:t>
      </w:r>
      <w:r w:rsidRPr="00FA093F">
        <w:rPr>
          <w:rtl/>
        </w:rPr>
        <w:t>.</w:t>
      </w:r>
    </w:p>
    <w:p w:rsidR="00FA093F" w:rsidRPr="00FA093F" w:rsidRDefault="00FA093F" w:rsidP="00FA093F">
      <w:pPr>
        <w:pStyle w:val="H23GA"/>
        <w:rPr>
          <w:rtl/>
        </w:rPr>
      </w:pPr>
      <w:r w:rsidRPr="00FA093F">
        <w:rPr>
          <w:rtl/>
        </w:rPr>
        <w:tab/>
      </w:r>
      <w:r w:rsidRPr="00FA093F">
        <w:rPr>
          <w:rtl/>
        </w:rPr>
        <w:tab/>
        <w:t>المؤسسة الوطنية المستقلة لحقوق الإنسان</w:t>
      </w:r>
    </w:p>
    <w:p w:rsidR="00FA093F" w:rsidRPr="00FA093F" w:rsidRDefault="00FA093F" w:rsidP="00FE02DC">
      <w:pPr>
        <w:pStyle w:val="SingleTxtGA"/>
        <w:rPr>
          <w:rtl/>
        </w:rPr>
      </w:pPr>
      <w:r w:rsidRPr="00FA093F">
        <w:rPr>
          <w:rtl/>
        </w:rPr>
        <w:t>٩-</w:t>
      </w:r>
      <w:r>
        <w:rPr>
          <w:rFonts w:hint="cs"/>
          <w:rtl/>
        </w:rPr>
        <w:tab/>
      </w:r>
      <w:r w:rsidRPr="00FA093F">
        <w:rPr>
          <w:rtl/>
        </w:rPr>
        <w:t>تحيط اللجنة علما</w:t>
      </w:r>
      <w:r w:rsidR="003823DE">
        <w:rPr>
          <w:rFonts w:hint="cs"/>
          <w:rtl/>
        </w:rPr>
        <w:t>ً</w:t>
      </w:r>
      <w:r w:rsidRPr="00FA093F">
        <w:rPr>
          <w:rtl/>
        </w:rPr>
        <w:t xml:space="preserve"> بالمرسوم الأميري رقم </w:t>
      </w:r>
      <w:r w:rsidR="00FE02DC">
        <w:rPr>
          <w:rFonts w:hint="cs"/>
          <w:rtl/>
        </w:rPr>
        <w:t>524-5</w:t>
      </w:r>
      <w:r w:rsidRPr="00FA093F">
        <w:rPr>
          <w:rtl/>
        </w:rPr>
        <w:t xml:space="preserve"> الصادر في 30 تشرين الأول/</w:t>
      </w:r>
      <w:r w:rsidR="00315695">
        <w:rPr>
          <w:rFonts w:hint="cs"/>
          <w:rtl/>
        </w:rPr>
        <w:t xml:space="preserve"> </w:t>
      </w:r>
      <w:r w:rsidRPr="00FA093F">
        <w:rPr>
          <w:rtl/>
        </w:rPr>
        <w:t>أكتوبر</w:t>
      </w:r>
      <w:r w:rsidR="00315695">
        <w:rPr>
          <w:rFonts w:hint="cs"/>
          <w:rtl/>
        </w:rPr>
        <w:t> </w:t>
      </w:r>
      <w:r w:rsidRPr="00FA093F">
        <w:rPr>
          <w:rtl/>
        </w:rPr>
        <w:t>2013 والقاضي بإنشاء مفوضية سامية لحماية الحقوق والحريات وللوساطة. بيد أن اللجنة تلاحظ أن المكتب لم يتلق اعتماداً بعد من لجنة التنسيق الدولية للمؤسسات الوطنية لتعزيز وحماية حقوق الإنسان (المادة 2).</w:t>
      </w:r>
    </w:p>
    <w:p w:rsidR="00FA093F" w:rsidRPr="00FA093F" w:rsidRDefault="00FA093F" w:rsidP="00FA093F">
      <w:pPr>
        <w:pStyle w:val="SingleTxtGA"/>
        <w:rPr>
          <w:b/>
          <w:bCs/>
          <w:rtl/>
        </w:rPr>
      </w:pPr>
      <w:r>
        <w:rPr>
          <w:rFonts w:hint="cs"/>
          <w:b/>
          <w:bCs/>
          <w:rtl/>
        </w:rPr>
        <w:tab/>
      </w:r>
      <w:r w:rsidRPr="00FA093F">
        <w:rPr>
          <w:b/>
          <w:bCs/>
          <w:rtl/>
        </w:rPr>
        <w:t>توصي اللجنة الدولة الطرف بتشجيع المفوضية السامية على طلب اعتماد من لجنة التنسيق الدولية للمؤسسات الوطنية لتعزيز وحماية حقوق الإنسان. وينبغي للدولة الطرف أن تكفل تمتع تلك المؤسسة باختصاصات واسعة في مجال حقوق الإنسان وبالموارد المالية والبشرية التي تتيح لها أن تعمل وفقاً للمبادئ المتعلقة بمركز المؤسسات الوطنية لتعزيز وحماية حقوق الإنسان (مبادئ باريس) المرفقة بقرار الجمعية العامة 48/134</w:t>
      </w:r>
      <w:r w:rsidRPr="00FA093F">
        <w:rPr>
          <w:rtl/>
        </w:rPr>
        <w:t>.</w:t>
      </w:r>
    </w:p>
    <w:p w:rsidR="00FA093F" w:rsidRPr="00FA093F" w:rsidRDefault="00FA093F" w:rsidP="00FA093F">
      <w:pPr>
        <w:pStyle w:val="H23GA"/>
        <w:rPr>
          <w:rtl/>
        </w:rPr>
      </w:pPr>
      <w:r w:rsidRPr="00FA093F">
        <w:rPr>
          <w:rtl/>
        </w:rPr>
        <w:tab/>
      </w:r>
      <w:r w:rsidRPr="00FA093F">
        <w:rPr>
          <w:rtl/>
        </w:rPr>
        <w:tab/>
        <w:t>حرية التعبير</w:t>
      </w:r>
    </w:p>
    <w:p w:rsidR="00FA093F" w:rsidRPr="00FA093F" w:rsidRDefault="00FA093F" w:rsidP="00FA093F">
      <w:pPr>
        <w:pStyle w:val="SingleTxtGA"/>
        <w:rPr>
          <w:rtl/>
        </w:rPr>
      </w:pPr>
      <w:r w:rsidRPr="00FA093F">
        <w:rPr>
          <w:rtl/>
        </w:rPr>
        <w:t>١٠-</w:t>
      </w:r>
      <w:r>
        <w:rPr>
          <w:rFonts w:hint="cs"/>
          <w:rtl/>
        </w:rPr>
        <w:tab/>
      </w:r>
      <w:r w:rsidRPr="00FA093F">
        <w:rPr>
          <w:rtl/>
        </w:rPr>
        <w:t>تعرب اللجنة عن قلقها لأن إهانة الأسرة المالكة علنا</w:t>
      </w:r>
      <w:r w:rsidR="003823DE">
        <w:rPr>
          <w:rFonts w:hint="cs"/>
          <w:rtl/>
        </w:rPr>
        <w:t>ً</w:t>
      </w:r>
      <w:r w:rsidRPr="00FA093F">
        <w:rPr>
          <w:rtl/>
        </w:rPr>
        <w:t xml:space="preserve"> لا تزال تشكل جريمة يعاقب عليها بالسجن لفترة تصل إلى 5 سنوات، على الرغم من أن العقوبات المطبقة عموماً في هذه الحالات تقتصر على فرض غرامة. وتأسف اللجنة لسجن شخص مؤخراً بسبب التشهير بالسلطات القضائية والأمير وتلاحظ عدم تناسب الحكم الصادر مع العقوبة التي طلبها المدعي العام (المادتان 2 و 19).</w:t>
      </w:r>
    </w:p>
    <w:p w:rsidR="00FA093F" w:rsidRPr="00FA093F" w:rsidRDefault="00FA093F" w:rsidP="00FA093F">
      <w:pPr>
        <w:pStyle w:val="SingleTxtGA"/>
        <w:rPr>
          <w:b/>
          <w:bCs/>
          <w:rtl/>
        </w:rPr>
      </w:pPr>
      <w:r>
        <w:rPr>
          <w:rFonts w:hint="cs"/>
          <w:b/>
          <w:bCs/>
          <w:rtl/>
        </w:rPr>
        <w:tab/>
      </w:r>
      <w:r w:rsidRPr="00FA093F">
        <w:rPr>
          <w:b/>
          <w:bCs/>
          <w:rtl/>
        </w:rPr>
        <w:t>توصي اللجنة الدولة الطرف بمراجعة المواد من 58 إلى 60 من القانون الجنائي بشأن إهانة الأسرة المالكة علنا</w:t>
      </w:r>
      <w:r w:rsidR="003823DE">
        <w:rPr>
          <w:rFonts w:hint="cs"/>
          <w:b/>
          <w:bCs/>
          <w:rtl/>
        </w:rPr>
        <w:t>ً</w:t>
      </w:r>
      <w:r w:rsidRPr="00FA093F">
        <w:rPr>
          <w:b/>
          <w:bCs/>
          <w:rtl/>
        </w:rPr>
        <w:t xml:space="preserve"> لمواءمتها مع المادة 19 من العهد. وتؤكد اللجنة مجدداً،</w:t>
      </w:r>
      <w:r w:rsidR="00B408BC">
        <w:rPr>
          <w:rFonts w:hint="cs"/>
          <w:b/>
          <w:bCs/>
          <w:rtl/>
        </w:rPr>
        <w:t xml:space="preserve"> </w:t>
      </w:r>
      <w:r w:rsidR="00FE02DC">
        <w:rPr>
          <w:b/>
          <w:bCs/>
          <w:rtl/>
        </w:rPr>
        <w:t>في ضوء تعليقها العام رقم 34</w:t>
      </w:r>
      <w:r w:rsidRPr="00FA093F">
        <w:rPr>
          <w:b/>
          <w:bCs/>
          <w:rtl/>
        </w:rPr>
        <w:t>(2011) المتعلق بحرية الرأي وحرية التعبير، أن سجن شخص بسبب ممارسته لحرية التعبير يشكل انتهاكا</w:t>
      </w:r>
      <w:r w:rsidR="003823DE">
        <w:rPr>
          <w:rFonts w:hint="cs"/>
          <w:b/>
          <w:bCs/>
          <w:rtl/>
        </w:rPr>
        <w:t>ً</w:t>
      </w:r>
      <w:r w:rsidRPr="00FA093F">
        <w:rPr>
          <w:b/>
          <w:bCs/>
          <w:rtl/>
        </w:rPr>
        <w:t xml:space="preserve"> للمادة 19 من العهد التي تعلق أهمية خاصة على حرية التعبير. وتذكرّ اللجنة بأن جميع الشخصيات العامة، بمن فيها الشخصيات التي تشغل مناصب على أعلى المستويات، تتعرض</w:t>
      </w:r>
      <w:r w:rsidRPr="00FA093F">
        <w:rPr>
          <w:rtl/>
        </w:rPr>
        <w:t xml:space="preserve"> </w:t>
      </w:r>
      <w:r w:rsidRPr="00FA093F">
        <w:rPr>
          <w:b/>
          <w:bCs/>
          <w:rtl/>
        </w:rPr>
        <w:t>للنقد والمعارضة السياسية بشكل مشروع، وينبغي ألا ينص القانون على عقوبات أشد صرامة استناداً إلى مجرد هوية الأشخاص المستهدفين</w:t>
      </w:r>
      <w:r w:rsidRPr="00FA093F">
        <w:rPr>
          <w:rtl/>
        </w:rPr>
        <w:t>.</w:t>
      </w:r>
    </w:p>
    <w:p w:rsidR="00FA093F" w:rsidRPr="00FA093F" w:rsidRDefault="00FA093F" w:rsidP="00FA093F">
      <w:pPr>
        <w:pStyle w:val="H23GA"/>
        <w:rPr>
          <w:rtl/>
        </w:rPr>
      </w:pPr>
      <w:r w:rsidRPr="00FA093F">
        <w:rPr>
          <w:rtl/>
        </w:rPr>
        <w:tab/>
      </w:r>
      <w:r w:rsidRPr="00FA093F">
        <w:rPr>
          <w:rtl/>
        </w:rPr>
        <w:tab/>
        <w:t>عقوبة الإبعاد</w:t>
      </w:r>
    </w:p>
    <w:p w:rsidR="00FA093F" w:rsidRPr="00FA093F" w:rsidRDefault="00FA093F" w:rsidP="00B408BC">
      <w:pPr>
        <w:pStyle w:val="SingleTxtGA"/>
        <w:rPr>
          <w:rtl/>
        </w:rPr>
      </w:pPr>
      <w:r w:rsidRPr="00FA093F">
        <w:rPr>
          <w:rtl/>
        </w:rPr>
        <w:t>١١-</w:t>
      </w:r>
      <w:r>
        <w:rPr>
          <w:rFonts w:hint="cs"/>
          <w:rtl/>
        </w:rPr>
        <w:tab/>
      </w:r>
      <w:r w:rsidRPr="00FA093F">
        <w:rPr>
          <w:rtl/>
        </w:rPr>
        <w:t xml:space="preserve">يساور اللجنة القلق إزاء التأخير في اعتماد مشروع القانون المتعلق بإلغاء الأحكام المتصلة بعقوبة الإبعاد، والمشار إليه في الحوار السابق (انظر </w:t>
      </w:r>
      <w:r w:rsidRPr="00FA093F">
        <w:rPr>
          <w:lang w:val="en-GB"/>
        </w:rPr>
        <w:t>CCPR/C/MCO/CO/2</w:t>
      </w:r>
      <w:r w:rsidRPr="00FA093F">
        <w:rPr>
          <w:rtl/>
        </w:rPr>
        <w:t xml:space="preserve">، </w:t>
      </w:r>
      <w:r w:rsidRPr="00FA093F">
        <w:rPr>
          <w:rtl/>
        </w:rPr>
        <w:lastRenderedPageBreak/>
        <w:t>الفقرة</w:t>
      </w:r>
      <w:r w:rsidR="00B408BC">
        <w:rPr>
          <w:rFonts w:hint="cs"/>
          <w:rtl/>
        </w:rPr>
        <w:t> </w:t>
      </w:r>
      <w:r w:rsidRPr="00FA093F">
        <w:rPr>
          <w:rtl/>
        </w:rPr>
        <w:t>12)</w:t>
      </w:r>
      <w:r w:rsidRPr="00FA093F">
        <w:rPr>
          <w:rtl/>
          <w:lang w:val="en-GB"/>
        </w:rPr>
        <w:t>.</w:t>
      </w:r>
      <w:r w:rsidRPr="00FA093F">
        <w:rPr>
          <w:rtl/>
        </w:rPr>
        <w:t xml:space="preserve"> وتعرب اللجنة عن قلقها إزاء استمرار وجود هذه الأحكام التشريعية التي عفا عليها الزمن (المادتان 2 و12).</w:t>
      </w:r>
    </w:p>
    <w:p w:rsidR="00FA093F" w:rsidRPr="00FA093F" w:rsidRDefault="00FA093F" w:rsidP="00FA093F">
      <w:pPr>
        <w:pStyle w:val="SingleTxtGA"/>
        <w:rPr>
          <w:b/>
          <w:bCs/>
          <w:rtl/>
        </w:rPr>
      </w:pPr>
      <w:r>
        <w:rPr>
          <w:rFonts w:hint="cs"/>
          <w:b/>
          <w:bCs/>
          <w:rtl/>
        </w:rPr>
        <w:tab/>
      </w:r>
      <w:r w:rsidRPr="00FA093F">
        <w:rPr>
          <w:b/>
          <w:bCs/>
          <w:rtl/>
        </w:rPr>
        <w:t xml:space="preserve">تكرر اللجنة توصيتها للدولة الطرف بإلغاء الأحكام الجنائية التي تكرس الإبعاد فهي تتعارض بالكامل مع الفقرة 4 من المادة 12 من العهد، وتؤكد أنه لا يجوز في أية حال حرمان فرد بصورة تعسفية من حق الدخول إلى بلده. وتذكّر اللجنة بحق كل مواطن في الحماية من أي إجراء يمنعه من الدخول إلى إقليم الدولة الطرف أو الإقامة </w:t>
      </w:r>
      <w:r w:rsidR="002E3DB8">
        <w:rPr>
          <w:b/>
          <w:bCs/>
          <w:rtl/>
        </w:rPr>
        <w:t>فيه في ضوء تعليقها العام رقم 27</w:t>
      </w:r>
      <w:r w:rsidRPr="00FA093F">
        <w:rPr>
          <w:b/>
          <w:bCs/>
          <w:rtl/>
        </w:rPr>
        <w:t>(1999) بشأن حرية التنقل</w:t>
      </w:r>
      <w:r w:rsidRPr="00FA093F">
        <w:rPr>
          <w:rtl/>
          <w:lang w:val="en-GB"/>
        </w:rPr>
        <w:t>.</w:t>
      </w:r>
    </w:p>
    <w:p w:rsidR="00FA093F" w:rsidRPr="00FA093F" w:rsidRDefault="00FA093F" w:rsidP="00FA093F">
      <w:pPr>
        <w:pStyle w:val="H23GA"/>
        <w:rPr>
          <w:rtl/>
        </w:rPr>
      </w:pPr>
      <w:r w:rsidRPr="00FA093F">
        <w:rPr>
          <w:rtl/>
        </w:rPr>
        <w:tab/>
      </w:r>
      <w:r w:rsidRPr="00FA093F">
        <w:rPr>
          <w:rtl/>
        </w:rPr>
        <w:tab/>
        <w:t>الإجهاض الطوعي</w:t>
      </w:r>
    </w:p>
    <w:p w:rsidR="00FA093F" w:rsidRPr="00FA093F" w:rsidRDefault="00FA093F" w:rsidP="003823DE">
      <w:pPr>
        <w:pStyle w:val="SingleTxtGA"/>
        <w:rPr>
          <w:rtl/>
        </w:rPr>
      </w:pPr>
      <w:r w:rsidRPr="00FA093F">
        <w:rPr>
          <w:rtl/>
        </w:rPr>
        <w:t>١٢-</w:t>
      </w:r>
      <w:r>
        <w:rPr>
          <w:rFonts w:hint="cs"/>
          <w:rtl/>
        </w:rPr>
        <w:tab/>
      </w:r>
      <w:r w:rsidRPr="00FA093F">
        <w:rPr>
          <w:rtl/>
        </w:rPr>
        <w:t>ترحب اللجنة، في ضوء توصيتها السابقة (انظر الوثيقة</w:t>
      </w:r>
      <w:r w:rsidRPr="00FA093F">
        <w:rPr>
          <w:rtl/>
          <w:lang w:val="en-GB"/>
        </w:rPr>
        <w:t xml:space="preserve"> </w:t>
      </w:r>
      <w:r w:rsidRPr="00FA093F">
        <w:rPr>
          <w:lang w:val="en-GB"/>
        </w:rPr>
        <w:t>CCPR/C/MCO/CO/2</w:t>
      </w:r>
      <w:r w:rsidRPr="00FA093F">
        <w:rPr>
          <w:rtl/>
        </w:rPr>
        <w:t>، الفقرة</w:t>
      </w:r>
      <w:r w:rsidR="0032182E">
        <w:rPr>
          <w:rFonts w:hint="cs"/>
          <w:rtl/>
        </w:rPr>
        <w:t> </w:t>
      </w:r>
      <w:r w:rsidRPr="00FA093F">
        <w:rPr>
          <w:rtl/>
        </w:rPr>
        <w:t>10) باعتماد القانون رقم 1.359</w:t>
      </w:r>
      <w:r w:rsidR="003823DE">
        <w:rPr>
          <w:rFonts w:hint="cs"/>
          <w:rtl/>
        </w:rPr>
        <w:t xml:space="preserve"> </w:t>
      </w:r>
      <w:r w:rsidRPr="00FA093F">
        <w:rPr>
          <w:rtl/>
        </w:rPr>
        <w:t>الصادر في 20 نيسان/أبريل 2009، وهو قانون يعدّل المادة 248 من قانون العقوبات ويسمح للمرأة بأن تلجأ إلى الإجهاض في ظروف معينة تحت الإشراف ال</w:t>
      </w:r>
      <w:r w:rsidR="003823DE">
        <w:rPr>
          <w:rtl/>
        </w:rPr>
        <w:t>طبي</w:t>
      </w:r>
      <w:r w:rsidRPr="00FA093F">
        <w:rPr>
          <w:rtl/>
        </w:rPr>
        <w:t>، لكنها لا تزال تشعر بالقلق لأن الإجراء الواجب اتباعه يتطلب عملياً موافقة فريق طبي منشأ لهذا الغرض مما يضع عقبات لا لزوم لها فيما يتصل ب</w:t>
      </w:r>
      <w:r w:rsidR="0032182E">
        <w:rPr>
          <w:rtl/>
        </w:rPr>
        <w:t>هذه الحالات المحددة (المواد 2 و3 و</w:t>
      </w:r>
      <w:r w:rsidRPr="00FA093F">
        <w:rPr>
          <w:rtl/>
        </w:rPr>
        <w:t>6 و26).</w:t>
      </w:r>
    </w:p>
    <w:p w:rsidR="00FA093F" w:rsidRPr="00FA093F" w:rsidRDefault="00FA093F" w:rsidP="00FA093F">
      <w:pPr>
        <w:pStyle w:val="SingleTxtGA"/>
        <w:rPr>
          <w:b/>
          <w:bCs/>
          <w:rtl/>
        </w:rPr>
      </w:pPr>
      <w:r>
        <w:rPr>
          <w:rFonts w:hint="cs"/>
          <w:b/>
          <w:bCs/>
          <w:rtl/>
        </w:rPr>
        <w:tab/>
      </w:r>
      <w:r w:rsidRPr="00FA093F">
        <w:rPr>
          <w:b/>
          <w:bCs/>
          <w:rtl/>
        </w:rPr>
        <w:t>تشجع اللجنة الدولة الطرف على تخفيف هذا الإجراء الذي يقضي بالحصول على موافقة مسبقة من طبيبين على الأقل في الفريق الطبي. وعلاوة على ذلك، تشجع اللجنة الدولة الطرف على ضمان أن يسهم مركز التنسيق في مرحلة ما قبل الولادة ودعم الأسرة كذلك في برامج التثقيف والتوعية بشأن الحق في الصحة الجنسية والإنجابية</w:t>
      </w:r>
      <w:r w:rsidRPr="00FA093F">
        <w:rPr>
          <w:rtl/>
        </w:rPr>
        <w:t>.</w:t>
      </w:r>
    </w:p>
    <w:p w:rsidR="00FA093F" w:rsidRPr="00FA093F" w:rsidRDefault="00FA093F" w:rsidP="00FA093F">
      <w:pPr>
        <w:pStyle w:val="H23GA"/>
        <w:rPr>
          <w:rtl/>
        </w:rPr>
      </w:pPr>
      <w:r w:rsidRPr="00FA093F">
        <w:rPr>
          <w:rtl/>
        </w:rPr>
        <w:tab/>
      </w:r>
      <w:r w:rsidRPr="00FA093F">
        <w:rPr>
          <w:rtl/>
        </w:rPr>
        <w:tab/>
        <w:t>حرية تكوين الجمعيات</w:t>
      </w:r>
    </w:p>
    <w:p w:rsidR="00FA093F" w:rsidRPr="00FA093F" w:rsidRDefault="00FA093F" w:rsidP="0095183C">
      <w:pPr>
        <w:pStyle w:val="SingleTxtGA"/>
        <w:rPr>
          <w:rtl/>
        </w:rPr>
      </w:pPr>
      <w:r w:rsidRPr="00FA093F">
        <w:rPr>
          <w:rtl/>
        </w:rPr>
        <w:t>١٣-</w:t>
      </w:r>
      <w:r>
        <w:rPr>
          <w:rFonts w:hint="cs"/>
          <w:rtl/>
        </w:rPr>
        <w:tab/>
      </w:r>
      <w:r w:rsidRPr="00FA093F">
        <w:rPr>
          <w:rtl/>
        </w:rPr>
        <w:t>لاتزال اللجنة تشعر بالقلق إزاء تأخر الدولة الطرف في تعديل الأمر التشريعي رقم</w:t>
      </w:r>
      <w:r w:rsidR="0095183C">
        <w:rPr>
          <w:rFonts w:hint="cs"/>
          <w:rtl/>
        </w:rPr>
        <w:t> </w:t>
      </w:r>
      <w:r w:rsidRPr="00FA093F">
        <w:rPr>
          <w:rtl/>
        </w:rPr>
        <w:t>399 المؤرخ 6 تشرين الأول/أكتوبر 1944 بشأن إنشاء نقابات عمالية، الذي ينص على أن تضم تشكيلة المكتب الاتحادي للنقابات العمالية أميناً عاماً وأمين خزينة من موناكو. ومع ذلك، تحيط اللجنة علما</w:t>
      </w:r>
      <w:r w:rsidR="003823DE">
        <w:rPr>
          <w:rFonts w:hint="cs"/>
          <w:rtl/>
        </w:rPr>
        <w:t>ً</w:t>
      </w:r>
      <w:r w:rsidRPr="00FA093F">
        <w:rPr>
          <w:rtl/>
        </w:rPr>
        <w:t xml:space="preserve"> بتصريح الوفد الذي جاء فيه أن هناك مشروع قانون ق</w:t>
      </w:r>
      <w:r w:rsidR="0095183C">
        <w:rPr>
          <w:rtl/>
        </w:rPr>
        <w:t>يد النظر لهذا الغرض (المواد 2 و</w:t>
      </w:r>
      <w:r w:rsidRPr="00FA093F">
        <w:rPr>
          <w:rtl/>
        </w:rPr>
        <w:t>22 و26).</w:t>
      </w:r>
    </w:p>
    <w:p w:rsidR="00FA093F" w:rsidRPr="00FA093F" w:rsidRDefault="00FA093F" w:rsidP="00FA093F">
      <w:pPr>
        <w:pStyle w:val="SingleTxtGA"/>
        <w:rPr>
          <w:b/>
          <w:bCs/>
          <w:rtl/>
        </w:rPr>
      </w:pPr>
      <w:r>
        <w:rPr>
          <w:rFonts w:hint="cs"/>
          <w:b/>
          <w:bCs/>
          <w:rtl/>
        </w:rPr>
        <w:tab/>
      </w:r>
      <w:r w:rsidRPr="00FA093F">
        <w:rPr>
          <w:b/>
          <w:bCs/>
          <w:rtl/>
        </w:rPr>
        <w:t>توصي اللجنة الدولة الطرف بتعديل الشروط الناظمة لتشكيلة نقابات العمال لضمان اتساقها مع أحكام المادتين 22 و26 من العهد والسماح للعمال الأجانب بتكوين نقابات عمال</w:t>
      </w:r>
      <w:r w:rsidRPr="00FA093F">
        <w:rPr>
          <w:rtl/>
        </w:rPr>
        <w:t>.</w:t>
      </w:r>
    </w:p>
    <w:p w:rsidR="00FA093F" w:rsidRPr="00FA093F" w:rsidRDefault="00FA093F" w:rsidP="00FA093F">
      <w:pPr>
        <w:pStyle w:val="SingleTxtGA"/>
        <w:rPr>
          <w:rtl/>
        </w:rPr>
      </w:pPr>
      <w:r w:rsidRPr="00FA093F">
        <w:rPr>
          <w:rtl/>
        </w:rPr>
        <w:t>١٤-</w:t>
      </w:r>
      <w:r>
        <w:rPr>
          <w:rFonts w:hint="cs"/>
          <w:rtl/>
        </w:rPr>
        <w:tab/>
      </w:r>
      <w:r w:rsidRPr="00FA093F">
        <w:rPr>
          <w:rtl/>
        </w:rPr>
        <w:t>ينبغي للدولة الطرف أن تنشر على نطاق واسع نص العهد والتقرير الدوري الثالث وهذه الملاحظات الختامية، بغية زيادة الوعي في أوساط السلطات القضائية والتشريعية والإدارية والمجتمع المدني، والمنظمات غير الحكومية العاملة في البلد فضلا</w:t>
      </w:r>
      <w:r w:rsidR="003823DE">
        <w:rPr>
          <w:rFonts w:hint="cs"/>
          <w:rtl/>
        </w:rPr>
        <w:t>ً</w:t>
      </w:r>
      <w:r w:rsidRPr="00FA093F">
        <w:rPr>
          <w:rtl/>
        </w:rPr>
        <w:t xml:space="preserve"> عن عامة الجمهور.</w:t>
      </w:r>
    </w:p>
    <w:p w:rsidR="00FA093F" w:rsidRPr="00FA093F" w:rsidRDefault="00FA093F" w:rsidP="0095183C">
      <w:pPr>
        <w:pStyle w:val="SingleTxtGA"/>
        <w:rPr>
          <w:rtl/>
        </w:rPr>
      </w:pPr>
      <w:r w:rsidRPr="00FA093F">
        <w:rPr>
          <w:rtl/>
        </w:rPr>
        <w:lastRenderedPageBreak/>
        <w:t>١٥-</w:t>
      </w:r>
      <w:r>
        <w:rPr>
          <w:rFonts w:hint="cs"/>
          <w:rtl/>
        </w:rPr>
        <w:tab/>
      </w:r>
      <w:r w:rsidRPr="00FA093F">
        <w:rPr>
          <w:rtl/>
        </w:rPr>
        <w:t>ووفقاً للفقرة 5 من المادة 71 من النظام الداخلي للجنة، ينبغي أن تقدم الدولة الطرف في غضون سنة واحدة، معلومات عن الإجراءات المتخذة لمتابعة التوصيات الواردة في الفقرة</w:t>
      </w:r>
      <w:r w:rsidR="0095183C">
        <w:rPr>
          <w:rFonts w:hint="cs"/>
          <w:rtl/>
        </w:rPr>
        <w:t> </w:t>
      </w:r>
      <w:r w:rsidRPr="00FA093F">
        <w:rPr>
          <w:rtl/>
        </w:rPr>
        <w:t>10.</w:t>
      </w:r>
    </w:p>
    <w:p w:rsidR="00FA093F" w:rsidRPr="00FA093F" w:rsidRDefault="00FA093F" w:rsidP="00FA093F">
      <w:pPr>
        <w:pStyle w:val="SingleTxtGA"/>
        <w:rPr>
          <w:rtl/>
        </w:rPr>
      </w:pPr>
      <w:r w:rsidRPr="00FA093F">
        <w:rPr>
          <w:rtl/>
        </w:rPr>
        <w:t>١٦-</w:t>
      </w:r>
      <w:r>
        <w:rPr>
          <w:rFonts w:hint="cs"/>
          <w:rtl/>
        </w:rPr>
        <w:tab/>
      </w:r>
      <w:r w:rsidRPr="00FA093F">
        <w:rPr>
          <w:rtl/>
        </w:rPr>
        <w:t>وتطلب اللجنة إلى الدولة الطرف أن تدرج في تقريرها الدوري المقبل الذي يحين موعد تقديمه بحلول 2 نيسان/أبريل 2021، معلومات دقيقة ومحدثة عن الإجراءات التي تتخذها لمتابعة التوصيات الأخرى وعن تطبيق أحكام العهد ككل. كما تدعو اللجنة الدولة الطرف أن تجري، لدى إعداد تقريرها الدوري الرابع، مشاورات واسعة النطاق مع المجتمع المدني، ولا سيما المفوضية السامية لحماية الحقوق والحريات والوساطة، فضلاً عن المنظمات غير الحكومية.</w:t>
      </w:r>
    </w:p>
    <w:p w:rsidR="00FA093F" w:rsidRDefault="00FA093F" w:rsidP="00FA093F">
      <w:pPr>
        <w:pStyle w:val="SingleTxtGA"/>
        <w:rPr>
          <w:rtl/>
        </w:rPr>
      </w:pPr>
      <w:r w:rsidRPr="00FA093F">
        <w:rPr>
          <w:rtl/>
        </w:rPr>
        <w:t>١٧-</w:t>
      </w:r>
      <w:r>
        <w:rPr>
          <w:rFonts w:hint="cs"/>
          <w:rtl/>
        </w:rPr>
        <w:tab/>
      </w:r>
      <w:r w:rsidRPr="00FA093F">
        <w:rPr>
          <w:rtl/>
        </w:rPr>
        <w:t>ونظراً إلى أن الدولة الطرف قبلت الإجراء المبسط لتقديم التقارير، ستحيل اللجنة إليها في الوقت المناسب قائمة بالمسائل المحددة في مرحلة سابقة لتقديم التقرير، وستكون ردودها عليها هي التقرير الدوري الرابع للدولة الطرف. ووفقا</w:t>
      </w:r>
      <w:r w:rsidR="003823DE">
        <w:rPr>
          <w:rFonts w:hint="cs"/>
          <w:rtl/>
        </w:rPr>
        <w:t>ً</w:t>
      </w:r>
      <w:r w:rsidRPr="00FA093F">
        <w:rPr>
          <w:rtl/>
        </w:rPr>
        <w:t xml:space="preserve"> لقرار الجمعية العامة 68/268 يبلغ الحد الأقصى</w:t>
      </w:r>
      <w:r>
        <w:rPr>
          <w:rtl/>
        </w:rPr>
        <w:t xml:space="preserve"> لعدد كلمات التقرير 200 21 كلمة</w:t>
      </w:r>
      <w:r w:rsidRPr="00FA093F">
        <w:rPr>
          <w:rtl/>
        </w:rPr>
        <w:t>.</w:t>
      </w:r>
    </w:p>
    <w:p w:rsidR="00FA093F" w:rsidRPr="00FA093F" w:rsidRDefault="00FA093F" w:rsidP="00FA093F">
      <w:pPr>
        <w:spacing w:before="120"/>
        <w:jc w:val="center"/>
        <w:rPr>
          <w:u w:val="single"/>
          <w:rtl/>
        </w:rPr>
      </w:pPr>
      <w:r>
        <w:rPr>
          <w:u w:val="single"/>
          <w:rtl/>
        </w:rPr>
        <w:tab/>
      </w:r>
      <w:r>
        <w:rPr>
          <w:u w:val="single"/>
          <w:rtl/>
        </w:rPr>
        <w:tab/>
      </w:r>
      <w:r>
        <w:rPr>
          <w:u w:val="single"/>
          <w:rtl/>
        </w:rPr>
        <w:tab/>
      </w:r>
    </w:p>
    <w:sectPr w:rsidR="00FA093F" w:rsidRPr="00FA093F" w:rsidSect="00420D7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40B9" w:rsidRPr="002901D9" w:rsidRDefault="004240B9" w:rsidP="002901D9">
      <w:pPr>
        <w:spacing w:after="60" w:line="240" w:lineRule="auto"/>
        <w:rPr>
          <w:i/>
          <w:iCs/>
        </w:rPr>
      </w:pPr>
      <w:r>
        <w:rPr>
          <w:rFonts w:hint="cs"/>
          <w:i/>
          <w:iCs/>
          <w:rtl/>
        </w:rPr>
        <w:t>الحواشي</w:t>
      </w:r>
    </w:p>
  </w:endnote>
  <w:endnote w:type="continuationSeparator" w:id="0">
    <w:p w:rsidR="004240B9" w:rsidRDefault="004240B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93F" w:rsidRPr="00FA093F" w:rsidRDefault="00FA093F" w:rsidP="00FA093F">
    <w:pPr>
      <w:pStyle w:val="Footer"/>
      <w:tabs>
        <w:tab w:val="right" w:pos="9598"/>
      </w:tabs>
    </w:pPr>
    <w:r>
      <w:t>GE.15-06488</w:t>
    </w:r>
    <w:r>
      <w:tab/>
    </w:r>
    <w:r w:rsidRPr="00FA093F">
      <w:rPr>
        <w:b/>
        <w:sz w:val="18"/>
      </w:rPr>
      <w:fldChar w:fldCharType="begin"/>
    </w:r>
    <w:r w:rsidRPr="00FA093F">
      <w:rPr>
        <w:b/>
        <w:sz w:val="18"/>
      </w:rPr>
      <w:instrText xml:space="preserve"> PAGE  \* MERGEFORMAT </w:instrText>
    </w:r>
    <w:r w:rsidRPr="00FA093F">
      <w:rPr>
        <w:b/>
        <w:sz w:val="18"/>
      </w:rPr>
      <w:fldChar w:fldCharType="separate"/>
    </w:r>
    <w:r w:rsidR="00050AAD">
      <w:rPr>
        <w:b/>
        <w:noProof/>
        <w:sz w:val="18"/>
      </w:rPr>
      <w:t>2</w:t>
    </w:r>
    <w:r w:rsidRPr="00FA093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FA093F" w:rsidRDefault="00FA093F" w:rsidP="006959B0">
    <w:pPr>
      <w:pStyle w:val="Footer"/>
      <w:tabs>
        <w:tab w:val="right" w:pos="9599"/>
      </w:tabs>
      <w:jc w:val="left"/>
      <w:rPr>
        <w:b/>
        <w:sz w:val="18"/>
        <w:lang w:val="en-US"/>
      </w:rPr>
    </w:pPr>
    <w:r w:rsidRPr="00FA093F">
      <w:rPr>
        <w:b/>
        <w:sz w:val="18"/>
        <w:lang w:val="en-US"/>
      </w:rPr>
      <w:fldChar w:fldCharType="begin"/>
    </w:r>
    <w:r w:rsidRPr="00FA093F">
      <w:rPr>
        <w:b/>
        <w:sz w:val="18"/>
        <w:lang w:val="en-US"/>
      </w:rPr>
      <w:instrText xml:space="preserve"> PAGE  \* MERGEFORMAT </w:instrText>
    </w:r>
    <w:r w:rsidRPr="00FA093F">
      <w:rPr>
        <w:b/>
        <w:sz w:val="18"/>
        <w:lang w:val="en-US"/>
      </w:rPr>
      <w:fldChar w:fldCharType="separate"/>
    </w:r>
    <w:r w:rsidR="00050AAD">
      <w:rPr>
        <w:b/>
        <w:noProof/>
        <w:sz w:val="18"/>
        <w:lang w:val="en-US"/>
      </w:rPr>
      <w:t>3</w:t>
    </w:r>
    <w:r w:rsidRPr="00FA093F">
      <w:rPr>
        <w:b/>
        <w:sz w:val="18"/>
        <w:lang w:val="en-US"/>
      </w:rPr>
      <w:fldChar w:fldCharType="end"/>
    </w:r>
    <w:r>
      <w:rPr>
        <w:b/>
        <w:sz w:val="18"/>
        <w:lang w:val="en-US"/>
      </w:rPr>
      <w:tab/>
    </w:r>
    <w:r>
      <w:rPr>
        <w:lang w:val="en-US"/>
      </w:rPr>
      <w:t>GE.15-06488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AF0A29" w:rsidP="00FA093F">
    <w:pPr>
      <w:pStyle w:val="Footer"/>
      <w:jc w:val="right"/>
    </w:pPr>
    <w:r>
      <w:rPr>
        <w:sz w:val="20"/>
      </w:rPr>
      <w:t xml:space="preserve">230615    230615 </w:t>
    </w:r>
    <w:r w:rsidR="00FA093F">
      <w:rPr>
        <w:sz w:val="20"/>
      </w:rPr>
      <w:t xml:space="preserve">   GE.15-06488</w:t>
    </w:r>
    <w:r w:rsidR="00D914A7">
      <w:rPr>
        <w:noProof/>
        <w:lang w:val="en-US"/>
      </w:rPr>
      <w:drawing>
        <wp:anchor distT="0" distB="0" distL="114300" distR="114300" simplePos="0" relativeHeight="251658240" behindDoc="1" locked="1" layoutInCell="0" allowOverlap="1" wp14:anchorId="4787D4AB" wp14:editId="40F678A4">
          <wp:simplePos x="0" y="0"/>
          <wp:positionH relativeFrom="margin">
            <wp:posOffset>706755</wp:posOffset>
          </wp:positionH>
          <wp:positionV relativeFrom="margin">
            <wp:posOffset>8203565</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(A)</w:t>
    </w:r>
    <w:r w:rsidR="00050AAD">
      <w:br/>
    </w:r>
    <w:r w:rsidR="00050AAD" w:rsidRPr="00050AAD">
      <w:rPr>
        <w:rFonts w:ascii="C39T30Lfz" w:hAnsi="C39T30Lfz"/>
        <w:sz w:val="56"/>
      </w:rPr>
      <w:t></w:t>
    </w:r>
    <w:r w:rsidR="00050AAD" w:rsidRPr="00050AAD">
      <w:rPr>
        <w:rFonts w:ascii="C39T30Lfz" w:hAnsi="C39T30Lfz"/>
        <w:sz w:val="56"/>
      </w:rPr>
      <w:t></w:t>
    </w:r>
    <w:r w:rsidR="00050AAD" w:rsidRPr="00050AAD">
      <w:rPr>
        <w:rFonts w:ascii="C39T30Lfz" w:hAnsi="C39T30Lfz"/>
        <w:sz w:val="56"/>
      </w:rPr>
      <w:t></w:t>
    </w:r>
    <w:r w:rsidR="00050AAD" w:rsidRPr="00050AAD">
      <w:rPr>
        <w:rFonts w:ascii="C39T30Lfz" w:hAnsi="C39T30Lfz"/>
        <w:sz w:val="56"/>
      </w:rPr>
      <w:t></w:t>
    </w:r>
    <w:r w:rsidR="00050AAD" w:rsidRPr="00050AAD">
      <w:rPr>
        <w:rFonts w:ascii="C39T30Lfz" w:hAnsi="C39T30Lfz"/>
        <w:sz w:val="56"/>
      </w:rPr>
      <w:t></w:t>
    </w:r>
    <w:r w:rsidR="00050AAD" w:rsidRPr="00050AAD">
      <w:rPr>
        <w:rFonts w:ascii="C39T30Lfz" w:hAnsi="C39T30Lfz"/>
        <w:sz w:val="56"/>
      </w:rPr>
      <w:t></w:t>
    </w:r>
    <w:r w:rsidR="00050AAD" w:rsidRPr="00050AAD">
      <w:rPr>
        <w:rFonts w:ascii="C39T30Lfz" w:hAnsi="C39T30Lfz"/>
        <w:sz w:val="56"/>
      </w:rPr>
      <w:t></w:t>
    </w:r>
    <w:r w:rsidR="00050AAD" w:rsidRPr="00050AAD">
      <w:rPr>
        <w:rFonts w:ascii="C39T30Lfz" w:hAnsi="C39T30Lfz"/>
        <w:sz w:val="56"/>
      </w:rPr>
      <w:t></w:t>
    </w:r>
    <w:r w:rsidR="00050AAD" w:rsidRPr="00050AAD">
      <w:rPr>
        <w:rFonts w:ascii="C39T30Lfz" w:hAnsi="C39T30Lfz"/>
        <w:sz w:val="56"/>
      </w:rPr>
      <w:t></w:t>
    </w:r>
    <w:r w:rsidR="00050AAD">
      <w:rPr>
        <w:rFonts w:ascii="C39T30Lfz" w:hAnsi="C39T30Lfz"/>
        <w:sz w:val="56"/>
      </w:rPr>
      <w:tab/>
    </w:r>
    <w:r w:rsidR="00050AAD">
      <w:rPr>
        <w:noProof/>
        <w:lang w:val="en-US"/>
      </w:rPr>
      <w:drawing>
        <wp:anchor distT="0" distB="0" distL="114300" distR="114300" simplePos="0" relativeHeight="251659264"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CPR/C/MCO/CO/3&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MCO/CO/3&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40B9" w:rsidRDefault="004240B9" w:rsidP="000437B8">
      <w:pPr>
        <w:pStyle w:val="Footer"/>
        <w:bidi/>
        <w:spacing w:after="80" w:line="200" w:lineRule="exact"/>
        <w:ind w:left="680"/>
      </w:pPr>
      <w:r>
        <w:rPr>
          <w:rtl/>
        </w:rPr>
        <w:t>__________</w:t>
      </w:r>
    </w:p>
  </w:footnote>
  <w:footnote w:type="continuationSeparator" w:id="0">
    <w:p w:rsidR="004240B9" w:rsidRDefault="004240B9" w:rsidP="00656392">
      <w:pPr>
        <w:spacing w:line="240" w:lineRule="auto"/>
      </w:pPr>
      <w:r>
        <w:continuationSeparator/>
      </w:r>
    </w:p>
  </w:footnote>
  <w:footnote w:id="1">
    <w:p w:rsidR="00270496" w:rsidRPr="00270496" w:rsidRDefault="00270496" w:rsidP="00050AAD">
      <w:pPr>
        <w:pStyle w:val="FootnoteText1"/>
        <w:spacing w:after="240"/>
        <w:ind w:left="1248" w:hanging="397"/>
        <w:rPr>
          <w:rtl/>
        </w:rPr>
      </w:pPr>
      <w:r>
        <w:rPr>
          <w:rtl/>
        </w:rPr>
        <w:t>*</w:t>
      </w:r>
      <w:r>
        <w:rPr>
          <w:rtl/>
        </w:rPr>
        <w:tab/>
      </w:r>
      <w:r w:rsidRPr="00270496">
        <w:rPr>
          <w:rtl/>
        </w:rPr>
        <w:t>اعتمدتها اللجن</w:t>
      </w:r>
      <w:bookmarkStart w:id="0" w:name="_GoBack"/>
      <w:bookmarkEnd w:id="0"/>
      <w:r w:rsidRPr="00270496">
        <w:rPr>
          <w:rtl/>
        </w:rPr>
        <w:t>ة في دورتها 113 (16 آذار/مارس - 2 نيسان/أبريل 2015).</w:t>
      </w:r>
      <w:r w:rsidRPr="00270496">
        <w:rPr>
          <w:rFonts w:cs="Times New Roman" w:hint="cs"/>
          <w:rtl/>
        </w:rPr>
        <w:t>‬</w:t>
      </w:r>
      <w:r w:rsidRPr="00270496">
        <w:rPr>
          <w:rFonts w:cs="Times New Roman" w:hint="cs"/>
          <w:rtl/>
        </w:rPr>
        <w:t>‬</w:t>
      </w:r>
      <w:r w:rsidRPr="00270496">
        <w:rPr>
          <w:rFonts w:cs="Times New Roman" w:hint="cs"/>
          <w:rtl/>
        </w:rPr>
        <w:t>‬</w:t>
      </w:r>
      <w:r w:rsidRPr="00270496">
        <w:rPr>
          <w:rFonts w:cs="Times New Roman" w:hint="cs"/>
          <w:rtl/>
        </w:rPr>
        <w:t>‬</w:t>
      </w:r>
      <w:r w:rsidRPr="00270496">
        <w:rPr>
          <w:rFonts w:cs="Times New Roman" w:hint="cs"/>
          <w:rtl/>
        </w:rPr>
        <w:t>‬</w:t>
      </w:r>
      <w:r w:rsidRPr="00270496">
        <w:rPr>
          <w:rFonts w:cs="Times New Roman" w:hint="cs"/>
          <w:rtl/>
        </w:rPr>
        <w:t>‬</w:t>
      </w:r>
      <w:r w:rsidRPr="00270496">
        <w:rPr>
          <w:rFonts w:cs="Times New Roman"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93F" w:rsidRPr="00FA093F" w:rsidRDefault="00FA093F" w:rsidP="00FA093F">
    <w:pPr>
      <w:pStyle w:val="Header"/>
      <w:jc w:val="right"/>
    </w:pPr>
    <w:r w:rsidRPr="00FA093F">
      <w:t>CCPR/C/MCO/CO/3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93F" w:rsidRPr="00FA093F" w:rsidRDefault="00FA093F" w:rsidP="00FA093F">
    <w:pPr>
      <w:pStyle w:val="Header"/>
      <w:jc w:val="left"/>
    </w:pPr>
    <w:r w:rsidRPr="00FA093F">
      <w:t>CCPR/C/MCO/CO/3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240B9"/>
    <w:rsid w:val="000076D5"/>
    <w:rsid w:val="00043663"/>
    <w:rsid w:val="000437B8"/>
    <w:rsid w:val="000505CF"/>
    <w:rsid w:val="00050AAD"/>
    <w:rsid w:val="000D701C"/>
    <w:rsid w:val="000E2A71"/>
    <w:rsid w:val="00160263"/>
    <w:rsid w:val="00181F96"/>
    <w:rsid w:val="001A1371"/>
    <w:rsid w:val="001B346A"/>
    <w:rsid w:val="001E1CAD"/>
    <w:rsid w:val="001E290D"/>
    <w:rsid w:val="002144FA"/>
    <w:rsid w:val="0023469A"/>
    <w:rsid w:val="00243C8A"/>
    <w:rsid w:val="00267A0E"/>
    <w:rsid w:val="00270496"/>
    <w:rsid w:val="002901D9"/>
    <w:rsid w:val="002976C2"/>
    <w:rsid w:val="002A7F17"/>
    <w:rsid w:val="002E3DB8"/>
    <w:rsid w:val="00315695"/>
    <w:rsid w:val="0032182E"/>
    <w:rsid w:val="003260FF"/>
    <w:rsid w:val="00343D95"/>
    <w:rsid w:val="00374341"/>
    <w:rsid w:val="003823DE"/>
    <w:rsid w:val="003C0DAB"/>
    <w:rsid w:val="003D1062"/>
    <w:rsid w:val="003E2D4A"/>
    <w:rsid w:val="00420D7B"/>
    <w:rsid w:val="004240B9"/>
    <w:rsid w:val="00450B21"/>
    <w:rsid w:val="00453B63"/>
    <w:rsid w:val="00455780"/>
    <w:rsid w:val="004B0A1C"/>
    <w:rsid w:val="004D298E"/>
    <w:rsid w:val="00517BC9"/>
    <w:rsid w:val="0054472E"/>
    <w:rsid w:val="005612F0"/>
    <w:rsid w:val="005662A9"/>
    <w:rsid w:val="005827D4"/>
    <w:rsid w:val="0059622A"/>
    <w:rsid w:val="005A2C8C"/>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70C51"/>
    <w:rsid w:val="0078071A"/>
    <w:rsid w:val="00787E1E"/>
    <w:rsid w:val="00827FFA"/>
    <w:rsid w:val="00852A9A"/>
    <w:rsid w:val="008D39B0"/>
    <w:rsid w:val="008F49E1"/>
    <w:rsid w:val="0090370F"/>
    <w:rsid w:val="009269D2"/>
    <w:rsid w:val="00942135"/>
    <w:rsid w:val="0095183C"/>
    <w:rsid w:val="009521B0"/>
    <w:rsid w:val="009A7E9F"/>
    <w:rsid w:val="009E5018"/>
    <w:rsid w:val="00A12B37"/>
    <w:rsid w:val="00AB6758"/>
    <w:rsid w:val="00AF0A29"/>
    <w:rsid w:val="00B13763"/>
    <w:rsid w:val="00B408BC"/>
    <w:rsid w:val="00B477A4"/>
    <w:rsid w:val="00B54045"/>
    <w:rsid w:val="00BA35B6"/>
    <w:rsid w:val="00C438D7"/>
    <w:rsid w:val="00C81B50"/>
    <w:rsid w:val="00CB6622"/>
    <w:rsid w:val="00CD1801"/>
    <w:rsid w:val="00D10EF1"/>
    <w:rsid w:val="00D42810"/>
    <w:rsid w:val="00D914A7"/>
    <w:rsid w:val="00DB6397"/>
    <w:rsid w:val="00DD13C3"/>
    <w:rsid w:val="00DD596E"/>
    <w:rsid w:val="00DD621E"/>
    <w:rsid w:val="00DF0575"/>
    <w:rsid w:val="00E70E04"/>
    <w:rsid w:val="00EC05A7"/>
    <w:rsid w:val="00EC4B6B"/>
    <w:rsid w:val="00ED7442"/>
    <w:rsid w:val="00EF1EE5"/>
    <w:rsid w:val="00EF4877"/>
    <w:rsid w:val="00F763B4"/>
    <w:rsid w:val="00F900C3"/>
    <w:rsid w:val="00FA093F"/>
    <w:rsid w:val="00FE02DC"/>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AFB20-47F6-449E-960E-744A7C891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1183</Words>
  <Characters>6745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7913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CCPR/C/MCO/CO/3</dc:title>
  <dc:subject>FADEL, TARAIF</dc:subject>
  <dc:creator>Aly Sayed</dc:creator>
  <cp:keywords/>
  <dc:description/>
  <cp:lastModifiedBy>El-Maseri M.</cp:lastModifiedBy>
  <cp:revision>2</cp:revision>
  <dcterms:created xsi:type="dcterms:W3CDTF">2015-06-23T13:21:00Z</dcterms:created>
  <dcterms:modified xsi:type="dcterms:W3CDTF">2015-06-23T13:21:00Z</dcterms:modified>
</cp:coreProperties>
</file>