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41315</w:t>
                  </w:r>
                  <w:r>
                    <w:rPr>
                      <w:lang w:val="en-US"/>
                    </w:rPr>
                    <w:fldChar w:fldCharType="end"/>
                  </w:r>
                  <w:r>
                    <w:rPr>
                      <w:lang w:val="en-US"/>
                    </w:rPr>
                    <w:t xml:space="preserve">   (R)</w:t>
                  </w:r>
                  <w:r>
                    <w:t xml:space="preserve">    020506    030506</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proofErr w:type="spellStart"/>
            <w:r>
              <w:rPr>
                <w:sz w:val="72"/>
              </w:rPr>
              <w:t>CCPR</w:t>
            </w:r>
            <w:proofErr w:type="spellEnd"/>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35828"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proofErr w:type="spellStart"/>
            <w:r>
              <w:rPr>
                <w:sz w:val="22"/>
                <w:lang w:val="en-US"/>
              </w:rPr>
              <w:t>Distr</w:t>
            </w:r>
            <w:proofErr w:type="spellEnd"/>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CCPR/C/UKR/6</w:t>
            </w:r>
            <w:proofErr w:type="spellEnd"/>
            <w:r>
              <w:rPr>
                <w:sz w:val="22"/>
                <w:lang w:val="en-US"/>
              </w:rPr>
              <w:fldChar w:fldCharType="end"/>
            </w: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11 April 2006</w:t>
            </w:r>
            <w:r>
              <w:rPr>
                <w:sz w:val="22"/>
                <w:lang w:val="en-US"/>
              </w:rPr>
              <w:fldChar w:fldCharType="end"/>
            </w:r>
          </w:p>
          <w:p w:rsidR="00000000" w:rsidRDefault="00000000">
            <w:pPr>
              <w:spacing w:line="240" w:lineRule="auto"/>
              <w:rPr>
                <w:sz w:val="22"/>
                <w:lang w:val="en-US"/>
              </w:rPr>
            </w:pPr>
          </w:p>
          <w:p w:rsidR="00000000" w:rsidRDefault="00000000">
            <w:pPr>
              <w:spacing w:line="240" w:lineRule="auto"/>
              <w:rPr>
                <w:sz w:val="22"/>
              </w:rPr>
            </w:pPr>
            <w:r>
              <w:rPr>
                <w:sz w:val="22"/>
                <w:lang w:val="en-US"/>
              </w:rPr>
              <w:t>RUSSIAN</w:t>
            </w:r>
          </w:p>
          <w:p w:rsidR="00000000" w:rsidRDefault="00000000">
            <w:pPr>
              <w:spacing w:line="240"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r>
        <w:t>КОМИТЕТ ПО ПРАВАМ ЧЕЛОВЕКА</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b/>
          <w:bCs/>
        </w:rPr>
      </w:pPr>
      <w:r>
        <w:rPr>
          <w:b/>
          <w:bCs/>
        </w:rPr>
        <w:t>РАССМОТРЕНИЕ ДОКЛАДОВ, ПРЕДСТАВЛЯЕМЫХ</w:t>
      </w:r>
    </w:p>
    <w:p w:rsidR="00000000" w:rsidRDefault="00000000">
      <w:pPr>
        <w:jc w:val="center"/>
        <w:rPr>
          <w:b/>
          <w:bCs/>
        </w:rPr>
      </w:pPr>
      <w:r>
        <w:rPr>
          <w:b/>
          <w:bCs/>
        </w:rPr>
        <w:t>ГОСУДАРСТВАМИ-УЧАСТНИКАМИ В СООТВЕТСТВИИ</w:t>
      </w:r>
    </w:p>
    <w:p w:rsidR="00000000" w:rsidRDefault="00000000">
      <w:pPr>
        <w:jc w:val="center"/>
        <w:rPr>
          <w:b/>
          <w:bCs/>
        </w:rPr>
      </w:pPr>
      <w:r>
        <w:rPr>
          <w:b/>
          <w:bCs/>
        </w:rPr>
        <w:t>СО СТАТЬЕЙ 40 ПАКТА</w:t>
      </w:r>
    </w:p>
    <w:p w:rsidR="00000000" w:rsidRDefault="00000000">
      <w:pPr>
        <w:jc w:val="center"/>
        <w:rPr>
          <w:b/>
          <w:bCs/>
        </w:rPr>
      </w:pPr>
    </w:p>
    <w:p w:rsidR="00000000" w:rsidRDefault="00000000">
      <w:pPr>
        <w:jc w:val="center"/>
        <w:rPr>
          <w:b/>
          <w:bCs/>
        </w:rPr>
      </w:pPr>
      <w:r>
        <w:rPr>
          <w:b/>
          <w:bCs/>
        </w:rPr>
        <w:t>Шестой периодический доклад</w:t>
      </w:r>
    </w:p>
    <w:p w:rsidR="00000000" w:rsidRDefault="00000000">
      <w:pPr>
        <w:jc w:val="center"/>
        <w:rPr>
          <w:b/>
          <w:bCs/>
        </w:rPr>
      </w:pPr>
    </w:p>
    <w:p w:rsidR="00000000" w:rsidRDefault="00000000">
      <w:pPr>
        <w:jc w:val="center"/>
        <w:rPr>
          <w:b/>
          <w:bCs/>
        </w:rPr>
      </w:pPr>
      <w:r>
        <w:rPr>
          <w:b/>
          <w:bCs/>
        </w:rPr>
        <w:t>УКРАИНА*</w:t>
      </w:r>
    </w:p>
    <w:p w:rsidR="00000000" w:rsidRDefault="00000000">
      <w:pPr>
        <w:jc w:val="center"/>
      </w:pPr>
    </w:p>
    <w:p w:rsidR="00000000" w:rsidRDefault="00000000">
      <w:pPr>
        <w:jc w:val="right"/>
      </w:pPr>
      <w:r>
        <w:t>[3 ноября 2005 года]</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_______________</w:t>
      </w:r>
    </w:p>
    <w:p w:rsidR="00000000" w:rsidRDefault="00000000">
      <w:pPr>
        <w:spacing w:line="240" w:lineRule="auto"/>
      </w:pPr>
      <w:r>
        <w:t>*</w:t>
      </w:r>
      <w:r>
        <w:tab/>
        <w:t>Доклад издается без предварительной редакторской правки в соответствии с пожеланием, выраженным Комитетом по правам человека на его шестьдесят шестой сессии в июле 1999</w:t>
      </w:r>
      <w:r>
        <w:rPr>
          <w:lang w:val="en-US"/>
        </w:rPr>
        <w:t> </w:t>
      </w:r>
      <w:r>
        <w:t>года.</w:t>
      </w:r>
    </w:p>
    <w:p w:rsidR="00000000" w:rsidRDefault="00000000">
      <w:pPr>
        <w:jc w:val="center"/>
        <w:rPr>
          <w:b/>
          <w:bCs/>
        </w:rPr>
      </w:pPr>
      <w:r>
        <w:br w:type="page"/>
      </w:r>
      <w:r>
        <w:rPr>
          <w:b/>
          <w:bCs/>
        </w:rPr>
        <w:t>ШЕСТОЙ ПЕРИОДИЧЕСКИЙ ДОКЛАД УКРАИНЫ ОБ ИСПОЛНЕНИИ ПОЛОЖЕНИЙ МЕЖДУНАРОДНОГО ПАКТА О ГРАЖДАНСКИХ И ПОЛИТИЧЕСКИХ ПРАВАХ</w:t>
      </w:r>
    </w:p>
    <w:p w:rsidR="00000000" w:rsidRDefault="00000000"/>
    <w:p w:rsidR="00000000" w:rsidRDefault="00000000">
      <w:pPr>
        <w:jc w:val="center"/>
      </w:pPr>
      <w: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r>
      <w:proofErr w:type="spellStart"/>
      <w:r>
        <w:t>I</w:t>
      </w:r>
      <w:proofErr w:type="spellEnd"/>
      <w:r>
        <w:t>.</w:t>
      </w:r>
      <w:r>
        <w:tab/>
        <w:t>ОБЩАЯ ИНФОРМАЦИЯ О ГОСУДАРСТВЕ</w:t>
      </w:r>
      <w:r>
        <w:tab/>
      </w:r>
      <w:r>
        <w:tab/>
        <w:t>1 - 12</w:t>
      </w:r>
      <w:r>
        <w:tab/>
        <w:t>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proofErr w:type="spellStart"/>
      <w:r>
        <w:t>II</w:t>
      </w:r>
      <w:proofErr w:type="spellEnd"/>
      <w:r>
        <w:t>.</w:t>
      </w:r>
      <w:r>
        <w:tab/>
        <w:t>ВЫПОЛНЕНИЕ ОБЯЗАТЕЛЬСТВ ПО ОТДЕЛЬНЫМ</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СТАТЬЯМ ПАКТА </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r>
      <w:r>
        <w:tab/>
        <w:t>Статья 1</w:t>
      </w:r>
      <w:r>
        <w:tab/>
      </w:r>
      <w:r>
        <w:tab/>
        <w:t>13 - 16</w:t>
      </w:r>
      <w:r>
        <w:tab/>
        <w:t>4</w:t>
      </w: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r>
      <w:r>
        <w:tab/>
        <w:t>Статья 2</w:t>
      </w:r>
      <w:r>
        <w:tab/>
      </w:r>
      <w:r>
        <w:tab/>
        <w:t>17 - 33</w:t>
      </w:r>
      <w:r>
        <w:tab/>
        <w:t>5</w:t>
      </w: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r>
      <w:r>
        <w:tab/>
        <w:t>Статья 3</w:t>
      </w:r>
      <w:r>
        <w:tab/>
      </w:r>
      <w:r>
        <w:tab/>
        <w:t>34 - 68</w:t>
      </w:r>
      <w:r>
        <w:tab/>
        <w:t>7</w:t>
      </w: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r>
      <w:r>
        <w:tab/>
        <w:t>Статья 4</w:t>
      </w:r>
      <w:r>
        <w:tab/>
      </w:r>
      <w:r>
        <w:tab/>
        <w:t>69 - 78</w:t>
      </w:r>
      <w:r>
        <w:tab/>
        <w:t>12</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6</w:t>
      </w:r>
      <w:r>
        <w:tab/>
      </w:r>
      <w:r>
        <w:tab/>
        <w:t>79 - 84</w:t>
      </w:r>
      <w:r>
        <w:tab/>
        <w:t>14</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7</w:t>
      </w:r>
      <w:r>
        <w:tab/>
      </w:r>
      <w:r>
        <w:tab/>
        <w:t>85 - 108</w:t>
      </w:r>
      <w:r>
        <w:tab/>
        <w:t>15</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8</w:t>
      </w:r>
      <w:r>
        <w:tab/>
      </w:r>
      <w:r>
        <w:tab/>
        <w:t>109 - 155</w:t>
      </w:r>
      <w:r>
        <w:tab/>
        <w:t>19</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9</w:t>
      </w:r>
      <w:r>
        <w:tab/>
      </w:r>
      <w:r>
        <w:tab/>
        <w:t>156 - 178</w:t>
      </w:r>
      <w:r>
        <w:tab/>
        <w:t>27</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10</w:t>
      </w:r>
      <w:r>
        <w:tab/>
      </w:r>
      <w:r>
        <w:tab/>
        <w:t>179 - 200</w:t>
      </w:r>
      <w:r>
        <w:tab/>
        <w:t>31</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12</w:t>
      </w:r>
      <w:r>
        <w:tab/>
      </w:r>
      <w:r>
        <w:tab/>
        <w:t>201 - 213</w:t>
      </w:r>
      <w:r>
        <w:tab/>
        <w:t>35</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13</w:t>
      </w:r>
      <w:r>
        <w:tab/>
      </w:r>
      <w:r>
        <w:tab/>
        <w:t>214 - 219</w:t>
      </w:r>
      <w:r>
        <w:tab/>
        <w:t>36</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14</w:t>
      </w:r>
      <w:r>
        <w:tab/>
      </w:r>
      <w:r>
        <w:tab/>
        <w:t>220 - 243</w:t>
      </w:r>
      <w:r>
        <w:tab/>
        <w:t>37</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15</w:t>
      </w:r>
      <w:r>
        <w:tab/>
      </w:r>
      <w:r>
        <w:tab/>
        <w:t>244 - 251</w:t>
      </w:r>
      <w:r>
        <w:tab/>
        <w:t>41</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17</w:t>
      </w:r>
      <w:r>
        <w:tab/>
      </w:r>
      <w:r>
        <w:tab/>
        <w:t>252 - 256</w:t>
      </w:r>
      <w:r>
        <w:tab/>
        <w:t>42</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18</w:t>
      </w:r>
      <w:r>
        <w:tab/>
      </w:r>
      <w:r>
        <w:tab/>
        <w:t>257 - 265</w:t>
      </w:r>
      <w:r>
        <w:tab/>
        <w:t>42</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19</w:t>
      </w:r>
      <w:r>
        <w:tab/>
      </w:r>
      <w:r>
        <w:tab/>
        <w:t>266 - 301</w:t>
      </w:r>
      <w:r>
        <w:tab/>
        <w:t>44</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20</w:t>
      </w:r>
      <w:r>
        <w:tab/>
      </w:r>
      <w:r>
        <w:tab/>
        <w:t>302 - 314</w:t>
      </w:r>
      <w:r>
        <w:tab/>
        <w:t>51</w:t>
      </w:r>
      <w:r>
        <w:tab/>
      </w:r>
      <w:r>
        <w:tab/>
        <w:t>Статья 21</w:t>
      </w:r>
      <w:r>
        <w:tab/>
      </w:r>
      <w:r>
        <w:tab/>
        <w:t>315 - 316</w:t>
      </w:r>
      <w:r>
        <w:tab/>
        <w:t>53</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22</w:t>
      </w:r>
      <w:r>
        <w:tab/>
      </w:r>
      <w:r>
        <w:tab/>
        <w:t>317 - 345</w:t>
      </w:r>
      <w:r>
        <w:tab/>
        <w:t>53</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23</w:t>
      </w:r>
      <w:r>
        <w:tab/>
      </w:r>
      <w:r>
        <w:tab/>
        <w:t>325 - 327</w:t>
      </w:r>
      <w:r>
        <w:tab/>
        <w:t>54</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24</w:t>
      </w:r>
      <w:r>
        <w:tab/>
      </w:r>
      <w:r>
        <w:tab/>
        <w:t>328 - 333</w:t>
      </w:r>
      <w:r>
        <w:tab/>
        <w:t>54</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25</w:t>
      </w:r>
      <w:r>
        <w:tab/>
      </w:r>
      <w:r>
        <w:tab/>
        <w:t>334 - 339</w:t>
      </w:r>
      <w:r>
        <w:tab/>
        <w:t>55</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27</w:t>
      </w:r>
      <w:r>
        <w:tab/>
      </w:r>
      <w:r>
        <w:tab/>
        <w:t>340 - 359</w:t>
      </w:r>
      <w:r>
        <w:tab/>
        <w:t>56</w:t>
      </w:r>
    </w:p>
    <w:p w:rsidR="00000000" w:rsidRDefault="00000000">
      <w:pPr>
        <w:tabs>
          <w:tab w:val="clear" w:pos="2268"/>
          <w:tab w:val="clear" w:pos="6237"/>
          <w:tab w:val="decimal" w:pos="567"/>
          <w:tab w:val="left" w:pos="1134"/>
          <w:tab w:val="left" w:pos="1701"/>
          <w:tab w:val="right" w:leader="dot" w:pos="8505"/>
          <w:tab w:val="center" w:pos="9122"/>
        </w:tabs>
      </w:pPr>
      <w:r>
        <w:tab/>
      </w:r>
      <w:r>
        <w:tab/>
        <w:t>Таблица 1</w:t>
      </w:r>
      <w:r>
        <w:tab/>
      </w:r>
      <w:r>
        <w:tab/>
        <w:t>59</w:t>
      </w:r>
    </w:p>
    <w:p w:rsidR="00000000" w:rsidRDefault="00000000">
      <w:pPr>
        <w:tabs>
          <w:tab w:val="clear" w:pos="2268"/>
          <w:tab w:val="clear" w:pos="6237"/>
          <w:tab w:val="decimal" w:pos="567"/>
          <w:tab w:val="left" w:pos="1134"/>
          <w:tab w:val="left" w:pos="1701"/>
          <w:tab w:val="right" w:leader="dot" w:pos="8505"/>
          <w:tab w:val="center" w:pos="9122"/>
        </w:tabs>
      </w:pPr>
      <w:r>
        <w:tab/>
      </w:r>
      <w:r>
        <w:tab/>
        <w:t>Таблица 2</w:t>
      </w:r>
      <w:r>
        <w:tab/>
      </w:r>
      <w:r>
        <w:tab/>
        <w:t>60</w:t>
      </w:r>
    </w:p>
    <w:p w:rsidR="00000000" w:rsidRDefault="00000000">
      <w:pPr>
        <w:jc w:val="center"/>
        <w:rPr>
          <w:b/>
          <w:bCs/>
        </w:rPr>
      </w:pPr>
      <w:r>
        <w:br w:type="page"/>
      </w:r>
      <w:proofErr w:type="spellStart"/>
      <w:r>
        <w:rPr>
          <w:b/>
          <w:bCs/>
        </w:rPr>
        <w:t>I</w:t>
      </w:r>
      <w:proofErr w:type="spellEnd"/>
      <w:r>
        <w:rPr>
          <w:b/>
          <w:bCs/>
        </w:rPr>
        <w:t>.</w:t>
      </w:r>
      <w:r>
        <w:rPr>
          <w:b/>
          <w:bCs/>
        </w:rPr>
        <w:tab/>
        <w:t>ОБЩАЯ ИНФОРМАЦИЯ О ГОСУДАРСТВЕ</w:t>
      </w:r>
    </w:p>
    <w:p w:rsidR="00000000" w:rsidRDefault="00000000">
      <w:pPr>
        <w:jc w:val="center"/>
        <w:rPr>
          <w:b/>
          <w:bCs/>
        </w:rPr>
      </w:pPr>
    </w:p>
    <w:p w:rsidR="00000000" w:rsidRDefault="00000000">
      <w:r>
        <w:t>1.</w:t>
      </w:r>
      <w:r>
        <w:tab/>
        <w:t>Согласно Конституции Украины 1996 года. Украина является республикой.</w:t>
      </w:r>
    </w:p>
    <w:p w:rsidR="00000000" w:rsidRDefault="00000000"/>
    <w:p w:rsidR="00000000" w:rsidRDefault="00000000">
      <w:r>
        <w:t>2.</w:t>
      </w:r>
      <w:r>
        <w:tab/>
        <w:t>Носителем суверенитета и единственным источником власти в Украине является народ. Народ осуществляет власть непосредственно и через органы государственной власти и органы местного самоуправления.</w:t>
      </w:r>
    </w:p>
    <w:p w:rsidR="00000000" w:rsidRDefault="00000000"/>
    <w:p w:rsidR="00000000" w:rsidRDefault="00000000">
      <w:r>
        <w:t>3.</w:t>
      </w:r>
      <w:r>
        <w:tab/>
        <w:t>Государственная власть в Украине осуществляется на принципах ее деления на законодательную, исполнительную и судебную. Органы законодательной, исполнительной и судебной власти осуществляют свои полномочия в установленных Конституцией рамках и согласно законам Украины.</w:t>
      </w:r>
    </w:p>
    <w:p w:rsidR="00000000" w:rsidRDefault="00000000"/>
    <w:p w:rsidR="00000000" w:rsidRDefault="00000000">
      <w:r>
        <w:t>4.</w:t>
      </w:r>
      <w:r>
        <w:tab/>
        <w:t>Президент Украины является главой государства и выступает от его имени.</w:t>
      </w:r>
    </w:p>
    <w:p w:rsidR="00000000" w:rsidRDefault="00000000"/>
    <w:p w:rsidR="00000000" w:rsidRDefault="00000000">
      <w:r>
        <w:t>5.</w:t>
      </w:r>
      <w:r>
        <w:tab/>
        <w:t>Единственным органом законодательной власти в Украине является парламент – Верховный Совет Украины. Конституционный состав парламента составляют 450 народных депутатов Украины, которые избираются на основе общего, равного и прямого избирательного права путем тайного голосования сроком на четыре года.</w:t>
      </w:r>
    </w:p>
    <w:p w:rsidR="00000000" w:rsidRDefault="00000000"/>
    <w:p w:rsidR="00000000" w:rsidRDefault="00000000">
      <w:r>
        <w:t>6.</w:t>
      </w:r>
      <w:r>
        <w:tab/>
        <w:t>Кабинет Министров Украины является высшим органом в системе органов исполнительной власти. Личный состав Кабинета Министров Украины назначается Президентом Украины по представлению Премьер-министра Украины. Исполнительную власть в областях и районах, городах Киеве и Севастополе осуществляют местные государственные администрации.</w:t>
      </w:r>
    </w:p>
    <w:p w:rsidR="00000000" w:rsidRDefault="00000000"/>
    <w:p w:rsidR="00000000" w:rsidRDefault="00000000">
      <w:r>
        <w:t>7.</w:t>
      </w:r>
      <w:r>
        <w:tab/>
        <w:t>Местное самоуправление является правом территориальной общины – жителей села или добровольного объединения в сельскую общину жителей нескольких сел, поселка и города – самостоятельно решать вопросы местного значения в рамках Конституции и законов Украины.</w:t>
      </w:r>
    </w:p>
    <w:p w:rsidR="00000000" w:rsidRDefault="00000000"/>
    <w:p w:rsidR="00000000" w:rsidRDefault="00000000">
      <w:r>
        <w:t>8.</w:t>
      </w:r>
      <w:r>
        <w:tab/>
        <w:t xml:space="preserve">Украина является унитарным государством. Систему </w:t>
      </w:r>
      <w:proofErr w:type="spellStart"/>
      <w:r>
        <w:t>административно-территориального</w:t>
      </w:r>
      <w:proofErr w:type="spellEnd"/>
      <w:r>
        <w:t xml:space="preserve"> устройства Украины составляют: Автономная Республика Крым, области, районы, города, районы в городах, поселки и села. </w:t>
      </w:r>
    </w:p>
    <w:p w:rsidR="00000000" w:rsidRDefault="00000000"/>
    <w:p w:rsidR="00000000" w:rsidRDefault="00000000">
      <w:r>
        <w:t>9.</w:t>
      </w:r>
      <w:r>
        <w:tab/>
        <w:t>В состав Украины входят Автономная Республика Крым, 24 области, города Киев и Севастополь, которые имеют специальный статус.</w:t>
      </w:r>
    </w:p>
    <w:p w:rsidR="00000000" w:rsidRDefault="00000000"/>
    <w:p w:rsidR="00000000" w:rsidRDefault="00000000">
      <w:r>
        <w:t>10.</w:t>
      </w:r>
      <w:r>
        <w:tab/>
        <w:t>Автономная Республика Крым в рамках, определенных Конституцией Украины, решает вопросы, отнесенные к ее компетенции.</w:t>
      </w:r>
    </w:p>
    <w:p w:rsidR="00000000" w:rsidRDefault="00000000"/>
    <w:p w:rsidR="00000000" w:rsidRDefault="00000000">
      <w:r>
        <w:t>11.</w:t>
      </w:r>
      <w:r>
        <w:tab/>
        <w:t>Автономная Республика Крым имеет свою Конституцию, представительский орган – Верховный Совет Автономной Республики Крым, правительство – Совет министров Автономной Республики Крым.</w:t>
      </w:r>
    </w:p>
    <w:p w:rsidR="00000000" w:rsidRDefault="00000000"/>
    <w:p w:rsidR="00000000" w:rsidRDefault="00000000">
      <w:r>
        <w:t>12.</w:t>
      </w:r>
      <w:r>
        <w:tab/>
        <w:t>В Украине существует единое гражданство.</w:t>
      </w:r>
    </w:p>
    <w:p w:rsidR="00000000" w:rsidRDefault="00000000"/>
    <w:p w:rsidR="00000000" w:rsidRDefault="00000000">
      <w:pPr>
        <w:jc w:val="center"/>
        <w:rPr>
          <w:b/>
          <w:bCs/>
        </w:rPr>
      </w:pPr>
      <w:proofErr w:type="spellStart"/>
      <w:r>
        <w:rPr>
          <w:b/>
          <w:bCs/>
        </w:rPr>
        <w:t>II</w:t>
      </w:r>
      <w:proofErr w:type="spellEnd"/>
      <w:r>
        <w:rPr>
          <w:b/>
          <w:bCs/>
        </w:rPr>
        <w:t xml:space="preserve">. </w:t>
      </w:r>
      <w:r>
        <w:rPr>
          <w:b/>
          <w:bCs/>
        </w:rPr>
        <w:tab/>
        <w:t>ВЫПОЛНЕНИЕ ОБЯЗАТЕЛЬСТВ ПО ОТДЕЛЬНЫМ</w:t>
      </w:r>
    </w:p>
    <w:p w:rsidR="00000000" w:rsidRDefault="00000000">
      <w:pPr>
        <w:jc w:val="center"/>
        <w:rPr>
          <w:b/>
          <w:bCs/>
        </w:rPr>
      </w:pPr>
      <w:r>
        <w:rPr>
          <w:b/>
          <w:bCs/>
        </w:rPr>
        <w:t>СТАТЬЯМ ПАКТА</w:t>
      </w:r>
    </w:p>
    <w:p w:rsidR="00000000" w:rsidRDefault="00000000"/>
    <w:p w:rsidR="00000000" w:rsidRDefault="00000000">
      <w:pPr>
        <w:jc w:val="center"/>
        <w:rPr>
          <w:b/>
          <w:bCs/>
        </w:rPr>
      </w:pPr>
      <w:r>
        <w:rPr>
          <w:b/>
          <w:bCs/>
        </w:rPr>
        <w:t>Статья 1</w:t>
      </w:r>
    </w:p>
    <w:p w:rsidR="00000000" w:rsidRDefault="00000000">
      <w:pPr>
        <w:jc w:val="center"/>
        <w:rPr>
          <w:b/>
          <w:bCs/>
        </w:rPr>
      </w:pPr>
    </w:p>
    <w:p w:rsidR="00000000" w:rsidRDefault="00000000">
      <w:pPr>
        <w:jc w:val="center"/>
        <w:rPr>
          <w:b/>
          <w:bCs/>
        </w:rPr>
      </w:pPr>
      <w:r>
        <w:rPr>
          <w:b/>
          <w:bCs/>
        </w:rPr>
        <w:t>Пункт 1</w:t>
      </w:r>
    </w:p>
    <w:p w:rsidR="00000000" w:rsidRDefault="00000000"/>
    <w:p w:rsidR="00000000" w:rsidRDefault="00000000">
      <w:r>
        <w:t>13.</w:t>
      </w:r>
      <w:r>
        <w:tab/>
        <w:t>Преамбула Конституции Украины 1996 года гласит, среди прочего, что Верховный Совет Украины принял Конституцию Украины от имени Украинского народа – граждан Украины всех национальностей и выражая суверенную волю народа.</w:t>
      </w:r>
    </w:p>
    <w:p w:rsidR="00000000" w:rsidRDefault="00000000"/>
    <w:p w:rsidR="00000000" w:rsidRDefault="00000000">
      <w:pPr>
        <w:jc w:val="center"/>
        <w:rPr>
          <w:b/>
          <w:bCs/>
        </w:rPr>
      </w:pPr>
      <w:r>
        <w:rPr>
          <w:b/>
          <w:bCs/>
        </w:rPr>
        <w:t>Пункт 2</w:t>
      </w:r>
    </w:p>
    <w:p w:rsidR="00000000" w:rsidRDefault="00000000"/>
    <w:p w:rsidR="00000000" w:rsidRDefault="00000000">
      <w:r>
        <w:t>14.</w:t>
      </w:r>
      <w:r>
        <w:tab/>
        <w:t>Статья 13 Конституции Украины гласит, что земля, ее недра, атмосферный воздух, водные и другие природные ресурсы, которые находятся в пределах территории Украины, природные ресурсы ее континентального шельфа, исключительной (морской) экономической зоны являются объектами права собственности Украинского народа. От имени Украинского народа права собственника осуществляют органы государственной власти и органы местного самоуправления в пределах, определенных Конституцией.</w:t>
      </w:r>
    </w:p>
    <w:p w:rsidR="00000000" w:rsidRDefault="00000000"/>
    <w:p w:rsidR="00000000" w:rsidRDefault="00000000">
      <w:r>
        <w:t>15.</w:t>
      </w:r>
      <w:r>
        <w:tab/>
        <w:t>Каждый гражданин имеет право пользоваться природными объектами права собственности народа согласно закону.</w:t>
      </w:r>
    </w:p>
    <w:p w:rsidR="00000000" w:rsidRDefault="00000000"/>
    <w:p w:rsidR="00000000" w:rsidRDefault="00000000">
      <w:pPr>
        <w:jc w:val="center"/>
        <w:rPr>
          <w:b/>
          <w:bCs/>
        </w:rPr>
      </w:pPr>
      <w:r>
        <w:rPr>
          <w:b/>
          <w:bCs/>
        </w:rPr>
        <w:t>Пункт 3</w:t>
      </w:r>
    </w:p>
    <w:p w:rsidR="00000000" w:rsidRDefault="00000000"/>
    <w:p w:rsidR="00000000" w:rsidRDefault="00000000">
      <w:r>
        <w:t>16.</w:t>
      </w:r>
      <w:r>
        <w:tab/>
        <w:t>В соответствии со статьей 11 Конституции Украины украинское государство содействует консолидации и развитию украинской нации, ее исторического сознания, традиций и культуры, а также развитию этнической, культурной, языковой и религиозной самобытности всех коренных народов и национальных меньшинств Украины.</w:t>
      </w:r>
    </w:p>
    <w:p w:rsidR="00000000" w:rsidRDefault="00000000"/>
    <w:p w:rsidR="00000000" w:rsidRDefault="00000000">
      <w:pPr>
        <w:jc w:val="center"/>
        <w:rPr>
          <w:b/>
          <w:bCs/>
        </w:rPr>
      </w:pPr>
      <w:r>
        <w:rPr>
          <w:b/>
          <w:bCs/>
        </w:rPr>
        <w:t>Статья 2</w:t>
      </w:r>
    </w:p>
    <w:p w:rsidR="00000000" w:rsidRDefault="00000000">
      <w:pPr>
        <w:jc w:val="center"/>
        <w:rPr>
          <w:b/>
          <w:bCs/>
        </w:rPr>
      </w:pPr>
    </w:p>
    <w:p w:rsidR="00000000" w:rsidRDefault="00000000">
      <w:pPr>
        <w:jc w:val="center"/>
        <w:rPr>
          <w:b/>
          <w:bCs/>
        </w:rPr>
      </w:pPr>
      <w:r>
        <w:rPr>
          <w:b/>
          <w:bCs/>
        </w:rPr>
        <w:t>Пункт 1</w:t>
      </w:r>
    </w:p>
    <w:p w:rsidR="00000000" w:rsidRDefault="00000000"/>
    <w:p w:rsidR="00000000" w:rsidRDefault="00000000">
      <w:r>
        <w:t xml:space="preserve">17. </w:t>
      </w:r>
      <w:r>
        <w:tab/>
        <w:t>В соответствии со статьей 24 Конституции Украины граждане имеют равные конституционные права и свободы и являются равными перед законом.</w:t>
      </w:r>
    </w:p>
    <w:p w:rsidR="00000000" w:rsidRDefault="00000000"/>
    <w:p w:rsidR="00000000" w:rsidRDefault="00000000">
      <w:r>
        <w:t xml:space="preserve">18. </w:t>
      </w:r>
      <w:r>
        <w:tab/>
        <w:t>Не может быть привилегий или ограничений по признакам расы, цвета кожи, пола, политическим, религиозным или другим убеждениям, этническому и социальному происхождению, материальному положению, месту проживания, по языковым  или другим признаками.</w:t>
      </w:r>
    </w:p>
    <w:p w:rsidR="00000000" w:rsidRDefault="00000000"/>
    <w:p w:rsidR="00000000" w:rsidRDefault="00000000">
      <w:r>
        <w:t xml:space="preserve">19. </w:t>
      </w:r>
      <w:r>
        <w:tab/>
        <w:t>Права и свободы человека и гражданина не являются исчерпывающими.</w:t>
      </w:r>
    </w:p>
    <w:p w:rsidR="00000000" w:rsidRDefault="00000000"/>
    <w:p w:rsidR="00000000" w:rsidRDefault="00000000">
      <w:r>
        <w:t xml:space="preserve">20. </w:t>
      </w:r>
      <w:r>
        <w:tab/>
        <w:t xml:space="preserve">При принятии новых законов или внесении изменений в действующие законы не допускается сужение содержания и объема существующих прав и свобод. </w:t>
      </w:r>
    </w:p>
    <w:p w:rsidR="00000000" w:rsidRDefault="00000000"/>
    <w:p w:rsidR="00000000" w:rsidRDefault="00000000">
      <w:pPr>
        <w:jc w:val="center"/>
        <w:rPr>
          <w:b/>
          <w:bCs/>
        </w:rPr>
      </w:pPr>
      <w:r>
        <w:rPr>
          <w:b/>
          <w:bCs/>
        </w:rPr>
        <w:t>Пункт 2</w:t>
      </w:r>
    </w:p>
    <w:p w:rsidR="00000000" w:rsidRDefault="00000000"/>
    <w:p w:rsidR="00000000" w:rsidRDefault="00000000">
      <w:r>
        <w:t xml:space="preserve">21. </w:t>
      </w:r>
      <w:r>
        <w:tab/>
        <w:t>В соответствии  со статьей 27 Венской конвенции о праве международных договоров 1969 года положения внутреннего законодательства не могут быть оправданием для неисполнения государством международного договора.</w:t>
      </w:r>
    </w:p>
    <w:p w:rsidR="00000000" w:rsidRDefault="00000000"/>
    <w:p w:rsidR="00000000" w:rsidRDefault="00000000">
      <w:r>
        <w:t xml:space="preserve">22. </w:t>
      </w:r>
      <w:r>
        <w:tab/>
        <w:t xml:space="preserve">Статья 9 Конституции Украины предусматривает, что действующие международные договоры, согласие на обязательность которых дал Верховный Совет Украины, являются частью законодательства Украины. </w:t>
      </w:r>
    </w:p>
    <w:p w:rsidR="00000000" w:rsidRDefault="00000000"/>
    <w:p w:rsidR="00000000" w:rsidRDefault="00000000">
      <w:r>
        <w:t xml:space="preserve">23. </w:t>
      </w:r>
      <w:r>
        <w:tab/>
        <w:t xml:space="preserve">Такие международные договоры применяются в порядке, предусмотренном для норм национального законодательства (пункт 1 статьи 19 Закона Украины "О международных договорах Украины" от 29 июня 2004 года). </w:t>
      </w:r>
    </w:p>
    <w:p w:rsidR="00000000" w:rsidRDefault="00000000"/>
    <w:p w:rsidR="00000000" w:rsidRDefault="00000000">
      <w:r>
        <w:t xml:space="preserve">24. </w:t>
      </w:r>
      <w:r>
        <w:tab/>
        <w:t>В соответствии с пунктом 2 статьи 19 этого Закона в случае, если международный договор Украины, который вступил в силу в установленном порядке, определяет другие правила, чем те, которые предусмотрены в соответствующем акте законодательства Украины, применяются положения международного договора.</w:t>
      </w:r>
    </w:p>
    <w:p w:rsidR="00000000" w:rsidRDefault="00000000"/>
    <w:p w:rsidR="00000000" w:rsidRDefault="00000000">
      <w:r>
        <w:t xml:space="preserve">25. </w:t>
      </w:r>
      <w:r>
        <w:tab/>
        <w:t>Учитывая изложенное выше, а также то, что участие Украины в Венской конвенции 1969 года и Международном пакте о гражданских и политических правах 1966 года было оформлено актами Верховного Совета (Парламента) УССР, нормы Пакта имеют преимущественную силу перед положениями актов украинского законодательства, в случае если они с ними не согласуются.</w:t>
      </w:r>
    </w:p>
    <w:p w:rsidR="00000000" w:rsidRDefault="00000000"/>
    <w:p w:rsidR="00000000" w:rsidRDefault="00000000">
      <w:r>
        <w:t xml:space="preserve">26. </w:t>
      </w:r>
      <w:r>
        <w:tab/>
        <w:t>Кроме этого, на протяжении отчетного периода Украина дала согласие на обязательность ряда инструментов универсального характера в сфере прав человека: Факультативного протокола к Конвенции о правах детей относительно торговли детьми, детской проституции и детской порнографии (ратифицирован 1 января 2001 года), Факультативного протокола к Конвенции о ликвидации всех форм дискриминации женщин (ратифицирован 3 апреля 2003 года), Конвенции о статусе беженцев и Протокола о статусе беженцев (закон о присоединении от 10 января 2002 года).</w:t>
      </w:r>
    </w:p>
    <w:p w:rsidR="00000000" w:rsidRDefault="00000000"/>
    <w:p w:rsidR="00000000" w:rsidRDefault="00000000">
      <w:r>
        <w:t xml:space="preserve">27. </w:t>
      </w:r>
      <w:r>
        <w:tab/>
        <w:t>Конституционный Суд Украины принимает решения и дает заключения по делам о соответствии Конституции Украины действующих международных договоров Украины или тех международных договоров, которые вносятся в Верховный Совет Украины для выражения согласия на их обязательность (пункт 2 статьи 13 Закона Украины "О Конституционном Суде Украины" от 16 октября 1996 года.</w:t>
      </w:r>
    </w:p>
    <w:p w:rsidR="00000000" w:rsidRDefault="00000000"/>
    <w:p w:rsidR="00000000" w:rsidRDefault="00000000">
      <w:r>
        <w:t xml:space="preserve">28. </w:t>
      </w:r>
      <w:r>
        <w:tab/>
        <w:t>В соответствии со статьей 57 Конституции каждому гарантируется право знать свои права и обязанности, а законы, которые определяют права и обязанности граждан, не доведенные до ведома населения в порядке, установленном законом, являются недействительными.</w:t>
      </w:r>
    </w:p>
    <w:p w:rsidR="00000000" w:rsidRDefault="00000000"/>
    <w:p w:rsidR="00000000" w:rsidRDefault="00000000">
      <w:pPr>
        <w:jc w:val="center"/>
        <w:rPr>
          <w:b/>
          <w:bCs/>
        </w:rPr>
      </w:pPr>
      <w:r>
        <w:rPr>
          <w:b/>
          <w:bCs/>
        </w:rPr>
        <w:t>Пункт 3</w:t>
      </w:r>
    </w:p>
    <w:p w:rsidR="00000000" w:rsidRDefault="00000000"/>
    <w:p w:rsidR="00000000" w:rsidRDefault="00000000">
      <w:r>
        <w:t xml:space="preserve">29. </w:t>
      </w:r>
      <w:r>
        <w:tab/>
        <w:t>Согласно статье 55 Конституции Украины права и свободы человека и гражданина защищаются судом.</w:t>
      </w:r>
    </w:p>
    <w:p w:rsidR="00000000" w:rsidRDefault="00000000"/>
    <w:p w:rsidR="00000000" w:rsidRDefault="00000000">
      <w:r>
        <w:t xml:space="preserve">30. </w:t>
      </w:r>
      <w:r>
        <w:tab/>
        <w:t xml:space="preserve">Каждому гарантируется право на опротестование в суде решений, действий или </w:t>
      </w:r>
      <w:proofErr w:type="spellStart"/>
      <w:r>
        <w:t>бездействий</w:t>
      </w:r>
      <w:proofErr w:type="spellEnd"/>
      <w:r>
        <w:t xml:space="preserve"> органов государственной власти, органов местного самоуправления, должностных и служебных лиц.</w:t>
      </w:r>
    </w:p>
    <w:p w:rsidR="00000000" w:rsidRDefault="00000000"/>
    <w:p w:rsidR="00000000" w:rsidRDefault="00000000">
      <w:r>
        <w:t xml:space="preserve">31. </w:t>
      </w:r>
      <w:r>
        <w:tab/>
        <w:t>Каждый имеет право обращаться за защитой своих прав к Уполномоченному Верховного Совета Украины по правам человека.</w:t>
      </w:r>
    </w:p>
    <w:p w:rsidR="00000000" w:rsidRDefault="00000000"/>
    <w:p w:rsidR="00000000" w:rsidRDefault="00000000">
      <w:r>
        <w:t xml:space="preserve">32. </w:t>
      </w:r>
      <w:r>
        <w:tab/>
        <w:t>Каждый имеет право после использования всех национальных средств правовой защиты обращаться за защитой своих прав и свобод в соответствующие международные судебные учреждения или в соответствующие органы международных организаций, членом или участником которых является Украина.</w:t>
      </w:r>
    </w:p>
    <w:p w:rsidR="00000000" w:rsidRDefault="00000000"/>
    <w:p w:rsidR="00000000" w:rsidRDefault="00000000">
      <w:r>
        <w:t xml:space="preserve">33. </w:t>
      </w:r>
      <w:r>
        <w:tab/>
        <w:t xml:space="preserve">В соответствии со статьей 1 Закона Украины "Об Уполномоченном Верховного Совета Украины по правам человека" от 23 декабря 1997 года парламентский контроль за соблюдением конституционных прав и свобод человека и гражданина и защита прав каждого на территории Украины и в пределах ее юрисдикции на постоянной основе осуществляет Уполномоченный Верховного Совета Украины по правам человека. </w:t>
      </w:r>
    </w:p>
    <w:p w:rsidR="00000000" w:rsidRDefault="00000000"/>
    <w:p w:rsidR="00000000" w:rsidRDefault="00000000">
      <w:pPr>
        <w:jc w:val="center"/>
        <w:rPr>
          <w:b/>
          <w:bCs/>
        </w:rPr>
      </w:pPr>
      <w:r>
        <w:rPr>
          <w:b/>
          <w:bCs/>
        </w:rPr>
        <w:t>Статья 3</w:t>
      </w:r>
    </w:p>
    <w:p w:rsidR="00000000" w:rsidRDefault="00000000"/>
    <w:p w:rsidR="00000000" w:rsidRDefault="00000000">
      <w:r>
        <w:t xml:space="preserve">34. </w:t>
      </w:r>
      <w:r>
        <w:tab/>
        <w:t>Украиной были приняты во внимание замечания пункта 8 Заключительных замечаний Комитета по правам человека относительно пятого периодического доклада.</w:t>
      </w:r>
    </w:p>
    <w:p w:rsidR="00000000" w:rsidRDefault="00000000"/>
    <w:p w:rsidR="00000000" w:rsidRDefault="00000000">
      <w:r>
        <w:t xml:space="preserve">35. </w:t>
      </w:r>
      <w:r>
        <w:tab/>
        <w:t>Украина является участницей Конвенции о ликвидации всех форм дискриминации по отношению к женщинам, поддерживает идеи Пекинской декларации и платформе действий, Декларации Тысячелетия, резолюций европейских конференций по вопросам равенства женщин и мужчин и ведет работу по выполнению  взятых на себя обязательств.</w:t>
      </w:r>
    </w:p>
    <w:p w:rsidR="00000000" w:rsidRDefault="00000000"/>
    <w:p w:rsidR="00000000" w:rsidRDefault="00000000">
      <w:r>
        <w:t xml:space="preserve">36. </w:t>
      </w:r>
      <w:r>
        <w:tab/>
        <w:t xml:space="preserve">Украинские женщины, несмотря на то, что в Украине </w:t>
      </w:r>
      <w:proofErr w:type="spellStart"/>
      <w:r>
        <w:t>недискриминационное</w:t>
      </w:r>
      <w:proofErr w:type="spellEnd"/>
      <w:r>
        <w:t xml:space="preserve"> законодательство, на практике во многих сферах чувствуют дискриминационное отношение. Особенно это касается представительства женщин в парламенте, в руководящем звене государственного и частного секторов, а также участия в принятии решений на всех уровнях государственной власти.</w:t>
      </w:r>
    </w:p>
    <w:p w:rsidR="00000000" w:rsidRDefault="00000000"/>
    <w:p w:rsidR="00000000" w:rsidRDefault="00000000">
      <w:r>
        <w:t xml:space="preserve">37. </w:t>
      </w:r>
      <w:r>
        <w:tab/>
        <w:t xml:space="preserve">Отношение общества к возможностям женщины в политической сфере, уровень его </w:t>
      </w:r>
      <w:proofErr w:type="spellStart"/>
      <w:r>
        <w:t>гендерной</w:t>
      </w:r>
      <w:proofErr w:type="spellEnd"/>
      <w:r>
        <w:t xml:space="preserve"> культуры достаточно четко просматривается в составе народных депутатов и депутатском корпусе.</w:t>
      </w:r>
    </w:p>
    <w:p w:rsidR="00000000" w:rsidRDefault="00000000"/>
    <w:p w:rsidR="00000000" w:rsidRDefault="00000000">
      <w:r>
        <w:t xml:space="preserve">38. </w:t>
      </w:r>
      <w:r>
        <w:tab/>
        <w:t>Так, в 1998 году в Верховный Совет Украины были избраны 36 женщин - народных депутатов (</w:t>
      </w:r>
      <w:proofErr w:type="spellStart"/>
      <w:r>
        <w:t>8%</w:t>
      </w:r>
      <w:proofErr w:type="spellEnd"/>
      <w:r>
        <w:t>) из общего количества 450 депутатов, в 2002 году – только 23 женщины - народных депутата (</w:t>
      </w:r>
      <w:proofErr w:type="spellStart"/>
      <w:r>
        <w:t>5,1%</w:t>
      </w:r>
      <w:proofErr w:type="spellEnd"/>
      <w:r>
        <w:t xml:space="preserve">). В то же время доля мужчин составляет </w:t>
      </w:r>
      <w:proofErr w:type="spellStart"/>
      <w:r>
        <w:t>94,9%</w:t>
      </w:r>
      <w:proofErr w:type="spellEnd"/>
      <w:r>
        <w:t xml:space="preserve"> от общего количества народных депутатов, что свидетельствует об отсутствии равновесия женщин и мужчин в политической сфере.</w:t>
      </w:r>
    </w:p>
    <w:p w:rsidR="00000000" w:rsidRDefault="00000000"/>
    <w:p w:rsidR="00000000" w:rsidRDefault="00000000">
      <w:r>
        <w:t xml:space="preserve">39. </w:t>
      </w:r>
      <w:r>
        <w:tab/>
        <w:t xml:space="preserve">Если уровень представительства женщин в Верховном Совете очень низкий, то в советах местного уровня он намного выше. В отдельных областях представительство женщин в советах составляет от </w:t>
      </w:r>
      <w:proofErr w:type="spellStart"/>
      <w:r>
        <w:t>20%</w:t>
      </w:r>
      <w:proofErr w:type="spellEnd"/>
      <w:r>
        <w:t xml:space="preserve"> до </w:t>
      </w:r>
      <w:proofErr w:type="spellStart"/>
      <w:r>
        <w:t>50%</w:t>
      </w:r>
      <w:proofErr w:type="spellEnd"/>
      <w:r>
        <w:t>.</w:t>
      </w:r>
    </w:p>
    <w:p w:rsidR="00000000" w:rsidRDefault="00000000"/>
    <w:p w:rsidR="00000000" w:rsidRDefault="00000000">
      <w:r>
        <w:t xml:space="preserve">40. </w:t>
      </w:r>
      <w:r>
        <w:tab/>
        <w:t xml:space="preserve">Относительно ситуации, которая сложилась с представительством женщин в государственных органах исполнительной власти сообщаем, что среди общего количества государственных служащих, как руководителей, так и специалистов, преобладают женщины. </w:t>
      </w:r>
    </w:p>
    <w:p w:rsidR="00000000" w:rsidRDefault="00000000"/>
    <w:p w:rsidR="00000000" w:rsidRDefault="00000000">
      <w:r>
        <w:t xml:space="preserve">41. </w:t>
      </w:r>
      <w:r>
        <w:tab/>
        <w:t>В то же время, уровень их представительства значительно снижается с повышением категории должностей. Данные Государственного комитета статистики Украины приводятся отдельно в виде таблицы.</w:t>
      </w:r>
    </w:p>
    <w:p w:rsidR="00000000" w:rsidRDefault="00000000"/>
    <w:p w:rsidR="00000000" w:rsidRDefault="00000000">
      <w:r>
        <w:t xml:space="preserve">42. </w:t>
      </w:r>
      <w:r>
        <w:tab/>
        <w:t>При этом следует отметить, что на протяжении 2004 года прослеживалось значительное увеличение количества женщин в составе кадрового резерва центральных органах исполнительной власти.</w:t>
      </w:r>
    </w:p>
    <w:p w:rsidR="00000000" w:rsidRDefault="00000000"/>
    <w:p w:rsidR="00000000" w:rsidRDefault="00000000">
      <w:r>
        <w:t>43.</w:t>
      </w:r>
      <w:r>
        <w:tab/>
        <w:t xml:space="preserve">Хотя уровень образования женщин в Украине очень высокий – среди работающих женщин </w:t>
      </w:r>
      <w:proofErr w:type="spellStart"/>
      <w:r>
        <w:t>48%</w:t>
      </w:r>
      <w:proofErr w:type="spellEnd"/>
      <w:r>
        <w:t xml:space="preserve"> имеют высшее и среднее специальное образование, – вместе с тем среди руководящего состава государственного и частного секторов преимущественное большинство – мужчины. </w:t>
      </w:r>
    </w:p>
    <w:p w:rsidR="00000000" w:rsidRDefault="00000000"/>
    <w:p w:rsidR="00000000" w:rsidRDefault="00000000">
      <w:r>
        <w:t xml:space="preserve">44. </w:t>
      </w:r>
      <w:r>
        <w:tab/>
        <w:t xml:space="preserve">Анализ ситуации показывает, что чем выше уровень представительского или руководящего органа, тем менее доступен он для женщин. </w:t>
      </w:r>
    </w:p>
    <w:p w:rsidR="00000000" w:rsidRDefault="00000000"/>
    <w:p w:rsidR="00000000" w:rsidRDefault="00000000">
      <w:r>
        <w:t xml:space="preserve">45. </w:t>
      </w:r>
      <w:r>
        <w:tab/>
        <w:t xml:space="preserve">В то время когда </w:t>
      </w:r>
      <w:proofErr w:type="spellStart"/>
      <w:r>
        <w:t>53%</w:t>
      </w:r>
      <w:proofErr w:type="spellEnd"/>
      <w:r>
        <w:t xml:space="preserve"> населения Украины составляют женщины, в Кабинете Министров Украины их только две, а среди глав областных администраций – ни одной.</w:t>
      </w:r>
    </w:p>
    <w:p w:rsidR="00000000" w:rsidRDefault="00000000"/>
    <w:p w:rsidR="00000000" w:rsidRDefault="00000000">
      <w:r>
        <w:t xml:space="preserve">46. </w:t>
      </w:r>
      <w:r>
        <w:tab/>
        <w:t xml:space="preserve">В результате общая картина назначения на руководящие должности в Украине </w:t>
      </w:r>
      <w:proofErr w:type="spellStart"/>
      <w:r>
        <w:t>гендерных</w:t>
      </w:r>
      <w:proofErr w:type="spellEnd"/>
      <w:r>
        <w:t xml:space="preserve"> подходов пока не демонстрирует. </w:t>
      </w:r>
    </w:p>
    <w:p w:rsidR="00000000" w:rsidRDefault="00000000"/>
    <w:p w:rsidR="00000000" w:rsidRDefault="00000000">
      <w:r>
        <w:t xml:space="preserve">47. </w:t>
      </w:r>
      <w:r>
        <w:tab/>
        <w:t xml:space="preserve">Среди основных причин, которые препятствуют женщинам в их самореализации, в частности политической, можно выделить следующие: экономическая бедность, низкий социальный статус женщины, недоверие по отношению к женщине как политику, сложившиеся </w:t>
      </w:r>
      <w:proofErr w:type="spellStart"/>
      <w:r>
        <w:t>гендерные</w:t>
      </w:r>
      <w:proofErr w:type="spellEnd"/>
      <w:r>
        <w:t xml:space="preserve"> стереотипы, отсутствие системной </w:t>
      </w:r>
      <w:proofErr w:type="spellStart"/>
      <w:r>
        <w:t>гендерной</w:t>
      </w:r>
      <w:proofErr w:type="spellEnd"/>
      <w:r>
        <w:t xml:space="preserve"> политики  в обществе.</w:t>
      </w:r>
    </w:p>
    <w:p w:rsidR="00000000" w:rsidRDefault="00000000"/>
    <w:p w:rsidR="00000000" w:rsidRDefault="00000000">
      <w:r>
        <w:t xml:space="preserve">48. </w:t>
      </w:r>
      <w:r>
        <w:tab/>
        <w:t xml:space="preserve">Хотя </w:t>
      </w:r>
      <w:proofErr w:type="spellStart"/>
      <w:r>
        <w:t>гендерный</w:t>
      </w:r>
      <w:proofErr w:type="spellEnd"/>
      <w:r>
        <w:t xml:space="preserve"> анализ свидетельствует, что украинское избирательное законодательство не содержит дискриминационных ограничений по половому признаку, в то же время, оно не обеспечивает реального сбалансированного представительства женщин и мужчин. Действующее законодательство не содержит процедур и механизмов реального обеспечения паритетного представительства женщин и мужчин в избирательных органах власти.</w:t>
      </w:r>
    </w:p>
    <w:p w:rsidR="00000000" w:rsidRDefault="00000000"/>
    <w:p w:rsidR="00000000" w:rsidRDefault="00000000">
      <w:r>
        <w:t xml:space="preserve">49. </w:t>
      </w:r>
      <w:r>
        <w:tab/>
      </w:r>
      <w:proofErr w:type="spellStart"/>
      <w:r>
        <w:t>Гендерный</w:t>
      </w:r>
      <w:proofErr w:type="spellEnd"/>
      <w:r>
        <w:t xml:space="preserve"> анализ парламентских выборов 2002 года показал, что  общее соотношение количества женщин и мужчин кандидатов составляло 1:4, тогда как </w:t>
      </w:r>
      <w:proofErr w:type="spellStart"/>
      <w:r>
        <w:t>гендерное</w:t>
      </w:r>
      <w:proofErr w:type="spellEnd"/>
      <w:r>
        <w:t xml:space="preserve"> соотношение избранных народных депутатов Украины оказалось 1:19.</w:t>
      </w:r>
    </w:p>
    <w:p w:rsidR="00000000" w:rsidRDefault="00000000"/>
    <w:p w:rsidR="00000000" w:rsidRDefault="00000000">
      <w:r>
        <w:t xml:space="preserve">50. </w:t>
      </w:r>
      <w:r>
        <w:tab/>
        <w:t xml:space="preserve">Самая яркая </w:t>
      </w:r>
      <w:proofErr w:type="spellStart"/>
      <w:r>
        <w:t>гендерная</w:t>
      </w:r>
      <w:proofErr w:type="spellEnd"/>
      <w:r>
        <w:t xml:space="preserve"> асимметрия – в г. Львове, где соотношение женщин и мужчин, кандидатов в народные депутаты в одномандатных округах равно 1:14.</w:t>
      </w:r>
    </w:p>
    <w:p w:rsidR="00000000" w:rsidRDefault="00000000"/>
    <w:p w:rsidR="00000000" w:rsidRDefault="00000000">
      <w:r>
        <w:t xml:space="preserve">51. </w:t>
      </w:r>
      <w:r>
        <w:tab/>
        <w:t xml:space="preserve">Из 165 кандидатов, которые возглавляли избирательные списки политических партий и избирательных блоков, была выдвинута 31 женщина, что составляет 5:1. </w:t>
      </w:r>
    </w:p>
    <w:p w:rsidR="00000000" w:rsidRDefault="00000000"/>
    <w:p w:rsidR="00000000" w:rsidRDefault="00000000">
      <w:r>
        <w:t xml:space="preserve">52. </w:t>
      </w:r>
      <w:r>
        <w:tab/>
        <w:t>Тринадцать политических партий и блоков из 33, зарегистрированных в Центральной Избирательной Комиссии, не имели ни одной женщины в первой пятерке.</w:t>
      </w:r>
    </w:p>
    <w:p w:rsidR="00000000" w:rsidRDefault="00000000"/>
    <w:p w:rsidR="00000000" w:rsidRDefault="00000000">
      <w:r>
        <w:t xml:space="preserve">53. </w:t>
      </w:r>
      <w:r>
        <w:tab/>
        <w:t xml:space="preserve">В целом, Верховный Совет, избранный в 2002 году, является </w:t>
      </w:r>
      <w:proofErr w:type="spellStart"/>
      <w:r>
        <w:t>гендерно</w:t>
      </w:r>
      <w:proofErr w:type="spellEnd"/>
      <w:r>
        <w:t xml:space="preserve"> неуравновешенным, а потому и слабо восприимчивым к </w:t>
      </w:r>
      <w:proofErr w:type="spellStart"/>
      <w:r>
        <w:t>гендерным</w:t>
      </w:r>
      <w:proofErr w:type="spellEnd"/>
      <w:r>
        <w:t xml:space="preserve"> проблемам.</w:t>
      </w:r>
    </w:p>
    <w:p w:rsidR="00000000" w:rsidRDefault="00000000"/>
    <w:p w:rsidR="00000000" w:rsidRDefault="00000000">
      <w:r>
        <w:t xml:space="preserve">54. </w:t>
      </w:r>
      <w:r>
        <w:tab/>
        <w:t xml:space="preserve">В шести комитетах парламента вообще не представлено ни одной женщины. Среди них – Комитет по вопросам свободы слова и информации, Комитет по вопросам Европейской интеграции, Комитет по вопросам борьбы с организованной преступностью и коррупцией, Комитет по делам пенсионеров, ветеранов и инвалидов, Комитет национальной безопасности и обороны. Отсутствие женщин в этих комитетах очень симптоматично, так как они являются именно теми структурами, которые должны внедрять в национальное законодательство международные </w:t>
      </w:r>
      <w:proofErr w:type="spellStart"/>
      <w:r>
        <w:t>гендерные</w:t>
      </w:r>
      <w:proofErr w:type="spellEnd"/>
      <w:r>
        <w:t xml:space="preserve"> приоритеты и правовые нормы.</w:t>
      </w:r>
    </w:p>
    <w:p w:rsidR="00000000" w:rsidRDefault="00000000"/>
    <w:p w:rsidR="00000000" w:rsidRDefault="00000000">
      <w:r>
        <w:t xml:space="preserve">55. </w:t>
      </w:r>
      <w:r>
        <w:tab/>
        <w:t xml:space="preserve">При таком участии женщин в Верховном Совете Украины вряд ли можно ожидать кардинальных </w:t>
      </w:r>
      <w:proofErr w:type="spellStart"/>
      <w:r>
        <w:t>гендерных</w:t>
      </w:r>
      <w:proofErr w:type="spellEnd"/>
      <w:r>
        <w:t xml:space="preserve"> изменений в стране.    </w:t>
      </w:r>
    </w:p>
    <w:p w:rsidR="00000000" w:rsidRDefault="00000000"/>
    <w:p w:rsidR="00000000" w:rsidRDefault="00000000">
      <w:r>
        <w:t xml:space="preserve">56. </w:t>
      </w:r>
      <w:r>
        <w:tab/>
        <w:t xml:space="preserve">В то же время идея введения </w:t>
      </w:r>
      <w:proofErr w:type="spellStart"/>
      <w:r>
        <w:t>гендерных</w:t>
      </w:r>
      <w:proofErr w:type="spellEnd"/>
      <w:r>
        <w:t xml:space="preserve"> квот не находит достаточной поддержки ни среди населения Украины, ни среди большинства политических партий, и, соответственно, среди народных депутатов. Поэтому все законопроекты, которые предусматривали квоты для женщин в партийных избирательных списках, были "провалены" в  парламенте.</w:t>
      </w:r>
    </w:p>
    <w:p w:rsidR="00000000" w:rsidRDefault="00000000"/>
    <w:p w:rsidR="00000000" w:rsidRDefault="00000000">
      <w:r>
        <w:t xml:space="preserve">57. </w:t>
      </w:r>
      <w:r>
        <w:tab/>
        <w:t xml:space="preserve">Одним из важнейших достижений на пути введения </w:t>
      </w:r>
      <w:proofErr w:type="spellStart"/>
      <w:r>
        <w:t>гендерных</w:t>
      </w:r>
      <w:proofErr w:type="spellEnd"/>
      <w:r>
        <w:t xml:space="preserve"> подходов в государственную политику стало принятие в сентябре 2005 года Верховным Советом во втором чтении проекта Закона Украины "Об обеспечении равных прав женщин и мужчин и возможностей их реализации". </w:t>
      </w:r>
    </w:p>
    <w:p w:rsidR="00000000" w:rsidRDefault="00000000"/>
    <w:p w:rsidR="00000000" w:rsidRDefault="00000000">
      <w:r>
        <w:t xml:space="preserve">58. </w:t>
      </w:r>
      <w:r>
        <w:tab/>
        <w:t xml:space="preserve">Проектом предусматривается урегулирование таких вопросов, как правовое обеспечение равенства прав и возможностей женщин и мужчин в разных сферах общественной жизни; ликвидация дискриминации по половому признаку; определение основных принципов и механизмов обеспечения государственной </w:t>
      </w:r>
      <w:proofErr w:type="spellStart"/>
      <w:r>
        <w:t>гендерной</w:t>
      </w:r>
      <w:proofErr w:type="spellEnd"/>
      <w:r>
        <w:t xml:space="preserve"> политики; установление ответственности за нарушение законодательства об обеспечении равных прав и возможностей женщин и мужчин и т.д. Среди основных принципов государственной политики обеспечения прав и возможностей мужчин и женщин: реализация принципов равных прав и свобод и создание равных возможностей для женщин и мужчин; одинаковая правовая и социальная защита женщин и мужчин; создание условий для охраны труда и здоровья женщин и мужчин; правовая защита, материальная и моральная поддержка материнства, отцовства и детства. </w:t>
      </w:r>
    </w:p>
    <w:p w:rsidR="00000000" w:rsidRDefault="00000000"/>
    <w:p w:rsidR="00000000" w:rsidRDefault="00000000">
      <w:r>
        <w:t xml:space="preserve">59. </w:t>
      </w:r>
      <w:r>
        <w:tab/>
        <w:t>Законопроектом предусматривается также создание государственного механизма обеспечения равных прав и возможностей женщин и мужчин, в частности, консультативно-совещательного</w:t>
      </w:r>
      <w:r>
        <w:rPr>
          <w:i/>
        </w:rPr>
        <w:t xml:space="preserve"> </w:t>
      </w:r>
      <w:r>
        <w:t>органа – Совета равных прав и возможностей женщин и мужчин. Законопроект предполагает возложение на одного из заместителей во всех министерствах, ведомствах и органах местного самоуправления обязанностей по обеспечению равенства прав женщин и мужчин.</w:t>
      </w:r>
    </w:p>
    <w:p w:rsidR="00000000" w:rsidRDefault="00000000"/>
    <w:p w:rsidR="00000000" w:rsidRDefault="00000000">
      <w:r>
        <w:t xml:space="preserve">60. </w:t>
      </w:r>
      <w:r>
        <w:tab/>
        <w:t>Отдельные разделы законопроекта содержат гарантии в сфере избирательных прав, труда и его оплаты, образования, в сфере социальных услуг и информации, обеспечения равных возможностей во время подписания коллективных договоров и т.д. Контроль за исполнением закона предполагается возложить на Уполномоченного по правам человека.</w:t>
      </w:r>
    </w:p>
    <w:p w:rsidR="00000000" w:rsidRDefault="00000000"/>
    <w:p w:rsidR="00000000" w:rsidRDefault="00000000">
      <w:r>
        <w:t xml:space="preserve">61. </w:t>
      </w:r>
      <w:r>
        <w:tab/>
        <w:t>На протяжении последних лет в государстве проведен ряд мероприятий, направленных на решение одной из важнейших проблем – снижения уровня безработицы среди женщин.</w:t>
      </w:r>
    </w:p>
    <w:p w:rsidR="00000000" w:rsidRDefault="00000000"/>
    <w:p w:rsidR="00000000" w:rsidRDefault="00000000">
      <w:r>
        <w:t xml:space="preserve">62. </w:t>
      </w:r>
      <w:r>
        <w:tab/>
        <w:t>Государством предусмотрена социальная защита  женщин, исходя из их физиологических особенностей, а также дополнительные гарантии относительно трудоустройства отдельных категорий населения, не способных на равных конкурировать на рынке труда. В результате на протяжении последних лет наметилась тенденция к постепенному уменьшению количества безработных женщин в общем  количестве безработных.</w:t>
      </w:r>
    </w:p>
    <w:p w:rsidR="00000000" w:rsidRDefault="00000000"/>
    <w:p w:rsidR="00000000" w:rsidRDefault="00000000">
      <w:r>
        <w:t xml:space="preserve">63. </w:t>
      </w:r>
      <w:r>
        <w:tab/>
        <w:t>В то же время предметом нашего внимания и обеспокоенности в сфере занятости остается тот факт, что соотношение реально получаемой зарплаты женщин и мужчин – не в пользу женщин. В  среднем заработная плата женщин составляет 73 % от заработной платы мужчин.</w:t>
      </w:r>
    </w:p>
    <w:p w:rsidR="00000000" w:rsidRDefault="00000000">
      <w:r>
        <w:t xml:space="preserve">64. </w:t>
      </w:r>
      <w:r>
        <w:tab/>
        <w:t xml:space="preserve">Утверждение </w:t>
      </w:r>
      <w:proofErr w:type="spellStart"/>
      <w:r>
        <w:t>гендерного</w:t>
      </w:r>
      <w:proofErr w:type="spellEnd"/>
      <w:r>
        <w:t xml:space="preserve"> равенства в нашей стране происходит в основном благодаря общественной активности женщин и влиянию женского движения, которое является важной составляющей вовлечения женщин в процесс принятия решений.</w:t>
      </w:r>
    </w:p>
    <w:p w:rsidR="00000000" w:rsidRDefault="00000000"/>
    <w:p w:rsidR="00000000" w:rsidRDefault="00000000">
      <w:r>
        <w:t xml:space="preserve">65. </w:t>
      </w:r>
      <w:r>
        <w:tab/>
        <w:t xml:space="preserve">Сегодня в Украине насчитывается 44 всеукраинских и международных женских общественных организаций и около 1 500 региональных. Они охватывают в своей деятельности широкий спектр проблем, среди которых борьба с торговлей людьми, насилием в семье, поддержка женского предпринимательства, </w:t>
      </w:r>
      <w:proofErr w:type="spellStart"/>
      <w:r>
        <w:t>гендерные</w:t>
      </w:r>
      <w:proofErr w:type="spellEnd"/>
      <w:r>
        <w:t xml:space="preserve"> вопросы. К сожалению, общественные организации в Украине не обладают правом законодательной инициативы, поэтому они очень ограничены в возможностях влияния на государственную политику.</w:t>
      </w:r>
    </w:p>
    <w:p w:rsidR="00000000" w:rsidRDefault="00000000"/>
    <w:p w:rsidR="00000000" w:rsidRDefault="00000000">
      <w:r>
        <w:t xml:space="preserve">66. </w:t>
      </w:r>
      <w:r>
        <w:tab/>
        <w:t>С целью привлечения женских общественных организаций к формированию и реализации государственной политики по отношению к семье, детям и молодежи, демографических процессов, равенства прав и возможностей женщин и мужчин, предупреждения насилия  в семье и т.д.  при Министерстве Украины по делам молодежи и спорта создается общественная коллегия, среди основных задач которой – координация сотрудничества Министерства с неправительственными организациями, и обеспечение их участия в процессе подготовки нормативно-правовых актов относящихся к компетенции Министерства.</w:t>
      </w:r>
    </w:p>
    <w:p w:rsidR="00000000" w:rsidRDefault="00000000"/>
    <w:p w:rsidR="00000000" w:rsidRDefault="00000000">
      <w:r>
        <w:t xml:space="preserve">67. </w:t>
      </w:r>
      <w:r>
        <w:tab/>
        <w:t xml:space="preserve">Следует отметить, что в 2005 году завершается реализация Национального плана действий на 2001-2005 года по улучшению положения женщин и содействия внедрению </w:t>
      </w:r>
      <w:proofErr w:type="spellStart"/>
      <w:r>
        <w:t>гендерного</w:t>
      </w:r>
      <w:proofErr w:type="spellEnd"/>
      <w:r>
        <w:t xml:space="preserve"> равенства в обществе, Министерством Украины по делам молодежи и спорта планируется разработка нового плана действий по обеспечению </w:t>
      </w:r>
      <w:proofErr w:type="spellStart"/>
      <w:r>
        <w:t>гендерного</w:t>
      </w:r>
      <w:proofErr w:type="spellEnd"/>
      <w:r>
        <w:t xml:space="preserve"> равенства в обществе до 2015 года.</w:t>
      </w:r>
    </w:p>
    <w:p w:rsidR="00000000" w:rsidRDefault="00000000"/>
    <w:p w:rsidR="00000000" w:rsidRDefault="00000000">
      <w:r>
        <w:t xml:space="preserve">68. </w:t>
      </w:r>
      <w:r>
        <w:tab/>
        <w:t>На сегодняшний день можно выделить такие приоритеты:</w:t>
      </w:r>
    </w:p>
    <w:p w:rsidR="00000000" w:rsidRDefault="00000000"/>
    <w:p w:rsidR="00000000" w:rsidRDefault="00000000">
      <w:pPr>
        <w:numPr>
          <w:ilvl w:val="0"/>
          <w:numId w:val="10"/>
        </w:numPr>
        <w:tabs>
          <w:tab w:val="clear" w:pos="720"/>
        </w:tabs>
        <w:ind w:left="1134" w:hanging="567"/>
      </w:pPr>
      <w:r>
        <w:t>обеспечение работы консультативно-совещательного органа при правительстве – Совета равных прав и возможностей женщин и мужчин;</w:t>
      </w:r>
    </w:p>
    <w:p w:rsidR="00000000" w:rsidRDefault="00000000"/>
    <w:p w:rsidR="00000000" w:rsidRDefault="00000000">
      <w:pPr>
        <w:numPr>
          <w:ilvl w:val="0"/>
          <w:numId w:val="10"/>
        </w:numPr>
        <w:tabs>
          <w:tab w:val="clear" w:pos="720"/>
        </w:tabs>
        <w:ind w:left="1134" w:hanging="567"/>
      </w:pPr>
      <w:r>
        <w:t xml:space="preserve">обеспечение формирования института </w:t>
      </w:r>
      <w:proofErr w:type="spellStart"/>
      <w:r>
        <w:t>гендерных</w:t>
      </w:r>
      <w:proofErr w:type="spellEnd"/>
      <w:r>
        <w:t xml:space="preserve"> советников в Украине, что даст возможность внедрять </w:t>
      </w:r>
      <w:proofErr w:type="spellStart"/>
      <w:r>
        <w:t>гендерные</w:t>
      </w:r>
      <w:proofErr w:type="spellEnd"/>
      <w:r>
        <w:t xml:space="preserve"> принципы равенства полов в деятельность всех отраслей, регионов и т.д.</w:t>
      </w:r>
    </w:p>
    <w:p w:rsidR="00000000" w:rsidRDefault="00000000"/>
    <w:p w:rsidR="00000000" w:rsidRDefault="00000000">
      <w:pPr>
        <w:keepNext/>
        <w:jc w:val="center"/>
        <w:rPr>
          <w:b/>
          <w:bCs/>
        </w:rPr>
      </w:pPr>
      <w:r>
        <w:rPr>
          <w:b/>
          <w:bCs/>
        </w:rPr>
        <w:t>Статья 4</w:t>
      </w:r>
    </w:p>
    <w:p w:rsidR="00000000" w:rsidRDefault="00000000">
      <w:pPr>
        <w:keepNext/>
        <w:jc w:val="center"/>
        <w:rPr>
          <w:b/>
          <w:bCs/>
        </w:rPr>
      </w:pPr>
    </w:p>
    <w:p w:rsidR="00000000" w:rsidRDefault="00000000">
      <w:pPr>
        <w:keepNext/>
        <w:jc w:val="center"/>
        <w:rPr>
          <w:b/>
          <w:bCs/>
        </w:rPr>
      </w:pPr>
      <w:r>
        <w:rPr>
          <w:b/>
          <w:bCs/>
        </w:rPr>
        <w:t>Пункт 1</w:t>
      </w:r>
    </w:p>
    <w:p w:rsidR="00000000" w:rsidRDefault="00000000"/>
    <w:p w:rsidR="00000000" w:rsidRDefault="00000000">
      <w:r>
        <w:t xml:space="preserve">69. </w:t>
      </w:r>
      <w:r>
        <w:tab/>
        <w:t xml:space="preserve">Согласно статье 64 Конституции Украины конституционные права и свободы человека и гражданина не могут быть ограничены, кроме случаев, предусмотренных Конституцией. </w:t>
      </w:r>
    </w:p>
    <w:p w:rsidR="00000000" w:rsidRDefault="00000000"/>
    <w:p w:rsidR="00000000" w:rsidRDefault="00000000">
      <w:r>
        <w:t xml:space="preserve">70. </w:t>
      </w:r>
      <w:r>
        <w:tab/>
        <w:t>В условиях военного или чрезвычайного положения могут устанавливаться отдельные ограничения прав и свобод с указанием срока действия этих ограничений.</w:t>
      </w:r>
    </w:p>
    <w:p w:rsidR="00000000" w:rsidRDefault="00000000"/>
    <w:p w:rsidR="00000000" w:rsidRDefault="00000000">
      <w:r>
        <w:t xml:space="preserve">71. </w:t>
      </w:r>
      <w:r>
        <w:tab/>
        <w:t xml:space="preserve">В соответствии с Законом Украины "О правовом режиме чрезвычайного положения" от 16 марта 2003 года чрезвычайное положение вводится в Украине Указом Президента Украины. В таком Указе определяется, кроме прочего, исчерпывающий перечень конституционных прав и свобод человека и гражданина, которые временно ограничиваются в связи с введением чрезвычайного положения. Этот перечень не подлежит расширенному толкованию. </w:t>
      </w:r>
    </w:p>
    <w:p w:rsidR="00000000" w:rsidRDefault="00000000"/>
    <w:p w:rsidR="00000000" w:rsidRDefault="00000000">
      <w:pPr>
        <w:jc w:val="center"/>
        <w:rPr>
          <w:b/>
          <w:bCs/>
        </w:rPr>
      </w:pPr>
      <w:r>
        <w:rPr>
          <w:b/>
          <w:bCs/>
        </w:rPr>
        <w:t>Пункт 2</w:t>
      </w:r>
    </w:p>
    <w:p w:rsidR="00000000" w:rsidRDefault="00000000"/>
    <w:p w:rsidR="00000000" w:rsidRDefault="00000000">
      <w:r>
        <w:t xml:space="preserve">72. </w:t>
      </w:r>
      <w:r>
        <w:tab/>
        <w:t xml:space="preserve">Часть вторая статьи 64 Конституции устанавливает перечень прав и свобод, которые не могут быть ограничены в условиях военного и чрезвычайного положения. </w:t>
      </w:r>
    </w:p>
    <w:p w:rsidR="00000000" w:rsidRDefault="00000000"/>
    <w:p w:rsidR="00000000" w:rsidRDefault="00000000">
      <w:r>
        <w:t xml:space="preserve">73. </w:t>
      </w:r>
      <w:r>
        <w:tab/>
        <w:t>К таким правам и свободам отнесены, в частности, следующие:</w:t>
      </w:r>
    </w:p>
    <w:p w:rsidR="00000000" w:rsidRDefault="00000000"/>
    <w:p w:rsidR="00000000" w:rsidRDefault="00000000">
      <w:pPr>
        <w:numPr>
          <w:ilvl w:val="0"/>
          <w:numId w:val="11"/>
        </w:numPr>
        <w:tabs>
          <w:tab w:val="clear" w:pos="720"/>
        </w:tabs>
        <w:ind w:left="1134" w:hanging="567"/>
      </w:pPr>
      <w:r>
        <w:t>Не может быть привилегий или ограничений по признакам расы, цвета кожи, политических, религиозных или других убеждений, пола, этнического и социального происхождения, материального положения, места проживания, по языковым и другим признакам.</w:t>
      </w:r>
    </w:p>
    <w:p w:rsidR="00000000" w:rsidRDefault="00000000">
      <w:pPr>
        <w:ind w:left="1134" w:hanging="567"/>
      </w:pPr>
    </w:p>
    <w:p w:rsidR="00000000" w:rsidRDefault="00000000">
      <w:pPr>
        <w:numPr>
          <w:ilvl w:val="0"/>
          <w:numId w:val="11"/>
        </w:numPr>
        <w:tabs>
          <w:tab w:val="clear" w:pos="720"/>
        </w:tabs>
        <w:ind w:left="1134" w:hanging="567"/>
      </w:pPr>
      <w:r>
        <w:t>Каждый человек имеет неотъемлемое право на жизнь. Никто не может быть своевольно лишен жизни. Каждый имеет право защищать свою жизнь и здоровье, жизнь и здоровье других людей от противоправных посягательств.</w:t>
      </w:r>
    </w:p>
    <w:p w:rsidR="00000000" w:rsidRDefault="00000000"/>
    <w:p w:rsidR="00000000" w:rsidRDefault="00000000">
      <w:pPr>
        <w:numPr>
          <w:ilvl w:val="0"/>
          <w:numId w:val="11"/>
        </w:numPr>
        <w:tabs>
          <w:tab w:val="clear" w:pos="720"/>
        </w:tabs>
        <w:ind w:left="1134" w:hanging="567"/>
      </w:pPr>
      <w:r>
        <w:t>Каждый имеет право на уважение его достоинства. Никто не может быть подвергнут пыткам, жестокому, нечеловеческим или унижающим его достоинство обращению и наказанию. Ни один человек без его свободного согласия не может быть подвергнут медицинским, научным или другим опытам.</w:t>
      </w:r>
    </w:p>
    <w:p w:rsidR="00000000" w:rsidRDefault="00000000">
      <w:pPr>
        <w:numPr>
          <w:ilvl w:val="0"/>
          <w:numId w:val="11"/>
        </w:numPr>
        <w:ind w:left="1134" w:hanging="567"/>
      </w:pPr>
      <w:r>
        <w:tab/>
        <w:t>Каждый человек имеет право на свободу и личную неприкосновенность. Никто не может быть арестован или содержаться под стражей иначе как за мотивированным решением суда и только на основаниях и в порядке, установленных законом.</w:t>
      </w:r>
    </w:p>
    <w:p w:rsidR="00000000" w:rsidRDefault="00000000"/>
    <w:p w:rsidR="00000000" w:rsidRDefault="00000000">
      <w:pPr>
        <w:rPr>
          <w:noProof/>
        </w:rPr>
      </w:pPr>
      <w:r>
        <w:rPr>
          <w:noProof/>
        </w:rPr>
        <w:t xml:space="preserve">74. </w:t>
      </w:r>
      <w:r>
        <w:rPr>
          <w:noProof/>
        </w:rPr>
        <w:tab/>
        <w:t>Касательно пункта 4 Заключительных замечаний Комитета по правам человека следует отметить, что статьей 3 Закона Украины "О свободе совести и религиозных организациях" 23 апреля 1991 года определено, что осуществление свободы исповедовать религию или убеждения подлежит только тем ограничениям, которые необходимы для защиты общественной безопасности и порядка, жизни, здоровья и морали, а также прав и свобод других граждан, и соответствуют международным обязательствам Украины.</w:t>
      </w:r>
    </w:p>
    <w:p w:rsidR="00000000" w:rsidRDefault="00000000">
      <w:pPr>
        <w:rPr>
          <w:noProof/>
        </w:rPr>
      </w:pPr>
    </w:p>
    <w:p w:rsidR="00000000" w:rsidRDefault="00000000">
      <w:pPr>
        <w:rPr>
          <w:noProof/>
        </w:rPr>
      </w:pPr>
      <w:r>
        <w:t xml:space="preserve">75. </w:t>
      </w:r>
      <w:r>
        <w:tab/>
        <w:t xml:space="preserve">Таким образом, предостережения относительно возможных отдельных </w:t>
      </w:r>
      <w:r>
        <w:rPr>
          <w:noProof/>
        </w:rPr>
        <w:t>ограничений прав и свобод в условиях чрезвычайной ситуации, предусмотренные статьей 64 Конституции Украины, не могут распространяться на реализацию в Украине свободы исповедовать религию или убеждения, поскольку они подлежат только тем ограничениям, которые определены вышеупомянутой статьей Закона Украины "О свободе совести и религиозных организациях" и соответствуют международным обязательствам Украины.</w:t>
      </w:r>
    </w:p>
    <w:p w:rsidR="00000000" w:rsidRDefault="00000000"/>
    <w:p w:rsidR="00000000" w:rsidRDefault="00000000">
      <w:r>
        <w:t xml:space="preserve">76. </w:t>
      </w:r>
      <w:r>
        <w:tab/>
        <w:t>Других ограничений относительно свободы исповедовать религию или убеждения Законом Украины "О свободе совести и религиозных организациях" не предусмотрено.</w:t>
      </w:r>
    </w:p>
    <w:p w:rsidR="00000000" w:rsidRDefault="00000000"/>
    <w:p w:rsidR="00000000" w:rsidRDefault="00000000">
      <w:pPr>
        <w:jc w:val="center"/>
        <w:rPr>
          <w:b/>
          <w:bCs/>
        </w:rPr>
      </w:pPr>
      <w:r>
        <w:rPr>
          <w:b/>
          <w:bCs/>
        </w:rPr>
        <w:t>Пункт 3</w:t>
      </w:r>
    </w:p>
    <w:p w:rsidR="00000000" w:rsidRDefault="00000000"/>
    <w:p w:rsidR="00000000" w:rsidRDefault="00000000">
      <w:r>
        <w:t xml:space="preserve">77. </w:t>
      </w:r>
      <w:r>
        <w:tab/>
        <w:t xml:space="preserve">Согласно статье 27 Закона Украины "О правовом режиме чрезвычайного положения" Украина при введении чрезвычайного положения немедленно после его введения уведомляет через Генерального секретаря ООН государства, которые принимают участие в Пакте, об ограничениях прав и свобод человека и гражданина, которые являются отклонением от обязательств по Пакту, и о рамках этих отклонений и причинах принятия такого решения. </w:t>
      </w:r>
    </w:p>
    <w:p w:rsidR="00000000" w:rsidRDefault="00000000"/>
    <w:p w:rsidR="00000000" w:rsidRDefault="00000000">
      <w:r>
        <w:t xml:space="preserve">78. </w:t>
      </w:r>
      <w:r>
        <w:tab/>
        <w:t>В уведомлении указывается также срок, на который вводятся отклонения от обязательств, предусмотренных Международным пактом. В таком же порядке Украина уведомляет об изменениях рамок отклонений от обязательств по Международному пакту или о сроке действия ограничений прав и свобод.</w:t>
      </w:r>
    </w:p>
    <w:p w:rsidR="00000000" w:rsidRDefault="00000000"/>
    <w:p w:rsidR="00000000" w:rsidRDefault="00000000">
      <w:pPr>
        <w:jc w:val="center"/>
        <w:rPr>
          <w:b/>
          <w:bCs/>
        </w:rPr>
      </w:pPr>
      <w:r>
        <w:rPr>
          <w:b/>
          <w:bCs/>
        </w:rPr>
        <w:br w:type="page"/>
        <w:t>Статья 6</w:t>
      </w:r>
    </w:p>
    <w:p w:rsidR="00000000" w:rsidRDefault="00000000"/>
    <w:p w:rsidR="00000000" w:rsidRDefault="00000000">
      <w:pPr>
        <w:jc w:val="center"/>
        <w:rPr>
          <w:b/>
          <w:bCs/>
        </w:rPr>
      </w:pPr>
      <w:r>
        <w:rPr>
          <w:b/>
          <w:bCs/>
        </w:rPr>
        <w:t>Пункт 1</w:t>
      </w:r>
    </w:p>
    <w:p w:rsidR="00000000" w:rsidRDefault="00000000"/>
    <w:p w:rsidR="00000000" w:rsidRDefault="00000000">
      <w:r>
        <w:t xml:space="preserve">79. </w:t>
      </w:r>
      <w:r>
        <w:tab/>
        <w:t>Статья 27 Конституции Украины определяет, что каждый человек имеет неотъемлемое право на жизнь.</w:t>
      </w:r>
    </w:p>
    <w:p w:rsidR="00000000" w:rsidRDefault="00000000"/>
    <w:p w:rsidR="00000000" w:rsidRDefault="00000000">
      <w:r>
        <w:t xml:space="preserve">80. </w:t>
      </w:r>
      <w:r>
        <w:tab/>
        <w:t>Никто не может быть произвольно лишен жизни. Обязанность государства – защищать жизнь человека.</w:t>
      </w:r>
    </w:p>
    <w:p w:rsidR="00000000" w:rsidRDefault="00000000"/>
    <w:p w:rsidR="00000000" w:rsidRDefault="00000000">
      <w:r>
        <w:t xml:space="preserve">81. </w:t>
      </w:r>
      <w:r>
        <w:tab/>
        <w:t>Каждый имеет право защищать свою жизнь и здоровье, жизнь и здоровье других людей от противоправных  посягательств.</w:t>
      </w:r>
    </w:p>
    <w:p w:rsidR="00000000" w:rsidRDefault="00000000"/>
    <w:p w:rsidR="00000000" w:rsidRDefault="00000000">
      <w:pPr>
        <w:jc w:val="center"/>
        <w:rPr>
          <w:b/>
          <w:bCs/>
        </w:rPr>
      </w:pPr>
      <w:r>
        <w:rPr>
          <w:b/>
          <w:bCs/>
        </w:rPr>
        <w:t>Пункт 2</w:t>
      </w:r>
    </w:p>
    <w:p w:rsidR="00000000" w:rsidRDefault="00000000"/>
    <w:p w:rsidR="00000000" w:rsidRDefault="00000000">
      <w:r>
        <w:t xml:space="preserve">82. </w:t>
      </w:r>
      <w:r>
        <w:tab/>
        <w:t>В 2000 году Украиной был ратифицирован Протокол № 6 к Конвенции о защите прав и основных свобод человека относительно отмены смертной казни, 1983 год (Закон о ратификации от 22 февраля 2000 года). Протокол был ратифицирован с сохранением смертной казни в соответствии со статьей 2 Протокола, то есть за действия, совершенные во время войны или при неизбежной угрозе войны.</w:t>
      </w:r>
    </w:p>
    <w:p w:rsidR="00000000" w:rsidRDefault="00000000"/>
    <w:p w:rsidR="00000000" w:rsidRDefault="00000000">
      <w:r>
        <w:t xml:space="preserve">83. </w:t>
      </w:r>
      <w:r>
        <w:tab/>
        <w:t>Позднее Украиной был ратифицирован Протокол № 13 к Конвенции о защите прав и основных свобод человека относительно отмены смертной казни при любых обстоятельствах (Закон о ратификации от 28 ноября 2002 года).</w:t>
      </w:r>
    </w:p>
    <w:p w:rsidR="00000000" w:rsidRDefault="00000000"/>
    <w:p w:rsidR="00000000" w:rsidRDefault="00000000">
      <w:pPr>
        <w:jc w:val="center"/>
        <w:rPr>
          <w:b/>
          <w:bCs/>
        </w:rPr>
      </w:pPr>
      <w:r>
        <w:rPr>
          <w:b/>
          <w:bCs/>
        </w:rPr>
        <w:t>Пункт 3</w:t>
      </w:r>
    </w:p>
    <w:p w:rsidR="00000000" w:rsidRDefault="00000000"/>
    <w:p w:rsidR="00000000" w:rsidRDefault="00000000">
      <w:r>
        <w:t xml:space="preserve">84. </w:t>
      </w:r>
      <w:r>
        <w:tab/>
        <w:t xml:space="preserve">Статьей 442 Криминального кодекса Украины предусмотрено, что геноцид, то есть деяние, преднамеренно совершенное с целью полного или частичного уничтожения какой-либо национальной, этнической, расовой или религиозной группы путем лишения жизни членов такой группы или причинения им тяжелых телесных повреждений, создание для группы жизненных условий, рассчитанных на полное или частичное ее физическое уничтожение, сокращение </w:t>
      </w:r>
      <w:proofErr w:type="spellStart"/>
      <w:r>
        <w:t>деторождаемости</w:t>
      </w:r>
      <w:proofErr w:type="spellEnd"/>
      <w:r>
        <w:t xml:space="preserve"> или предотвращения ее в такой группе или путем насильственной передачи детей из одной группы в другую, а также публичные призывы к геноциду, изготовление материалов с призывами к геноциду с целью их распространения, или распространение таких материалов тянут за собой криминальную ответственность.</w:t>
      </w:r>
    </w:p>
    <w:p w:rsidR="00000000" w:rsidRDefault="00000000"/>
    <w:p w:rsidR="00000000" w:rsidRDefault="00000000"/>
    <w:p w:rsidR="00000000" w:rsidRDefault="00000000">
      <w:pPr>
        <w:jc w:val="center"/>
        <w:rPr>
          <w:b/>
          <w:bCs/>
        </w:rPr>
      </w:pPr>
      <w:r>
        <w:rPr>
          <w:b/>
          <w:bCs/>
        </w:rPr>
        <w:t>Статья 7</w:t>
      </w:r>
    </w:p>
    <w:p w:rsidR="00000000" w:rsidRDefault="00000000"/>
    <w:p w:rsidR="00000000" w:rsidRDefault="00000000">
      <w:r>
        <w:t xml:space="preserve">85. </w:t>
      </w:r>
      <w:r>
        <w:tab/>
        <w:t xml:space="preserve">Действительно, для Украины сохраняется проблема насилия в семье. На сегодняшний день на учете за причинение насилия в семье состоит более 75 тыс. человек. Только в течение этого года поставлено на учет более 20 тыс. таких лиц.  </w:t>
      </w:r>
    </w:p>
    <w:p w:rsidR="00000000" w:rsidRDefault="00000000"/>
    <w:p w:rsidR="00000000" w:rsidRDefault="00000000">
      <w:r>
        <w:t xml:space="preserve">86. </w:t>
      </w:r>
      <w:r>
        <w:tab/>
        <w:t xml:space="preserve">С целью разрешения этой проблемы 15 ноября 2001 года Верховным Советом Украины принят Закон Украины "О предупреждении насилия в семье", который определяет правовые и организационные основы предупреждения насилия в семье. </w:t>
      </w:r>
    </w:p>
    <w:p w:rsidR="00000000" w:rsidRDefault="00000000"/>
    <w:p w:rsidR="00000000" w:rsidRDefault="00000000">
      <w:r>
        <w:t xml:space="preserve">87. </w:t>
      </w:r>
      <w:r>
        <w:tab/>
        <w:t xml:space="preserve">Указанным законодательным актом создана система органов и учреждений, которые обязаны принимать меры по предупреждению насилия в семье. Определен специально уполномоченный орган исполнительной власти по вопросам предупреждения насилия в семье – Министерство Украины по делам молодежи и спорта. </w:t>
      </w:r>
    </w:p>
    <w:p w:rsidR="00000000" w:rsidRDefault="00000000"/>
    <w:p w:rsidR="00000000" w:rsidRDefault="00000000">
      <w:r>
        <w:t xml:space="preserve">88. </w:t>
      </w:r>
      <w:r>
        <w:tab/>
        <w:t xml:space="preserve">В структуре органов внутренних дел Законом созданы службы участковых инспекторов милиции и криминальной милиции по делам несовершеннолетних, на которые возлагаются задачи предупреждения насилия в семье. </w:t>
      </w:r>
    </w:p>
    <w:p w:rsidR="00000000" w:rsidRDefault="00000000"/>
    <w:p w:rsidR="00000000" w:rsidRDefault="00000000">
      <w:r>
        <w:t xml:space="preserve">89. </w:t>
      </w:r>
      <w:r>
        <w:tab/>
        <w:t xml:space="preserve">Законодательством предусмотрено создание и функционирование кризисных центров и центров медико-социальной реабилитации жертв насилия в семье. Определены специальные превентивные меры, а именно – официальное предупреждение члену семьи, совершившему насилие, а также защитное предписание. В текущем году органами внутренних дел внесено 24,5 тыс. официальных предупреждений членам семей, допустившим насилие, и более 2 тыс. официальных защитных предписаний. </w:t>
      </w:r>
    </w:p>
    <w:p w:rsidR="00000000" w:rsidRDefault="00000000"/>
    <w:p w:rsidR="00000000" w:rsidRDefault="00000000">
      <w:r>
        <w:t xml:space="preserve">90. </w:t>
      </w:r>
      <w:r>
        <w:tab/>
        <w:t xml:space="preserve">Семьи, в которых допускается насилие,  по поводу чего выносились официальные предупреждения, берутся органами внутренних дел или криминальной милиции по делам несовершеннолетних на профилактический учет.  </w:t>
      </w:r>
    </w:p>
    <w:p w:rsidR="00000000" w:rsidRDefault="00000000"/>
    <w:p w:rsidR="00000000" w:rsidRDefault="00000000">
      <w:r>
        <w:t xml:space="preserve">91. </w:t>
      </w:r>
      <w:r>
        <w:tab/>
        <w:t xml:space="preserve">Законодательством предусмотрена уголовная, административная или гражданско-правовая ответственность лиц, которые допустили насилие в семье. За этот год составлено более 28 тыс. административных протоколов за совершение насилия в семьях. </w:t>
      </w:r>
    </w:p>
    <w:p w:rsidR="00000000" w:rsidRDefault="00000000"/>
    <w:p w:rsidR="00000000" w:rsidRDefault="00000000">
      <w:r>
        <w:t xml:space="preserve">92. </w:t>
      </w:r>
      <w:r>
        <w:tab/>
        <w:t>Органами прокуратуры осуществляется надзор за соблюдением вышеуказанного законодательства, за нарушение которого выносятся акты прокурорского реагирования.</w:t>
      </w:r>
    </w:p>
    <w:p w:rsidR="00000000" w:rsidRDefault="00000000"/>
    <w:p w:rsidR="00000000" w:rsidRDefault="00000000">
      <w:r>
        <w:t xml:space="preserve">93. </w:t>
      </w:r>
      <w:r>
        <w:tab/>
        <w:t>На сегодняшний день в Украине действует около 30 кризисных и приравненных к ним центров.</w:t>
      </w:r>
    </w:p>
    <w:p w:rsidR="00000000" w:rsidRDefault="00000000">
      <w:r>
        <w:t xml:space="preserve">94. </w:t>
      </w:r>
      <w:r>
        <w:tab/>
        <w:t>С целью выполнения вышеупомянутого Закона Министерством внутренних дел Украины осуществлены организационные и практические мероприятия. В частности:</w:t>
      </w:r>
    </w:p>
    <w:p w:rsidR="00000000" w:rsidRDefault="00000000"/>
    <w:p w:rsidR="00000000" w:rsidRDefault="00000000">
      <w:pPr>
        <w:numPr>
          <w:ilvl w:val="0"/>
          <w:numId w:val="12"/>
        </w:numPr>
        <w:tabs>
          <w:tab w:val="clear" w:pos="567"/>
          <w:tab w:val="clear" w:pos="720"/>
        </w:tabs>
        <w:ind w:left="1134" w:hanging="567"/>
      </w:pPr>
      <w:r>
        <w:t>в июле 2003 года была проведена коллегия Министерства относительно состояния выполнения органами и подразделениями внутренних дел Закона Украины "О предупреждении насилия в семье";</w:t>
      </w:r>
    </w:p>
    <w:p w:rsidR="00000000" w:rsidRDefault="00000000">
      <w:pPr>
        <w:tabs>
          <w:tab w:val="clear" w:pos="567"/>
        </w:tabs>
        <w:ind w:left="1134" w:hanging="567"/>
      </w:pPr>
    </w:p>
    <w:p w:rsidR="00000000" w:rsidRDefault="00000000">
      <w:pPr>
        <w:numPr>
          <w:ilvl w:val="0"/>
          <w:numId w:val="12"/>
        </w:numPr>
        <w:tabs>
          <w:tab w:val="clear" w:pos="567"/>
          <w:tab w:val="clear" w:pos="720"/>
        </w:tabs>
        <w:ind w:left="1134" w:hanging="567"/>
      </w:pPr>
      <w:r>
        <w:t xml:space="preserve">по решению коллегии изучение Закона внесено в программы учебных заведений системы Министерства внутренних дел;  </w:t>
      </w:r>
    </w:p>
    <w:p w:rsidR="00000000" w:rsidRDefault="00000000">
      <w:pPr>
        <w:tabs>
          <w:tab w:val="clear" w:pos="567"/>
        </w:tabs>
        <w:ind w:left="1134" w:hanging="567"/>
      </w:pPr>
    </w:p>
    <w:p w:rsidR="00000000" w:rsidRDefault="00000000">
      <w:pPr>
        <w:numPr>
          <w:ilvl w:val="0"/>
          <w:numId w:val="12"/>
        </w:numPr>
        <w:tabs>
          <w:tab w:val="clear" w:pos="567"/>
          <w:tab w:val="clear" w:pos="720"/>
        </w:tabs>
        <w:ind w:left="1134" w:hanging="567"/>
      </w:pPr>
      <w:r>
        <w:t>Министерством Украины по делам молодежи и спорта подготовлен специальный приказ об утверждении Инструкции относительно порядка взаимодействия управлений (отделов) по делам семьи и молодежи, служб по делам несовершеннолетних, центров социальных служб для молодежи и органов внутренних дел по вопросам осуществления мероприятий по предупреждению насилия в семье;</w:t>
      </w:r>
    </w:p>
    <w:p w:rsidR="00000000" w:rsidRDefault="00000000">
      <w:pPr>
        <w:tabs>
          <w:tab w:val="clear" w:pos="567"/>
        </w:tabs>
        <w:ind w:left="1134" w:hanging="567"/>
      </w:pPr>
    </w:p>
    <w:p w:rsidR="00000000" w:rsidRDefault="00000000">
      <w:pPr>
        <w:numPr>
          <w:ilvl w:val="0"/>
          <w:numId w:val="12"/>
        </w:numPr>
        <w:tabs>
          <w:tab w:val="clear" w:pos="567"/>
          <w:tab w:val="clear" w:pos="720"/>
        </w:tabs>
        <w:ind w:left="1134" w:hanging="567"/>
      </w:pPr>
      <w:r>
        <w:t>разработана Инструкция о порядке взятия на профилактический учет и порядок снятия с него лиц, которые совершили насилие в семье;</w:t>
      </w:r>
    </w:p>
    <w:p w:rsidR="00000000" w:rsidRDefault="00000000">
      <w:pPr>
        <w:tabs>
          <w:tab w:val="clear" w:pos="567"/>
        </w:tabs>
        <w:ind w:left="1134" w:hanging="567"/>
      </w:pPr>
    </w:p>
    <w:p w:rsidR="00000000" w:rsidRDefault="00000000">
      <w:pPr>
        <w:numPr>
          <w:ilvl w:val="0"/>
          <w:numId w:val="12"/>
        </w:numPr>
        <w:tabs>
          <w:tab w:val="clear" w:pos="567"/>
          <w:tab w:val="clear" w:pos="720"/>
        </w:tabs>
        <w:ind w:left="1134" w:hanging="567"/>
      </w:pPr>
      <w:r>
        <w:t>вместе с Министерством здравоохранения, научно-исследовательским институтом социальной и судебной психиатрии  и наркологии разработаны Методические рекомендации относительно организации работы отделов внутренних дел по профилактике преступлений, которые совершаются в семейной среде;</w:t>
      </w:r>
    </w:p>
    <w:p w:rsidR="00000000" w:rsidRDefault="00000000">
      <w:pPr>
        <w:tabs>
          <w:tab w:val="clear" w:pos="567"/>
        </w:tabs>
        <w:ind w:left="1134" w:hanging="567"/>
      </w:pPr>
    </w:p>
    <w:p w:rsidR="00000000" w:rsidRDefault="00000000">
      <w:pPr>
        <w:numPr>
          <w:ilvl w:val="0"/>
          <w:numId w:val="12"/>
        </w:numPr>
        <w:tabs>
          <w:tab w:val="clear" w:pos="567"/>
          <w:tab w:val="clear" w:pos="720"/>
        </w:tabs>
        <w:ind w:left="1134" w:hanging="567"/>
      </w:pPr>
      <w:r>
        <w:t>совместно с Министерством по делам молодежи и спорта подготовлено и издано пособие для участковых инспекторов милиции по предупреждению домашнего насилия, которое в 2005 году направлено на все участки;</w:t>
      </w:r>
    </w:p>
    <w:p w:rsidR="00000000" w:rsidRDefault="00000000">
      <w:pPr>
        <w:tabs>
          <w:tab w:val="clear" w:pos="567"/>
        </w:tabs>
        <w:ind w:left="1134" w:hanging="567"/>
      </w:pPr>
    </w:p>
    <w:p w:rsidR="00000000" w:rsidRDefault="00000000">
      <w:pPr>
        <w:numPr>
          <w:ilvl w:val="0"/>
          <w:numId w:val="12"/>
        </w:numPr>
        <w:tabs>
          <w:tab w:val="clear" w:pos="567"/>
          <w:tab w:val="clear" w:pos="720"/>
        </w:tabs>
        <w:ind w:left="1134" w:hanging="567"/>
      </w:pPr>
      <w:r>
        <w:t xml:space="preserve">с целью предупреждения безответственного отцовства, которое приводит к отсутствию внимания к детям и детской беспризорности, разработан порядок социального сопровождения семей в кризисных ситуациях; </w:t>
      </w:r>
    </w:p>
    <w:p w:rsidR="00000000" w:rsidRDefault="00000000">
      <w:pPr>
        <w:tabs>
          <w:tab w:val="clear" w:pos="567"/>
        </w:tabs>
        <w:ind w:left="1134" w:hanging="567"/>
      </w:pPr>
    </w:p>
    <w:p w:rsidR="00000000" w:rsidRDefault="00000000">
      <w:pPr>
        <w:numPr>
          <w:ilvl w:val="0"/>
          <w:numId w:val="12"/>
        </w:numPr>
        <w:tabs>
          <w:tab w:val="clear" w:pos="567"/>
          <w:tab w:val="clear" w:pos="720"/>
        </w:tabs>
        <w:ind w:left="1134" w:hanging="567"/>
      </w:pPr>
      <w:r>
        <w:t>разработаны и утверждены Порядок рассмотрения обращений и уведомлений по поводу жестокого обращения с детьми или реальной угрозы его совершения, а также Инструкция по вопросам взаимодействия служб по делам семьи, детей и молодежи, центров социальных служб для молодежи и органов внутренних дел относительно предупреждения насилия в семье и его последствий – детской беспризорности и жестокого обращения с детьми;</w:t>
      </w:r>
    </w:p>
    <w:p w:rsidR="00000000" w:rsidRDefault="00000000">
      <w:pPr>
        <w:tabs>
          <w:tab w:val="clear" w:pos="567"/>
        </w:tabs>
        <w:ind w:left="1134" w:hanging="567"/>
      </w:pPr>
    </w:p>
    <w:p w:rsidR="00000000" w:rsidRDefault="00000000">
      <w:pPr>
        <w:numPr>
          <w:ilvl w:val="0"/>
          <w:numId w:val="12"/>
        </w:numPr>
        <w:tabs>
          <w:tab w:val="clear" w:pos="567"/>
          <w:tab w:val="clear" w:pos="720"/>
        </w:tabs>
        <w:ind w:left="1134" w:hanging="567"/>
      </w:pPr>
      <w:r>
        <w:t>внесены изменения в статистические отчеты Министерства внутренних дел относительно учета преступлений, связанных с насилием в семье;</w:t>
      </w:r>
    </w:p>
    <w:p w:rsidR="00000000" w:rsidRDefault="00000000">
      <w:pPr>
        <w:tabs>
          <w:tab w:val="clear" w:pos="567"/>
        </w:tabs>
        <w:ind w:left="1134" w:hanging="567"/>
      </w:pPr>
    </w:p>
    <w:p w:rsidR="00000000" w:rsidRDefault="00000000">
      <w:pPr>
        <w:numPr>
          <w:ilvl w:val="0"/>
          <w:numId w:val="12"/>
        </w:numPr>
        <w:tabs>
          <w:tab w:val="clear" w:pos="567"/>
          <w:tab w:val="clear" w:pos="720"/>
        </w:tabs>
        <w:ind w:left="1134" w:hanging="567"/>
      </w:pPr>
      <w:r>
        <w:t>в регионы направлен ряд соответствующих указаний и методических рекомендаций;</w:t>
      </w:r>
    </w:p>
    <w:p w:rsidR="00000000" w:rsidRDefault="00000000">
      <w:pPr>
        <w:tabs>
          <w:tab w:val="clear" w:pos="567"/>
        </w:tabs>
        <w:ind w:left="1134" w:hanging="567"/>
      </w:pPr>
    </w:p>
    <w:p w:rsidR="00000000" w:rsidRDefault="00000000">
      <w:pPr>
        <w:numPr>
          <w:ilvl w:val="0"/>
          <w:numId w:val="12"/>
        </w:numPr>
        <w:tabs>
          <w:tab w:val="clear" w:pos="567"/>
          <w:tab w:val="clear" w:pos="720"/>
        </w:tabs>
        <w:ind w:left="1134" w:hanging="567"/>
      </w:pPr>
      <w:r>
        <w:t>с целью оказания помощи женщинам, которые стали жертвами насилия, на государственном уровне создаются специализированные учреждения. Первый приют для пострадавших от насилия начал свою работу в г. Киеве летом 1998 года. Ныне создается сеть подобных учреждений, которые будут действовать в каждом регионе;</w:t>
      </w:r>
    </w:p>
    <w:p w:rsidR="00000000" w:rsidRDefault="00000000">
      <w:pPr>
        <w:tabs>
          <w:tab w:val="clear" w:pos="567"/>
        </w:tabs>
        <w:ind w:left="1134" w:hanging="567"/>
      </w:pPr>
    </w:p>
    <w:p w:rsidR="00000000" w:rsidRDefault="00000000">
      <w:pPr>
        <w:numPr>
          <w:ilvl w:val="0"/>
          <w:numId w:val="12"/>
        </w:numPr>
        <w:tabs>
          <w:tab w:val="clear" w:pos="567"/>
          <w:tab w:val="clear" w:pos="720"/>
        </w:tabs>
        <w:ind w:left="1134" w:hanging="567"/>
      </w:pPr>
      <w:r>
        <w:t xml:space="preserve">налажено взаимодействие Министерства внутренних дел Украины и его подразделений на местах с неправительственными общественными организациями, по инициативе которых проводятся тренинги участковых инспекторов милиции относительно предупреждения насилия в семье. </w:t>
      </w:r>
    </w:p>
    <w:p w:rsidR="00000000" w:rsidRDefault="00000000"/>
    <w:p w:rsidR="00000000" w:rsidRDefault="00000000">
      <w:r>
        <w:t xml:space="preserve">95. </w:t>
      </w:r>
      <w:r>
        <w:tab/>
        <w:t>26 апреля 2003 года постановлением Кабинета Министров Украины был утвержден "Порядок рассмотрения заявлений и сообщений о совершении насилия в семье или реальной его угрозе". Важным шагом на пути решения вопросов домашнего насилия стало принятие 15 мая 2003 года Закона Украины "О внесении изменений в Кодекс Украины об административных правонарушениях относительно ответственности за совершение насилия в семье или невыполнение защитного предписания", которыми законодательно закреплены правовые и организационные основы предупреждения насилия в семье.</w:t>
      </w:r>
    </w:p>
    <w:p w:rsidR="00000000" w:rsidRDefault="00000000"/>
    <w:p w:rsidR="00000000" w:rsidRDefault="00000000">
      <w:r>
        <w:t xml:space="preserve">96. </w:t>
      </w:r>
      <w:r>
        <w:tab/>
        <w:t xml:space="preserve">Кроме этого, решение задач предупреждения насилия в семье требует специализированных знаний, подготовки квалифицированных специалистов для служб участковых инспекторов милиции и криминальной милиции по делам несовершеннолетних, проведение с ними необходимой учебной работы. На сегодня на базе Институтов внутренних дел проводится подготовка специалистов для служб участковых инспекторов милиции. </w:t>
      </w:r>
    </w:p>
    <w:p w:rsidR="00000000" w:rsidRDefault="00000000"/>
    <w:p w:rsidR="00000000" w:rsidRDefault="00000000">
      <w:r>
        <w:t xml:space="preserve">97. </w:t>
      </w:r>
      <w:r>
        <w:tab/>
        <w:t>Реализация положений Закона Украины "О предупреждении насилия в семье" дает свои результаты. Проведение на протяжении последних лет комплекса организационных и практических мероприятий, направленных на усиление профилактической работы относительно лиц, совершающих насилие в семье и правонарушения в быту, дало определенный положительный эффект для стабилизации криминогенной ситуации в государстве и уменьшения количества преступлений, совершенных в семейной среде, в частности в отношении женщин и детей.</w:t>
      </w:r>
    </w:p>
    <w:p w:rsidR="00000000" w:rsidRDefault="00000000"/>
    <w:p w:rsidR="00000000" w:rsidRDefault="00000000">
      <w:r>
        <w:t xml:space="preserve">98. </w:t>
      </w:r>
      <w:r>
        <w:tab/>
        <w:t xml:space="preserve">Так, за 9 месяцев 2004 года количество умышленных убийств и умышленных тяжелых телесных повреждений, содеянных на почве ссор, ревности и других бытовых причин, по сравнению с аналогичным периодом 2003 года, уменьшилось на 13,5 % , в том числе умышленных убийств на </w:t>
      </w:r>
      <w:proofErr w:type="spellStart"/>
      <w:r>
        <w:t>13,7%</w:t>
      </w:r>
      <w:proofErr w:type="spellEnd"/>
      <w:r>
        <w:t xml:space="preserve"> (с 665 до 574) и тяжелых телесных повреждений на 13,5 % (с 771 до 667). Их количество снизилось с </w:t>
      </w:r>
      <w:proofErr w:type="spellStart"/>
      <w:r>
        <w:t>21%</w:t>
      </w:r>
      <w:proofErr w:type="spellEnd"/>
      <w:r>
        <w:t xml:space="preserve"> до </w:t>
      </w:r>
      <w:proofErr w:type="spellStart"/>
      <w:r>
        <w:t>18%</w:t>
      </w:r>
      <w:proofErr w:type="spellEnd"/>
      <w:r>
        <w:t>.</w:t>
      </w:r>
    </w:p>
    <w:p w:rsidR="00000000" w:rsidRDefault="00000000"/>
    <w:p w:rsidR="00000000" w:rsidRDefault="00000000">
      <w:r>
        <w:t xml:space="preserve">99. </w:t>
      </w:r>
      <w:r>
        <w:tab/>
        <w:t xml:space="preserve">Вместе с тем почти каждое пятое убийство (или </w:t>
      </w:r>
      <w:proofErr w:type="spellStart"/>
      <w:r>
        <w:t>20%</w:t>
      </w:r>
      <w:proofErr w:type="spellEnd"/>
      <w:r>
        <w:t>) в государстве совершается на почве бытовых отношений, и в первую очередь в отношении женщин.</w:t>
      </w:r>
    </w:p>
    <w:p w:rsidR="00000000" w:rsidRDefault="00000000"/>
    <w:p w:rsidR="00000000" w:rsidRDefault="00000000">
      <w:r>
        <w:t xml:space="preserve">100. </w:t>
      </w:r>
      <w:r>
        <w:tab/>
        <w:t xml:space="preserve">На учете в органах внутренних дел находится около 80 тыс. лиц, которые совершили насилие в семье. В 2004 году поставлено на учет более 40 тыс. таких лиц, в том числе около 30 тыс. – за физическое, 10 тыс. – за психологическое, 2,4 тыс. – за экономическое насилие. </w:t>
      </w:r>
    </w:p>
    <w:p w:rsidR="00000000" w:rsidRDefault="00000000"/>
    <w:p w:rsidR="00000000" w:rsidRDefault="00000000">
      <w:r>
        <w:t xml:space="preserve">101. </w:t>
      </w:r>
      <w:r>
        <w:tab/>
        <w:t xml:space="preserve">Вынесено 49 тыс. официальных предупреждений и свыше 6 тыс. защитных предписаний. Направлено более 17 тыс. </w:t>
      </w:r>
      <w:proofErr w:type="spellStart"/>
      <w:r>
        <w:t>информаций</w:t>
      </w:r>
      <w:proofErr w:type="spellEnd"/>
      <w:r>
        <w:t xml:space="preserve"> в органы государственной власти по вопросам предупреждения насилия в семье.</w:t>
      </w:r>
    </w:p>
    <w:p w:rsidR="00000000" w:rsidRDefault="00000000"/>
    <w:p w:rsidR="00000000" w:rsidRDefault="00000000">
      <w:r>
        <w:t xml:space="preserve">102. </w:t>
      </w:r>
      <w:r>
        <w:tab/>
        <w:t>К административной ответственности за совершение насилия в семье или невыполнение защитного предписания привлечено свыше 63 тыс. лиц.</w:t>
      </w:r>
    </w:p>
    <w:p w:rsidR="00000000" w:rsidRDefault="00000000"/>
    <w:p w:rsidR="00000000" w:rsidRDefault="00000000">
      <w:r>
        <w:t xml:space="preserve">103. </w:t>
      </w:r>
      <w:r>
        <w:tab/>
        <w:t>Вместе с тем практика применения административного законодательства показывает, что в большинстве случаев к правонарушителям применяется наказание в виде штрафа. А учитывая тот факт, что потерпевшие от актов семейного насилия, в основном женщины, часто являются зависимыми от насильников, наложение штрафов отрицательно сказывается прежде всего на самих пострадавших. Поэтому судам следует более взвешенно подходить к рассмотрению дел о домашнем насилии.</w:t>
      </w:r>
    </w:p>
    <w:p w:rsidR="00000000" w:rsidRDefault="00000000"/>
    <w:p w:rsidR="00000000" w:rsidRDefault="00000000">
      <w:r>
        <w:t xml:space="preserve">104. </w:t>
      </w:r>
      <w:r>
        <w:tab/>
        <w:t xml:space="preserve">Ситуацию могло бы улучшить альтернативное наказание обидчиков, которое поможет снизить процесс </w:t>
      </w:r>
      <w:proofErr w:type="spellStart"/>
      <w:r>
        <w:t>криминализации</w:t>
      </w:r>
      <w:proofErr w:type="spellEnd"/>
      <w:r>
        <w:t xml:space="preserve"> домашних обидчиков путем изменения наказания на обязательное участие в реабилитационных программах с привлечением их к общественным работам.</w:t>
      </w:r>
    </w:p>
    <w:p w:rsidR="00000000" w:rsidRDefault="00000000"/>
    <w:p w:rsidR="00000000" w:rsidRDefault="00000000">
      <w:r>
        <w:t xml:space="preserve">105. </w:t>
      </w:r>
      <w:r>
        <w:tab/>
        <w:t>Касательно информации об издевательстве над молодыми солдатами в Вооруженных Силах Украины со стороны военнослужащих старших призывов, на которую обращено внимание Заключительных замечаний Комитета по правам человека сообщаем следующее. Динамика совершения преступлений, связанных с нарушением уставных правил взаимоотношений между военнослужащими, имеет стойкую тенденцию к снижению. Ее количественные показатели из расчета на 1000 лиц уменьшились более чем в два раза (соответствующий коэффициент в 2000 году составлял 0,9, в 2004 году –0,4).</w:t>
      </w:r>
    </w:p>
    <w:p w:rsidR="00000000" w:rsidRDefault="00000000"/>
    <w:p w:rsidR="00000000" w:rsidRDefault="00000000">
      <w:r>
        <w:t xml:space="preserve">106. </w:t>
      </w:r>
      <w:r>
        <w:tab/>
        <w:t xml:space="preserve">В минувшем году и на протяжении первых четырех месяцев текущего года 60 % зафиксированных фактов издевательства над молодыми солдатами не имели никаких последствий для здоровья потерпевших, 12 % военнослужащих имели незначительные телесные повреждения в форме синяков, 26 % – имели последствия для здоровья средней тяжести, </w:t>
      </w:r>
      <w:proofErr w:type="spellStart"/>
      <w:r>
        <w:t>2%</w:t>
      </w:r>
      <w:proofErr w:type="spellEnd"/>
      <w:r>
        <w:t xml:space="preserve"> – получили тяжелые телесные повреждения. За последние пять лет случаев гибели, а также доведения военнослужащих до самоубийства вследствие нарушений уставных правил взаимоотношений или другого физического насилия над ними не было.</w:t>
      </w:r>
    </w:p>
    <w:p w:rsidR="00000000" w:rsidRDefault="00000000"/>
    <w:p w:rsidR="00000000" w:rsidRDefault="00000000">
      <w:r>
        <w:t xml:space="preserve">107. </w:t>
      </w:r>
      <w:r>
        <w:tab/>
        <w:t xml:space="preserve">Руководством государства и Вооруженных Сил Украины в последние годы значительно повышена ответственность за нарушение уставных правил взаимоотношений между военнослужащими и утаивание таких правонарушений должностными лицами. С 2003 года приказом Министра обороны Украины командиры воинских частей лишены права квалифицировать факты нарушения уставных правил взаимоотношений между военнослужащими как обычные нарушения воинской дисциплины, которые наказываются в дисциплинарном порядке. Все  лица, виновные в совершении подобных правонарушений, наказываются в соответствии с положениями Уголовного кодекса Украины. </w:t>
      </w:r>
    </w:p>
    <w:p w:rsidR="00000000" w:rsidRDefault="00000000"/>
    <w:p w:rsidR="00000000" w:rsidRDefault="00000000">
      <w:r>
        <w:t xml:space="preserve">108. </w:t>
      </w:r>
      <w:r>
        <w:tab/>
        <w:t>С целью дальнейшего укрепления воинской дисциплины в 2002 году была создана Военная служба правопорядка Вооруженных Сил Украины (военная полиция), которая совместно с командирами воинских частей и органами военной юстиции осуществляет правовую профилактическую работу среди военнослужащих и обеспечивает уставной порядок в войсках.</w:t>
      </w:r>
    </w:p>
    <w:p w:rsidR="00000000" w:rsidRDefault="00000000"/>
    <w:p w:rsidR="00000000" w:rsidRDefault="00000000">
      <w:pPr>
        <w:jc w:val="center"/>
        <w:rPr>
          <w:b/>
          <w:bCs/>
        </w:rPr>
      </w:pPr>
      <w:r>
        <w:rPr>
          <w:b/>
          <w:bCs/>
        </w:rPr>
        <w:t>Статья 8</w:t>
      </w:r>
    </w:p>
    <w:p w:rsidR="00000000" w:rsidRDefault="00000000">
      <w:pPr>
        <w:rPr>
          <w:b/>
          <w:bCs/>
        </w:rPr>
      </w:pPr>
    </w:p>
    <w:p w:rsidR="00000000" w:rsidRDefault="00000000">
      <w:pPr>
        <w:jc w:val="center"/>
        <w:rPr>
          <w:b/>
          <w:bCs/>
        </w:rPr>
      </w:pPr>
      <w:r>
        <w:rPr>
          <w:b/>
          <w:bCs/>
        </w:rPr>
        <w:t>Пункт 1</w:t>
      </w:r>
    </w:p>
    <w:p w:rsidR="00000000" w:rsidRDefault="00000000"/>
    <w:p w:rsidR="00000000" w:rsidRDefault="00000000">
      <w:pPr>
        <w:rPr>
          <w:color w:val="000000"/>
        </w:rPr>
      </w:pPr>
      <w:r>
        <w:rPr>
          <w:color w:val="000000"/>
        </w:rPr>
        <w:t xml:space="preserve">109. </w:t>
      </w:r>
      <w:r>
        <w:rPr>
          <w:color w:val="000000"/>
        </w:rPr>
        <w:tab/>
        <w:t>Для Украины проблема торговли людьми относительно нова. И важнейшими факторами, позволившими этому преступлению принять имеющиеся масштабы, были общий спад экономики и появление, а затем и резкое возрастание уровня безработицы.</w:t>
      </w:r>
    </w:p>
    <w:p w:rsidR="00000000" w:rsidRDefault="00000000">
      <w:pPr>
        <w:rPr>
          <w:color w:val="000000"/>
        </w:rPr>
      </w:pPr>
    </w:p>
    <w:p w:rsidR="00000000" w:rsidRDefault="00000000">
      <w:pPr>
        <w:rPr>
          <w:color w:val="000000"/>
        </w:rPr>
      </w:pPr>
      <w:r>
        <w:rPr>
          <w:color w:val="000000"/>
        </w:rPr>
        <w:t xml:space="preserve">110. </w:t>
      </w:r>
      <w:r>
        <w:rPr>
          <w:color w:val="000000"/>
        </w:rPr>
        <w:tab/>
        <w:t>Неудовлетворительное материальное положение толкает украинских граждан на поиски работы за рубежом. И люди молодого возраста, и даже те, кому за 50, едут за границу – без знания иностранного языка, без элементарных правовых знаний, часто без должной квалификации.</w:t>
      </w:r>
    </w:p>
    <w:p w:rsidR="00000000" w:rsidRDefault="00000000">
      <w:pPr>
        <w:rPr>
          <w:color w:val="000000"/>
        </w:rPr>
      </w:pPr>
    </w:p>
    <w:p w:rsidR="00000000" w:rsidRDefault="00000000">
      <w:pPr>
        <w:rPr>
          <w:color w:val="000000"/>
        </w:rPr>
      </w:pPr>
      <w:r>
        <w:rPr>
          <w:color w:val="000000"/>
        </w:rPr>
        <w:t xml:space="preserve">111. </w:t>
      </w:r>
      <w:r>
        <w:rPr>
          <w:color w:val="000000"/>
        </w:rPr>
        <w:tab/>
        <w:t>Поскольку легальных оснований для трудоустройства за рубежом, как правило, не существует, эти люди автоматически попадают в группу риска.</w:t>
      </w:r>
    </w:p>
    <w:p w:rsidR="00000000" w:rsidRDefault="00000000">
      <w:pPr>
        <w:rPr>
          <w:color w:val="000000"/>
        </w:rPr>
      </w:pPr>
    </w:p>
    <w:p w:rsidR="00000000" w:rsidRDefault="00000000">
      <w:r>
        <w:t xml:space="preserve">112. </w:t>
      </w:r>
      <w:r>
        <w:tab/>
        <w:t>Решение проблемы торговли людьми, в частности женщинами, напрямую связано, во-первых, с решением экономических проблем в государстве и обществе, во-вторых, с усилением координации действий как между соответствующими ведомствами и неправительственными организациями внутри отдельных стран так и в международном масштабе.</w:t>
      </w:r>
    </w:p>
    <w:p w:rsidR="00000000" w:rsidRDefault="00000000"/>
    <w:p w:rsidR="00000000" w:rsidRDefault="00000000">
      <w:r>
        <w:t xml:space="preserve">113. </w:t>
      </w:r>
      <w:r>
        <w:tab/>
        <w:t>В последние годы Украина планомерно и систематически наращивала усилия по созданию условий, обеспечивающих успешное противостояние и борьбу с этим родом преступлений.</w:t>
      </w:r>
    </w:p>
    <w:p w:rsidR="00000000" w:rsidRDefault="00000000"/>
    <w:p w:rsidR="00000000" w:rsidRDefault="00000000">
      <w:r>
        <w:t xml:space="preserve">114. </w:t>
      </w:r>
      <w:r>
        <w:tab/>
        <w:t>На сегодняшний день практически завершено формирование правовой системы, способной поставить надежные заслоны на пути распространения зла, отрабатываются и выполняются практические мероприятия. В частности, отрабатывается практика судебного преследования и наказания виновных и полномасштабного осуществления положений статьи 8 Пакта.</w:t>
      </w:r>
    </w:p>
    <w:p w:rsidR="00000000" w:rsidRDefault="00000000"/>
    <w:p w:rsidR="00000000" w:rsidRDefault="00000000">
      <w:r>
        <w:t xml:space="preserve">115. </w:t>
      </w:r>
      <w:r>
        <w:tab/>
        <w:t>4 февраля 2004 года Верховным Советом Украины была ратифицирована с замечаниями Конвенция Организации Объединенных Наций против транснациональной организованной преступности, а также были ратифицированы Протокол о предупреждении и прекращении торговли людьми, особенно женщинами и детьми, и наказании за нее и Протокол против незаконного ввоза мигрантов по суше, морю и воздуху.</w:t>
      </w:r>
    </w:p>
    <w:p w:rsidR="00000000" w:rsidRDefault="00000000"/>
    <w:p w:rsidR="00000000" w:rsidRDefault="00000000">
      <w:r>
        <w:t xml:space="preserve">116. </w:t>
      </w:r>
      <w:r>
        <w:tab/>
        <w:t xml:space="preserve">25 сентября 1999 года было принято постановление Кабинета Министров Украины "О Программе предотвращения торговли женщинами и детьми", которой, в частности, предусмотрено создание </w:t>
      </w:r>
      <w:proofErr w:type="spellStart"/>
      <w:r>
        <w:t>реабилитационно-кризисных</w:t>
      </w:r>
      <w:proofErr w:type="spellEnd"/>
      <w:r>
        <w:t xml:space="preserve"> центров и приютов для женщин, которые потерпели от насилия или стали жертвами торговли людьми, проведения ежегодных совещаний-семинаров с целью координации усилий органов исполнительной власти, органов местного самоуправления, общественных организаций, благотворительных фондов и определения мероприятий, направленных на предотвращение торговли женщинами.</w:t>
      </w:r>
    </w:p>
    <w:p w:rsidR="00000000" w:rsidRDefault="00000000">
      <w:r>
        <w:t xml:space="preserve">117. </w:t>
      </w:r>
      <w:r>
        <w:tab/>
        <w:t xml:space="preserve">Основными направлениями работы в процессе реализации Комплексной программы противодействия торговли людьми на 2002-2005 годы, утвержденной постановлением Кабинета Министров Украины от 5 июня 2002 года, являются предоставление </w:t>
      </w:r>
      <w:proofErr w:type="spellStart"/>
      <w:r>
        <w:t>профориентационных</w:t>
      </w:r>
      <w:proofErr w:type="spellEnd"/>
      <w:r>
        <w:t xml:space="preserve"> услуг и организации обучения безработных профессиям, которые пользуются спросом на рынке труда; содействие трудоустройству молодежи, которая обращается в государственную службу занятости; продолжение работы, связанной с привлечением и поддержкой безработных женщин в осуществлении ими предпринимательской деятельности, а также участие в ежегодных региональных и межотраслевых совещаний-семинаров по вопросам координации усилий, направленных на предотвращение торговли людьми.</w:t>
      </w:r>
    </w:p>
    <w:p w:rsidR="00000000" w:rsidRDefault="00000000"/>
    <w:p w:rsidR="00000000" w:rsidRDefault="00000000">
      <w:r>
        <w:t xml:space="preserve">118. </w:t>
      </w:r>
      <w:r>
        <w:tab/>
        <w:t>Министерство труда и социальной политики Украины обеспечивает систематическое освещение в средствах массовой информации вопросов предотвращения торговли людьми. Так, на протяжении 2004 года указанной тематике было посвящено 21 передачу, в частности:</w:t>
      </w:r>
    </w:p>
    <w:p w:rsidR="00000000" w:rsidRDefault="00000000"/>
    <w:p w:rsidR="00000000" w:rsidRDefault="00000000">
      <w:pPr>
        <w:numPr>
          <w:ilvl w:val="0"/>
          <w:numId w:val="13"/>
        </w:numPr>
        <w:tabs>
          <w:tab w:val="clear" w:pos="720"/>
        </w:tabs>
        <w:ind w:left="1134" w:hanging="567"/>
      </w:pPr>
      <w:r>
        <w:t>в радиопередаче из цикла "Больше полезных советов" (радио "Мелодия") речь шла о советах и предостережениях относительно рисков, связанных с работой за границей,</w:t>
      </w:r>
    </w:p>
    <w:p w:rsidR="00000000" w:rsidRDefault="00000000">
      <w:pPr>
        <w:ind w:left="1134" w:hanging="567"/>
      </w:pPr>
    </w:p>
    <w:p w:rsidR="00000000" w:rsidRDefault="00000000">
      <w:pPr>
        <w:numPr>
          <w:ilvl w:val="0"/>
          <w:numId w:val="13"/>
        </w:numPr>
        <w:tabs>
          <w:tab w:val="clear" w:pos="720"/>
        </w:tabs>
        <w:ind w:left="1134" w:hanging="567"/>
      </w:pPr>
      <w:r>
        <w:t>в цикле передач "Государственная служба занятости информирует" осуществлена запись радиопередачи на тему: "Государственная служба занятости в предотвращении торговли людьми".</w:t>
      </w:r>
    </w:p>
    <w:p w:rsidR="00000000" w:rsidRDefault="00000000"/>
    <w:p w:rsidR="00000000" w:rsidRDefault="00000000">
      <w:r>
        <w:t xml:space="preserve">119. </w:t>
      </w:r>
      <w:r>
        <w:tab/>
        <w:t>Кроме того, подготовлен текст буклета "Торговля людьми – самая ужасная форма преступности", который будет напечатан тиражом 500 тыс. экземпляров и распространен через все базовые центры занятости.</w:t>
      </w:r>
    </w:p>
    <w:p w:rsidR="00000000" w:rsidRDefault="00000000"/>
    <w:p w:rsidR="00000000" w:rsidRDefault="00000000">
      <w:r>
        <w:t xml:space="preserve">120. </w:t>
      </w:r>
      <w:r>
        <w:tab/>
        <w:t>Кроме этого, Министерство труда и социальной политики Украины ежеквартально проводит мониторинг вопросов, связанных с торговлей людьми, а также принимает участие, в соответствии со своей компетенцией, во всех мероприятиях, которые призваны решить проблему торговли людьми.</w:t>
      </w:r>
    </w:p>
    <w:p w:rsidR="00000000" w:rsidRDefault="00000000"/>
    <w:p w:rsidR="00000000" w:rsidRDefault="00000000">
      <w:r>
        <w:t xml:space="preserve">121. </w:t>
      </w:r>
      <w:r>
        <w:tab/>
        <w:t>Определен орган центральной исполнительной власти, ответственный за координацию мероприятий министерств и других центральных органов исполнительной власти, направленных на предупреждение торговли людьми – Министерство по делам молодежи и спорта.</w:t>
      </w:r>
    </w:p>
    <w:p w:rsidR="00000000" w:rsidRDefault="00000000"/>
    <w:p w:rsidR="00000000" w:rsidRDefault="00000000">
      <w:r>
        <w:t xml:space="preserve">122. </w:t>
      </w:r>
      <w:r>
        <w:tab/>
        <w:t xml:space="preserve">При Кабинете Министров Украины в 2002 году создан Межведомственный координационный совет по предотвращению торговли людьми, а для оперативной работы – экспертная рабочая группа, в состав которой вошли и представители неправительственных организаций. </w:t>
      </w:r>
    </w:p>
    <w:p w:rsidR="00000000" w:rsidRDefault="00000000"/>
    <w:p w:rsidR="00000000" w:rsidRDefault="00000000">
      <w:r>
        <w:t xml:space="preserve">123. </w:t>
      </w:r>
      <w:r>
        <w:tab/>
        <w:t xml:space="preserve">Правительством Украины в сотрудничестве с общественными организациями были разработаны и приняты две программы: программа по предотвращению торговли женщинами и детьми на 1999-2001 годы, и Комплексная программа противодействия торговле людьми на 2002-2005 годы. </w:t>
      </w:r>
    </w:p>
    <w:p w:rsidR="00000000" w:rsidRDefault="00000000"/>
    <w:p w:rsidR="00000000" w:rsidRDefault="00000000">
      <w:r>
        <w:t xml:space="preserve">124. </w:t>
      </w:r>
      <w:r>
        <w:tab/>
        <w:t xml:space="preserve">Названные национальные программы являются важнейшим механизмом в предотвращении торговли людьми, прежде всего женщинами и детьми. Они позволили сформировать конкретные планы действий на государственном и региональных уровнях, привлечь к проблеме внимание органов власти, неправительственных организаций и широкой общественности, потребовали новых форм работы правоохранительных органов и новых форм координации действий и новых мероприятий. </w:t>
      </w:r>
    </w:p>
    <w:p w:rsidR="00000000" w:rsidRDefault="00000000"/>
    <w:p w:rsidR="00000000" w:rsidRDefault="00000000">
      <w:r>
        <w:t xml:space="preserve">125. </w:t>
      </w:r>
      <w:r>
        <w:tab/>
        <w:t>Одной из основных задач Комплексной программы является проведение  целого комплекса информационных мер, предназначенных для широких слоев общества, и прежде всего – для представительниц вышеназванных "групп риска", просветительская работа среди которых ведется постоянно.</w:t>
      </w:r>
    </w:p>
    <w:p w:rsidR="00000000" w:rsidRDefault="00000000"/>
    <w:p w:rsidR="00000000" w:rsidRDefault="00000000">
      <w:r>
        <w:t xml:space="preserve">126. </w:t>
      </w:r>
      <w:r>
        <w:tab/>
        <w:t>Примером проведенной в данном направлении работы могут служить пособия для преподавателей учебных заведений и работников социальной сферы, ряд документальных и документально-художественных фильмов, демонстрируемых по телевидению. На предупреждение торговли людьми направлена работа государственных центров социальных служб для молодежи и сеть "телефонов доверия", созданных при этих центрах. В 950 центрах социальных служб для молодежи действует более 200 специализированных служб "горячей линии" и "телефона доверия".</w:t>
      </w:r>
    </w:p>
    <w:p w:rsidR="00000000" w:rsidRDefault="00000000"/>
    <w:p w:rsidR="00000000" w:rsidRDefault="00000000">
      <w:r>
        <w:t xml:space="preserve">127. </w:t>
      </w:r>
      <w:r>
        <w:tab/>
        <w:t xml:space="preserve">С ноября 2002 года при поддержке </w:t>
      </w:r>
      <w:proofErr w:type="spellStart"/>
      <w:r>
        <w:t>ОБСЕ</w:t>
      </w:r>
      <w:proofErr w:type="spellEnd"/>
      <w:r>
        <w:t xml:space="preserve"> – на базе Международного женского правозащитного центра "</w:t>
      </w:r>
      <w:proofErr w:type="spellStart"/>
      <w:r>
        <w:t>Ла</w:t>
      </w:r>
      <w:proofErr w:type="spellEnd"/>
      <w:r>
        <w:t xml:space="preserve"> Страда – Украина", при содействии Министерства по делам молодежи и спорта Украины открыта общенациональная общественная телефонная “горячая линия” для предупреждения торговли людьми. Она тоже является бесплатной и доступной для всех женщин в любом регионе Украины.</w:t>
      </w:r>
    </w:p>
    <w:p w:rsidR="00000000" w:rsidRDefault="00000000"/>
    <w:p w:rsidR="00000000" w:rsidRDefault="00000000">
      <w:r>
        <w:t xml:space="preserve">128. </w:t>
      </w:r>
      <w:r>
        <w:tab/>
        <w:t>Для розыска граждан Украины, которые постоянно или временно проживали за границей и пропали без вести, а также на основании Консульского устава Украины, Украина активно использует обращения к компетентным органам других государств, инициирование переговоров и консультаций, заключение соответствующих соглашений в правовой сфере, использование финансовых возможностей международных организаций, привлечение влиятельных адвокатских компаний, использование института почетных консулов, принятие мер информационного и пропагандистского характера.</w:t>
      </w:r>
    </w:p>
    <w:p w:rsidR="00000000" w:rsidRDefault="00000000"/>
    <w:p w:rsidR="00000000" w:rsidRDefault="00000000">
      <w:r>
        <w:t xml:space="preserve">129. </w:t>
      </w:r>
      <w:r>
        <w:tab/>
        <w:t xml:space="preserve">На постоянной основе проводится разъяснительная работа среди наших соотечественников, как в Украине, так и за ее пределами с целью распространения информации о негативных последствиях нелегального выезда за пределы Украины для трудоустройства. В большинстве дипломатических и консульских представительств Украины и представительствах Министерства иностранных дел в Украине открыты разделы на </w:t>
      </w:r>
      <w:proofErr w:type="spellStart"/>
      <w:r>
        <w:t>веб-страницах</w:t>
      </w:r>
      <w:proofErr w:type="spellEnd"/>
      <w:r>
        <w:t xml:space="preserve"> с правовой информацией для украинских граждан, которая включает, среди прочего, информацию о стране пребывания в контексте правового статуса украинских граждан, рекомендации относительно трудоустройства, тексты нормативных актов Украины и стран пребывания в соответствующих сферах.</w:t>
      </w:r>
    </w:p>
    <w:p w:rsidR="00000000" w:rsidRDefault="00000000"/>
    <w:p w:rsidR="00000000" w:rsidRDefault="00000000">
      <w:r>
        <w:t xml:space="preserve">130. </w:t>
      </w:r>
      <w:r>
        <w:tab/>
        <w:t>Активная информационно-разъяснительная работа проводится во время каждодневного персонального приема граждан Украины в Министерстве иностранных дел (в том числе и по телефону и электронной почтой), во время которого нашим соотечественникам на бесплатной основе предоставляются правовые консультации юристами-международниками относительно поездок за границу с целью трудоустройства, обучения и т.д.</w:t>
      </w:r>
    </w:p>
    <w:p w:rsidR="00000000" w:rsidRDefault="00000000"/>
    <w:p w:rsidR="00000000" w:rsidRDefault="00000000">
      <w:r>
        <w:t xml:space="preserve">131. </w:t>
      </w:r>
      <w:r>
        <w:tab/>
        <w:t>Украина безотлагательно реагирует на нарушения прав украинских граждан за границей с использованием всего инструментария международного права. Разработаны меры по противодействию торговле людьми, которые доведено до сведения дипломатических и консульских представительств Украины для использования в практической работе. Эти меры направлены, в первую очередь, на предупреждение торговли людьми, осуществление мониторинга установления причин и способов выезда и вывоза женщин за границу, предоставления посольствами Украины всесторонней помощи таким лицам для их возвращения в Украину.</w:t>
      </w:r>
    </w:p>
    <w:p w:rsidR="00000000" w:rsidRDefault="00000000"/>
    <w:p w:rsidR="00000000" w:rsidRDefault="00000000">
      <w:r>
        <w:t>132. Организована информационно-разъяснительная работа в рамках проекта Международной организации миграции "Предупреждение торговли женщинами: Украина". Предоставлено содействие в распространении информации за границей про работу общенациональной постоянно действующей "горячей линии" по предупреждению торговли людьми.</w:t>
      </w:r>
    </w:p>
    <w:p w:rsidR="00000000" w:rsidRDefault="00000000"/>
    <w:p w:rsidR="00000000" w:rsidRDefault="00000000">
      <w:r>
        <w:t xml:space="preserve">133. </w:t>
      </w:r>
      <w:r>
        <w:tab/>
        <w:t>4 марта 2005 года в Министерстве иностранных дел Украины создан Центр помощи гражданам Украины за границей. Главная цель этого Центра состоит в изменении подходов в вопросе защиты граждан Украины, в частности, в организации работы направленной на предотвращение возможных негативов, ликвидации правового нигилизма в вопросе трудоустройства за границей, проведении предварительной правовой информационно-разъяснительной работы, а также предоставлении правовой защиты гражданам Украины, которые работают за границей, с использованием всех возможных форм защиты их прав и интересов перед работодателями страны трудоустройства, которые вытекают из национального законодательства страны пребывания и международно-правовых актов.</w:t>
      </w:r>
    </w:p>
    <w:p w:rsidR="00000000" w:rsidRDefault="00000000"/>
    <w:p w:rsidR="00000000" w:rsidRDefault="00000000">
      <w:r>
        <w:t xml:space="preserve">134. </w:t>
      </w:r>
      <w:r>
        <w:tab/>
        <w:t>С целью решения вопроса возвращения в Украину наших соотечественников, которые попали в тяжелое положение за границей, Украина поддерживает постоянные рабочие контакты с такими международными и общественными организациями, а также благотворительными фондами, как: Национальный совет женщин Украины, Международный женский правозащитный центр "</w:t>
      </w:r>
      <w:proofErr w:type="spellStart"/>
      <w:r>
        <w:t>Ла-Страда</w:t>
      </w:r>
      <w:proofErr w:type="spellEnd"/>
      <w:r>
        <w:t xml:space="preserve"> - Украина", "</w:t>
      </w:r>
      <w:proofErr w:type="spellStart"/>
      <w:r>
        <w:t>Каритас</w:t>
      </w:r>
      <w:proofErr w:type="spellEnd"/>
      <w:r>
        <w:t xml:space="preserve"> - Украина", Международная организация миграции, Международный фонд "Возрождение" и т.д.</w:t>
      </w:r>
    </w:p>
    <w:p w:rsidR="00000000" w:rsidRDefault="00000000"/>
    <w:p w:rsidR="00000000" w:rsidRDefault="00000000">
      <w:r>
        <w:t xml:space="preserve">135. </w:t>
      </w:r>
      <w:r>
        <w:tab/>
        <w:t>Наше государство последовательно поддерживает усилия ООН, направленные на борьбу с торговлей людьми, и выступает соавтором соответствующих резолюций Генеральной Ассамблеи и Комиссии по правам человека ООН. Украина приняла также активное участие в разработке Европейской конвенции по борьбе против торговли людьми. В настоящее время завершаются внутригосударственные процедуры, необходимые для ее подписания Украиной.</w:t>
      </w:r>
    </w:p>
    <w:p w:rsidR="00000000" w:rsidRDefault="00000000"/>
    <w:p w:rsidR="00000000" w:rsidRDefault="00000000">
      <w:r>
        <w:t xml:space="preserve">136. </w:t>
      </w:r>
      <w:r>
        <w:tab/>
        <w:t>Вторым основным направлением деятельности является  выявление торговцев людьми и пресечение их деятельности</w:t>
      </w:r>
      <w:r>
        <w:rPr>
          <w:color w:val="339966"/>
        </w:rPr>
        <w:t xml:space="preserve"> </w:t>
      </w:r>
      <w:r>
        <w:t xml:space="preserve">торговцев. </w:t>
      </w:r>
    </w:p>
    <w:p w:rsidR="00000000" w:rsidRDefault="00000000"/>
    <w:p w:rsidR="00000000" w:rsidRDefault="00000000">
      <w:r>
        <w:t xml:space="preserve">137. </w:t>
      </w:r>
      <w:r>
        <w:tab/>
        <w:t xml:space="preserve">Следует отметить, что одной из первых стран в Европе Украина внесла изменение в национальный Уголовный кодекс путём введения специальной статьи, предусматривающей уголовную ответственность за торговлю людьми. </w:t>
      </w:r>
    </w:p>
    <w:p w:rsidR="00000000" w:rsidRDefault="00000000"/>
    <w:p w:rsidR="00000000" w:rsidRDefault="00000000">
      <w:r>
        <w:t xml:space="preserve">138. С момента вступления в силу этой статьи, с марта 1998 по январь 2005 года, правоохранительными органами было возбуждено более 872  уголовных дел (в 1998 году – 2, в 1999 году – 11, в 2000 году – 42, в 2001 году – 90). </w:t>
      </w:r>
    </w:p>
    <w:p w:rsidR="00000000" w:rsidRDefault="00000000"/>
    <w:p w:rsidR="00000000" w:rsidRDefault="00000000">
      <w:r>
        <w:t xml:space="preserve">139. </w:t>
      </w:r>
      <w:r>
        <w:tab/>
        <w:t xml:space="preserve">В правоохранительных органах Украины созданы специализированные подразделения по борьбе с преступлениями, связанными с торговлей людьми.  В целом же, по оценкам международных экспертов, Украина  находится на передовой линии борьбы с торговлей людьми. </w:t>
      </w:r>
    </w:p>
    <w:p w:rsidR="00000000" w:rsidRDefault="00000000">
      <w:r>
        <w:t xml:space="preserve">140. </w:t>
      </w:r>
      <w:r>
        <w:tab/>
        <w:t xml:space="preserve">Кроме предотвращения преступлений и наказания виновных очень важным для нас является также оказание помощи пострадавшим. С этой целью, в частности, предусмотрено создание ряда центров </w:t>
      </w:r>
      <w:proofErr w:type="spellStart"/>
      <w:r>
        <w:t>реинтеграции</w:t>
      </w:r>
      <w:proofErr w:type="spellEnd"/>
      <w:r>
        <w:t>, первый из которых, при содействии Международной организации миграции, начал функционировать в Киеве с 2002 года. Отмечается тенденция роста числа женщин, которым оказана всесторонняя помощь.</w:t>
      </w:r>
    </w:p>
    <w:p w:rsidR="00000000" w:rsidRDefault="00000000"/>
    <w:p w:rsidR="00000000" w:rsidRDefault="00000000">
      <w:r>
        <w:t xml:space="preserve">141. </w:t>
      </w:r>
      <w:r>
        <w:tab/>
        <w:t>Самое перспективное направление искоренения зла – это устранение самих причин, делающих торговлю женщинами возможной.</w:t>
      </w:r>
    </w:p>
    <w:p w:rsidR="00000000" w:rsidRDefault="00000000"/>
    <w:p w:rsidR="00000000" w:rsidRDefault="00000000">
      <w:r>
        <w:t xml:space="preserve">142. </w:t>
      </w:r>
      <w:r>
        <w:tab/>
        <w:t>Для нас очень важным является скорейшее оздоровление национальной экономики, снижение общего уровня безработицы, особенно среди женщин. Мы решаем эти вопросы двумя путями – путем создания рабочих мест в стране и путем удовлетворения потребностей более молодой и активной части населения по временному легальному трудоустройству за рубежом посредством заключения двусторонних межгосударственных договоров с установлением квот и соответствующей защитой трудовых мигрантов.</w:t>
      </w:r>
    </w:p>
    <w:p w:rsidR="00000000" w:rsidRDefault="00000000"/>
    <w:p w:rsidR="00000000" w:rsidRDefault="00000000">
      <w:r>
        <w:t xml:space="preserve">143. </w:t>
      </w:r>
      <w:r>
        <w:tab/>
        <w:t>По данным Государственного института проблем семьи и молодежи, основной возрастной контингент выезжающих – люди от 15 до 35 лет. Эти люди в большинстве своем имеют семьи, а 50-60 % – детей.</w:t>
      </w:r>
    </w:p>
    <w:p w:rsidR="00000000" w:rsidRDefault="00000000"/>
    <w:p w:rsidR="00000000" w:rsidRDefault="00000000">
      <w:r>
        <w:t xml:space="preserve">144. </w:t>
      </w:r>
      <w:r>
        <w:tab/>
        <w:t xml:space="preserve">Что касается трудоустройства за границей, как известно, большинство женщин, попавших в сексуальное рабство, при выезде из Украины не имели намерения работать в сфере </w:t>
      </w:r>
      <w:proofErr w:type="spellStart"/>
      <w:r>
        <w:t>секс-бизнеса</w:t>
      </w:r>
      <w:proofErr w:type="spellEnd"/>
      <w:r>
        <w:t>. Об этом откровенно и с большой душевной болью говорят женщины, освобожденные из рабства и проходящие реабилитацию в Киевском центре.</w:t>
      </w:r>
    </w:p>
    <w:p w:rsidR="00000000" w:rsidRDefault="00000000"/>
    <w:p w:rsidR="00000000" w:rsidRDefault="00000000">
      <w:r>
        <w:t xml:space="preserve">145. </w:t>
      </w:r>
      <w:r>
        <w:tab/>
        <w:t xml:space="preserve">Считаем, что легализация статуса и расширение возможностей работы за рубежом молодых граждан могли бы стать не последним звеном в цепи деятельности по предупреждению торговли людьми. Кстати, это предложение украинской делегации нашло поддержку на Европейской конференции по вопросам предупреждения и борьбы с торговлей людьми "Планетарный вызов </w:t>
      </w:r>
      <w:proofErr w:type="spellStart"/>
      <w:r>
        <w:t>ХХ</w:t>
      </w:r>
      <w:proofErr w:type="spellEnd"/>
      <w:r>
        <w:t xml:space="preserve">І веку", проводившейся в Брюсселе, и вошло в Брюссельскую резолюцию. </w:t>
      </w:r>
    </w:p>
    <w:p w:rsidR="00000000" w:rsidRDefault="00000000"/>
    <w:p w:rsidR="00000000" w:rsidRDefault="00000000">
      <w:r>
        <w:t xml:space="preserve">146. </w:t>
      </w:r>
      <w:r>
        <w:tab/>
        <w:t xml:space="preserve">Правительством Украины предусмотрены дополнительные гарантии относительно трудоустройства отдельных категорий населения,  нуждающихся в социальной защите и не способных в надлежащей мере конкурировать на рынке труда. К таким категориям, в частности, принадлежат женщины, имеющие детей в возрасте до 6 лет, одинокие матери, женщины, имеющие ребенка в возрасте до 14 лет или ребенка-инвалида. Гарантии обеспечиваются путем бронирования для указанных категорий до 5 % от общего количества рабочих мест. Для таких категорий женщин ежегодно бронируются десятки тысяч рабочих мест. Указанная 5-процентная квота для трудоустройства льготных категорий населения в большинстве областей Украины ежегодно утверждается органами исполнительной власти. </w:t>
      </w:r>
    </w:p>
    <w:p w:rsidR="00000000" w:rsidRDefault="00000000"/>
    <w:p w:rsidR="00000000" w:rsidRDefault="00000000">
      <w:r>
        <w:t xml:space="preserve">147. </w:t>
      </w:r>
      <w:r>
        <w:tab/>
        <w:t>Принимаются меры по обеспечению исполнения распоряжения Кабинета Министров Украины от 2 августа 2000 года "Об утверждении мероприятий по осуществлению политики эффективной поддержки самостоятельно занятого населения, семейного предпринимательства, малого и среднего бизнеса, усовершенствованию системы оказания помощи безработным и их профессионально-психологической реабилитации, увеличению объемов общественных работ".</w:t>
      </w:r>
    </w:p>
    <w:p w:rsidR="00000000" w:rsidRDefault="00000000"/>
    <w:p w:rsidR="00000000" w:rsidRDefault="00000000">
      <w:r>
        <w:t xml:space="preserve">148. </w:t>
      </w:r>
      <w:r>
        <w:tab/>
        <w:t>Кроме мер, предпринимаемых государством, многое делается женскими неправительственными организациями. По инициативе женской общественности, при поддержке властных структур на местах и финансовом содействии ряда международных организаций создан ряд информационно-консультативных и сервисных центров для женщин.</w:t>
      </w:r>
    </w:p>
    <w:p w:rsidR="00000000" w:rsidRDefault="00000000"/>
    <w:p w:rsidR="00000000" w:rsidRDefault="00000000">
      <w:r>
        <w:t xml:space="preserve">149. </w:t>
      </w:r>
      <w:r>
        <w:tab/>
        <w:t xml:space="preserve">Следует также назвать многочисленные общественные </w:t>
      </w:r>
      <w:proofErr w:type="spellStart"/>
      <w:r>
        <w:t>бизнес-центры</w:t>
      </w:r>
      <w:proofErr w:type="spellEnd"/>
      <w:r>
        <w:t xml:space="preserve">, специальные центры для женщин с ограниченными возможностями, которые представляют собой довольно разветвленную сеть для оказания разносторонней помощи женщинам, оказавшимся без работы, пытающимся найти свое место в жизни, начать собственное дело, получить государственную или общественную финансовую поддержку для начала бизнеса.    </w:t>
      </w:r>
    </w:p>
    <w:p w:rsidR="00000000" w:rsidRDefault="00000000"/>
    <w:p w:rsidR="00000000" w:rsidRDefault="00000000">
      <w:r>
        <w:t xml:space="preserve">150. </w:t>
      </w:r>
      <w:r>
        <w:tab/>
        <w:t xml:space="preserve">Для кредитования малого бизнеса и поддержки предпринимательской деятельности женщин общественные организации проводят работу кредитных союзов.   </w:t>
      </w:r>
    </w:p>
    <w:p w:rsidR="00000000" w:rsidRDefault="00000000"/>
    <w:p w:rsidR="00000000" w:rsidRDefault="00000000">
      <w:r>
        <w:t>151. Говоря об общих трудностях украинской экономики, мы не можем не отметить в частности и те из них, которые связаны с трудностями экспорта украинских товаров. Например, вследствие протекционистских мер, направленных на ограничение экспорта из Украины текстиля, очень страдают украинские предприятия легкой промышленности, на которых в основном заняты женщины.</w:t>
      </w:r>
    </w:p>
    <w:p w:rsidR="00000000" w:rsidRDefault="00000000"/>
    <w:p w:rsidR="00000000" w:rsidRDefault="00000000">
      <w:r>
        <w:t xml:space="preserve">152. </w:t>
      </w:r>
      <w:r>
        <w:tab/>
        <w:t xml:space="preserve">Особая необходимость существует в оказании помощи предпринимательской активности женщин в сельской местности. </w:t>
      </w:r>
    </w:p>
    <w:p w:rsidR="00000000" w:rsidRDefault="00000000"/>
    <w:p w:rsidR="00000000" w:rsidRDefault="00000000">
      <w:r>
        <w:t xml:space="preserve">153. </w:t>
      </w:r>
      <w:r>
        <w:tab/>
        <w:t xml:space="preserve">Хотим отметить основные направления такой работы: активизация всего мирового сообщества в борьбе с торговлей людьми, необходимость радикального улучшения координации усилий как внутри государства, так и международных институтов, неправительственных организаций для противодействия этому явлению, создание системы обмена информацией, разработку соответствующих национальных и международных программ содействия трудоустройству, необходимость комплексного подхода к решению проблемы, предусматривающего принятие мер по предотвращению торговли людьми (создание соответствующих социально-экономических условий, разработку соответствующего законодательства, широкое информирование населения, укрепление соответствующих подразделений правоохранительных и пограничных органов), привлечение к ответственности торговцев людьми, защиту и реабилитацию их жертв. </w:t>
      </w:r>
    </w:p>
    <w:p w:rsidR="00000000" w:rsidRDefault="00000000"/>
    <w:p w:rsidR="00000000" w:rsidRDefault="00000000">
      <w:r>
        <w:t xml:space="preserve">154. </w:t>
      </w:r>
      <w:r>
        <w:tab/>
        <w:t>Реализация в Украине программ по предотвращению торговли людьми может служить примером плодотворного сотрудничества центральных, местных органов власти и неправительственных женских организаций, оказывающих значительную помощь не только в практической  деятельности, но и в принятии важных государственных решений в стране.</w:t>
      </w:r>
    </w:p>
    <w:p w:rsidR="00000000" w:rsidRDefault="00000000"/>
    <w:p w:rsidR="00000000" w:rsidRDefault="00000000">
      <w:pPr>
        <w:jc w:val="center"/>
        <w:rPr>
          <w:b/>
          <w:bCs/>
        </w:rPr>
      </w:pPr>
      <w:r>
        <w:rPr>
          <w:b/>
          <w:bCs/>
        </w:rPr>
        <w:t>Пункт 3</w:t>
      </w:r>
    </w:p>
    <w:p w:rsidR="00000000" w:rsidRDefault="00000000"/>
    <w:p w:rsidR="00000000" w:rsidRDefault="00000000">
      <w:r>
        <w:t xml:space="preserve">155. </w:t>
      </w:r>
      <w:r>
        <w:tab/>
        <w:t>Согласно статье 43 Конституции использование принудительного труда запрещается. Не считается принудительным трудом военная или альтернативная (невоенная) служба, а также робота или служба, которая исполняется лицом по приговору или другому решению суда или в соответствии с законами о военном и о чрезвычайном положении.</w:t>
      </w:r>
    </w:p>
    <w:p w:rsidR="00000000" w:rsidRDefault="00000000"/>
    <w:p w:rsidR="00000000" w:rsidRDefault="00000000">
      <w:pPr>
        <w:jc w:val="center"/>
        <w:rPr>
          <w:b/>
          <w:bCs/>
        </w:rPr>
      </w:pPr>
      <w:r>
        <w:rPr>
          <w:b/>
          <w:bCs/>
        </w:rPr>
        <w:t>Статья 9</w:t>
      </w:r>
    </w:p>
    <w:p w:rsidR="00000000" w:rsidRDefault="00000000"/>
    <w:p w:rsidR="00000000" w:rsidRDefault="00000000">
      <w:r>
        <w:t xml:space="preserve">156. </w:t>
      </w:r>
      <w:r>
        <w:tab/>
        <w:t xml:space="preserve">Конституция Украины устанавливает, что в случае экстренной  необходимости предотвратить совершение преступления или пресечь его,  уполномоченные законом органы могут применить такую меру как содержание под стражей в качестве временной меры пресечения, обоснованность которой в течение 72 часов должна быть проверена судом. Таким образом, до судебного решения лицо не может быть подвергнуто задержанию на срок более 72 часов (статья 29). </w:t>
      </w:r>
    </w:p>
    <w:p w:rsidR="00000000" w:rsidRDefault="00000000"/>
    <w:p w:rsidR="00000000" w:rsidRDefault="00000000">
      <w:r>
        <w:t xml:space="preserve">157. </w:t>
      </w:r>
      <w:r>
        <w:tab/>
        <w:t xml:space="preserve">Исходя из этого, Уголовно-процессуальный кодекс Украины строго регламентирует порядок задержания подозреваемого (статья 106). Оно производится органом дознания только в том случае, когда лицо подозревается в совершении преступления, за которое может быть назначено наказание в виде лишения свободы. </w:t>
      </w:r>
    </w:p>
    <w:p w:rsidR="00000000" w:rsidRDefault="00000000"/>
    <w:p w:rsidR="00000000" w:rsidRDefault="00000000">
      <w:r>
        <w:t xml:space="preserve">158. </w:t>
      </w:r>
      <w:r>
        <w:tab/>
        <w:t xml:space="preserve">При наличии иных данных, дающих основания подозревать лицо в совершении преступления, оно может быть задержано лишь в том случае, когда это лицо пыталось скрыться, либо не имеет постоянного места жительства, либо не установлена личность подозреваемого. </w:t>
      </w:r>
    </w:p>
    <w:p w:rsidR="00000000" w:rsidRDefault="00000000"/>
    <w:p w:rsidR="00000000" w:rsidRDefault="00000000">
      <w:r>
        <w:t xml:space="preserve">159. </w:t>
      </w:r>
      <w:r>
        <w:tab/>
        <w:t>Подозреваемый должен быть освобожден, если по истечении 72 часов после задержания не подтвердится подозрение в совершении преступления, истечет установленный законом срок задержания или будет установлено, что задержание было проведено с нарушением требований частей первой и второй статьи 106 Уголовно-процессуального кодекса Украины.</w:t>
      </w:r>
    </w:p>
    <w:p w:rsidR="00000000" w:rsidRDefault="00000000"/>
    <w:p w:rsidR="00000000" w:rsidRDefault="00000000">
      <w:r>
        <w:t xml:space="preserve">160. </w:t>
      </w:r>
      <w:r>
        <w:tab/>
        <w:t>Если в установленный законом срок задержания постановление судьи о применении к задержанному лицу превентивной меры в виде взятия под стражу либо постановление об освобождении не пришло в учреждение  досудебного заключения, задержанный освобождается. Об этом составляется протокол и сообщение направляется должностному лицу либо органу, который совершал задержание.</w:t>
      </w:r>
    </w:p>
    <w:p w:rsidR="00000000" w:rsidRDefault="00000000"/>
    <w:p w:rsidR="00000000" w:rsidRDefault="00000000">
      <w:r>
        <w:t xml:space="preserve">161. </w:t>
      </w:r>
      <w:r>
        <w:tab/>
        <w:t>Следует отметить, что определенной гарантией личной неприкосновенности в Украине выступает судебный контроль, который заключается в том, что подозреваемый имеет право на обжалование своего задержания в суде (часть седьмая статьи 106 Уголовно-процессуального кодекса).</w:t>
      </w:r>
    </w:p>
    <w:p w:rsidR="00000000" w:rsidRDefault="00000000"/>
    <w:p w:rsidR="00000000" w:rsidRDefault="00000000">
      <w:r>
        <w:t xml:space="preserve">162. </w:t>
      </w:r>
      <w:r>
        <w:tab/>
        <w:t>Дальнейшее ограничение свобод гражданина может иметь место только по решению суда.</w:t>
      </w:r>
    </w:p>
    <w:p w:rsidR="00000000" w:rsidRDefault="00000000"/>
    <w:p w:rsidR="00000000" w:rsidRDefault="00000000">
      <w:r>
        <w:t xml:space="preserve">163. </w:t>
      </w:r>
      <w:r>
        <w:tab/>
        <w:t>Уголовно-процессуальным законодательством Украины (часть восьмая статьи 165</w:t>
      </w:r>
      <w:r>
        <w:rPr>
          <w:vertAlign w:val="superscript"/>
        </w:rPr>
        <w:t>2</w:t>
      </w:r>
      <w:r>
        <w:t xml:space="preserve"> Уголовно-процессуального кодекса Украины) предусмотрено обстоятельство, когда подозреваемый может оставаться задержанным свыше 72 часов без избрания ему меры пресечения в виде заключения под стражу. Таким обстоятельством является необходимость в дополнительном изучении данных о личности задержанного или выяснении других обстоятельств, которые имеют значение для принятия решения об избрании меры пресечения. В этом случае судья вправе  продлить задержание до десяти, а по ходатайству подозреваемого, обвиняемого – до пятнадцати суток, о чем выносит постановление.</w:t>
      </w:r>
    </w:p>
    <w:p w:rsidR="00000000" w:rsidRDefault="00000000"/>
    <w:p w:rsidR="00000000" w:rsidRDefault="00000000">
      <w:r>
        <w:t xml:space="preserve">164. </w:t>
      </w:r>
      <w:r>
        <w:tab/>
        <w:t>Что касается предоставления информации о составе, порядке назначения, задачах и полномочиях органов дознания, то эти вопросы отражены в статьях 101, 103-110 Уголовно-процессуального кодекса Украины, а также частично в Законе Украины "Об оперативно-розыскной деятельности" от 18 февраля 1992 года.</w:t>
      </w:r>
    </w:p>
    <w:p w:rsidR="00000000" w:rsidRDefault="00000000">
      <w:r>
        <w:t xml:space="preserve">165. </w:t>
      </w:r>
      <w:r>
        <w:tab/>
        <w:t xml:space="preserve">Нормами действующего национального законодательства, и в частности, новым Уголовно-исполнительным кодексом Украины от 11 июля 2003 года значительно расширены права граждан, содержащихся в местах предварительного заключения и отбывания наказания в виде лишения свободы. Статьей 1 Закона Украины "О предварительном заключении" от 30 июня 1993 года и статьей 1 Уголовно-исполнительного кодекса Украины предусмотрено, что порядок и условия содержания арестованных и осужденных осуществляются на принципах неуклонного соблюдения Конституции Украины, требований Общей декларации прав человека, иных международно-правовых норм и стандартов обращения с заключенными. </w:t>
      </w:r>
    </w:p>
    <w:p w:rsidR="00000000" w:rsidRDefault="00000000"/>
    <w:p w:rsidR="00000000" w:rsidRDefault="00000000">
      <w:r>
        <w:t xml:space="preserve">166. </w:t>
      </w:r>
      <w:r>
        <w:tab/>
        <w:t>Администрация учреждения предварительного заключения обязана разъяснять лицам, взятым под стражу, основания и мотивы избрания такой меры пресечения, право на обжалование ее в суде, а также положения Конституции Украины, касающиеся прав граждан, иных прав заключенных, предусмотренных законодательством.</w:t>
      </w:r>
    </w:p>
    <w:p w:rsidR="00000000" w:rsidRDefault="00000000"/>
    <w:p w:rsidR="00000000" w:rsidRDefault="00000000">
      <w:r>
        <w:t xml:space="preserve">167. </w:t>
      </w:r>
      <w:r>
        <w:tab/>
        <w:t xml:space="preserve">Лицам, содержащимся под стражей, обеспечивается защита их прав и интересов путем предоставления свиданий с защитником наедине, без ограничения количества таких свиданий и их длительности, с момента допуска защитника к участию в деле. Приговоренные к лишению свободы могут получать правовую помощь от адвокатов или иных специалистов в области права, иметь свидания с родственниками и другими лицами, вести телефонные переговоры, а также получать образование. Заключенные в возрасте от 14 до 35 лет имеют право на получение психолого-педагогической помощи от специалистов центров социальных служб для семьи, детей и молодежи.  </w:t>
      </w:r>
    </w:p>
    <w:p w:rsidR="00000000" w:rsidRDefault="00000000"/>
    <w:p w:rsidR="00000000" w:rsidRDefault="00000000">
      <w:r>
        <w:t xml:space="preserve">168. </w:t>
      </w:r>
      <w:r>
        <w:tab/>
        <w:t xml:space="preserve">Согласно статье 113 Уголовно-исполнительного кодекса Украины осужденным разрешается без ограничений, получать и отправлять письма и телеграммы, предложения, заявления и жалобы, адресованные Уполномоченному Верховного Совета Украины по правам человека и прокурору, которые просмотру не подлежат и в течение суток направляются адресату. Аналогичная норма (статья 13) предусмотрена и в Законе Украины "О предварительном заключении" от 30 июня 1993 года. </w:t>
      </w:r>
    </w:p>
    <w:p w:rsidR="00000000" w:rsidRDefault="00000000"/>
    <w:p w:rsidR="00000000" w:rsidRDefault="00000000">
      <w:r>
        <w:t xml:space="preserve">169. </w:t>
      </w:r>
      <w:r>
        <w:tab/>
        <w:t xml:space="preserve">Медицинское обслуживание, а также лечебно-профилактическая и противоэпидемическая работа в местах предварительного заключения и отбывания наказания проводятся в соответствии с законодательством о здравоохранении. Совместными нормативными документами Министерства здравоохранения и Государственного департамента Украины по вопросам исполнения наказаний установлено, что медицинское обследование лиц, поступающих в следственные изоляторы и исправительные колонии, проводится при их поступлении в данные учреждения и выбытии из них. </w:t>
      </w:r>
    </w:p>
    <w:p w:rsidR="00000000" w:rsidRDefault="00000000">
      <w:r>
        <w:t xml:space="preserve">170. </w:t>
      </w:r>
      <w:r>
        <w:tab/>
        <w:t xml:space="preserve">Медицинский контроль за состоянием здоровья арестованных и осужденных осуществляется также при ежегодных профилактических и целевых осмотрах. Для этих целей созданы медицинские части учреждений со стационарами и специализированные больницы с соответствующими штатами медицинских работников.  </w:t>
      </w:r>
    </w:p>
    <w:p w:rsidR="00000000" w:rsidRDefault="00000000"/>
    <w:p w:rsidR="00000000" w:rsidRDefault="00000000">
      <w:r>
        <w:t xml:space="preserve">171. </w:t>
      </w:r>
      <w:r>
        <w:tab/>
        <w:t>Законом Украины "О борьбе с заболеванием на туберкулез" от 5 июля 2001 года предусмотрено, что лица, которые отбывают наказание в учреждениях криминально-исполнительной системы, подлежат обязательным профилактическим медицинским осмотрам на туберкулез во время прибытия в эти учреждения, а в дальнейшем – не реже одного раза в год, и за месяц до освобождения (абзац третий части третьей статьи 8).</w:t>
      </w:r>
    </w:p>
    <w:p w:rsidR="00000000" w:rsidRDefault="00000000"/>
    <w:p w:rsidR="00000000" w:rsidRDefault="00000000">
      <w:r>
        <w:t xml:space="preserve">172.  </w:t>
      </w:r>
      <w:r>
        <w:tab/>
        <w:t>В соответствии с комплексным планом организационно-практических мер по устранению недостатков в организации оперативно-служебной деятельности следственных изоляторов, дальнейшему совершенствованию их работы, утвержденным коллегией Государственного департамента Украины по вопросам исполнения наказаний от 8 февраля 2002, организовано систематическое проведение занятий с работниками учреждений, которые непосредственно общаются с заключенными под стражу. Тематика таких занятий основана на требованиях действующего национального законодательства и международных правовых актов, регламентирующих порядок обращения с заключенными, предусматривает изучение персоналом основ психологии человека, методики бесконфликтного общения.</w:t>
      </w:r>
    </w:p>
    <w:p w:rsidR="00000000" w:rsidRDefault="00000000"/>
    <w:p w:rsidR="00000000" w:rsidRDefault="00000000">
      <w:r>
        <w:t xml:space="preserve">173. </w:t>
      </w:r>
      <w:r>
        <w:tab/>
        <w:t xml:space="preserve">Согласно информации Государственного  департамента Украины по вопросам исполнения наказаний  за 4 месяца 2005 года  никто из работников следственных изоляторов и исправительных колоний к предусмотренной законом ответственности за факты пыток и других жестоких, бесчеловечных или унижающих достоинство видов обращения с лицами, содержащимися в указанных учреждениях, не привлекался. В органах прокуратуры такие факты также не зарегистрированы. </w:t>
      </w:r>
    </w:p>
    <w:p w:rsidR="00000000" w:rsidRDefault="00000000"/>
    <w:p w:rsidR="00000000" w:rsidRDefault="00000000">
      <w:r>
        <w:t xml:space="preserve">174. </w:t>
      </w:r>
      <w:r>
        <w:tab/>
        <w:t>С целью выявления нарушений прав граждан и оперативного реагирования на них, органами прокуратуры проводятся комплексные, целевые и внезапные проверки соблюдения законов в местах предварительного заключения, исполнения наказаний и других мер принудительного характера, назначаемых судом. При необходимости к проверкам привлекаются специалисты министерств и ведомств, представители общественности.</w:t>
      </w:r>
    </w:p>
    <w:p w:rsidR="00000000" w:rsidRDefault="00000000"/>
    <w:p w:rsidR="00000000" w:rsidRDefault="00000000">
      <w:r>
        <w:t xml:space="preserve">175. </w:t>
      </w:r>
      <w:r>
        <w:tab/>
        <w:t xml:space="preserve">В соответствии с ведомственными нормативными актами в следственных изоляторах на территориях исправительных колоний такие проверки проводятся ежемесячно, в органах, которые исполняют наказания, не связанные с лишением свободы, – ежеквартально, в исправительных колониях – один раз в полугодие. </w:t>
      </w:r>
    </w:p>
    <w:p w:rsidR="00000000" w:rsidRDefault="00000000">
      <w:pPr>
        <w:rPr>
          <w:sz w:val="16"/>
        </w:rPr>
      </w:pPr>
    </w:p>
    <w:p w:rsidR="00000000" w:rsidRDefault="00000000">
      <w:r>
        <w:t xml:space="preserve">176. </w:t>
      </w:r>
      <w:r>
        <w:tab/>
        <w:t>В ходе проверок особое внимание обращается на наличие законных оснований содержания граждан в местах предварительного заключения, изучение обоснованности избрания меры пресечения в виде содержания под стражей. В прошлом году из следственных изоляторов прокурорами освобожден 21 (2003 год – 50) арестованный.</w:t>
      </w:r>
    </w:p>
    <w:p w:rsidR="00000000" w:rsidRDefault="00000000">
      <w:pPr>
        <w:rPr>
          <w:sz w:val="16"/>
        </w:rPr>
      </w:pPr>
    </w:p>
    <w:p w:rsidR="00000000" w:rsidRDefault="00000000">
      <w:r>
        <w:t xml:space="preserve">177. </w:t>
      </w:r>
      <w:r>
        <w:tab/>
        <w:t xml:space="preserve">Кроме того, для обеспечения постоянного надзора в следственных изоляторах и колониях ежемесячно проводятся приемы заключенных по личным вопросам, проверяется законность решений, принятых администрацией по заявлениям и жалобам, а также сообщениям о совершении преступлений, о переводе в помещения камерного типа, одиночные камеры, дисциплинарные изоляторы и карцеры. В связи с выявлением незаконных постановлений начальников учреждений о применении крайних мер наказания из штрафных помещений прокурорами освобождено 120 (2003 год – 131) осужденных. </w:t>
      </w:r>
    </w:p>
    <w:p w:rsidR="00000000" w:rsidRDefault="00000000">
      <w:pPr>
        <w:rPr>
          <w:sz w:val="16"/>
        </w:rPr>
      </w:pPr>
    </w:p>
    <w:p w:rsidR="00000000" w:rsidRDefault="00000000">
      <w:r>
        <w:t xml:space="preserve">178. </w:t>
      </w:r>
      <w:r>
        <w:tab/>
        <w:t>Практика прокурорского надзора за соблюдением законов в местах применения принудительных мер, назначаемых судом, разрешения вопросов, поставленных в обращениях, которые поступают в органы прокуратуры, систематически обобщается и анализируется для использования в повседневной работе, устранения причин и условий нарушений прав и законных интересов граждан.</w:t>
      </w:r>
    </w:p>
    <w:p w:rsidR="00000000" w:rsidRDefault="00000000">
      <w:pPr>
        <w:rPr>
          <w:sz w:val="16"/>
        </w:rPr>
      </w:pPr>
    </w:p>
    <w:p w:rsidR="00000000" w:rsidRDefault="00000000">
      <w:pPr>
        <w:jc w:val="center"/>
        <w:rPr>
          <w:b/>
          <w:bCs/>
        </w:rPr>
      </w:pPr>
      <w:r>
        <w:rPr>
          <w:b/>
          <w:bCs/>
        </w:rPr>
        <w:t>Статья 10</w:t>
      </w:r>
    </w:p>
    <w:p w:rsidR="00000000" w:rsidRDefault="00000000">
      <w:pPr>
        <w:jc w:val="center"/>
        <w:rPr>
          <w:sz w:val="16"/>
        </w:rPr>
      </w:pPr>
    </w:p>
    <w:p w:rsidR="00000000" w:rsidRDefault="00000000">
      <w:r>
        <w:t xml:space="preserve">179. </w:t>
      </w:r>
      <w:r>
        <w:tab/>
        <w:t>По итогам последнего визита делегации Европейского Комитета по предотвращению пыток в Украине в 2003 году представители Комитета не получили ни одной жалобы от заключённых и осуждённых относительно плохого обращения со стороны персонала.</w:t>
      </w:r>
    </w:p>
    <w:p w:rsidR="00000000" w:rsidRDefault="00000000">
      <w:pPr>
        <w:rPr>
          <w:sz w:val="16"/>
        </w:rPr>
      </w:pPr>
    </w:p>
    <w:p w:rsidR="00000000" w:rsidRDefault="00000000">
      <w:r>
        <w:t xml:space="preserve">180. </w:t>
      </w:r>
      <w:r>
        <w:tab/>
        <w:t xml:space="preserve">На данный момент практически все рекомендации Комитета уже выполнены, а те, которые требуют значительных финансовых затрат или рассчитаны на более длительный период, находятся в стадии реализации. </w:t>
      </w:r>
    </w:p>
    <w:p w:rsidR="00000000" w:rsidRDefault="00000000">
      <w:pPr>
        <w:rPr>
          <w:sz w:val="16"/>
        </w:rPr>
      </w:pPr>
    </w:p>
    <w:p w:rsidR="00000000" w:rsidRDefault="00000000">
      <w:r>
        <w:t xml:space="preserve">181. </w:t>
      </w:r>
      <w:r>
        <w:tab/>
        <w:t xml:space="preserve">Активное участие в процессе реформирования пенитенциарной системы Украины также принимает Уполномоченный Верховного Совета Украины по правам человека. В своих докладах </w:t>
      </w:r>
      <w:proofErr w:type="spellStart"/>
      <w:r>
        <w:t>Омбудсмен</w:t>
      </w:r>
      <w:proofErr w:type="spellEnd"/>
      <w:r>
        <w:t xml:space="preserve"> постоянно отмечает тот факт, что в последнее время наметился заметный прогресс в реформировании системы в вопросах соблюдения прав и основных свобод осуждённых.</w:t>
      </w:r>
    </w:p>
    <w:p w:rsidR="00000000" w:rsidRDefault="00000000"/>
    <w:p w:rsidR="00000000" w:rsidRDefault="00000000">
      <w:r>
        <w:br w:type="page"/>
        <w:t xml:space="preserve">182. </w:t>
      </w:r>
      <w:r>
        <w:tab/>
        <w:t xml:space="preserve">На протяжении 2003–2004 годов и </w:t>
      </w:r>
      <w:proofErr w:type="spellStart"/>
      <w:r>
        <w:t>I</w:t>
      </w:r>
      <w:proofErr w:type="spellEnd"/>
      <w:r>
        <w:t xml:space="preserve"> квартала 2005 года жалоб и заявлений о применении пыток, нечеловеческого или унижающего человеческое достоинство обращения и наказаний по отношению к заключённым со стороны работников уголовно-исполнительной системы  в Государственный департамент Украины по вопросам исполнения наказаний не поступало.</w:t>
      </w:r>
    </w:p>
    <w:p w:rsidR="00000000" w:rsidRDefault="00000000"/>
    <w:p w:rsidR="00000000" w:rsidRDefault="00000000">
      <w:r>
        <w:t xml:space="preserve">183. </w:t>
      </w:r>
      <w:r>
        <w:tab/>
        <w:t xml:space="preserve">Новый Уголовно-исполнительный кодекс Украины, который вступил в силу в 2004 году, имеет ряд принципиальных положений, направленных на обеспечение прав осуждённых. </w:t>
      </w:r>
    </w:p>
    <w:p w:rsidR="00000000" w:rsidRDefault="00000000"/>
    <w:p w:rsidR="00000000" w:rsidRDefault="00000000">
      <w:r>
        <w:t xml:space="preserve">184. </w:t>
      </w:r>
      <w:r>
        <w:tab/>
        <w:t>Одними из основных принципов уголовно-исполнительного законодательства определены законность, справедливость, гуманизм, демократизм, равенство осуждённых перед законом, взаимная ответственность государства и осуждённого. Определён правовой статус осуждённых, закреплено право осуждённых на личную безопасность.</w:t>
      </w:r>
    </w:p>
    <w:p w:rsidR="00000000" w:rsidRDefault="00000000"/>
    <w:p w:rsidR="00000000" w:rsidRDefault="00000000">
      <w:r>
        <w:t xml:space="preserve">185. </w:t>
      </w:r>
      <w:r>
        <w:tab/>
        <w:t xml:space="preserve">Новацией является введение прогрессивной системы отбывания наказаний, которая позволяет стимулировать </w:t>
      </w:r>
      <w:proofErr w:type="spellStart"/>
      <w:r>
        <w:t>правопослушное</w:t>
      </w:r>
      <w:proofErr w:type="spellEnd"/>
      <w:r>
        <w:t xml:space="preserve"> поведение осуждённых, менять условия их содержания в зависимости от поведения и степени исправления, вплоть до условно-досрочного освобождения. С использованием европейского опыта созданы структурные участки исправительных учреждений (карантина, диагностики и распределения; </w:t>
      </w:r>
      <w:proofErr w:type="spellStart"/>
      <w:r>
        <w:t>ресоциализации</w:t>
      </w:r>
      <w:proofErr w:type="spellEnd"/>
      <w:r>
        <w:t>; усиленного контроля; социальной реабилитации; социальной адаптации).</w:t>
      </w:r>
    </w:p>
    <w:p w:rsidR="00000000" w:rsidRDefault="00000000"/>
    <w:p w:rsidR="00000000" w:rsidRDefault="00000000">
      <w:r>
        <w:t xml:space="preserve">186. </w:t>
      </w:r>
      <w:r>
        <w:tab/>
        <w:t xml:space="preserve">Законодательно закреплено право осуждённых сообщать близким родственникам, адвокату или другим специалистам в области права о наложенных на него дисциплинарных взысканиях. С целью стимулирования </w:t>
      </w:r>
      <w:proofErr w:type="spellStart"/>
      <w:r>
        <w:t>правопослушного</w:t>
      </w:r>
      <w:proofErr w:type="spellEnd"/>
      <w:r>
        <w:t xml:space="preserve"> поведения осуждённых, открытия перспектив применения к ним поощрительных норм закона с года до шести месяцев снижен срок, после которого осуждённый, наказанный в дисциплинарном порядке, считается таким, что не имеет взыскания.</w:t>
      </w:r>
    </w:p>
    <w:p w:rsidR="00000000" w:rsidRDefault="00000000"/>
    <w:p w:rsidR="00000000" w:rsidRDefault="00000000">
      <w:r>
        <w:t xml:space="preserve">187. </w:t>
      </w:r>
      <w:r>
        <w:tab/>
        <w:t xml:space="preserve">Деятельность по созданию условий для исправления и </w:t>
      </w:r>
      <w:proofErr w:type="spellStart"/>
      <w:r>
        <w:t>ресоциализации</w:t>
      </w:r>
      <w:proofErr w:type="spellEnd"/>
      <w:r>
        <w:t xml:space="preserve"> осуждённых осуществляет весь персонал органов и учреждений исполнения наказаний, но непосредственно социально-воспитательную и психологическую работу с осуждёнными проводят около 2,6 тысячи сотрудников социально-психологической службы. Они находятся в постоянном контакте с осуждёнными, содействуют разрешению их насущных проблем, защите их прав и законных интересов, оказывают психологическую помощь.</w:t>
      </w:r>
    </w:p>
    <w:p w:rsidR="00000000" w:rsidRDefault="00000000"/>
    <w:p w:rsidR="00000000" w:rsidRDefault="00000000">
      <w:r>
        <w:t xml:space="preserve">188. </w:t>
      </w:r>
      <w:r>
        <w:tab/>
        <w:t>В учреждениях исполнения наказаний реализуются программы дифференцированного воспитательного воздействия, которые имеют целью содействовать осуждённым в развитии положительных способностей, получении полного среднего образования, овладении профессией, правовом просвещении, подготовке к освобождению, преодолении алкогольной и наркотической зависимости, занятии физкультурой и спортом, полезному использовании свободного времени.</w:t>
      </w:r>
    </w:p>
    <w:p w:rsidR="00000000" w:rsidRDefault="00000000"/>
    <w:p w:rsidR="00000000" w:rsidRDefault="00000000">
      <w:r>
        <w:t xml:space="preserve">189. </w:t>
      </w:r>
      <w:r>
        <w:tab/>
        <w:t>При исправительных колониях функционируют общеобразовательные и профессионально-технические учебные заведения. В каждом учреждении имеется библиотека. Общежития для осуждённых оборудованы радиотрансляционной  сетью, обеспечены телевизорами. Для персонала и осуждённых издаётся газета "Закон и обязанность".</w:t>
      </w:r>
    </w:p>
    <w:p w:rsidR="00000000" w:rsidRDefault="00000000"/>
    <w:p w:rsidR="00000000" w:rsidRDefault="00000000">
      <w:r>
        <w:t xml:space="preserve">190. </w:t>
      </w:r>
      <w:r>
        <w:tab/>
        <w:t xml:space="preserve">Важное место в процессе адаптации осуждённых к условиям лишения свободы и профилактики психотравмирующих состояний занимает деятельность психологов. Усилия психологов направлены на углублённое изучение личности осуждённых, прогноз их поведения, оказание осуждённым психологической помощи, обучение ненасильственным формам решения конфликтов. В каждом учреждении оборудована комната </w:t>
      </w:r>
      <w:proofErr w:type="spellStart"/>
      <w:r>
        <w:t>психоэмоциональной</w:t>
      </w:r>
      <w:proofErr w:type="spellEnd"/>
      <w:r>
        <w:t xml:space="preserve"> разгрузки.</w:t>
      </w:r>
    </w:p>
    <w:p w:rsidR="00000000" w:rsidRDefault="00000000"/>
    <w:p w:rsidR="00000000" w:rsidRDefault="00000000">
      <w:r>
        <w:t xml:space="preserve">191. </w:t>
      </w:r>
      <w:r>
        <w:tab/>
        <w:t>В учреждениях исполнения наказаний созданы условия для обеспечения конституционного права осуждённых на свободу вероисповедания. Представители большинства религиозных организаций, зарегистрированных в Украине, проводят с осуждёнными духовную работу, осуществляют религиозные обряды. Во всех учреждениях выделены специальные помещения, а в некоторых построены культовые сооружения (церкви).</w:t>
      </w:r>
    </w:p>
    <w:p w:rsidR="00000000" w:rsidRDefault="00000000"/>
    <w:p w:rsidR="00000000" w:rsidRDefault="00000000">
      <w:r>
        <w:t xml:space="preserve">192. </w:t>
      </w:r>
      <w:r>
        <w:tab/>
        <w:t xml:space="preserve">К участию в процессе исправления и </w:t>
      </w:r>
      <w:proofErr w:type="spellStart"/>
      <w:r>
        <w:t>ресоциализации</w:t>
      </w:r>
      <w:proofErr w:type="spellEnd"/>
      <w:r>
        <w:t xml:space="preserve"> осуждённых активно привлекается общественность, неправительственные и благотворительные организации. Утверждено Концепцию социального партнёрства общественных организаций, органов и учреждений исполнения наказаний.</w:t>
      </w:r>
    </w:p>
    <w:p w:rsidR="00000000" w:rsidRDefault="00000000"/>
    <w:p w:rsidR="00000000" w:rsidRDefault="00000000">
      <w:r>
        <w:t xml:space="preserve">193. </w:t>
      </w:r>
      <w:r>
        <w:tab/>
        <w:t>В рамках совместных проектов уголовно-исполнительной системы Украины и общественных организаций изданы памятки с правами и обязанностями осуждённых, которыми обеспечиваются все лица, прибывшие для отбывания наказания. Это отвечает нормам Европейских пенитенциарных правил. Изданы также комплекты наглядной информации правового содержания, которые размещаются в жилых помещениях, где проживают осуждённые.</w:t>
      </w:r>
    </w:p>
    <w:p w:rsidR="00000000" w:rsidRDefault="00000000"/>
    <w:p w:rsidR="00000000" w:rsidRDefault="00000000">
      <w:r>
        <w:t xml:space="preserve">194. </w:t>
      </w:r>
      <w:r>
        <w:tab/>
        <w:t xml:space="preserve">С целью обеспечения предоставления адекватной медицинской помощи заключённым, которые болеют туберкулёзом и имеют положительную реакцию на ВИЧ/СПИД, были разработаны и реализуются ведомственные программы: Программа комплексных мероприятий противодействия распространения туберкулёза в учреждениях уголовно-исполнительной системы Украины на 2002–2005 годы;  Программа обеспечения профилактики ВИЧ-инфекции, помощи и лечения </w:t>
      </w:r>
      <w:proofErr w:type="spellStart"/>
      <w:r>
        <w:t>ВИЧ-инфицированных</w:t>
      </w:r>
      <w:proofErr w:type="spellEnd"/>
      <w:r>
        <w:t xml:space="preserve"> и больных СПИДом на 2004–2008 годы (постановление Кабинета Министров Украины от 4 марта 2004 года).</w:t>
      </w:r>
    </w:p>
    <w:p w:rsidR="00000000" w:rsidRDefault="00000000"/>
    <w:p w:rsidR="00000000" w:rsidRDefault="00000000">
      <w:r>
        <w:t xml:space="preserve">195. </w:t>
      </w:r>
      <w:r>
        <w:tab/>
        <w:t>Благодаря проведению комплекса мероприятий на протяжении 2003–2004 годов удалось стабилизировать уровень заболеваемости на туберкулёз, а в учреждениях исполнения наказания (по сравнению с 2000 годом) снизить в 2,5 раза.</w:t>
      </w:r>
    </w:p>
    <w:p w:rsidR="00000000" w:rsidRDefault="00000000"/>
    <w:p w:rsidR="00000000" w:rsidRDefault="00000000">
      <w:r>
        <w:t xml:space="preserve">196. </w:t>
      </w:r>
      <w:r>
        <w:tab/>
        <w:t>В Уголовно-исполнительном кодексе Украины законодательно закреплено осуществление общественного контроля за соблюдением прав осуждённых во время исполнения уголовных наказаний. Такой контроль осуществляется наблюдательными комиссиями, в состав которых входят представители местных органов власти, местного самоуправления и общественности. Кроме этого при Государственном департаменте Украины по вопросам исполнения наказаний и его территориальных органах управления действуют общественные советы.</w:t>
      </w:r>
    </w:p>
    <w:p w:rsidR="00000000" w:rsidRDefault="00000000"/>
    <w:p w:rsidR="00000000" w:rsidRDefault="00000000">
      <w:r>
        <w:t xml:space="preserve">197. </w:t>
      </w:r>
      <w:r>
        <w:tab/>
        <w:t xml:space="preserve">В Украине сделаны реальные шаги на пути создания единой государственной системы пенитенциарной опеки освобождённых граждан. В 2004 году вступил в силу Закон Украины «О социальной адаптации лиц, которые отбывали наказание в виде ограничения свободы или лишения свободы на определённый срок». </w:t>
      </w:r>
    </w:p>
    <w:p w:rsidR="00000000" w:rsidRDefault="00000000"/>
    <w:p w:rsidR="00000000" w:rsidRDefault="00000000">
      <w:r>
        <w:t xml:space="preserve">198. </w:t>
      </w:r>
      <w:r>
        <w:tab/>
        <w:t>Правительством утверждена "Государственная программа социальной адаптации лиц, освобождённых из мест лишения свободы, на 2004–2006 годы" (постановление Кабинета Министров Украины от 30 августа 2004 года).</w:t>
      </w:r>
    </w:p>
    <w:p w:rsidR="00000000" w:rsidRDefault="00000000"/>
    <w:p w:rsidR="00000000" w:rsidRDefault="00000000">
      <w:r>
        <w:t xml:space="preserve">199. </w:t>
      </w:r>
      <w:r>
        <w:tab/>
        <w:t>Функции по организации и координации работы по вопросам социальной защиты освобождённых граждан, развитию системы социальной адаптации этих лиц, созданию специализированных учреждений возложены на Министерство труда и социальной политики Украины.</w:t>
      </w:r>
    </w:p>
    <w:p w:rsidR="00000000" w:rsidRDefault="00000000"/>
    <w:p w:rsidR="00000000" w:rsidRDefault="00000000">
      <w:r>
        <w:t xml:space="preserve">200. </w:t>
      </w:r>
      <w:r>
        <w:tab/>
        <w:t xml:space="preserve">В настоящее время Государственным департаментом Украины по вопросам исполнения наказаний подготовлен проект Государственной программы  приведения условий содержания лиц, которые находятся в учреждениях уголовно-исполнительной системы, в соответствие с требованиями законодательства на 2005-2010 годы, который подан в Кабинет Министров Украины для утверждения. Кроме этого, Министерством юстиции Украины совместно с Департаментом подготовлен проект Концепции государственной политики в сфере исполнения уголовных наказаний, который предусматривает дальнейшую </w:t>
      </w:r>
      <w:proofErr w:type="spellStart"/>
      <w:r>
        <w:t>гуманизацию</w:t>
      </w:r>
      <w:proofErr w:type="spellEnd"/>
      <w:r>
        <w:t xml:space="preserve"> и улучшение условий отбывания наказаний, а также уменьшение количества лиц содержащихся в местах лишения свободы.</w:t>
      </w:r>
    </w:p>
    <w:p w:rsidR="00000000" w:rsidRDefault="00000000"/>
    <w:p w:rsidR="00000000" w:rsidRDefault="00000000">
      <w:pPr>
        <w:jc w:val="center"/>
        <w:rPr>
          <w:b/>
          <w:bCs/>
        </w:rPr>
      </w:pPr>
      <w:r>
        <w:rPr>
          <w:b/>
          <w:bCs/>
        </w:rPr>
        <w:t>Статья 12</w:t>
      </w:r>
    </w:p>
    <w:p w:rsidR="00000000" w:rsidRDefault="00000000"/>
    <w:p w:rsidR="00000000" w:rsidRDefault="00000000">
      <w:r>
        <w:t xml:space="preserve">201. </w:t>
      </w:r>
      <w:r>
        <w:tab/>
        <w:t>Решением Конституционного Суда Украины от 14 ноября 2001 года содержание подпункта 1 пункта 4 Положения о паспортной службе органов внутренних дел о прописке (выписке) признано неконституционным.</w:t>
      </w:r>
    </w:p>
    <w:p w:rsidR="00000000" w:rsidRDefault="00000000"/>
    <w:p w:rsidR="00000000" w:rsidRDefault="00000000">
      <w:r>
        <w:t xml:space="preserve">202. </w:t>
      </w:r>
      <w:r>
        <w:tab/>
        <w:t xml:space="preserve">В 2003 году принят Закон Украины "О свободе передвижения и свободном выборе места жительства". </w:t>
      </w:r>
    </w:p>
    <w:p w:rsidR="00000000" w:rsidRDefault="00000000"/>
    <w:p w:rsidR="00000000" w:rsidRDefault="00000000">
      <w:r>
        <w:t xml:space="preserve">203. </w:t>
      </w:r>
      <w:r>
        <w:tab/>
        <w:t xml:space="preserve">Институт прописки как способ фиксации факта проживания или изменения проживания в конкретном месте заменен институтом регистрации. В отличие от института прописки, который имел административно-разрешительный характер, регистрация места проживания или его изменения имеет сообщающий характер. </w:t>
      </w:r>
    </w:p>
    <w:p w:rsidR="00000000" w:rsidRDefault="00000000"/>
    <w:p w:rsidR="00000000" w:rsidRDefault="00000000">
      <w:r>
        <w:t xml:space="preserve">204. </w:t>
      </w:r>
      <w:r>
        <w:tab/>
        <w:t xml:space="preserve">При регистрации, когда человек свободно выбирает место жительства, главной целью является обеспечение постоянной юридической связи между ним и государством для возможности выполнения взаимных прав и обязательств. Прописка выполняла функцию закрепления населения за определенной административно-территориальной единицей посредством системы территориальных лимитов, поэтому для ее осуществления нужна была выдача разрешения разными жилищно-бытовыми комиссиями, местными администрациями и другими органами. </w:t>
      </w:r>
    </w:p>
    <w:p w:rsidR="00000000" w:rsidRDefault="00000000"/>
    <w:p w:rsidR="00000000" w:rsidRDefault="00000000">
      <w:r>
        <w:t xml:space="preserve">205. </w:t>
      </w:r>
      <w:r>
        <w:tab/>
        <w:t>Отметим также, что если прописка осуществлялась исключительно по месту жительства, то регистрация предусмотрена как по месту жительства, так и по месту пребывания.</w:t>
      </w:r>
    </w:p>
    <w:p w:rsidR="00000000" w:rsidRDefault="00000000"/>
    <w:p w:rsidR="00000000" w:rsidRDefault="00000000">
      <w:r>
        <w:t xml:space="preserve">206. </w:t>
      </w:r>
      <w:r>
        <w:tab/>
        <w:t>На данный момент граждане Украины, иностранцы и лица без гражданства, которые пребывают на территории Украины на законных основаниях, не обязаны получать для изменения своего места проживания на территории Украины разрешение от административных органов.</w:t>
      </w:r>
    </w:p>
    <w:p w:rsidR="00000000" w:rsidRDefault="00000000"/>
    <w:p w:rsidR="00000000" w:rsidRDefault="00000000">
      <w:r>
        <w:t xml:space="preserve">207. </w:t>
      </w:r>
      <w:r>
        <w:tab/>
        <w:t xml:space="preserve">Существенно уменьшился перечень документов. Для регистрации необходимы только паспортный документ, заявление, квитанция об оплате </w:t>
      </w:r>
      <w:proofErr w:type="spellStart"/>
      <w:r>
        <w:t>госпошлины</w:t>
      </w:r>
      <w:proofErr w:type="spellEnd"/>
      <w:r>
        <w:t xml:space="preserve"> и 2 талона о снятии с предыдущего места учета. </w:t>
      </w:r>
    </w:p>
    <w:p w:rsidR="00000000" w:rsidRDefault="00000000"/>
    <w:p w:rsidR="00000000" w:rsidRDefault="00000000">
      <w:r>
        <w:t xml:space="preserve">208. </w:t>
      </w:r>
      <w:r>
        <w:tab/>
        <w:t xml:space="preserve">Согласно Заключительным положениям вышеуказанного Закона все, кто имел в паспорте </w:t>
      </w:r>
      <w:proofErr w:type="spellStart"/>
      <w:r>
        <w:t>штамп"прописанный</w:t>
      </w:r>
      <w:proofErr w:type="spellEnd"/>
      <w:r>
        <w:t>", автоматически считаются зарегистрированными, каких-то дополнительных отметок делать таким гражданам не нужно. Это очень важно с точки зрения поэтапного введения этого Закона.</w:t>
      </w:r>
    </w:p>
    <w:p w:rsidR="00000000" w:rsidRDefault="00000000"/>
    <w:p w:rsidR="00000000" w:rsidRDefault="00000000">
      <w:r>
        <w:t xml:space="preserve">209. </w:t>
      </w:r>
      <w:r>
        <w:tab/>
        <w:t>Указанным Законом определено, что регистрация места проживания или места пребывания лица или ее отсутствие не могут быть условием реализации прав и свобод, предусмотренных Конституцией Украины, законами или международными договорами Украины, или поводом для их ограничения.</w:t>
      </w:r>
    </w:p>
    <w:p w:rsidR="00000000" w:rsidRDefault="00000000"/>
    <w:p w:rsidR="00000000" w:rsidRDefault="00000000">
      <w:r>
        <w:t xml:space="preserve">210. </w:t>
      </w:r>
      <w:r>
        <w:tab/>
        <w:t>Этим Законом также установлено перечень условий, при которых может быть ограничено свободу передвижений и свободного выбора места проживания.</w:t>
      </w:r>
    </w:p>
    <w:p w:rsidR="00000000" w:rsidRDefault="00000000"/>
    <w:p w:rsidR="00000000" w:rsidRDefault="00000000">
      <w:r>
        <w:t xml:space="preserve">211. </w:t>
      </w:r>
      <w:r>
        <w:tab/>
        <w:t>На период до принятия Закона Украины "О порядке регистрации физических лиц по месту проживания" 16 января 2003 года принято Временное положение о порядке регистрации физических лиц по месту проживания.</w:t>
      </w:r>
    </w:p>
    <w:p w:rsidR="00000000" w:rsidRDefault="00000000"/>
    <w:p w:rsidR="00000000" w:rsidRDefault="00000000">
      <w:r>
        <w:t xml:space="preserve">212. </w:t>
      </w:r>
      <w:r>
        <w:tab/>
        <w:t>Утвержден Временный порядок регистрации физических лиц по месту проживания.</w:t>
      </w:r>
    </w:p>
    <w:p w:rsidR="00000000" w:rsidRDefault="00000000"/>
    <w:p w:rsidR="00000000" w:rsidRDefault="00000000">
      <w:r>
        <w:t xml:space="preserve">213. </w:t>
      </w:r>
      <w:r>
        <w:tab/>
        <w:t>Таким образом, институт прописки в Украине ликвидирован.</w:t>
      </w:r>
    </w:p>
    <w:p w:rsidR="00000000" w:rsidRDefault="00000000"/>
    <w:p w:rsidR="00000000" w:rsidRDefault="00000000">
      <w:pPr>
        <w:jc w:val="center"/>
        <w:rPr>
          <w:b/>
          <w:bCs/>
        </w:rPr>
      </w:pPr>
      <w:r>
        <w:rPr>
          <w:b/>
          <w:bCs/>
        </w:rPr>
        <w:t>Статья 13</w:t>
      </w:r>
    </w:p>
    <w:p w:rsidR="00000000" w:rsidRDefault="00000000"/>
    <w:p w:rsidR="00000000" w:rsidRDefault="00000000">
      <w:r>
        <w:t xml:space="preserve">214. </w:t>
      </w:r>
      <w:r>
        <w:tab/>
        <w:t>Вопросы пребывания на территории Украины иностранцев и лиц без гражданства регулируется Законом "О правовом статусе иностранцев и лиц без гражданства" от 4 февраля 1994 года.</w:t>
      </w:r>
    </w:p>
    <w:p w:rsidR="00000000" w:rsidRDefault="00000000"/>
    <w:p w:rsidR="00000000" w:rsidRDefault="00000000">
      <w:r>
        <w:t xml:space="preserve">215. </w:t>
      </w:r>
      <w:r>
        <w:tab/>
        <w:t>Статьей 32 Закона предусмотрено, что иностранец и лицо без гражданства, которые совершили преступление или административное правонарушение на территории Украины, могут быть выдворены за пределы Украины после отбытия назначенного им наказания. Также по решению органа внутренних дел такое выдворение может сопровождаться запрещением дальнейшего въезда в Украину на протяжении пяти лет.</w:t>
      </w:r>
    </w:p>
    <w:p w:rsidR="00000000" w:rsidRDefault="00000000"/>
    <w:p w:rsidR="00000000" w:rsidRDefault="00000000">
      <w:r>
        <w:t xml:space="preserve">216. </w:t>
      </w:r>
      <w:r>
        <w:tab/>
        <w:t xml:space="preserve">Также иностранцы и лица без гражданства могут быть выдворены за пределы Украины по решению органов внутренних дел, органов охраны государственной границы или Службы Безопасности Украины, если их действия грубо нарушают законодательство о статусе иностранцев и лиц без гражданства, или когда это необходимо для охраны здоровья, защиты прав и законных интересов граждан Украины. </w:t>
      </w:r>
    </w:p>
    <w:p w:rsidR="00000000" w:rsidRDefault="00000000"/>
    <w:p w:rsidR="00000000" w:rsidRDefault="00000000">
      <w:r>
        <w:t xml:space="preserve">217. </w:t>
      </w:r>
      <w:r>
        <w:tab/>
        <w:t>О выдворении иностранца должны быть уведомлены органы прокуратуры в течение 24 часов.</w:t>
      </w:r>
    </w:p>
    <w:p w:rsidR="00000000" w:rsidRDefault="00000000"/>
    <w:p w:rsidR="00000000" w:rsidRDefault="00000000">
      <w:r>
        <w:t xml:space="preserve">218. </w:t>
      </w:r>
      <w:r>
        <w:tab/>
        <w:t>Для выезда из Украины иностранцу и лицу без гражданства могут быть предоставлены 30 дней после принятия решения о выдворении.</w:t>
      </w:r>
    </w:p>
    <w:p w:rsidR="00000000" w:rsidRDefault="00000000"/>
    <w:p w:rsidR="00000000" w:rsidRDefault="00000000">
      <w:r>
        <w:t xml:space="preserve">219. </w:t>
      </w:r>
      <w:r>
        <w:tab/>
        <w:t>Решение органов внутренних дел, органов охраны государственной границы или Службы Безопасности Украины о выдворении иностранца и лица без гражданства из Украины может быть опротестовано в суде. Опротестование приостанавливает исполнение решения о выдворении, кроме случаев, когда необходимость немедленного выдворения обусловлена интересами обеспечения безопасности Украины или охраны общественного порядка.</w:t>
      </w:r>
    </w:p>
    <w:p w:rsidR="00000000" w:rsidRDefault="00000000"/>
    <w:p w:rsidR="00000000" w:rsidRDefault="00000000">
      <w:pPr>
        <w:jc w:val="center"/>
        <w:rPr>
          <w:b/>
          <w:bCs/>
        </w:rPr>
      </w:pPr>
      <w:r>
        <w:rPr>
          <w:b/>
          <w:bCs/>
        </w:rPr>
        <w:t>Статья 14</w:t>
      </w:r>
    </w:p>
    <w:p w:rsidR="00000000" w:rsidRDefault="00000000">
      <w:pPr>
        <w:rPr>
          <w:b/>
          <w:bCs/>
        </w:rPr>
      </w:pPr>
    </w:p>
    <w:p w:rsidR="00000000" w:rsidRDefault="00000000">
      <w:pPr>
        <w:jc w:val="center"/>
        <w:rPr>
          <w:b/>
          <w:bCs/>
        </w:rPr>
      </w:pPr>
      <w:r>
        <w:rPr>
          <w:b/>
          <w:bCs/>
        </w:rPr>
        <w:t>Пункт 1</w:t>
      </w:r>
    </w:p>
    <w:p w:rsidR="00000000" w:rsidRDefault="00000000"/>
    <w:p w:rsidR="00000000" w:rsidRDefault="00000000">
      <w:r>
        <w:t xml:space="preserve">220. </w:t>
      </w:r>
      <w:r>
        <w:tab/>
        <w:t xml:space="preserve">Конституция Украины в статье 124 определяет, что правосудие в Украине осуществляется исключительно судами.  </w:t>
      </w:r>
    </w:p>
    <w:p w:rsidR="00000000" w:rsidRDefault="00000000"/>
    <w:p w:rsidR="00000000" w:rsidRDefault="00000000">
      <w:r>
        <w:t xml:space="preserve">221. </w:t>
      </w:r>
      <w:r>
        <w:tab/>
        <w:t>Уголовно-процессуальным кодексом Украины определяется, что правосудие в уголовных делах осуществляется на основе равенства граждан перед законом и судом независимо от происхождения, социального и материального положения, расовой и национальной принадлежности, пола, образования, языка, отношения к религии, рода и характера занятий, места проживания и других обстоятельств (статья 16).</w:t>
      </w:r>
    </w:p>
    <w:p w:rsidR="00000000" w:rsidRDefault="00000000"/>
    <w:p w:rsidR="00000000" w:rsidRDefault="00000000">
      <w:r>
        <w:t xml:space="preserve">222. </w:t>
      </w:r>
      <w:r>
        <w:tab/>
        <w:t>В соответствии со статьей 20 Уголовно-процессуального кодекса рассмотрение дел во всех судах открытое, за исключением случаев, когда это противоречит интересам охраны государственной тайны.</w:t>
      </w:r>
    </w:p>
    <w:p w:rsidR="00000000" w:rsidRDefault="00000000"/>
    <w:p w:rsidR="00000000" w:rsidRDefault="00000000">
      <w:r>
        <w:t xml:space="preserve">223. </w:t>
      </w:r>
      <w:r>
        <w:tab/>
        <w:t xml:space="preserve">Закрытое судебное рассмотрение, кроме того, допускается за мотивированным определением суда в делах о преступлениях лиц, которые не достигли шестнадцатилетнего возраста, в делах о сексуальных преступлениях, а также в других делах с целью предотвращения разглашения сведений об интимных сторонах жизни лиц, которые принимают участие в деле. </w:t>
      </w:r>
    </w:p>
    <w:p w:rsidR="00000000" w:rsidRDefault="00000000"/>
    <w:p w:rsidR="00000000" w:rsidRDefault="00000000">
      <w:r>
        <w:t xml:space="preserve">224. </w:t>
      </w:r>
      <w:r>
        <w:tab/>
        <w:t>В отношении состояния уголовно-процессуального законодательства Украины отметим, что был разработан проект Уголовно-процессуального кодекса, который на данный момент подготовлен к внесению на повторное второе чтение.</w:t>
      </w:r>
    </w:p>
    <w:p w:rsidR="00000000" w:rsidRDefault="00000000">
      <w:r>
        <w:t xml:space="preserve">225. </w:t>
      </w:r>
      <w:r>
        <w:tab/>
        <w:t xml:space="preserve">Данный проект является более детальным, гуманным и направлен на обеспечение конституционных прав подозреваемого, обвиняемого, пострадавшего. </w:t>
      </w:r>
    </w:p>
    <w:p w:rsidR="00000000" w:rsidRDefault="00000000"/>
    <w:p w:rsidR="00000000" w:rsidRDefault="00000000">
      <w:pPr>
        <w:jc w:val="center"/>
        <w:rPr>
          <w:b/>
          <w:bCs/>
        </w:rPr>
      </w:pPr>
      <w:r>
        <w:rPr>
          <w:b/>
          <w:bCs/>
        </w:rPr>
        <w:t>Пункт 2</w:t>
      </w:r>
    </w:p>
    <w:p w:rsidR="00000000" w:rsidRDefault="00000000"/>
    <w:p w:rsidR="00000000" w:rsidRDefault="00000000">
      <w:r>
        <w:t xml:space="preserve">226. </w:t>
      </w:r>
      <w:r>
        <w:tab/>
        <w:t>В Украине в отношении установления уголовной ответственности действует презумпция невиновности.</w:t>
      </w:r>
    </w:p>
    <w:p w:rsidR="00000000" w:rsidRDefault="00000000"/>
    <w:p w:rsidR="00000000" w:rsidRDefault="00000000">
      <w:r>
        <w:t xml:space="preserve">227. </w:t>
      </w:r>
      <w:r>
        <w:tab/>
        <w:t xml:space="preserve">Так, в соответствии со статьей 2 Уголовного кодекса лицо считается невиновным в совершении преступления и не может быть подвергнуто уголовному наказанию, пока его вина не будет доказана  в законном порядке и установлена обвинительным приговором суда. </w:t>
      </w:r>
    </w:p>
    <w:p w:rsidR="00000000" w:rsidRDefault="00000000"/>
    <w:p w:rsidR="00000000" w:rsidRDefault="00000000">
      <w:pPr>
        <w:jc w:val="center"/>
        <w:rPr>
          <w:b/>
          <w:bCs/>
        </w:rPr>
      </w:pPr>
      <w:r>
        <w:rPr>
          <w:b/>
          <w:bCs/>
        </w:rPr>
        <w:t>Пункт 3</w:t>
      </w:r>
    </w:p>
    <w:p w:rsidR="00000000" w:rsidRDefault="00000000"/>
    <w:p w:rsidR="00000000" w:rsidRDefault="00000000">
      <w:r>
        <w:t xml:space="preserve">228. </w:t>
      </w:r>
      <w:r>
        <w:tab/>
        <w:t>Подозреваемому, обвиняемому и подсудимому обеспечивается право на защиту (часть первая статьи 21 Уголовно-процессуального кодекса).</w:t>
      </w:r>
    </w:p>
    <w:p w:rsidR="00000000" w:rsidRDefault="00000000"/>
    <w:p w:rsidR="00000000" w:rsidRDefault="00000000">
      <w:r>
        <w:t xml:space="preserve">229. </w:t>
      </w:r>
      <w:r>
        <w:tab/>
        <w:t xml:space="preserve">Уголовно-процессуальное законодательство Украины гарантирует  обвиняемому и подозреваемому защиту их прав при проведении следственных действий. В частности, они имеют право: знать, в чем их обвиняют или подозревают; давать показания по предъявленному ему обвинению или отказаться давать показания и отвечать на вопросы; иметь защитника и свидания с ним до первого допроса; предоставлять доказательства; подавать ходатайство; ознакомиться, после завершения предварительного следствия, со всеми материалами дела; принимать участие в судебном рассмотрении в суде первой инстанции; заявлять об отводе; подавать жалобы на действия и решения лица, которое проводило дознание, следователя, прокурора, судьи и суда (статьи 43 и </w:t>
      </w:r>
      <w:proofErr w:type="spellStart"/>
      <w:r>
        <w:t>43¹</w:t>
      </w:r>
      <w:proofErr w:type="spellEnd"/>
      <w:r>
        <w:t xml:space="preserve"> Уголовно-процессуального кодекса). </w:t>
      </w:r>
    </w:p>
    <w:p w:rsidR="00000000" w:rsidRDefault="00000000"/>
    <w:p w:rsidR="00000000" w:rsidRDefault="00000000">
      <w:pPr>
        <w:jc w:val="center"/>
        <w:rPr>
          <w:b/>
          <w:bCs/>
        </w:rPr>
      </w:pPr>
      <w:r>
        <w:rPr>
          <w:b/>
          <w:bCs/>
        </w:rPr>
        <w:t>Пункт 4</w:t>
      </w:r>
    </w:p>
    <w:p w:rsidR="00000000" w:rsidRDefault="00000000"/>
    <w:p w:rsidR="00000000" w:rsidRDefault="00000000">
      <w:r>
        <w:t xml:space="preserve">230. </w:t>
      </w:r>
      <w:r>
        <w:tab/>
        <w:t>Когда речь идет о уголовной ответственности и наказании несовершеннолетних, имеет значение выделение среди них тех, которые достигли возраста, с которого может наставать уголовная ответственность. Так, уголовной ответственности подлежат лица, которым до совершения преступления исполнилось 16 лет. Лица, которые совершили преступление в возрасте от 14 до 16 лет, подлежат</w:t>
      </w:r>
      <w:r>
        <w:rPr>
          <w:color w:val="339966"/>
        </w:rPr>
        <w:t xml:space="preserve"> </w:t>
      </w:r>
      <w:r>
        <w:t xml:space="preserve">уголовной ответственности только за определенные преступления, перечень которых содержится в статье 22 Уголовного кодекса Украины. </w:t>
      </w:r>
    </w:p>
    <w:p w:rsidR="00000000" w:rsidRDefault="00000000"/>
    <w:p w:rsidR="00000000" w:rsidRDefault="00000000">
      <w:r>
        <w:t xml:space="preserve">231. </w:t>
      </w:r>
      <w:r>
        <w:tab/>
        <w:t>Учитывая биологические, психологические и социальные особенности несовершеннолетних, закон, во-первых, обеспечивает их усиленную уголовно-правовую охрану, во-вторых, предусматривает особенности привлечения их к ответственности, освобождения от ответственности, назначения наказания, освобождения от наказания и его отбывания.</w:t>
      </w:r>
    </w:p>
    <w:p w:rsidR="00000000" w:rsidRDefault="00000000"/>
    <w:p w:rsidR="00000000" w:rsidRDefault="00000000">
      <w:r>
        <w:t xml:space="preserve">232. </w:t>
      </w:r>
      <w:r>
        <w:tab/>
        <w:t xml:space="preserve">Основание уголовной ответственности несовершеннолетних и ее принципы такие же, которые действуют относительно совершеннолетних лиц. В разделе </w:t>
      </w:r>
      <w:proofErr w:type="spellStart"/>
      <w:r>
        <w:t>XV</w:t>
      </w:r>
      <w:proofErr w:type="spellEnd"/>
      <w:r>
        <w:t xml:space="preserve"> Общей части Уголовного кодекса Украины сосредоточены лишь нормы, которые касаются особенностей уголовной ответственности и наказания несовершеннолетних: 1) устанавливаются более широкие, чем относительно совершеннолетних, условия освобождения от уголовной ответственности, в частности с применением принудительных мер воспитательного характера; 2) содержатся ограничения относительно суровости видов и размеров наказания и других мер уголовно-правового характера; 3) предусматриваются более мягкие требования (условия) для освобождения от уголовного наказания; 4) регламентируются требования к погашению и снятию судимости.</w:t>
      </w:r>
    </w:p>
    <w:p w:rsidR="00000000" w:rsidRDefault="00000000"/>
    <w:p w:rsidR="00000000" w:rsidRDefault="00000000">
      <w:r>
        <w:t xml:space="preserve">233. </w:t>
      </w:r>
      <w:r>
        <w:tab/>
        <w:t>Если те или другие вопросы не регламентированы статьями этого раздела Кодекса, то при рассмотрении дел несовершеннолетних следует руководствоваться положениями, изложенными в других разделах Общей и Особенной частей Уголовного кодекса.</w:t>
      </w:r>
    </w:p>
    <w:p w:rsidR="00000000" w:rsidRDefault="00000000"/>
    <w:p w:rsidR="00000000" w:rsidRDefault="00000000">
      <w:r>
        <w:t xml:space="preserve">234. </w:t>
      </w:r>
      <w:r>
        <w:tab/>
        <w:t>Уголовно-процессуальный кодекс Украины определяет порядок решения дел об общественно опасных деяниях, совершенных лицом, которое не достигло возраста, с которого возможна уголовная ответственность.</w:t>
      </w:r>
    </w:p>
    <w:p w:rsidR="00000000" w:rsidRDefault="00000000"/>
    <w:p w:rsidR="00000000" w:rsidRDefault="00000000">
      <w:r>
        <w:t xml:space="preserve">235. </w:t>
      </w:r>
      <w:r>
        <w:tab/>
        <w:t>В соответствии со статьей 7</w:t>
      </w:r>
      <w:r>
        <w:rPr>
          <w:vertAlign w:val="superscript"/>
        </w:rPr>
        <w:t xml:space="preserve">3 </w:t>
      </w:r>
      <w:r>
        <w:t xml:space="preserve">Кодекса следователь, установив в уголовном деле, что общественно опасное деяние совершено лицом в возрасте от одиннадцати лет и до достижения возраста, с которого возможна криминальная ответственность (т.е. 16, а в некоторых случаях 14 лет), выносит мотивированное постановление о закрытии дела и применении к несовершеннолетнему принудительных мер воспитательного характера. Дело вместе с постановлением направляется прокурору. Перед направлением дела прокурору несовершеннолетнему, относительно которого вынесено постановление, а также его родителям или лицам, которые их заменяют, предоставляется возможность ознакомиться со всеми материалами дела, при этом они имеют право пользоваться услугами защитника. </w:t>
      </w:r>
    </w:p>
    <w:p w:rsidR="00000000" w:rsidRDefault="00000000"/>
    <w:p w:rsidR="00000000" w:rsidRDefault="00000000">
      <w:r>
        <w:t xml:space="preserve">236. </w:t>
      </w:r>
      <w:r>
        <w:tab/>
        <w:t>Если установлено, что лицо, которое в возрасте от одиннадцати до четырнадцати лет совершило общественно опасное деяние, за которое Уголовным кодексом Украины предусматривается наказание в виде лишения свободы на срок более пяти лет, необходимо в связи с этим немедленно изолировать, то по постановлению следователя или органа дознания с согласия прокурора по мотивированному решению суда его может быть помещено в приемник-распределитель для несовершеннолетних на срок до 30 суток. Участие защитника в этом случае обеспечивается с момента помещения несовершеннолетнего в приемник-распределитель.</w:t>
      </w:r>
    </w:p>
    <w:p w:rsidR="00000000" w:rsidRDefault="00000000"/>
    <w:p w:rsidR="00000000" w:rsidRDefault="00000000">
      <w:r>
        <w:t xml:space="preserve">237. </w:t>
      </w:r>
      <w:r>
        <w:tab/>
        <w:t>Если общественно опасное деяние было совершено ребенком, который не достиг одиннадцати лет, следователь, установив это, выносит постановление о закрытии дела, о чем сообщает прокурору и комиссии по делам несовершеннолетних по месту проживания ребенка.</w:t>
      </w:r>
    </w:p>
    <w:p w:rsidR="00000000" w:rsidRDefault="00000000"/>
    <w:p w:rsidR="00000000" w:rsidRDefault="00000000">
      <w:pPr>
        <w:jc w:val="center"/>
        <w:rPr>
          <w:b/>
          <w:bCs/>
        </w:rPr>
      </w:pPr>
      <w:r>
        <w:rPr>
          <w:b/>
          <w:bCs/>
        </w:rPr>
        <w:t>Пункт 5</w:t>
      </w:r>
    </w:p>
    <w:p w:rsidR="00000000" w:rsidRDefault="00000000"/>
    <w:p w:rsidR="00000000" w:rsidRDefault="00000000">
      <w:r>
        <w:t xml:space="preserve">238. </w:t>
      </w:r>
      <w:r>
        <w:tab/>
        <w:t>В соответствии со статьей 12 Закона Украины "О судоустройстве Украины" от 7 февраля 2002 года участники судебного процесса и другие лица в случаях и порядке, предусмотренном процессуальным законом, имеют право на апелляционное и кассационное опротестование судебного решения.</w:t>
      </w:r>
    </w:p>
    <w:p w:rsidR="00000000" w:rsidRDefault="00000000"/>
    <w:p w:rsidR="00000000" w:rsidRDefault="00000000">
      <w:r>
        <w:t xml:space="preserve">239. </w:t>
      </w:r>
      <w:r>
        <w:tab/>
        <w:t xml:space="preserve">Уголовно-процессуальный кодекс Украины в Разделе </w:t>
      </w:r>
      <w:proofErr w:type="spellStart"/>
      <w:r>
        <w:t>IV</w:t>
      </w:r>
      <w:proofErr w:type="spellEnd"/>
      <w:r>
        <w:t xml:space="preserve"> определяет порядок подачи апелляций, кассаций, а также порядок пересмотра судебных решений в порядке исключительного производства.   </w:t>
      </w:r>
    </w:p>
    <w:p w:rsidR="00000000" w:rsidRDefault="00000000"/>
    <w:p w:rsidR="00000000" w:rsidRDefault="00000000">
      <w:pPr>
        <w:jc w:val="center"/>
        <w:rPr>
          <w:b/>
          <w:bCs/>
        </w:rPr>
      </w:pPr>
      <w:r>
        <w:rPr>
          <w:b/>
          <w:bCs/>
        </w:rPr>
        <w:t>Пункт 7</w:t>
      </w:r>
    </w:p>
    <w:p w:rsidR="00000000" w:rsidRDefault="00000000"/>
    <w:p w:rsidR="00000000" w:rsidRDefault="00000000">
      <w:r>
        <w:t xml:space="preserve">240. </w:t>
      </w:r>
      <w:r>
        <w:tab/>
        <w:t>Статьей 61 Конституции установлено, что никто не может быть дважды привлечен к юридической ответственности одного вида за одно и тоже правонарушение.</w:t>
      </w:r>
    </w:p>
    <w:p w:rsidR="00000000" w:rsidRDefault="00000000"/>
    <w:p w:rsidR="00000000" w:rsidRDefault="00000000">
      <w:r>
        <w:t xml:space="preserve">241. </w:t>
      </w:r>
      <w:r>
        <w:tab/>
        <w:t xml:space="preserve">Реализацией этого положения Конституции в уголовном праве является часть третья статьи 2 Уголовного кодекса Украины. </w:t>
      </w:r>
    </w:p>
    <w:p w:rsidR="00000000" w:rsidRDefault="00000000"/>
    <w:p w:rsidR="00000000" w:rsidRDefault="00000000">
      <w:r>
        <w:t xml:space="preserve">242. </w:t>
      </w:r>
      <w:r>
        <w:tab/>
        <w:t xml:space="preserve">Это положение применяется как тогда, когда лицо уже было наказано за то же самое преступление, так и тогда, когда лицо было оправдано или по тем или иным причинам было безусловно освобождено от уголовной ответственности или наказания. </w:t>
      </w:r>
    </w:p>
    <w:p w:rsidR="00000000" w:rsidRDefault="00000000"/>
    <w:p w:rsidR="00000000" w:rsidRDefault="00000000">
      <w:r>
        <w:t xml:space="preserve">243. </w:t>
      </w:r>
      <w:r>
        <w:tab/>
        <w:t>Это положение распространяется также и на случаи привлечения к криминальной ответственности, наказания, оправдания или освобождения от ответственности в другой стране.</w:t>
      </w:r>
    </w:p>
    <w:p w:rsidR="00000000" w:rsidRDefault="00000000"/>
    <w:p w:rsidR="00000000" w:rsidRDefault="00000000">
      <w:pPr>
        <w:jc w:val="center"/>
        <w:rPr>
          <w:b/>
          <w:bCs/>
        </w:rPr>
      </w:pPr>
      <w:r>
        <w:rPr>
          <w:b/>
          <w:bCs/>
        </w:rPr>
        <w:br w:type="page"/>
        <w:t>Статья 15</w:t>
      </w:r>
    </w:p>
    <w:p w:rsidR="00000000" w:rsidRDefault="00000000"/>
    <w:p w:rsidR="00000000" w:rsidRDefault="00000000">
      <w:pPr>
        <w:jc w:val="center"/>
        <w:rPr>
          <w:b/>
          <w:bCs/>
        </w:rPr>
      </w:pPr>
      <w:r>
        <w:rPr>
          <w:b/>
          <w:bCs/>
        </w:rPr>
        <w:t>Пункт 1</w:t>
      </w:r>
    </w:p>
    <w:p w:rsidR="00000000" w:rsidRDefault="00000000"/>
    <w:p w:rsidR="00000000" w:rsidRDefault="00000000">
      <w:r>
        <w:t xml:space="preserve">244. </w:t>
      </w:r>
      <w:r>
        <w:tab/>
        <w:t>Действие закона об уголовной ответственности во времени регулируется Уголовным кодексом Украины.</w:t>
      </w:r>
    </w:p>
    <w:p w:rsidR="00000000" w:rsidRDefault="00000000"/>
    <w:p w:rsidR="00000000" w:rsidRDefault="00000000">
      <w:r>
        <w:t xml:space="preserve">245. </w:t>
      </w:r>
      <w:r>
        <w:tab/>
        <w:t>Так, статья 4 Кодекса определяет, что преступность и наказуемость деяния определяются законом об уголовной ответственности, который действовал на время совершения этого деяния.</w:t>
      </w:r>
    </w:p>
    <w:p w:rsidR="00000000" w:rsidRDefault="00000000"/>
    <w:p w:rsidR="00000000" w:rsidRDefault="00000000">
      <w:r>
        <w:t xml:space="preserve">246. </w:t>
      </w:r>
      <w:r>
        <w:tab/>
        <w:t>Уголовным кодексом также определяется обратное действие уголовного закона во времени. Так, статья 5 определяет, что закон об уголовной ответственности, который отменяет преступность деяния или смягчает ответственность, имеет обратное действие во времени, то есть распространяется на лиц, которые совершили соответствующие деяния до вступления закона в силу, в том числе на лиц, которые отбывают наказание или отбыли наказание, но имеют судимость.</w:t>
      </w:r>
    </w:p>
    <w:p w:rsidR="00000000" w:rsidRDefault="00000000"/>
    <w:p w:rsidR="00000000" w:rsidRDefault="00000000">
      <w:r>
        <w:t xml:space="preserve">247. </w:t>
      </w:r>
      <w:r>
        <w:tab/>
        <w:t>Закон об уголовной ответственности, который устанавливает преступность деяния или усиливает уголовную ответственность, не имеет обратного действия во времени.</w:t>
      </w:r>
    </w:p>
    <w:p w:rsidR="00000000" w:rsidRDefault="00000000"/>
    <w:p w:rsidR="00000000" w:rsidRDefault="00000000">
      <w:r>
        <w:t xml:space="preserve">248. </w:t>
      </w:r>
      <w:r>
        <w:tab/>
        <w:t>Закон об уголовной ответственности, который частично смягчает ответственность, а частично ее усиливает, имеет обратное действие во времени только в той части, которая смягчает ответственность</w:t>
      </w:r>
    </w:p>
    <w:p w:rsidR="00000000" w:rsidRDefault="00000000"/>
    <w:p w:rsidR="00000000" w:rsidRDefault="00000000">
      <w:pPr>
        <w:jc w:val="center"/>
        <w:rPr>
          <w:b/>
          <w:bCs/>
        </w:rPr>
      </w:pPr>
      <w:r>
        <w:rPr>
          <w:b/>
          <w:bCs/>
        </w:rPr>
        <w:t>Пункт 2</w:t>
      </w:r>
    </w:p>
    <w:p w:rsidR="00000000" w:rsidRDefault="00000000"/>
    <w:p w:rsidR="00000000" w:rsidRDefault="00000000">
      <w:r>
        <w:t xml:space="preserve">249. </w:t>
      </w:r>
      <w:r>
        <w:tab/>
        <w:t>В соответствии с частью третьей статьи 3 Уголовного кодекса Украины преступность деяния, а также его наказуемость и другие уголовно-правовые последствия определяются только этим Кодексом.</w:t>
      </w:r>
    </w:p>
    <w:p w:rsidR="00000000" w:rsidRDefault="00000000"/>
    <w:p w:rsidR="00000000" w:rsidRDefault="00000000">
      <w:r>
        <w:t xml:space="preserve">250. </w:t>
      </w:r>
      <w:r>
        <w:tab/>
        <w:t>Применение закона об уголовной ответственности по аналогии запрещено.</w:t>
      </w:r>
    </w:p>
    <w:p w:rsidR="00000000" w:rsidRDefault="00000000"/>
    <w:p w:rsidR="00000000" w:rsidRDefault="00000000">
      <w:r>
        <w:t xml:space="preserve">251. </w:t>
      </w:r>
      <w:r>
        <w:tab/>
        <w:t>В соответствии с частью пятой указанной статьи законы Украины об уголовной ответственности должны соответствовать положениям, которые содержаться в действующих международных договорах, согласие на обязательность которых дано Верховным Советом Украины.</w:t>
      </w:r>
    </w:p>
    <w:p w:rsidR="00000000" w:rsidRDefault="00000000"/>
    <w:p w:rsidR="00000000" w:rsidRDefault="00000000">
      <w:pPr>
        <w:jc w:val="center"/>
        <w:rPr>
          <w:b/>
          <w:bCs/>
        </w:rPr>
      </w:pPr>
      <w:r>
        <w:rPr>
          <w:b/>
          <w:bCs/>
        </w:rPr>
        <w:br w:type="page"/>
        <w:t>Статья 17</w:t>
      </w:r>
    </w:p>
    <w:p w:rsidR="00000000" w:rsidRDefault="00000000"/>
    <w:p w:rsidR="00000000" w:rsidRDefault="00000000">
      <w:r>
        <w:t xml:space="preserve">252. </w:t>
      </w:r>
      <w:r>
        <w:tab/>
        <w:t>В соответствии со статьей 32 Конституции никто не может подвергаться вмешательству в его личную и семейную жизнь, кроме случаев, предусмотренных самой Конституцией.</w:t>
      </w:r>
    </w:p>
    <w:p w:rsidR="00000000" w:rsidRDefault="00000000"/>
    <w:p w:rsidR="00000000" w:rsidRDefault="00000000">
      <w:r>
        <w:t xml:space="preserve">253. </w:t>
      </w:r>
      <w:r>
        <w:tab/>
        <w:t>Не допускается сбор, хранение, использование и распространение конфиденциальной информации о лице без его согласия, кроме случаев, определенных законом, и только в интересах национальной безопасности, экономического благополучия и прав человека.</w:t>
      </w:r>
    </w:p>
    <w:p w:rsidR="00000000" w:rsidRDefault="00000000"/>
    <w:p w:rsidR="00000000" w:rsidRDefault="00000000">
      <w:r>
        <w:t xml:space="preserve">254. </w:t>
      </w:r>
      <w:r>
        <w:tab/>
        <w:t xml:space="preserve">Согласно статьи 31 Конституции каждому гарантируется тайна переписки, телефонных разговоров, телеграфной и другой корреспонденции. Исключения могут быть установлены только судом в случаях, предусмотренных законом, с целью предупредить преступление или определить истину во время расследования уголовного дела, если другими способами получить информацию невозможно. </w:t>
      </w:r>
    </w:p>
    <w:p w:rsidR="00000000" w:rsidRDefault="00000000"/>
    <w:p w:rsidR="00000000" w:rsidRDefault="00000000">
      <w:r>
        <w:t xml:space="preserve">255. </w:t>
      </w:r>
      <w:r>
        <w:tab/>
        <w:t xml:space="preserve">Согласно статьи </w:t>
      </w:r>
      <w:proofErr w:type="spellStart"/>
      <w:r>
        <w:t>14¹</w:t>
      </w:r>
      <w:proofErr w:type="spellEnd"/>
      <w:r>
        <w:t xml:space="preserve"> Уголовно-процессуального кодекса гражданам гарантируется неприкосновенность жилища. Никто не имеет права без законного основания войти в жилище против воли лиц, которые в нем проживают.</w:t>
      </w:r>
    </w:p>
    <w:p w:rsidR="00000000" w:rsidRDefault="00000000"/>
    <w:p w:rsidR="00000000" w:rsidRDefault="00000000">
      <w:r>
        <w:t xml:space="preserve">256. </w:t>
      </w:r>
      <w:r>
        <w:tab/>
        <w:t>Обыск, изъятие, осмотр помещения у граждан, наложение ареста на корреспонденцию и изъятие ее в почтово-телеграфных учреждениях могут производиться только на основаниях и в порядке, установленных Кодексом.</w:t>
      </w:r>
    </w:p>
    <w:p w:rsidR="00000000" w:rsidRDefault="00000000"/>
    <w:p w:rsidR="00000000" w:rsidRDefault="00000000">
      <w:pPr>
        <w:jc w:val="center"/>
        <w:rPr>
          <w:b/>
          <w:bCs/>
        </w:rPr>
      </w:pPr>
      <w:r>
        <w:rPr>
          <w:b/>
          <w:bCs/>
        </w:rPr>
        <w:t>Статья 18</w:t>
      </w:r>
    </w:p>
    <w:p w:rsidR="00000000" w:rsidRDefault="00000000"/>
    <w:p w:rsidR="00000000" w:rsidRDefault="00000000">
      <w:r>
        <w:t xml:space="preserve">257. </w:t>
      </w:r>
      <w:r>
        <w:tab/>
        <w:t xml:space="preserve">Количество военнослужащих, которые относят себя к верующим, по сравнению с предыдущим призывом увеличилось на </w:t>
      </w:r>
      <w:proofErr w:type="spellStart"/>
      <w:r>
        <w:t>14,8%</w:t>
      </w:r>
      <w:proofErr w:type="spellEnd"/>
      <w:r>
        <w:t xml:space="preserve"> ("Осень – 2003" – </w:t>
      </w:r>
      <w:proofErr w:type="spellStart"/>
      <w:r>
        <w:t>53%</w:t>
      </w:r>
      <w:proofErr w:type="spellEnd"/>
      <w:r>
        <w:t xml:space="preserve">). Среди военнослужащих призыва "Осень – 2004" православные составляют </w:t>
      </w:r>
      <w:proofErr w:type="spellStart"/>
      <w:r>
        <w:t>62%</w:t>
      </w:r>
      <w:proofErr w:type="spellEnd"/>
      <w:r>
        <w:t xml:space="preserve"> ("Осень - 2003" – </w:t>
      </w:r>
      <w:proofErr w:type="spellStart"/>
      <w:r>
        <w:t>45,1%</w:t>
      </w:r>
      <w:proofErr w:type="spellEnd"/>
      <w:r>
        <w:t xml:space="preserve">), католики – </w:t>
      </w:r>
      <w:proofErr w:type="spellStart"/>
      <w:r>
        <w:t>2,9%</w:t>
      </w:r>
      <w:proofErr w:type="spellEnd"/>
      <w:r>
        <w:t xml:space="preserve"> ("Осень – 2003" – </w:t>
      </w:r>
      <w:proofErr w:type="spellStart"/>
      <w:r>
        <w:t>5%</w:t>
      </w:r>
      <w:proofErr w:type="spellEnd"/>
      <w:r>
        <w:t xml:space="preserve">), мусульмане – 1,5 % ("Осень – 2003" – </w:t>
      </w:r>
      <w:proofErr w:type="spellStart"/>
      <w:r>
        <w:t>0,3%</w:t>
      </w:r>
      <w:proofErr w:type="spellEnd"/>
      <w:r>
        <w:t>), представители других конфессий – 1,4 % ("Осень – 2003" – 2,6 %).</w:t>
      </w:r>
    </w:p>
    <w:p w:rsidR="00000000" w:rsidRDefault="00000000"/>
    <w:p w:rsidR="00000000" w:rsidRDefault="00000000">
      <w:r>
        <w:t xml:space="preserve">258. </w:t>
      </w:r>
      <w:r>
        <w:tab/>
        <w:t>Статья 35 Конституции Украины гарантирует каждому гражданину Украины свободу мировоззрения и вероисповедания.  Наряду с равными правами государство гарантирует и  равные обязанности граждан перед законом. Никто не может быть освобожден от своих обязанностей перед государством или отказаться от исполнения законов по мотивам религиозных убеждений. В случае, если выполнение военной обязанности противоречит религиозным убеждениям гражданина, выполнение этой обязанности должно быть заменено альтернативной службой.</w:t>
      </w:r>
    </w:p>
    <w:p w:rsidR="00000000" w:rsidRDefault="00000000"/>
    <w:p w:rsidR="00000000" w:rsidRDefault="00000000">
      <w:r>
        <w:t xml:space="preserve">259. </w:t>
      </w:r>
      <w:r>
        <w:tab/>
        <w:t>Право граждан на альтернативную службу гарантируется также законом Украины "Об альтернативной (невоенной) службе" от 12 декабря 1991 года (статья 2). Все граждане Украины  имеют право на альтернативную службу, если  выполнение воинской обязанности противоречит их религиозным убеждениям и они принадлежат к религиозным организациям, вероисповедание которых не допускает использования оружия.</w:t>
      </w:r>
    </w:p>
    <w:p w:rsidR="00000000" w:rsidRDefault="00000000"/>
    <w:p w:rsidR="00000000" w:rsidRDefault="00000000">
      <w:r>
        <w:t xml:space="preserve">260. </w:t>
      </w:r>
      <w:r>
        <w:tab/>
        <w:t xml:space="preserve">Так как в Украине установлена всеобщая воинская обязанность, государством регулируется вопрос замены срочной военной службы альтернативной (невоенной).  С этой целью определен перечень религиозных организаций, вероисповедание которых не допускает использования оружия, а соответственно и выполнения воинской обязанности. Помимо утвержденного Кабинетом Министров Украины перечня таких религиозных организаций, на альтернативную службу направляются  также члены религиозных организаций, приравненных к ним по религиозным убеждениям. Решение о направлении на службу граждан приравненных религиозных организаций принимается  комиссиями по делам альтернативной (невоенной) службы совместно с Государственным комитетом Украины по делам религий или их структурными подразделениями  на местах. </w:t>
      </w:r>
    </w:p>
    <w:p w:rsidR="00000000" w:rsidRDefault="00000000"/>
    <w:p w:rsidR="00000000" w:rsidRDefault="00000000">
      <w:r>
        <w:t xml:space="preserve">261. </w:t>
      </w:r>
      <w:r>
        <w:tab/>
        <w:t xml:space="preserve">Таким образом, законодательство Украины гарантирует всем гражданам Украины право на  альтернативную службу по религиозным убеждениям. </w:t>
      </w:r>
    </w:p>
    <w:p w:rsidR="00000000" w:rsidRDefault="00000000"/>
    <w:p w:rsidR="00000000" w:rsidRDefault="00000000">
      <w:r>
        <w:t xml:space="preserve">262. </w:t>
      </w:r>
      <w:r>
        <w:tab/>
        <w:t>В Украине созданы все условия для прохождения гражданами альтернативной (невоенной) службы. По состоянию на 1 января 2005 года проходило альтернативную службу 2084 человек, из них направлено во время осеннего призыва 2004 года – 409 человек. Начиная с осеннего призыва 2004 года сокращен срок альтернативной службы с 27 до 18 месяцев, а для лиц с высшим образованием - с 18 до 13,5 месяцев.</w:t>
      </w:r>
    </w:p>
    <w:p w:rsidR="00000000" w:rsidRDefault="00000000"/>
    <w:p w:rsidR="00000000" w:rsidRDefault="00000000">
      <w:r>
        <w:t xml:space="preserve">263. </w:t>
      </w:r>
      <w:r>
        <w:tab/>
        <w:t>Конфликты и противоречия по религиозным, национальным или языковым признаками отсутствуют. Тех, кто отказался принять Воинскую присягу на верность украинскому народу по религиозным мотивам нет. Многонациональность и религиозные убеждения призывников не относятся к отрицательным факторам, влияющим на морально-психологическое состояние воинских коллективов и не мешают военнослужащим добросовестно выполнять служебные обязанности.</w:t>
      </w:r>
    </w:p>
    <w:p w:rsidR="00000000" w:rsidRDefault="00000000"/>
    <w:p w:rsidR="00000000" w:rsidRDefault="00000000">
      <w:r>
        <w:t xml:space="preserve">264. </w:t>
      </w:r>
      <w:r>
        <w:tab/>
        <w:t>В настоящее время в Украине осуществляется постепенный переход на комплектование Вооруженных Сил по контракту. Программой деятельности Кабинета Министров Украины "Навстречу людям", утвержденной  постановлением Кабинета Министров Украины от 4 февраля 2005 года № 115, предусмотрено создание профессиональной армии в Украине с 2010 года.  В случае комплектования Вооруженных Сил Украины только по контракту, не будет необходимости в альтернативной службе, которая по действующему законодательству  проводится вместо срочной военной службы.</w:t>
      </w:r>
    </w:p>
    <w:p w:rsidR="00000000" w:rsidRDefault="00000000"/>
    <w:p w:rsidR="00000000" w:rsidRDefault="00000000">
      <w:r>
        <w:rPr>
          <w:noProof/>
        </w:rPr>
        <w:t xml:space="preserve">265. </w:t>
      </w:r>
      <w:r>
        <w:rPr>
          <w:noProof/>
        </w:rPr>
        <w:tab/>
        <w:t>По данным Государственного комитета Украины по делам религий жалоб относительно порядка прохождения альтернативной (невоинской) службы в Украине от религиозных организаций, отдельных граждан, общественности не поступало.</w:t>
      </w:r>
    </w:p>
    <w:p w:rsidR="00000000" w:rsidRDefault="00000000"/>
    <w:p w:rsidR="00000000" w:rsidRDefault="00000000">
      <w:pPr>
        <w:jc w:val="center"/>
        <w:rPr>
          <w:b/>
          <w:bCs/>
        </w:rPr>
      </w:pPr>
      <w:r>
        <w:rPr>
          <w:b/>
          <w:bCs/>
        </w:rPr>
        <w:t>Статья 19</w:t>
      </w:r>
    </w:p>
    <w:p w:rsidR="00000000" w:rsidRDefault="00000000"/>
    <w:p w:rsidR="00000000" w:rsidRDefault="00000000">
      <w:r>
        <w:t xml:space="preserve">266. </w:t>
      </w:r>
      <w:r>
        <w:tab/>
        <w:t>С целью выполнения конкретных рекомендаций Совета Европы и других международных организаций относительно подготовки к следующим выборам Государственный комитет телевидения и</w:t>
      </w:r>
      <w:r>
        <w:rPr>
          <w:color w:val="FF0000"/>
        </w:rPr>
        <w:t xml:space="preserve"> </w:t>
      </w:r>
      <w:r>
        <w:t>радиовещания Украины</w:t>
      </w:r>
      <w:r>
        <w:rPr>
          <w:color w:val="FF0000"/>
        </w:rPr>
        <w:t xml:space="preserve"> </w:t>
      </w:r>
      <w:r>
        <w:t xml:space="preserve">(далее - </w:t>
      </w:r>
      <w:proofErr w:type="spellStart"/>
      <w:r>
        <w:t>Госкомтелерадио</w:t>
      </w:r>
      <w:proofErr w:type="spellEnd"/>
      <w:r>
        <w:t>) уделяет особое внимание созданию условий нейтральности и невмешательству со стороны государственных органов в информационную политику средств массовой информации (</w:t>
      </w:r>
      <w:proofErr w:type="spellStart"/>
      <w:r>
        <w:t>СМИ</w:t>
      </w:r>
      <w:proofErr w:type="spellEnd"/>
      <w:r>
        <w:t xml:space="preserve">) и обеспечения условий для честной конкуренции.  В частности, </w:t>
      </w:r>
      <w:proofErr w:type="spellStart"/>
      <w:r>
        <w:t>Госкомтелерадио</w:t>
      </w:r>
      <w:proofErr w:type="spellEnd"/>
      <w:r>
        <w:t xml:space="preserve"> и Совет Европы провели 10-12 марта 2005 года 7-ю Европейскую министерскую конференцию по вопросам политики в сфере </w:t>
      </w:r>
      <w:proofErr w:type="spellStart"/>
      <w:r>
        <w:t>СМИ</w:t>
      </w:r>
      <w:proofErr w:type="spellEnd"/>
      <w:r>
        <w:t xml:space="preserve">. Результатом Конференции стало принятие министрами стран Совета Европы Политической декларации, четырех проектов Резолюций, одна из которых касалась </w:t>
      </w:r>
      <w:proofErr w:type="spellStart"/>
      <w:r>
        <w:t>СМИ</w:t>
      </w:r>
      <w:proofErr w:type="spellEnd"/>
      <w:r>
        <w:t xml:space="preserve"> в Украине и Плана действий относительно Украины.</w:t>
      </w:r>
    </w:p>
    <w:p w:rsidR="00000000" w:rsidRDefault="00000000"/>
    <w:p w:rsidR="00000000" w:rsidRDefault="00000000">
      <w:r>
        <w:t xml:space="preserve">267. </w:t>
      </w:r>
      <w:r>
        <w:tab/>
        <w:t xml:space="preserve">По инициативе </w:t>
      </w:r>
      <w:proofErr w:type="spellStart"/>
      <w:r>
        <w:t>Госкомтелерадио</w:t>
      </w:r>
      <w:proofErr w:type="spellEnd"/>
      <w:r>
        <w:t xml:space="preserve"> Украины 24 марта 2005 года был проведен "круглый стол" - "Украинская модель </w:t>
      </w:r>
      <w:proofErr w:type="spellStart"/>
      <w:r>
        <w:t>СМИ</w:t>
      </w:r>
      <w:proofErr w:type="spellEnd"/>
      <w:r>
        <w:t xml:space="preserve">: какой ей быть", в работе которого приняли участие ведущие научные работники, представители </w:t>
      </w:r>
      <w:proofErr w:type="spellStart"/>
      <w:r>
        <w:t>СМИ</w:t>
      </w:r>
      <w:proofErr w:type="spellEnd"/>
      <w:r>
        <w:t xml:space="preserve"> и общественных организаций, народные депутаты, руководители центральных органов исполнительной власти.</w:t>
      </w:r>
    </w:p>
    <w:p w:rsidR="00000000" w:rsidRDefault="00000000"/>
    <w:p w:rsidR="00000000" w:rsidRDefault="00000000">
      <w:r>
        <w:t xml:space="preserve">268. </w:t>
      </w:r>
      <w:r>
        <w:tab/>
        <w:t>Комитет провел научно-практическую конференцию "Свобода информации в Украине: европейское измерение", на которой рассматривался проект Закона Украины "Об информации" (новая редакция) с целью публичного обсуждения правовых механизмов обеспечения конституционного права граждан на информацию с учетом европейского опыта.</w:t>
      </w:r>
    </w:p>
    <w:p w:rsidR="00000000" w:rsidRDefault="00000000"/>
    <w:p w:rsidR="00000000" w:rsidRDefault="00000000">
      <w:r>
        <w:t xml:space="preserve">269. </w:t>
      </w:r>
      <w:r>
        <w:tab/>
        <w:t>Продолжается работа над согласованием законов Украины в сфере средств массовой информации с соответствующими стандартами Совета Европы. Они должны обеспечить строгое соблюдение положений, которые содержатся в статье 10 Европейской конвенции по правам человека, в любом законопроекте, имеющем отношение к свободе выражения взглядов и информации.</w:t>
      </w:r>
    </w:p>
    <w:p w:rsidR="00000000" w:rsidRDefault="00000000"/>
    <w:p w:rsidR="00000000" w:rsidRDefault="00000000">
      <w:r>
        <w:t xml:space="preserve">270. </w:t>
      </w:r>
      <w:r>
        <w:tab/>
        <w:t xml:space="preserve">Закон Украины «О внесении изменений в Закон Украины "О Государственном бюджете Украины на 2005 год"» сохраняет льготный режим налогообложения прибавочной стоимости операций по продаже (предоплате) и доставке печатных </w:t>
      </w:r>
      <w:proofErr w:type="spellStart"/>
      <w:r>
        <w:t>СМИ</w:t>
      </w:r>
      <w:proofErr w:type="spellEnd"/>
      <w:r>
        <w:t>, что будет содействовать дальнейшему развитию рынка печатных средств массовой информации.</w:t>
      </w:r>
    </w:p>
    <w:p w:rsidR="00000000" w:rsidRDefault="00000000"/>
    <w:p w:rsidR="00000000" w:rsidRDefault="00000000">
      <w:r>
        <w:t xml:space="preserve">271. </w:t>
      </w:r>
      <w:r>
        <w:tab/>
        <w:t>Продолжается работа над проектами законов Украины «О внесении изменений Закон Украины "Об информации"» (новая редакция), "О защите профессиональной деятельности журналистов", "О средствах массовой информации". Эти законопроекты запланировано вынести на широкое общественное обсуждение.</w:t>
      </w:r>
    </w:p>
    <w:p w:rsidR="00000000" w:rsidRDefault="00000000"/>
    <w:p w:rsidR="00000000" w:rsidRDefault="00000000">
      <w:r>
        <w:t xml:space="preserve">272. </w:t>
      </w:r>
      <w:r>
        <w:tab/>
        <w:t>Осуществляются мероприятия по созданию условий для организации работы общественного телевидения.</w:t>
      </w:r>
    </w:p>
    <w:p w:rsidR="00000000" w:rsidRDefault="00000000"/>
    <w:p w:rsidR="00000000" w:rsidRDefault="00000000">
      <w:r>
        <w:t xml:space="preserve">273. </w:t>
      </w:r>
      <w:r>
        <w:tab/>
        <w:t>Был разработан проект Закона Украины "О развитии и применении языков в Украине". В случае одобрения этого законопроекта будут установлены общие принципы языковой политики в Украине, правовые и организационные основы развития и применения языков в Украине, юридическая ответственность за нарушение законодательства о языках.</w:t>
      </w:r>
    </w:p>
    <w:p w:rsidR="00000000" w:rsidRDefault="00000000"/>
    <w:p w:rsidR="00000000" w:rsidRDefault="00000000">
      <w:r>
        <w:t xml:space="preserve">274. </w:t>
      </w:r>
      <w:r>
        <w:tab/>
        <w:t>Украина заинтересована в ускорении процедуры ратификации Европейской конвенции о трансграничном телевидении, подписание которой даст Украине возможность быстрее приобщиться к общеевропейской структуре с целью обеспечения свободного обмена телевизионными программами с Европой.</w:t>
      </w:r>
    </w:p>
    <w:p w:rsidR="00000000" w:rsidRDefault="00000000"/>
    <w:p w:rsidR="00000000" w:rsidRDefault="00000000">
      <w:r>
        <w:t xml:space="preserve">275. </w:t>
      </w:r>
      <w:r>
        <w:tab/>
        <w:t>В начале апреля 2005 года состоялось заседание Рабочей группы из числа представителей центральных органов исполнительной власти касательно подготовки материалов, связанных с ратификацией Украиной Европейской конвенции о трансграничном телевидении и присоединения к Протоколу о внесении изменений к данной Конвенции.</w:t>
      </w:r>
    </w:p>
    <w:p w:rsidR="00000000" w:rsidRDefault="00000000"/>
    <w:p w:rsidR="00000000" w:rsidRDefault="00000000">
      <w:r>
        <w:t xml:space="preserve">276. </w:t>
      </w:r>
      <w:r>
        <w:tab/>
        <w:t xml:space="preserve">Государственная налоговая инспекция Украины заинтересована в создании партнерских отношений со средствами массовой информации. Кроме того, Государственная налоговая инспекция Украины обеспечивает непредвзятое отношение к проведению проверок финансово-хозяйственной деятельности предприятий </w:t>
      </w:r>
      <w:proofErr w:type="spellStart"/>
      <w:r>
        <w:t>СМИ</w:t>
      </w:r>
      <w:proofErr w:type="spellEnd"/>
      <w:r>
        <w:t>. Во время избирательной президентской кампании в Украине налоговое ведомство придерживалось моратория на проверку средств массовой информации. По окончании президентской кампании Государственная налоговая инспекция Украины опубликовала полный список субъектов хозяйственной деятельности – средств массовой информации, которые включены в план-график проверок на 2005 год. При желании и согласии проверяемых средств массовой информации предоставляется возможность представителям Национального союза журналистов Украины, Института массовой информации, другим всеукраинским организациям журналистов принимать участие в проверках касательно вопросов соблюдения требований налогового законодательства. Государственная налоговая инспекция Украины предоставляет комментарии и разъяснения относительно налогового законодательства и отвечает на запросы средств массовой информации.</w:t>
      </w:r>
    </w:p>
    <w:p w:rsidR="00000000" w:rsidRDefault="00000000"/>
    <w:p w:rsidR="00000000" w:rsidRDefault="00000000">
      <w:r>
        <w:t>277.</w:t>
      </w:r>
      <w:r>
        <w:tab/>
        <w:t xml:space="preserve">Сегодня эффективно осуществляется взаимодействие органов налоговой инспекции с печатными изданиями, телерадиокомпаниями. Подписано несколько меморандумов и соглашений о сотрудничестве Государственной налоговой инспекции Украины со средствами массовой информации и общественными организациями журналистов: Национальным союзом журналистов Украины, Институтом массовой информации "Репортеры без границ", Украинской образовательной программой рыночных реформ, Агентством рекламы и </w:t>
      </w:r>
      <w:proofErr w:type="spellStart"/>
      <w:r>
        <w:t>паблик</w:t>
      </w:r>
      <w:proofErr w:type="spellEnd"/>
      <w:r>
        <w:t xml:space="preserve"> </w:t>
      </w:r>
      <w:proofErr w:type="spellStart"/>
      <w:r>
        <w:t>релейшнз</w:t>
      </w:r>
      <w:proofErr w:type="spellEnd"/>
      <w:r>
        <w:t xml:space="preserve"> "</w:t>
      </w:r>
      <w:proofErr w:type="spellStart"/>
      <w:r>
        <w:t>СТС</w:t>
      </w:r>
      <w:proofErr w:type="spellEnd"/>
      <w:r>
        <w:t>", Украинской ассоциацией издателей периодической прессы.</w:t>
      </w:r>
    </w:p>
    <w:p w:rsidR="00000000" w:rsidRDefault="00000000"/>
    <w:p w:rsidR="00000000" w:rsidRDefault="00000000">
      <w:r>
        <w:t xml:space="preserve">278. </w:t>
      </w:r>
      <w:r>
        <w:tab/>
        <w:t>Реализация языковой стратегии осуществляется путем комплексного и последовательного внедрения просветительских, нормативно-правовых, научно-методических и разъяснительных мероприятий.</w:t>
      </w:r>
    </w:p>
    <w:p w:rsidR="00000000" w:rsidRDefault="00000000"/>
    <w:p w:rsidR="00000000" w:rsidRDefault="00000000">
      <w:r>
        <w:t xml:space="preserve">279. </w:t>
      </w:r>
      <w:r>
        <w:tab/>
        <w:t xml:space="preserve">Параллельно обеспечивается право национальных меньшинств на удовлетворение информационных потребностей на родном языке путем широкого освещения </w:t>
      </w:r>
      <w:proofErr w:type="spellStart"/>
      <w:r>
        <w:t>этносоциальной</w:t>
      </w:r>
      <w:proofErr w:type="spellEnd"/>
      <w:r>
        <w:t xml:space="preserve"> и этнокультурной тематики на государственных </w:t>
      </w:r>
      <w:proofErr w:type="spellStart"/>
      <w:r>
        <w:t>телерадиоканалах</w:t>
      </w:r>
      <w:proofErr w:type="spellEnd"/>
      <w:r>
        <w:t>.</w:t>
      </w:r>
    </w:p>
    <w:p w:rsidR="00000000" w:rsidRDefault="00000000"/>
    <w:p w:rsidR="00000000" w:rsidRDefault="00000000">
      <w:r>
        <w:t xml:space="preserve">280. </w:t>
      </w:r>
      <w:r>
        <w:tab/>
        <w:t xml:space="preserve">Государственные телерадиоорганизации в своей работе придерживаются норм действующего законодательства относительно вещания на государственном языке, как это предусмотрено в лицензиях на право вещания. Национальная радиокомпания Украины ведет вещание на украинском языке, кроме передач на </w:t>
      </w:r>
      <w:proofErr w:type="spellStart"/>
      <w:r>
        <w:t>зарубеж</w:t>
      </w:r>
      <w:proofErr w:type="spellEnd"/>
      <w:r>
        <w:t xml:space="preserve"> – на английском, немецком, румынском языках. Областные государственные телерадиокомпании используют русский и другие языки национальных меньшинств, поскольку это предусмотрено лицензионными документами, выданными Национальным советом Украины по вопросам телевидения и радиовещания. С целью удовлетворения информационных потребностей этнических россиян, румын, молдаван, венгров, армян, греков, болгар, немцев, крымских татар, гагаузов, евреев создаются передачи на их родном языке.</w:t>
      </w:r>
    </w:p>
    <w:p w:rsidR="00000000" w:rsidRDefault="00000000"/>
    <w:p w:rsidR="00000000" w:rsidRDefault="00000000">
      <w:r>
        <w:t xml:space="preserve">281. </w:t>
      </w:r>
      <w:r>
        <w:tab/>
      </w:r>
      <w:proofErr w:type="spellStart"/>
      <w:r>
        <w:t>Госкомтелерадио</w:t>
      </w:r>
      <w:proofErr w:type="spellEnd"/>
      <w:r>
        <w:t xml:space="preserve"> Украины в соответствии с компетенцией должно обеспечить исполнение пункта г. статьи 11 Закона Украины "О ратификации Европейской хартии региональных языков или языков национальных меньшинств" от 15 мая 2003 года. Этот пункт касается соответствующих обязательств, предусмотренных статьей 11 Хартии в сфере средств массовой информации.</w:t>
      </w:r>
    </w:p>
    <w:p w:rsidR="00000000" w:rsidRDefault="00000000"/>
    <w:p w:rsidR="00000000" w:rsidRDefault="00000000">
      <w:r>
        <w:t xml:space="preserve">282. </w:t>
      </w:r>
      <w:r>
        <w:tab/>
        <w:t>Сегодня областные и региональные государственные телерадиокомпании ведут вещание в местах компактного проживания ряда национальных меньшинств на их родном языке и за счет государственного заказа удовлетворяют информационные запросы граждан 11 национальностей.</w:t>
      </w:r>
    </w:p>
    <w:p w:rsidR="00000000" w:rsidRDefault="00000000"/>
    <w:p w:rsidR="00000000" w:rsidRDefault="00000000">
      <w:r>
        <w:t xml:space="preserve">283. </w:t>
      </w:r>
      <w:r>
        <w:tab/>
        <w:t xml:space="preserve">Однако, несмотря на то, что в соответствии с положениями статьи 12 Закона Украины "О телевидении и радиовещании" государственным </w:t>
      </w:r>
      <w:proofErr w:type="spellStart"/>
      <w:r>
        <w:t>телерадиоканалам</w:t>
      </w:r>
      <w:proofErr w:type="spellEnd"/>
      <w:r>
        <w:t xml:space="preserve"> предоставляется приоритетное право в получении лицензии на право вещания, Национальный совет Украины по вопросам телевидения и радиовещания лишил своим решением № 888 от 21 июля 2004 года областные государственные </w:t>
      </w:r>
      <w:proofErr w:type="spellStart"/>
      <w:r>
        <w:t>телерадиоканалы</w:t>
      </w:r>
      <w:proofErr w:type="spellEnd"/>
      <w:r>
        <w:t xml:space="preserve"> возможности выхода на телеканале </w:t>
      </w:r>
      <w:proofErr w:type="spellStart"/>
      <w:r>
        <w:t>УТ-2</w:t>
      </w:r>
      <w:proofErr w:type="spellEnd"/>
      <w:r>
        <w:t xml:space="preserve"> и областные государственные вещатели ведут передачи на телеканале </w:t>
      </w:r>
      <w:proofErr w:type="spellStart"/>
      <w:r>
        <w:t>УТ-1</w:t>
      </w:r>
      <w:proofErr w:type="spellEnd"/>
      <w:r>
        <w:t xml:space="preserve"> в часовых отрезках с 4.00 до 6.00 и с 13.00 до 14.00. Поэтому, имея только один час в сутки в дневное время на канале </w:t>
      </w:r>
      <w:proofErr w:type="spellStart"/>
      <w:r>
        <w:t>УТ-1</w:t>
      </w:r>
      <w:proofErr w:type="spellEnd"/>
      <w:r>
        <w:t xml:space="preserve">, кроме выходных, областные </w:t>
      </w:r>
      <w:proofErr w:type="spellStart"/>
      <w:r>
        <w:t>телерадиоканалы</w:t>
      </w:r>
      <w:proofErr w:type="spellEnd"/>
      <w:r>
        <w:t xml:space="preserve"> используют его для новостей с области и некоторых передач государственного заказа. Возникшая ситуация не позволяет пока что сберечь объемы вещания на языках национальных меньшинств в необходимых объемах.</w:t>
      </w:r>
    </w:p>
    <w:p w:rsidR="00000000" w:rsidRDefault="00000000"/>
    <w:p w:rsidR="00000000" w:rsidRDefault="00000000">
      <w:r>
        <w:t xml:space="preserve">284. </w:t>
      </w:r>
      <w:r>
        <w:tab/>
        <w:t>Для осуществления эффективной государственной политики в отношении гармонизации межэтнических отношений в соответствии с Законом Украины "О национальных меньшинствах в Украине" от 25 июня 1992 года Комитет в пределах своих полномочий всячески содействует регистрации, выходу в свет печатной периодики, а также выпуску литературы для национальных меньшинств на условиях бюджетного финансирования.</w:t>
      </w:r>
    </w:p>
    <w:p w:rsidR="00000000" w:rsidRDefault="00000000"/>
    <w:p w:rsidR="00000000" w:rsidRDefault="00000000">
      <w:r>
        <w:t xml:space="preserve">285. </w:t>
      </w:r>
      <w:r>
        <w:tab/>
        <w:t>Комитет постоянно рекомендует центральным и местным средствам массовой информации, основанным при участии государства, объективно освещать проблемы национальных меньшинств, уделять внимание вопросам показа разнообразного мира культур различных этнических групп, которые населяют Украину.</w:t>
      </w:r>
    </w:p>
    <w:p w:rsidR="00000000" w:rsidRDefault="00000000"/>
    <w:p w:rsidR="00000000" w:rsidRDefault="00000000">
      <w:r>
        <w:t xml:space="preserve">286. </w:t>
      </w:r>
      <w:r>
        <w:tab/>
        <w:t xml:space="preserve">Концепция формирования и реализации Программы выпуска социально значимых изданий, куратором которой является </w:t>
      </w:r>
      <w:proofErr w:type="spellStart"/>
      <w:r>
        <w:t>Госкомтелерадио</w:t>
      </w:r>
      <w:proofErr w:type="spellEnd"/>
      <w:r>
        <w:t xml:space="preserve"> Украины, предусматривает выпуск литературы для национальных меньшинств Украины  с целью удовлетворения их культурно-образовательных запросов.</w:t>
      </w:r>
    </w:p>
    <w:p w:rsidR="00000000" w:rsidRDefault="00000000"/>
    <w:p w:rsidR="00000000" w:rsidRDefault="00000000">
      <w:pPr>
        <w:rPr>
          <w:color w:val="000000"/>
        </w:rPr>
      </w:pPr>
      <w:r>
        <w:t>287.</w:t>
      </w:r>
      <w:r>
        <w:tab/>
        <w:t>В 2004 году уже вышли в печати под разделом "Литература на языке национальных меньшинств" издания на киргизском, армянском,</w:t>
      </w:r>
      <w:r>
        <w:rPr>
          <w:color w:val="000000"/>
        </w:rPr>
        <w:t xml:space="preserve"> </w:t>
      </w:r>
      <w:proofErr w:type="spellStart"/>
      <w:r>
        <w:t>урумском</w:t>
      </w:r>
      <w:proofErr w:type="spellEnd"/>
      <w:r>
        <w:t>,</w:t>
      </w:r>
      <w:r>
        <w:rPr>
          <w:color w:val="000000"/>
        </w:rPr>
        <w:t xml:space="preserve"> </w:t>
      </w:r>
      <w:r>
        <w:t>польском, крымско-татарском, русском, белорусском,</w:t>
      </w:r>
      <w:r>
        <w:rPr>
          <w:color w:val="000000"/>
        </w:rPr>
        <w:t xml:space="preserve"> </w:t>
      </w:r>
      <w:r>
        <w:t>болгарском, гагаузском языках</w:t>
      </w:r>
      <w:r>
        <w:rPr>
          <w:color w:val="000000"/>
        </w:rPr>
        <w:t>.</w:t>
      </w:r>
    </w:p>
    <w:p w:rsidR="00000000" w:rsidRDefault="00000000">
      <w:pPr>
        <w:rPr>
          <w:color w:val="000000"/>
        </w:rPr>
      </w:pPr>
    </w:p>
    <w:p w:rsidR="00000000" w:rsidRDefault="00000000">
      <w:r>
        <w:t xml:space="preserve">288. </w:t>
      </w:r>
      <w:r>
        <w:tab/>
        <w:t xml:space="preserve">Следует отметить, что в Государственном бюджете на 2005 год предусмотрено соответствующее финансирование программы выпуска печатной продукции "Украинская книга", в рамках которой должен обеспечиваться выпуск литературы на языках национальных меньшинств. </w:t>
      </w:r>
    </w:p>
    <w:p w:rsidR="00000000" w:rsidRDefault="00000000"/>
    <w:p w:rsidR="00000000" w:rsidRDefault="00000000">
      <w:r>
        <w:t xml:space="preserve">289. </w:t>
      </w:r>
      <w:r>
        <w:tab/>
        <w:t xml:space="preserve">Исключительно на украинском языке в Украине всего зарегистрировано 4 214 печатных </w:t>
      </w:r>
      <w:proofErr w:type="spellStart"/>
      <w:r>
        <w:t>СМИ</w:t>
      </w:r>
      <w:proofErr w:type="spellEnd"/>
      <w:r>
        <w:t>, на русском - 2 701, на венгерском - 10, болгарском - 2, польском - 5, румынском - 6, крымско-татарском - 4, английском - 28, немецком - 3, китайском - 2.</w:t>
      </w:r>
    </w:p>
    <w:p w:rsidR="00000000" w:rsidRDefault="00000000"/>
    <w:p w:rsidR="00000000" w:rsidRDefault="00000000">
      <w:r>
        <w:t xml:space="preserve">290. </w:t>
      </w:r>
      <w:r>
        <w:tab/>
        <w:t xml:space="preserve">Смешанным текстом: на украинском и других языках - 3 325, русском и других языках - 3 456, болгарском и других языках - 4, польском и других языках - 3, румынском и других языках - 4, идиш и других языках - 1, иврит и других языках - 1, крымско-татарском и других языках - 12, английском и других языках - 52, немецком и других языках - 11, французском и других языках - 3, китайском и других языках - 2, белорусском и других языках - 1, узбекском и других языках - 2, вьетнамском и других языках - 1, эсперанто и других языках - 1, сербском и других языках - 1, </w:t>
      </w:r>
      <w:proofErr w:type="spellStart"/>
      <w:r>
        <w:t>ромском</w:t>
      </w:r>
      <w:proofErr w:type="spellEnd"/>
      <w:r>
        <w:t xml:space="preserve"> и других языках - 1, караимском и других языках - 1. </w:t>
      </w:r>
    </w:p>
    <w:p w:rsidR="00000000" w:rsidRDefault="00000000"/>
    <w:p w:rsidR="00000000" w:rsidRDefault="00000000">
      <w:r>
        <w:t xml:space="preserve">291. </w:t>
      </w:r>
      <w:r>
        <w:tab/>
        <w:t xml:space="preserve">Деятельность </w:t>
      </w:r>
      <w:proofErr w:type="spellStart"/>
      <w:r>
        <w:t>Госкомтелерадио</w:t>
      </w:r>
      <w:proofErr w:type="spellEnd"/>
      <w:r>
        <w:t xml:space="preserve"> Украины направлена на выполнение нашим государством пункта 1 статей 6, 7, пунктов 1, 3, 4 статьи 9 Рамочной конвенции о защите национальных меньшинств, которые декларируют право представителей национальных меньшинств на свободу волеизъявления взглядов и свободу мысли, на свободу создавать и использовать собственные </w:t>
      </w:r>
      <w:proofErr w:type="spellStart"/>
      <w:r>
        <w:t>СМИ</w:t>
      </w:r>
      <w:proofErr w:type="spellEnd"/>
      <w:r>
        <w:t>, а также на сохранение их этнической, культурной, языковой и религиозной самобытности в сферах образования, культуры и средств массовой информации.</w:t>
      </w:r>
    </w:p>
    <w:p w:rsidR="00000000" w:rsidRDefault="00000000"/>
    <w:p w:rsidR="00000000" w:rsidRDefault="00000000">
      <w:r>
        <w:t xml:space="preserve">292. </w:t>
      </w:r>
      <w:r>
        <w:tab/>
        <w:t xml:space="preserve">В Закон Украины "Об информации" были внесены изменения. Его было дополнено статьей </w:t>
      </w:r>
      <w:proofErr w:type="spellStart"/>
      <w:r>
        <w:t>45¹</w:t>
      </w:r>
      <w:proofErr w:type="spellEnd"/>
      <w:r>
        <w:t>, в соответствии с которой запрещается цензура как требование, направленное средству массовой информации, журналистам, главному редактору, организации, которая осуществляет выпуск средства массовой информации, его основателю (соучредителю), издателю, распространителю, предварительно согласовывать информацию, которая распространяется (кроме случаев, когда такое требование исходит от автора этой информации или другого субъекта авторского права и (или) смежного прав на нее), и/или как наложение запрета (кроме случаев, когда такой запрет накладывается судом) или препятствования в любой другой форме тиражированию или распространению информации со стороны органов государственной власти, органов местного самоуправления, их должностных лиц.</w:t>
      </w:r>
    </w:p>
    <w:p w:rsidR="00000000" w:rsidRDefault="00000000"/>
    <w:p w:rsidR="00000000" w:rsidRDefault="00000000">
      <w:r>
        <w:t xml:space="preserve">293. </w:t>
      </w:r>
      <w:r>
        <w:tab/>
        <w:t xml:space="preserve">Запрещаются вмешательство в формах, не предусмотренных законодательством Украины или договором, заключенным между основателем (соучредителями) и редакцией средства массовой информации, в профессиональную деятельность журналистов, а также запрещается контроль над содержанием информации, которая распространяется, со стороны основателей (соучредителей) средств массовой информации, органов государственной власти или органов местного самоуправления, должностных лиц этих органов, в частности, с целью распространения или нераспространения определенной информации, замалчивания общественно значимой информации, наложения запрета на показ отдельных лиц или распространения информации о них, запрета подвергать критике органы государственной власти или органы местного самоуправления или их должностных лиц. </w:t>
      </w:r>
    </w:p>
    <w:p w:rsidR="00000000" w:rsidRDefault="00000000"/>
    <w:p w:rsidR="00000000" w:rsidRDefault="00000000">
      <w:r>
        <w:t xml:space="preserve">294. </w:t>
      </w:r>
      <w:r>
        <w:tab/>
        <w:t xml:space="preserve">Запрещается создание любых органов государственной власти, учреждений, введение должностей, на которые возлагаются полномочия относительно осуществления контроля над содержанием информации, которая распространяется средствами массовой информации. </w:t>
      </w:r>
    </w:p>
    <w:p w:rsidR="00000000" w:rsidRDefault="00000000"/>
    <w:p w:rsidR="00000000" w:rsidRDefault="00000000">
      <w:r>
        <w:t xml:space="preserve">295. </w:t>
      </w:r>
      <w:r>
        <w:tab/>
        <w:t xml:space="preserve">Умышленное препятствование законной профессиональной деятельности журналистов и/или преследования журналиста за выполнение профессиональных обязанностей, за критику, осуществляемые должностным лицом или группой лиц по предварительному сговору, влечет за собою уголовную ответственность согласно Уголовному кодексу Украины. </w:t>
      </w:r>
    </w:p>
    <w:p w:rsidR="00000000" w:rsidRDefault="00000000"/>
    <w:p w:rsidR="00000000" w:rsidRDefault="00000000">
      <w:r>
        <w:t xml:space="preserve">296. </w:t>
      </w:r>
      <w:r>
        <w:tab/>
        <w:t>Полномочия органов государственной власти по вопросам деятельности средств массовой информации определяются исключительно Конституцией и законами Украины.</w:t>
      </w:r>
    </w:p>
    <w:p w:rsidR="00000000" w:rsidRDefault="00000000"/>
    <w:p w:rsidR="00000000" w:rsidRDefault="00000000">
      <w:r>
        <w:t xml:space="preserve">297. </w:t>
      </w:r>
      <w:r>
        <w:tab/>
        <w:t>Вместе с этим следует обратить внимание на то, что Закон Украины "Об информации" от 2 октября 1992 года также было дополнено новой статьей 47</w:t>
      </w:r>
      <w:r>
        <w:rPr>
          <w:vertAlign w:val="superscript"/>
        </w:rPr>
        <w:t>1</w:t>
      </w:r>
      <w:r>
        <w:t xml:space="preserve">, в соответствии с которой никто не может быть привлечен к ответственности за высказывание оценочных суждений. </w:t>
      </w:r>
    </w:p>
    <w:p w:rsidR="00000000" w:rsidRDefault="00000000"/>
    <w:p w:rsidR="00000000" w:rsidRDefault="00000000">
      <w:r>
        <w:t xml:space="preserve">298. </w:t>
      </w:r>
      <w:r>
        <w:tab/>
        <w:t xml:space="preserve">Оценочными суждениями, за исключением оскорбления или клеветы, являются высказывания, которые не содержат фактических данных, в частности критика, оценка действий, а также высказывания, которые не могут быть истолкованы как такие, которые содержат фактические данные, учитывая характер использования языковых средств, в частности употребления гипербол, аллегорий, сатиры. Оценочные суждения не подлежат опровержению и подтверждению их правдивости. </w:t>
      </w:r>
    </w:p>
    <w:p w:rsidR="00000000" w:rsidRDefault="00000000"/>
    <w:p w:rsidR="00000000" w:rsidRDefault="00000000">
      <w:r>
        <w:t xml:space="preserve">299. </w:t>
      </w:r>
      <w:r>
        <w:tab/>
        <w:t xml:space="preserve">Лицо освобождается от ответственности за разглашение информации с ограниченным доступом, если суд установит, что эта информация является общественно значимой. </w:t>
      </w:r>
    </w:p>
    <w:p w:rsidR="00000000" w:rsidRDefault="00000000"/>
    <w:p w:rsidR="00000000" w:rsidRDefault="00000000">
      <w:r>
        <w:t xml:space="preserve">300. </w:t>
      </w:r>
      <w:r>
        <w:tab/>
        <w:t>Кроме того, с целью усовершенствования деятельности органов исполнительной власти относительно удовлетворения конституционных прав граждан на информацию, был издан Указ Президента Украины от 17 февраля 2001 года "Об усовершенствовании деятельности органов исполнительной власти по вопросам информирования населения", в соответствии с которым руководители органов исполнительной власти должны систематически проводить Дни информирования населения. На общенациональных и региональных каналах телевидения и радиовещания вводятся еженедельные "горячие линии" по актуальным проблемам социально-экономического развития государства, увеличивается количество мероприятий Украинского национального информационного агентства "</w:t>
      </w:r>
      <w:proofErr w:type="spellStart"/>
      <w:r>
        <w:t>Укринформ</w:t>
      </w:r>
      <w:proofErr w:type="spellEnd"/>
      <w:r>
        <w:t xml:space="preserve">" относительно улучшения взаимодействия с центральными и местными органами исполнительной власти по вопросам информирования об их деятельность. </w:t>
      </w:r>
    </w:p>
    <w:p w:rsidR="00000000" w:rsidRDefault="00000000"/>
    <w:p w:rsidR="00000000" w:rsidRDefault="00000000">
      <w:r>
        <w:t xml:space="preserve">301. </w:t>
      </w:r>
      <w:r>
        <w:tab/>
        <w:t xml:space="preserve">Касательно отсутствия критериев для выдачи или отказа в выдаче лицензии электронным средствам массовой информации, таким, как телевизионные и радиостанции, сообщаем, что эти общественные отношения на сегодняшний день регулируются Законами Украины "О телевидении и радиовещании" от 21 декабря 1993 года, "О Национальном совете Украины по вопросам телевидения и радиовещание" от 23 сентября 1997 года, "О лицензировании отдельных видов хозяйственной деятельности" от 1 июня 2000 года, "О радиочастотном ресурсе Украины" 1 июня 2000 года, постановление Кабинета Министров Украины от 5 июня 1995 года "О размерах денежных сборов за выдачу телерадиоорганизациям лицензий на право пользования каналами связи", Положения "Об условиях конкурса на получение лицензии", утвержденного решением Национальной совета Украины по вопросам телевидения и радиовещания от 23 ноября 2000 года. </w:t>
      </w:r>
    </w:p>
    <w:p w:rsidR="00000000" w:rsidRDefault="00000000"/>
    <w:p w:rsidR="00000000" w:rsidRDefault="00000000">
      <w:pPr>
        <w:jc w:val="center"/>
        <w:rPr>
          <w:b/>
          <w:bCs/>
        </w:rPr>
      </w:pPr>
      <w:r>
        <w:br w:type="page"/>
      </w:r>
      <w:r>
        <w:rPr>
          <w:b/>
          <w:bCs/>
        </w:rPr>
        <w:t>Статья 20</w:t>
      </w:r>
    </w:p>
    <w:p w:rsidR="00000000" w:rsidRDefault="00000000">
      <w:pPr>
        <w:jc w:val="center"/>
        <w:rPr>
          <w:b/>
          <w:bCs/>
        </w:rPr>
      </w:pPr>
    </w:p>
    <w:p w:rsidR="00000000" w:rsidRDefault="00000000">
      <w:pPr>
        <w:jc w:val="center"/>
        <w:rPr>
          <w:b/>
          <w:bCs/>
        </w:rPr>
      </w:pPr>
      <w:r>
        <w:rPr>
          <w:b/>
          <w:bCs/>
        </w:rPr>
        <w:t>Пункт 1</w:t>
      </w:r>
    </w:p>
    <w:p w:rsidR="00000000" w:rsidRDefault="00000000"/>
    <w:p w:rsidR="00000000" w:rsidRDefault="00000000">
      <w:r>
        <w:t xml:space="preserve">302. </w:t>
      </w:r>
      <w:r>
        <w:tab/>
        <w:t>В соответствии со статьей 436 Уголовного кодекса Украины публичные призывы к агрессивной войне или к развязыванию военного конфликта, а также изготовление материалов с призывами к совершению таких действий с целью их распространения или распространение таких материалов являются криминально наказуемыми.</w:t>
      </w:r>
    </w:p>
    <w:p w:rsidR="00000000" w:rsidRDefault="00000000"/>
    <w:p w:rsidR="00000000" w:rsidRDefault="00000000">
      <w:pPr>
        <w:jc w:val="center"/>
        <w:rPr>
          <w:b/>
          <w:bCs/>
        </w:rPr>
      </w:pPr>
      <w:r>
        <w:rPr>
          <w:b/>
          <w:bCs/>
        </w:rPr>
        <w:t>Пункт 2</w:t>
      </w:r>
    </w:p>
    <w:p w:rsidR="00000000" w:rsidRDefault="00000000"/>
    <w:p w:rsidR="00000000" w:rsidRDefault="00000000">
      <w:r>
        <w:t xml:space="preserve">303. </w:t>
      </w:r>
      <w:r>
        <w:tab/>
        <w:t>В соответствии со статьей 161 Уголовного кодекса Украины умышленные действия, направленные на разжигание национальной, расовой или религиозной вражды и ненависти, на унижение национальной чести и достоинства или оскорбление чувств граждан в связи с их религиозными убеждениями, а также прямое или непрямое ограничение прав или установление прямых или непрямых привилегий гражданам по признакам расы, цвета кожи, политических, религиозных и других убеждений, пола, этнического и социального происхождения, материального положения, места проживания, по языковым и другим признакам влекут за собой уголовную ответственность.</w:t>
      </w:r>
    </w:p>
    <w:p w:rsidR="00000000" w:rsidRDefault="00000000"/>
    <w:p w:rsidR="00000000" w:rsidRDefault="00000000">
      <w:r>
        <w:t xml:space="preserve">304. </w:t>
      </w:r>
      <w:r>
        <w:tab/>
        <w:t>Необходимо отметить, что согласно действующему законодательству Украины центральным органом исполнительной власти, который формирует и обеспечивает реализацию государственной политики в сфере межнациональных отношений и защите прав национальных меньшинств, обеспечения прав национальных меньшинств в Украине, является Государственный комитет Украины по делам национальностей и миграции (</w:t>
      </w:r>
      <w:proofErr w:type="spellStart"/>
      <w:r>
        <w:t>Госкомнацмиграции</w:t>
      </w:r>
      <w:proofErr w:type="spellEnd"/>
      <w:r>
        <w:t>).</w:t>
      </w:r>
    </w:p>
    <w:p w:rsidR="00000000" w:rsidRDefault="00000000"/>
    <w:p w:rsidR="00000000" w:rsidRDefault="00000000">
      <w:r>
        <w:t xml:space="preserve">305. </w:t>
      </w:r>
      <w:r>
        <w:tab/>
        <w:t xml:space="preserve">Государственный комитет по делам национальностей и миграции Украины с целью обеспечения общественной стабильности и согласия осуществляет превентивные мероприятия по предотвращению любых проявлений нетерпимости, разжигания межэтнической и расовой вражды, предвзятого отношения к лицам, учитывая их национально-этническую принадлежность. </w:t>
      </w:r>
    </w:p>
    <w:p w:rsidR="00000000" w:rsidRDefault="00000000"/>
    <w:p w:rsidR="00000000" w:rsidRDefault="00000000">
      <w:r>
        <w:t xml:space="preserve">306. </w:t>
      </w:r>
      <w:r>
        <w:tab/>
        <w:t>Комитет разработал проект Закона Украины «О внесении изменений в некоторые законодательные акты Украины» относительно усиления ответственности за проявления разжигания межнациональной вражды и расовой нетерпимости.</w:t>
      </w:r>
    </w:p>
    <w:p w:rsidR="00000000" w:rsidRDefault="00000000"/>
    <w:p w:rsidR="00000000" w:rsidRDefault="00000000">
      <w:r>
        <w:t xml:space="preserve">307. </w:t>
      </w:r>
      <w:r>
        <w:tab/>
        <w:t xml:space="preserve">Комитет в рамках своих полномочий оперативно реагирует на появление публикаций и высказываний в средствах массовой информации, которые способствуют разжиганию межнациональной вражды, содержат </w:t>
      </w:r>
      <w:proofErr w:type="spellStart"/>
      <w:r>
        <w:t>ксенофобные</w:t>
      </w:r>
      <w:proofErr w:type="spellEnd"/>
      <w:r>
        <w:t xml:space="preserve"> и антисемитские призывы и высказывания.</w:t>
      </w:r>
    </w:p>
    <w:p w:rsidR="00000000" w:rsidRDefault="00000000"/>
    <w:p w:rsidR="00000000" w:rsidRDefault="00000000">
      <w:r>
        <w:t xml:space="preserve">308. </w:t>
      </w:r>
      <w:r>
        <w:tab/>
        <w:t xml:space="preserve">С целью усиления ответственности за проявления фактов подобного содержания Комитетом опубликованы заявления, которые осуждают </w:t>
      </w:r>
      <w:proofErr w:type="spellStart"/>
      <w:r>
        <w:t>антинациональные</w:t>
      </w:r>
      <w:proofErr w:type="spellEnd"/>
      <w:r>
        <w:t xml:space="preserve"> призывы и высказывания, поданы иски в суд  относительно  прекращения выхода таких изданий, направлены письма в Генеральную прокуратуру Украины с просьбой дать им соответствующую правовую оценку.</w:t>
      </w:r>
    </w:p>
    <w:p w:rsidR="00000000" w:rsidRDefault="00000000"/>
    <w:p w:rsidR="00000000" w:rsidRDefault="00000000">
      <w:r>
        <w:t xml:space="preserve">309. </w:t>
      </w:r>
      <w:r>
        <w:tab/>
        <w:t>Упомянутая деятельность приобретает особое значение в связи  с курсом интеграции нашего государства в ЕС, который невозможен без применения общеевропейских стандартов в сфере защиты государством прав и национального достоинства представителей всех этнических групп и недопущения проявлений ксенофобии.</w:t>
      </w:r>
    </w:p>
    <w:p w:rsidR="00000000" w:rsidRDefault="00000000"/>
    <w:p w:rsidR="00000000" w:rsidRDefault="00000000">
      <w:r>
        <w:t xml:space="preserve">310. </w:t>
      </w:r>
      <w:r>
        <w:tab/>
        <w:t>Последовательное использование законодательства с привлечением институциональных механизмов играет важную роль в борьбе с антисемитизмом, расизмом и другими формами дискриминации. Большое значение в этом  контексте имеет работа, которая проводится нашим государством в рамках международных организаций с целью разработки всеохватывающих и эффективных подходов к работе со всеми формами нетерпимости.</w:t>
      </w:r>
    </w:p>
    <w:p w:rsidR="00000000" w:rsidRDefault="00000000"/>
    <w:p w:rsidR="00000000" w:rsidRDefault="00000000">
      <w:r>
        <w:t xml:space="preserve">311. </w:t>
      </w:r>
      <w:r>
        <w:tab/>
        <w:t>Сегодня в Украине не существует проблемы антисемитизма, а представители всех национальностей и вероисповеданий имеют все возможности для обеспечения собственных национальных потребностей, развития национальных общин и объединений.</w:t>
      </w:r>
    </w:p>
    <w:p w:rsidR="00000000" w:rsidRDefault="00000000"/>
    <w:p w:rsidR="00000000" w:rsidRDefault="00000000">
      <w:r>
        <w:t xml:space="preserve">312. </w:t>
      </w:r>
      <w:r>
        <w:tab/>
        <w:t>Правоохранительными органами Украины расследуются все единичные попытки некоторых лиц предпринять действия антисемитского характера, а виновные в этом преступлении привлекаются к уголовной ответственности.</w:t>
      </w:r>
    </w:p>
    <w:p w:rsidR="00000000" w:rsidRDefault="00000000"/>
    <w:p w:rsidR="00000000" w:rsidRDefault="00000000">
      <w:r>
        <w:t xml:space="preserve">313. </w:t>
      </w:r>
      <w:r>
        <w:tab/>
        <w:t xml:space="preserve">Органами прокуратуры Украины проводились проверки по вопросам соблюдения средствами массовой информации требований действующего законодательства при публикации статей указанного характера. Такие проверки проводились с привлечением соответствующих специалистов-экспертов Института политических и </w:t>
      </w:r>
      <w:proofErr w:type="spellStart"/>
      <w:r>
        <w:t>этнонациональных</w:t>
      </w:r>
      <w:proofErr w:type="spellEnd"/>
      <w:r>
        <w:t xml:space="preserve"> исследований Академии наук Украины.</w:t>
      </w:r>
    </w:p>
    <w:p w:rsidR="00000000" w:rsidRDefault="00000000"/>
    <w:p w:rsidR="00000000" w:rsidRDefault="00000000">
      <w:r>
        <w:t xml:space="preserve">314. </w:t>
      </w:r>
      <w:r>
        <w:tab/>
        <w:t>В 2004 году органами прокуратуры Украины проведено более десяти, а в текущем году - три такие проверки по публикациям в печатных изданиях Межрегиональной Академии управления персоналом. По результатам проверок, учитывая выводы экспертов об отсутствии в статьях признаков разжигания межнациональной вражды, расистской и антисемитской направленности, в возбуждении уголовных дел отказано.</w:t>
      </w:r>
    </w:p>
    <w:p w:rsidR="00000000" w:rsidRDefault="00000000"/>
    <w:p w:rsidR="00000000" w:rsidRDefault="00000000">
      <w:pPr>
        <w:jc w:val="center"/>
        <w:rPr>
          <w:b/>
          <w:bCs/>
        </w:rPr>
      </w:pPr>
      <w:r>
        <w:rPr>
          <w:b/>
          <w:bCs/>
        </w:rPr>
        <w:t>Статья 21</w:t>
      </w:r>
    </w:p>
    <w:p w:rsidR="00000000" w:rsidRDefault="00000000"/>
    <w:p w:rsidR="00000000" w:rsidRDefault="00000000">
      <w:r>
        <w:t xml:space="preserve">315. </w:t>
      </w:r>
      <w:r>
        <w:tab/>
        <w:t>В соответствии со статьей 39 Конституции граждане имеют право собираться мирно, без оружия и проводить собрания, митинги, походы и демонстрации, о проведении которых заблаговременно уведомляются органы исполнительной власти или органы местного самоуправления.</w:t>
      </w:r>
    </w:p>
    <w:p w:rsidR="00000000" w:rsidRDefault="00000000"/>
    <w:p w:rsidR="00000000" w:rsidRDefault="00000000">
      <w:r>
        <w:t xml:space="preserve">316. </w:t>
      </w:r>
      <w:r>
        <w:tab/>
        <w:t>Ограничение относительно реализации этого права может устанавливаться судом согласно закону и только в интересах национальной безопасности и общественного порядка – с целью предотвращения волнений или преступлений, для охраны здоровья населения или защиты прав и свобод других людей.</w:t>
      </w:r>
    </w:p>
    <w:p w:rsidR="00000000" w:rsidRDefault="00000000"/>
    <w:p w:rsidR="00000000" w:rsidRDefault="00000000">
      <w:pPr>
        <w:jc w:val="center"/>
        <w:rPr>
          <w:b/>
          <w:bCs/>
        </w:rPr>
      </w:pPr>
      <w:r>
        <w:rPr>
          <w:b/>
          <w:bCs/>
        </w:rPr>
        <w:t>Статья 22</w:t>
      </w:r>
    </w:p>
    <w:p w:rsidR="00000000" w:rsidRDefault="00000000">
      <w:pPr>
        <w:jc w:val="center"/>
        <w:rPr>
          <w:b/>
          <w:bCs/>
        </w:rPr>
      </w:pPr>
    </w:p>
    <w:p w:rsidR="00000000" w:rsidRDefault="00000000">
      <w:pPr>
        <w:jc w:val="center"/>
        <w:rPr>
          <w:b/>
          <w:bCs/>
        </w:rPr>
      </w:pPr>
      <w:r>
        <w:rPr>
          <w:b/>
          <w:bCs/>
        </w:rPr>
        <w:t>Пункт 1</w:t>
      </w:r>
    </w:p>
    <w:p w:rsidR="00000000" w:rsidRDefault="00000000"/>
    <w:p w:rsidR="00000000" w:rsidRDefault="00000000">
      <w:r>
        <w:t xml:space="preserve">317. </w:t>
      </w:r>
      <w:r>
        <w:tab/>
        <w:t>Право граждан на свободу объединения в общественные организации установлено статьей 36 Конституции Украины, и Законом Украины "О профессиональных союзах, их правах и гарантиях деятельности" от 15 сентября 1999 года.</w:t>
      </w:r>
    </w:p>
    <w:p w:rsidR="00000000" w:rsidRDefault="00000000"/>
    <w:p w:rsidR="00000000" w:rsidRDefault="00000000">
      <w:r>
        <w:t xml:space="preserve">318. </w:t>
      </w:r>
      <w:r>
        <w:tab/>
        <w:t>Согласно части первой статьи 36 Конституции Украины граждане Украины имеют право на свободу объединения в политические партии и общественные организации для осуществления и защиты своих прав и свобод, а также удовлетворения политических, экономических, социальных, культурных и других интересов, за исключением ограничений, установленных законом в интересах национальной безопасности и общественного порядка, охраны здоровья населения или защиты прав и свобод других людей.</w:t>
      </w:r>
    </w:p>
    <w:p w:rsidR="00000000" w:rsidRDefault="00000000"/>
    <w:p w:rsidR="00000000" w:rsidRDefault="00000000">
      <w:r>
        <w:t xml:space="preserve">319. </w:t>
      </w:r>
      <w:r>
        <w:tab/>
        <w:t>В части третьей указанной статьи гарантируется право граждан на участие в профессиональных союзах с целью защиты своих трудовых и социально-экономических прав и интересов. Профессиональные союзы являются общественными организациями, которые объединяют граждан, связанных общими интересами по роду их профессиональной деятельности. Профсоюзы создаются без предварительного разрешения на основе свободного выбора их членов. Все профсоюзы имеют равные права. Ограничения относительно членства в профсоюзах устанавливаются исключительно Конституцией и законами Украины.</w:t>
      </w:r>
    </w:p>
    <w:p w:rsidR="00000000" w:rsidRDefault="00000000">
      <w:r>
        <w:t xml:space="preserve">320. </w:t>
      </w:r>
      <w:r>
        <w:tab/>
        <w:t xml:space="preserve">Статья 13 Закона "О профессиональных союзах, их правах и гарантиях деятельности" от 15 сентября 1999 года устанавливает, что государство обеспечивает реализацию права граждан на объединение в профессиональные союзы и соблюдение прав и интересов профсоюзов. </w:t>
      </w:r>
    </w:p>
    <w:p w:rsidR="00000000" w:rsidRDefault="00000000"/>
    <w:p w:rsidR="00000000" w:rsidRDefault="00000000">
      <w:r>
        <w:t xml:space="preserve">321. </w:t>
      </w:r>
      <w:r>
        <w:tab/>
        <w:t>Никто не может быть принужден вступать или не вступать в профсоюз.</w:t>
      </w:r>
    </w:p>
    <w:p w:rsidR="00000000" w:rsidRDefault="00000000"/>
    <w:p w:rsidR="00000000" w:rsidRDefault="00000000">
      <w:r>
        <w:t xml:space="preserve">322. </w:t>
      </w:r>
      <w:r>
        <w:tab/>
        <w:t xml:space="preserve">Согласно статье 16 указанного Закона профессиональные союзы, их объединения в своей деятельности независимы от органов государственной власти и органов местного самоуправления, работодателей, других общественных организаций, политических партий, им не подотчетны и не подконтрольны. </w:t>
      </w:r>
    </w:p>
    <w:p w:rsidR="00000000" w:rsidRDefault="00000000"/>
    <w:p w:rsidR="00000000" w:rsidRDefault="00000000">
      <w:r>
        <w:t xml:space="preserve">323. </w:t>
      </w:r>
      <w:r>
        <w:tab/>
        <w:t>Запрещается вмешательство органов государственной власти, органов местного самоуправления, их должностных лиц, работодателей, их объединений в уставную деятельность профсоюзов, их организаций и объединений.</w:t>
      </w:r>
    </w:p>
    <w:p w:rsidR="00000000" w:rsidRDefault="00000000"/>
    <w:p w:rsidR="00000000" w:rsidRDefault="00000000">
      <w:r>
        <w:t xml:space="preserve">324. </w:t>
      </w:r>
      <w:r>
        <w:tab/>
        <w:t xml:space="preserve">Согласно частям четвертой и пятой статьи 19 указанного Закона профсоюзы, их объединения имеют право представлять интересы своих членов при реализации ими конституционного права на обращение за защитой своих прав в судебные органы, к Уполномоченному Верховного Совета Украины по правам человека, а также в международные судебные учреждения. </w:t>
      </w:r>
    </w:p>
    <w:p w:rsidR="00000000" w:rsidRDefault="00000000"/>
    <w:p w:rsidR="00000000" w:rsidRDefault="00000000">
      <w:pPr>
        <w:jc w:val="center"/>
        <w:rPr>
          <w:b/>
          <w:bCs/>
        </w:rPr>
      </w:pPr>
      <w:r>
        <w:rPr>
          <w:b/>
          <w:bCs/>
        </w:rPr>
        <w:t>Статья 23</w:t>
      </w:r>
    </w:p>
    <w:p w:rsidR="00000000" w:rsidRDefault="00000000"/>
    <w:p w:rsidR="00000000" w:rsidRDefault="00000000">
      <w:r>
        <w:t xml:space="preserve">325. </w:t>
      </w:r>
      <w:r>
        <w:tab/>
        <w:t>В соответствии с Семейным кодексом Украины женщина и мужчина имеют равные права и обязанности в семейных отношениях, браке и семье (часть шестая статьи 7).</w:t>
      </w:r>
    </w:p>
    <w:p w:rsidR="00000000" w:rsidRDefault="00000000"/>
    <w:p w:rsidR="00000000" w:rsidRDefault="00000000">
      <w:r>
        <w:t xml:space="preserve">326. </w:t>
      </w:r>
      <w:r>
        <w:tab/>
        <w:t>Брак основывается на свободном согласии женщины и мужчины (статья 24 Кодекса).</w:t>
      </w:r>
    </w:p>
    <w:p w:rsidR="00000000" w:rsidRDefault="00000000"/>
    <w:p w:rsidR="00000000" w:rsidRDefault="00000000">
      <w:r>
        <w:t xml:space="preserve">327. </w:t>
      </w:r>
      <w:r>
        <w:tab/>
        <w:t xml:space="preserve">Принуждение женщины и мужчины к вступлению в брак не допускается. </w:t>
      </w:r>
    </w:p>
    <w:p w:rsidR="00000000" w:rsidRDefault="00000000"/>
    <w:p w:rsidR="00000000" w:rsidRDefault="00000000">
      <w:pPr>
        <w:jc w:val="center"/>
        <w:rPr>
          <w:b/>
          <w:bCs/>
        </w:rPr>
      </w:pPr>
      <w:r>
        <w:rPr>
          <w:b/>
          <w:bCs/>
        </w:rPr>
        <w:t>Статья 24</w:t>
      </w:r>
    </w:p>
    <w:p w:rsidR="00000000" w:rsidRDefault="00000000"/>
    <w:p w:rsidR="00000000" w:rsidRDefault="00000000">
      <w:r>
        <w:t xml:space="preserve">328. </w:t>
      </w:r>
      <w:r>
        <w:tab/>
        <w:t xml:space="preserve">В соответствии с частью первой статьи 3 Закона Украины "Об охране детства" от 26 апреля 2001 года все дети на территории Украины, независимо от расы, цвета кожи, пола, языка, религии, политических или других убеждений, национального, этнического или социального происхождения, имущественного положения, состояния здоровья и рождения детей и их родителей (или лиц, которые их заменяют) или каких-либо других обстоятельств, имеют равные права и свободы, определенные этим Законом и другими нормативно-правовыми актами. </w:t>
      </w:r>
    </w:p>
    <w:p w:rsidR="00000000" w:rsidRDefault="00000000"/>
    <w:p w:rsidR="00000000" w:rsidRDefault="00000000">
      <w:r>
        <w:t xml:space="preserve">329. </w:t>
      </w:r>
      <w:r>
        <w:tab/>
        <w:t xml:space="preserve">В соответствии со статьей 7 этого Закона каждый ребенок с момента рождения имеет право на имя и гражданство. Место и порядок регистрации рождения ребенка определяются семейным законодательством, регистрацией актов гражданского состояния, а основания и порядок приобретения и изменения гражданства определяются Законом Украины "О гражданстве Украины" от 18 января 2001 года, другими нормативно-правовыми актами. </w:t>
      </w:r>
    </w:p>
    <w:p w:rsidR="00000000" w:rsidRDefault="00000000"/>
    <w:p w:rsidR="00000000" w:rsidRDefault="00000000">
      <w:r>
        <w:t xml:space="preserve">330. </w:t>
      </w:r>
      <w:r>
        <w:tab/>
        <w:t xml:space="preserve">В соответствии со статьей 6 Закона Украины "О гражданстве Украины" от 18 января 2001 года гражданство Украины приобретается, в частности, по праву рождения, по территориальному происхождению, вследствие усыновления, вследствие установления над ребенком опеки или попечительства, в связи с пребыванием в гражданстве Украины одного или обоих родителей ребенка, вследствие установления отцовства. </w:t>
      </w:r>
    </w:p>
    <w:p w:rsidR="00000000" w:rsidRDefault="00000000"/>
    <w:p w:rsidR="00000000" w:rsidRDefault="00000000">
      <w:r>
        <w:t xml:space="preserve">331. </w:t>
      </w:r>
      <w:r>
        <w:tab/>
        <w:t>Статья 11 Закона Украины "Об охране детства" от 26 апреля 2001 года определяет, что семья является природной средой для физического, духовного, интеллектуального, культурного, социального развития ребенка, его материального обеспечения и несет ответственность за создание соответствующих условий для него.</w:t>
      </w:r>
    </w:p>
    <w:p w:rsidR="00000000" w:rsidRDefault="00000000"/>
    <w:p w:rsidR="00000000" w:rsidRDefault="00000000">
      <w:r>
        <w:t xml:space="preserve">332. </w:t>
      </w:r>
      <w:r>
        <w:tab/>
        <w:t>Каждый ребенок имеет право на проживание в семье вместе с родителями или в семье одного из них и на заботу родителей.</w:t>
      </w:r>
    </w:p>
    <w:p w:rsidR="00000000" w:rsidRDefault="00000000"/>
    <w:p w:rsidR="00000000" w:rsidRDefault="00000000">
      <w:r>
        <w:t xml:space="preserve">333. </w:t>
      </w:r>
      <w:r>
        <w:tab/>
        <w:t>Отец и мать имеют равные права и обязанности относительно своих детей. Предметом основной заботы и основным обязательством родителей является обеспечение интересов своего ребенка.</w:t>
      </w:r>
    </w:p>
    <w:p w:rsidR="00000000" w:rsidRDefault="00000000"/>
    <w:p w:rsidR="00000000" w:rsidRDefault="00000000">
      <w:pPr>
        <w:jc w:val="center"/>
        <w:rPr>
          <w:b/>
          <w:bCs/>
        </w:rPr>
      </w:pPr>
      <w:r>
        <w:rPr>
          <w:b/>
          <w:bCs/>
        </w:rPr>
        <w:t>Статья 25</w:t>
      </w:r>
    </w:p>
    <w:p w:rsidR="00000000" w:rsidRDefault="00000000"/>
    <w:p w:rsidR="00000000" w:rsidRDefault="00000000">
      <w:r>
        <w:t xml:space="preserve">334. </w:t>
      </w:r>
      <w:r>
        <w:tab/>
        <w:t xml:space="preserve">В соответствии со статьей 38 Конституции Украины граждане имеют право принимать участие в управлении государственными делами, во всеукраинском и местном референдумах, свободно избирать и быть избранными в органы государственной власти и органы местного самоуправления. </w:t>
      </w:r>
    </w:p>
    <w:p w:rsidR="00000000" w:rsidRDefault="00000000"/>
    <w:p w:rsidR="00000000" w:rsidRDefault="00000000">
      <w:r>
        <w:t xml:space="preserve">335. </w:t>
      </w:r>
      <w:r>
        <w:tab/>
        <w:t>Граждане пользуются равным правом доступа к государственной службе, а также к службе в органах местного самоуправления.</w:t>
      </w:r>
    </w:p>
    <w:p w:rsidR="00000000" w:rsidRDefault="00000000"/>
    <w:p w:rsidR="00000000" w:rsidRDefault="00000000">
      <w:r>
        <w:t xml:space="preserve">336. </w:t>
      </w:r>
      <w:r>
        <w:tab/>
        <w:t>В соответствии со статьей 4 Закона Украины "О государственной службе" от 16 декабря 1993 года право на государственную службу имеют граждане Украины независимо от происхождения, социального и имущественного состояния, расовой и национальной принадлежности, пола, политических взглядов, религиозных убеждений, места проживания, которые получили соответствующее образование и профессиональную подготовку и прошли в установленном порядке конкурсный отбор, или по другой процедуре, предусмотренной Кабинетом Министров Украины.</w:t>
      </w:r>
    </w:p>
    <w:p w:rsidR="00000000" w:rsidRDefault="00000000"/>
    <w:p w:rsidR="00000000" w:rsidRDefault="00000000">
      <w:r>
        <w:t xml:space="preserve">337. </w:t>
      </w:r>
      <w:r>
        <w:tab/>
        <w:t>Действие этого Закона распространено на органы и должностных лиц местного самоуправления в части, которая не противоречит Закону Украины "О местном самоуправлении в Украине" от 21 мая 1997 года, Закону Украины "О службе в органах местного самоуправления" от 7 июня 2001 года и другим законам Украины, которые регулируют деятельность местного самоуправления.</w:t>
      </w:r>
    </w:p>
    <w:p w:rsidR="00000000" w:rsidRDefault="00000000"/>
    <w:p w:rsidR="00000000" w:rsidRDefault="00000000">
      <w:r>
        <w:t xml:space="preserve">338. </w:t>
      </w:r>
      <w:r>
        <w:tab/>
        <w:t>В соответствии со статьей 5 Закона Украины "О службе в органах местного самоуправления" право на службу в органах местного самоуправления имеют граждане Украины независимо от расы, цвета кожи, политических, религиозных и других убеждений, пола, этнического и социального происхождения, имущественного положения, термина проживания на соответствующей территории.</w:t>
      </w:r>
    </w:p>
    <w:p w:rsidR="00000000" w:rsidRDefault="00000000"/>
    <w:p w:rsidR="00000000" w:rsidRDefault="00000000">
      <w:r>
        <w:t>339. На должность могут быть назначены лица, которые имеют соответствующее образование и профессиональную подготовку, владеют государственным языком в объемах, достаточных для исполнения служебных обязанностей.</w:t>
      </w:r>
    </w:p>
    <w:p w:rsidR="00000000" w:rsidRDefault="00000000"/>
    <w:p w:rsidR="00000000" w:rsidRDefault="00000000">
      <w:pPr>
        <w:jc w:val="center"/>
        <w:rPr>
          <w:b/>
          <w:bCs/>
        </w:rPr>
      </w:pPr>
      <w:r>
        <w:rPr>
          <w:b/>
          <w:bCs/>
        </w:rPr>
        <w:t>Статья 27</w:t>
      </w:r>
    </w:p>
    <w:p w:rsidR="00000000" w:rsidRDefault="00000000"/>
    <w:p w:rsidR="00000000" w:rsidRDefault="00000000">
      <w:r>
        <w:t xml:space="preserve">340. </w:t>
      </w:r>
      <w:r>
        <w:tab/>
        <w:t>Как свидетельствует Всеукраинская перепись населения 2001 года, Украина является государством с многонациональным составом населения, где рядом с украинцами (37,5 млн.) проживает 10 млн. 900 тыс. представителей 134 национальностей.</w:t>
      </w:r>
    </w:p>
    <w:p w:rsidR="00000000" w:rsidRDefault="00000000"/>
    <w:p w:rsidR="00000000" w:rsidRDefault="00000000">
      <w:r>
        <w:t xml:space="preserve">341.  </w:t>
      </w:r>
      <w:r>
        <w:tab/>
        <w:t>Обеспечение прав и свобод национальных меньшинств является одним из приоритетных направлений национальной политики независимого украинского государства.</w:t>
      </w:r>
    </w:p>
    <w:p w:rsidR="00000000" w:rsidRDefault="00000000"/>
    <w:p w:rsidR="00000000" w:rsidRDefault="00000000">
      <w:r>
        <w:t xml:space="preserve">342. </w:t>
      </w:r>
      <w:r>
        <w:tab/>
        <w:t>Государственная национальная политика в сфере обеспечения прав представителей разных национальностей проводится в соответствии с положениями Конституции Украины, Декларации прав национальностей Украины от 1 ноября 1991 года, Законов Украины "О национальных меньшинствах в Украине" от 25 июня 1992 года, "Об объединении граждан" от 16 июня 1992 года, а также международно-правовых актов.</w:t>
      </w:r>
    </w:p>
    <w:p w:rsidR="00000000" w:rsidRDefault="00000000">
      <w:r>
        <w:t xml:space="preserve">343. </w:t>
      </w:r>
      <w:r>
        <w:tab/>
        <w:t>В соответствии с Законом Украины "О национальных меньшинствах в Украине" к национальным меньшинствам принадлежат группы граждан Украины, которые не являются украинцами по национальности, проявляют чувство национального самосознания и единства между собой.</w:t>
      </w:r>
    </w:p>
    <w:p w:rsidR="00000000" w:rsidRDefault="00000000"/>
    <w:p w:rsidR="00000000" w:rsidRDefault="00000000">
      <w:r>
        <w:t xml:space="preserve">344. </w:t>
      </w:r>
      <w:r>
        <w:tab/>
        <w:t xml:space="preserve">С целью усовершенствования действующего законодательства в сфере межнациональных отношений разработана Концепция государственной </w:t>
      </w:r>
      <w:proofErr w:type="spellStart"/>
      <w:r>
        <w:t>этнонациональной</w:t>
      </w:r>
      <w:proofErr w:type="spellEnd"/>
      <w:r>
        <w:t xml:space="preserve"> политики Украины, которая учитывает в полном объеме права этнических сообществ, которые проживают на территории Украины.</w:t>
      </w:r>
    </w:p>
    <w:p w:rsidR="00000000" w:rsidRDefault="00000000"/>
    <w:p w:rsidR="00000000" w:rsidRDefault="00000000">
      <w:r>
        <w:t xml:space="preserve">345. </w:t>
      </w:r>
      <w:r>
        <w:tab/>
        <w:t xml:space="preserve">Было инициировано внесение изменений в Закон Украины "О ратификации Европейской хартии региональных языков или языков меньшинств" от 15 мая 2003 года Предполагается  применение  положений Хартии еще к языкам четырех национальных меньшинств - караимскому, </w:t>
      </w:r>
      <w:proofErr w:type="spellStart"/>
      <w:r>
        <w:t>крымчацкому</w:t>
      </w:r>
      <w:proofErr w:type="spellEnd"/>
      <w:r>
        <w:t xml:space="preserve">, которые находятся под угрозой исчезновения, армянскому и </w:t>
      </w:r>
      <w:proofErr w:type="spellStart"/>
      <w:r>
        <w:t>ромскому</w:t>
      </w:r>
      <w:proofErr w:type="spellEnd"/>
      <w:r>
        <w:t xml:space="preserve">, требующим государственной поддержки.  </w:t>
      </w:r>
    </w:p>
    <w:p w:rsidR="00000000" w:rsidRDefault="00000000"/>
    <w:p w:rsidR="00000000" w:rsidRDefault="00000000">
      <w:r>
        <w:t>346. Ратификационная грамота Украины была передана Генеральному секретарю Совета Европы, и Хартия вступит в силу для Украины с 1 января 2006 года.</w:t>
      </w:r>
    </w:p>
    <w:p w:rsidR="00000000" w:rsidRDefault="00000000"/>
    <w:p w:rsidR="00000000" w:rsidRDefault="00000000">
      <w:pPr>
        <w:rPr>
          <w:spacing w:val="-10"/>
        </w:rPr>
      </w:pPr>
      <w:r>
        <w:t xml:space="preserve">347. </w:t>
      </w:r>
      <w:r>
        <w:tab/>
        <w:t>С целью более эффективного взаимодействия общественных организаций национальных меньшинств с центральными органами исполнительной власти и органами местного самоуправления и в соответствии со статьей 5 Закона Украины "О национальных меньшинствах в Украине" при Государственном комитете Украины по вопросам национальностей и миграции функционирует совещательный орган - Совет представителей всеукраинских общественных организаций  национальных меньшинств Украины.</w:t>
      </w:r>
      <w:r>
        <w:rPr>
          <w:spacing w:val="-10"/>
        </w:rPr>
        <w:t xml:space="preserve"> </w:t>
      </w:r>
    </w:p>
    <w:p w:rsidR="00000000" w:rsidRDefault="00000000">
      <w:pPr>
        <w:rPr>
          <w:spacing w:val="-10"/>
        </w:rPr>
      </w:pPr>
    </w:p>
    <w:p w:rsidR="00000000" w:rsidRDefault="00000000">
      <w:r>
        <w:t xml:space="preserve">348. </w:t>
      </w:r>
      <w:r>
        <w:tab/>
        <w:t xml:space="preserve">На заседаниях Совета проводятся обсуждения вопросов относительно обеспечения прав национальных меньшинств с привлечением известных научных работников, культурных деятелей, практиков, представителей центральных органов исполнительной власти. </w:t>
      </w:r>
    </w:p>
    <w:p w:rsidR="00000000" w:rsidRDefault="00000000"/>
    <w:p w:rsidR="00000000" w:rsidRDefault="00000000">
      <w:r>
        <w:t xml:space="preserve">349. </w:t>
      </w:r>
      <w:r>
        <w:tab/>
        <w:t xml:space="preserve">Совет оказывает содействие деятельности </w:t>
      </w:r>
      <w:proofErr w:type="spellStart"/>
      <w:r>
        <w:t>ромских</w:t>
      </w:r>
      <w:proofErr w:type="spellEnd"/>
      <w:r>
        <w:t xml:space="preserve"> общественных организаций, привлекает их к проведению общегосударственных культурологических мероприятий, принимает участие в подготовке разнообразных региональных программ и издании методической и учебной литературы.</w:t>
      </w:r>
    </w:p>
    <w:p w:rsidR="00000000" w:rsidRDefault="00000000"/>
    <w:p w:rsidR="00000000" w:rsidRDefault="00000000">
      <w:pPr>
        <w:rPr>
          <w:spacing w:val="-5"/>
        </w:rPr>
      </w:pPr>
      <w:r>
        <w:t xml:space="preserve">350. </w:t>
      </w:r>
      <w:r>
        <w:tab/>
        <w:t xml:space="preserve">По данным Всеукраинской переписи населения 2001 года в Украине проживает 47,6 тыс. ромов (цыган), что составляет 0,1 % всего населения страны. </w:t>
      </w:r>
    </w:p>
    <w:p w:rsidR="00000000" w:rsidRDefault="00000000">
      <w:pPr>
        <w:rPr>
          <w:spacing w:val="-10"/>
        </w:rPr>
      </w:pPr>
      <w:r>
        <w:rPr>
          <w:spacing w:val="-9"/>
        </w:rPr>
        <w:t xml:space="preserve">351. </w:t>
      </w:r>
      <w:r>
        <w:rPr>
          <w:spacing w:val="-9"/>
        </w:rPr>
        <w:tab/>
        <w:t xml:space="preserve">В Украине существует Всеукраинский Союз общественных организаций “Конгресс </w:t>
      </w:r>
      <w:proofErr w:type="spellStart"/>
      <w:r>
        <w:rPr>
          <w:spacing w:val="-9"/>
        </w:rPr>
        <w:t>ромен</w:t>
      </w:r>
      <w:proofErr w:type="spellEnd"/>
      <w:r>
        <w:rPr>
          <w:spacing w:val="-9"/>
        </w:rPr>
        <w:t xml:space="preserve"> Украины”, который объединяет </w:t>
      </w:r>
      <w:proofErr w:type="spellStart"/>
      <w:r>
        <w:rPr>
          <w:spacing w:val="-9"/>
        </w:rPr>
        <w:t>ромские</w:t>
      </w:r>
      <w:proofErr w:type="spellEnd"/>
      <w:r>
        <w:rPr>
          <w:spacing w:val="-9"/>
        </w:rPr>
        <w:t xml:space="preserve"> общественные организации, основными задачами  которых  являются  возрождение языка, культуры, традиций и обычаев своего  этноса.</w:t>
      </w:r>
    </w:p>
    <w:p w:rsidR="00000000" w:rsidRDefault="00000000">
      <w:pPr>
        <w:rPr>
          <w:spacing w:val="-10"/>
        </w:rPr>
      </w:pPr>
    </w:p>
    <w:p w:rsidR="00000000" w:rsidRDefault="00000000">
      <w:pPr>
        <w:rPr>
          <w:spacing w:val="-2"/>
        </w:rPr>
      </w:pPr>
      <w:r>
        <w:rPr>
          <w:spacing w:val="-8"/>
        </w:rPr>
        <w:t xml:space="preserve">352. </w:t>
      </w:r>
      <w:r>
        <w:rPr>
          <w:spacing w:val="-8"/>
        </w:rPr>
        <w:tab/>
        <w:t xml:space="preserve">В соответствии с бюджетными программами 5321030 "Мероприятия по возрождению культуры национальных меньшинств и финансовая поддержка газет на языках национальных меньшинств" и 1801260 "Мероприятия по возрождению культуры национальных меньшинств" в Государственном бюджете Украины ежегодно предусматриваются расходы  </w:t>
      </w:r>
      <w:proofErr w:type="spellStart"/>
      <w:r>
        <w:rPr>
          <w:spacing w:val="-8"/>
        </w:rPr>
        <w:t>Госкомнацмиграции</w:t>
      </w:r>
      <w:proofErr w:type="spellEnd"/>
      <w:r>
        <w:rPr>
          <w:spacing w:val="-8"/>
        </w:rPr>
        <w:t xml:space="preserve"> и  Министерства культуры и искусства Украины на проведение мероприятий по возрождению культуры национальных меньшинств, в частности, ромов. Так, в 2005 году предусмотрено 2 020,0 тыс. гривен на программу 5321030 и 1 500,0 тыс. гривен на программу 1801260.</w:t>
      </w:r>
    </w:p>
    <w:p w:rsidR="00000000" w:rsidRDefault="00000000">
      <w:pPr>
        <w:rPr>
          <w:spacing w:val="-2"/>
        </w:rPr>
      </w:pPr>
    </w:p>
    <w:p w:rsidR="00000000" w:rsidRDefault="00000000">
      <w:r>
        <w:t xml:space="preserve">353. </w:t>
      </w:r>
      <w:r>
        <w:tab/>
        <w:t>При поддержке Комитета в июне 2004 года государственный цыганский музыкально-драматический театр "Романс" принял участие во ІІ международном фестивале "</w:t>
      </w:r>
      <w:proofErr w:type="spellStart"/>
      <w:r>
        <w:t>Галичина</w:t>
      </w:r>
      <w:proofErr w:type="spellEnd"/>
      <w:r>
        <w:t xml:space="preserve">" (г. </w:t>
      </w:r>
      <w:proofErr w:type="spellStart"/>
      <w:r>
        <w:t>Пшемышль</w:t>
      </w:r>
      <w:proofErr w:type="spellEnd"/>
      <w:r>
        <w:t xml:space="preserve">, Польша). Кроме того, предоставлена финансовая поддержка на открытие </w:t>
      </w:r>
      <w:proofErr w:type="spellStart"/>
      <w:r>
        <w:t>ромской</w:t>
      </w:r>
      <w:proofErr w:type="spellEnd"/>
      <w:r>
        <w:t xml:space="preserve"> воскресной школы (с. Гребенки, Киевской обл.), проведение </w:t>
      </w:r>
      <w:proofErr w:type="spellStart"/>
      <w:r>
        <w:t>ромского</w:t>
      </w:r>
      <w:proofErr w:type="spellEnd"/>
      <w:r>
        <w:t xml:space="preserve"> фестиваля (г. Ужгород), фестиваля </w:t>
      </w:r>
      <w:proofErr w:type="spellStart"/>
      <w:r>
        <w:t>ромских</w:t>
      </w:r>
      <w:proofErr w:type="spellEnd"/>
      <w:r>
        <w:t xml:space="preserve"> самодеятельных коллективов (г. Кировоград),  фестиваля "Поп-джаз-фест-2004" (г. Ужгород).</w:t>
      </w:r>
    </w:p>
    <w:p w:rsidR="00000000" w:rsidRDefault="00000000"/>
    <w:p w:rsidR="00000000" w:rsidRDefault="00000000">
      <w:pPr>
        <w:rPr>
          <w:i/>
          <w:u w:val="single"/>
        </w:rPr>
      </w:pPr>
      <w:r>
        <w:t xml:space="preserve">354. </w:t>
      </w:r>
      <w:r>
        <w:tab/>
        <w:t xml:space="preserve">Впервые в ноябре 2004 года под эгидой Союза общественных организаций "Конгресс </w:t>
      </w:r>
      <w:proofErr w:type="spellStart"/>
      <w:r>
        <w:t>ромен</w:t>
      </w:r>
      <w:proofErr w:type="spellEnd"/>
      <w:r>
        <w:t xml:space="preserve"> Украины" проведен всеукраинский фестиваль самодеятельных </w:t>
      </w:r>
      <w:proofErr w:type="spellStart"/>
      <w:r>
        <w:t>ромских</w:t>
      </w:r>
      <w:proofErr w:type="spellEnd"/>
      <w:r>
        <w:t xml:space="preserve"> коллективов (г. Белая Церковь).</w:t>
      </w:r>
    </w:p>
    <w:p w:rsidR="00000000" w:rsidRDefault="00000000">
      <w:pPr>
        <w:rPr>
          <w:i/>
          <w:u w:val="single"/>
        </w:rPr>
      </w:pPr>
    </w:p>
    <w:p w:rsidR="00000000" w:rsidRDefault="00000000">
      <w:r>
        <w:t xml:space="preserve">355. </w:t>
      </w:r>
      <w:r>
        <w:tab/>
        <w:t xml:space="preserve">12 апреля 2005 года в Комитете Верховной Рады Украины по вопросам прав человека, национальных меньшинств и межнациональных отношений состоялись слушания "О современном положении ромов в Украине" с участием начальников структурных подразделений по делам национальностей и миграции областных государственных администраций, председателей </w:t>
      </w:r>
      <w:proofErr w:type="spellStart"/>
      <w:r>
        <w:t>ромских</w:t>
      </w:r>
      <w:proofErr w:type="spellEnd"/>
      <w:r>
        <w:t xml:space="preserve"> национально-культурных обществ, представителей средств массовой информации, по результатам которых подготовлены рекомендации.</w:t>
      </w:r>
    </w:p>
    <w:p w:rsidR="00000000" w:rsidRDefault="00000000"/>
    <w:p w:rsidR="00000000" w:rsidRDefault="00000000">
      <w:r>
        <w:t xml:space="preserve">356. </w:t>
      </w:r>
      <w:r>
        <w:tab/>
        <w:t xml:space="preserve">Заявлений и сообщений по фактам дискриминации и преследования лиц, принадлежащих к национальным меньшинствам, в Генеральную прокуратуру Украины и </w:t>
      </w:r>
      <w:proofErr w:type="spellStart"/>
      <w:r>
        <w:t>Госкомнацмиграции</w:t>
      </w:r>
      <w:proofErr w:type="spellEnd"/>
      <w:r>
        <w:t xml:space="preserve"> не поступало.</w:t>
      </w:r>
    </w:p>
    <w:p w:rsidR="00000000" w:rsidRDefault="00000000"/>
    <w:p w:rsidR="00000000" w:rsidRDefault="00000000">
      <w:r>
        <w:t xml:space="preserve">357. </w:t>
      </w:r>
      <w:r>
        <w:tab/>
        <w:t xml:space="preserve">Относительно пункта 13 Заключительных замечаний Комитета по правам человека отметим, что в Украине надзор за соблюдением законов органами, которые занимаются оперативно-розыскной деятельностью, дознанием, досудебным следствием, надзор за соблюдением законов при исполнении решений судов по уголовным делам, а также при применении других мер принудительного характера, связанных с ограничением личной свободы граждан возложен на органы прокуратуры. </w:t>
      </w:r>
    </w:p>
    <w:p w:rsidR="00000000" w:rsidRDefault="00000000"/>
    <w:p w:rsidR="00000000" w:rsidRDefault="00000000">
      <w:r>
        <w:t xml:space="preserve">358. </w:t>
      </w:r>
      <w:r>
        <w:tab/>
        <w:t>Жалобы на действия работников милиции рассматривают органы прокуратуры Украины, которыми при наличии оснований возбуждаются в отношении работников милиции дисциплинарные производства или уголовные дела и таким образом решается вопрос о привлечении их к ответственности за нарушение прав человека. Кроме того, действия или бездействие работников органов внутренних дел и прокуратуры могут быть обжалованы в судебном порядке.</w:t>
      </w:r>
    </w:p>
    <w:p w:rsidR="00000000" w:rsidRDefault="00000000"/>
    <w:p w:rsidR="00000000" w:rsidRDefault="00000000">
      <w:r>
        <w:t xml:space="preserve">359. </w:t>
      </w:r>
      <w:r>
        <w:tab/>
        <w:t>Иностранные граждане и лица из числа национальных меньшинств привлекаются к ответственности только в связи с совершением ими на территории Украины правонарушений.</w:t>
      </w:r>
    </w:p>
    <w:p w:rsidR="00000000" w:rsidRDefault="00000000"/>
    <w:p w:rsidR="00000000" w:rsidRDefault="00000000">
      <w:pPr>
        <w:jc w:val="center"/>
        <w:rPr>
          <w:b/>
          <w:bCs/>
        </w:rPr>
      </w:pPr>
      <w:r>
        <w:rPr>
          <w:b/>
          <w:bCs/>
        </w:rPr>
        <w:t>Таблица 1</w:t>
      </w:r>
    </w:p>
    <w:p w:rsidR="00000000" w:rsidRDefault="00000000">
      <w:pPr>
        <w:jc w:val="center"/>
        <w:rPr>
          <w:b/>
          <w:bCs/>
        </w:rPr>
      </w:pPr>
    </w:p>
    <w:tbl>
      <w:tblPr>
        <w:tblW w:w="0" w:type="auto"/>
        <w:tblLayout w:type="fixed"/>
        <w:tblCellMar>
          <w:left w:w="28" w:type="dxa"/>
          <w:right w:w="28" w:type="dxa"/>
        </w:tblCellMar>
        <w:tblLook w:val="0000" w:firstRow="0" w:lastRow="0" w:firstColumn="0" w:lastColumn="0" w:noHBand="0" w:noVBand="0"/>
      </w:tblPr>
      <w:tblGrid>
        <w:gridCol w:w="2276"/>
        <w:gridCol w:w="840"/>
        <w:gridCol w:w="82"/>
        <w:gridCol w:w="730"/>
        <w:gridCol w:w="169"/>
        <w:gridCol w:w="769"/>
        <w:gridCol w:w="103"/>
        <w:gridCol w:w="899"/>
        <w:gridCol w:w="872"/>
        <w:gridCol w:w="34"/>
        <w:gridCol w:w="865"/>
        <w:gridCol w:w="57"/>
        <w:gridCol w:w="815"/>
        <w:gridCol w:w="30"/>
        <w:gridCol w:w="869"/>
      </w:tblGrid>
      <w:tr w:rsidR="00000000">
        <w:tblPrEx>
          <w:tblCellMar>
            <w:top w:w="0" w:type="dxa"/>
            <w:bottom w:w="0" w:type="dxa"/>
          </w:tblCellMar>
        </w:tblPrEx>
        <w:trPr>
          <w:cantSplit/>
        </w:trPr>
        <w:tc>
          <w:tcPr>
            <w:tcW w:w="9410" w:type="dxa"/>
            <w:gridSpan w:val="15"/>
          </w:tcPr>
          <w:p w:rsidR="00000000" w:rsidRDefault="00000000">
            <w:pPr>
              <w:spacing w:line="240" w:lineRule="auto"/>
              <w:jc w:val="center"/>
              <w:rPr>
                <w:b/>
                <w:bCs/>
              </w:rPr>
            </w:pPr>
            <w:r>
              <w:rPr>
                <w:b/>
                <w:bCs/>
              </w:rPr>
              <w:t>Структура численности государственных служащих по полу</w:t>
            </w:r>
          </w:p>
          <w:p w:rsidR="00000000" w:rsidRDefault="00000000">
            <w:pPr>
              <w:spacing w:line="240" w:lineRule="auto"/>
              <w:jc w:val="center"/>
              <w:rPr>
                <w:b/>
                <w:bCs/>
              </w:rPr>
            </w:pPr>
          </w:p>
        </w:tc>
      </w:tr>
      <w:tr w:rsidR="00000000">
        <w:tblPrEx>
          <w:tblCellMar>
            <w:top w:w="0" w:type="dxa"/>
            <w:bottom w:w="0" w:type="dxa"/>
          </w:tblCellMar>
        </w:tblPrEx>
        <w:trPr>
          <w:cantSplit/>
        </w:trPr>
        <w:tc>
          <w:tcPr>
            <w:tcW w:w="9410" w:type="dxa"/>
            <w:gridSpan w:val="15"/>
          </w:tcPr>
          <w:p w:rsidR="00000000" w:rsidRDefault="00000000">
            <w:pPr>
              <w:spacing w:line="240" w:lineRule="auto"/>
              <w:jc w:val="center"/>
            </w:pPr>
            <w:r>
              <w:t>В процентах к общей численности служащих соответствующей категории, на 1 января</w:t>
            </w:r>
          </w:p>
          <w:p w:rsidR="00000000" w:rsidRDefault="00000000">
            <w:pPr>
              <w:spacing w:line="240" w:lineRule="auto"/>
              <w:jc w:val="center"/>
            </w:pPr>
          </w:p>
        </w:tc>
      </w:tr>
      <w:tr w:rsidR="00000000">
        <w:tblPrEx>
          <w:tblCellMar>
            <w:top w:w="0" w:type="dxa"/>
            <w:bottom w:w="0" w:type="dxa"/>
          </w:tblCellMar>
        </w:tblPrEx>
        <w:trPr>
          <w:cantSplit/>
        </w:trPr>
        <w:tc>
          <w:tcPr>
            <w:tcW w:w="2276" w:type="dxa"/>
          </w:tcPr>
          <w:p w:rsidR="00000000" w:rsidRDefault="00000000">
            <w:pPr>
              <w:spacing w:line="240" w:lineRule="auto"/>
              <w:jc w:val="center"/>
            </w:pPr>
          </w:p>
        </w:tc>
        <w:tc>
          <w:tcPr>
            <w:tcW w:w="1821" w:type="dxa"/>
            <w:gridSpan w:val="4"/>
          </w:tcPr>
          <w:p w:rsidR="00000000" w:rsidRDefault="00000000">
            <w:pPr>
              <w:spacing w:line="240" w:lineRule="auto"/>
              <w:jc w:val="center"/>
              <w:rPr>
                <w:highlight w:val="yellow"/>
              </w:rPr>
            </w:pPr>
            <w:r>
              <w:t>2002</w:t>
            </w:r>
          </w:p>
        </w:tc>
        <w:tc>
          <w:tcPr>
            <w:tcW w:w="1771" w:type="dxa"/>
            <w:gridSpan w:val="3"/>
          </w:tcPr>
          <w:p w:rsidR="00000000" w:rsidRDefault="00000000">
            <w:pPr>
              <w:spacing w:line="240" w:lineRule="auto"/>
              <w:jc w:val="center"/>
            </w:pPr>
            <w:r>
              <w:t>2003</w:t>
            </w:r>
          </w:p>
        </w:tc>
        <w:tc>
          <w:tcPr>
            <w:tcW w:w="1771" w:type="dxa"/>
            <w:gridSpan w:val="3"/>
          </w:tcPr>
          <w:p w:rsidR="00000000" w:rsidRDefault="00000000">
            <w:pPr>
              <w:spacing w:line="240" w:lineRule="auto"/>
              <w:jc w:val="center"/>
            </w:pPr>
            <w:r>
              <w:t>2004</w:t>
            </w:r>
          </w:p>
        </w:tc>
        <w:tc>
          <w:tcPr>
            <w:tcW w:w="1771" w:type="dxa"/>
            <w:gridSpan w:val="4"/>
          </w:tcPr>
          <w:p w:rsidR="00000000" w:rsidRDefault="00000000">
            <w:pPr>
              <w:spacing w:line="240" w:lineRule="auto"/>
              <w:jc w:val="center"/>
            </w:pPr>
            <w:r>
              <w:t>2005</w:t>
            </w:r>
          </w:p>
        </w:tc>
      </w:tr>
      <w:tr w:rsidR="00000000">
        <w:tblPrEx>
          <w:tblCellMar>
            <w:top w:w="0" w:type="dxa"/>
            <w:bottom w:w="0" w:type="dxa"/>
          </w:tblCellMar>
        </w:tblPrEx>
        <w:trPr>
          <w:cantSplit/>
        </w:trPr>
        <w:tc>
          <w:tcPr>
            <w:tcW w:w="2276" w:type="dxa"/>
          </w:tcPr>
          <w:p w:rsidR="00000000" w:rsidRDefault="00000000">
            <w:pPr>
              <w:spacing w:line="240" w:lineRule="auto"/>
            </w:pPr>
          </w:p>
        </w:tc>
        <w:tc>
          <w:tcPr>
            <w:tcW w:w="922" w:type="dxa"/>
            <w:gridSpan w:val="2"/>
          </w:tcPr>
          <w:p w:rsidR="00000000" w:rsidRDefault="00000000">
            <w:pPr>
              <w:spacing w:line="240" w:lineRule="auto"/>
            </w:pPr>
            <w:r>
              <w:t>мужчин</w:t>
            </w:r>
          </w:p>
        </w:tc>
        <w:tc>
          <w:tcPr>
            <w:tcW w:w="899" w:type="dxa"/>
            <w:gridSpan w:val="2"/>
          </w:tcPr>
          <w:p w:rsidR="00000000" w:rsidRDefault="00000000">
            <w:pPr>
              <w:spacing w:line="240" w:lineRule="auto"/>
            </w:pPr>
            <w:r>
              <w:t>женщин</w:t>
            </w:r>
          </w:p>
        </w:tc>
        <w:tc>
          <w:tcPr>
            <w:tcW w:w="872" w:type="dxa"/>
            <w:gridSpan w:val="2"/>
          </w:tcPr>
          <w:p w:rsidR="00000000" w:rsidRDefault="00000000">
            <w:pPr>
              <w:spacing w:line="240" w:lineRule="auto"/>
            </w:pPr>
            <w:r>
              <w:t>мужчин</w:t>
            </w:r>
          </w:p>
        </w:tc>
        <w:tc>
          <w:tcPr>
            <w:tcW w:w="899" w:type="dxa"/>
          </w:tcPr>
          <w:p w:rsidR="00000000" w:rsidRDefault="00000000">
            <w:pPr>
              <w:spacing w:line="240" w:lineRule="auto"/>
            </w:pPr>
            <w:r>
              <w:t>женщин</w:t>
            </w:r>
          </w:p>
        </w:tc>
        <w:tc>
          <w:tcPr>
            <w:tcW w:w="872" w:type="dxa"/>
          </w:tcPr>
          <w:p w:rsidR="00000000" w:rsidRDefault="00000000">
            <w:pPr>
              <w:spacing w:line="240" w:lineRule="auto"/>
            </w:pPr>
            <w:r>
              <w:t>мужчин</w:t>
            </w:r>
          </w:p>
        </w:tc>
        <w:tc>
          <w:tcPr>
            <w:tcW w:w="899" w:type="dxa"/>
            <w:gridSpan w:val="2"/>
          </w:tcPr>
          <w:p w:rsidR="00000000" w:rsidRDefault="00000000">
            <w:pPr>
              <w:spacing w:line="240" w:lineRule="auto"/>
            </w:pPr>
            <w:r>
              <w:t>женщин</w:t>
            </w:r>
          </w:p>
        </w:tc>
        <w:tc>
          <w:tcPr>
            <w:tcW w:w="872" w:type="dxa"/>
            <w:gridSpan w:val="2"/>
          </w:tcPr>
          <w:p w:rsidR="00000000" w:rsidRDefault="00000000">
            <w:pPr>
              <w:spacing w:line="240" w:lineRule="auto"/>
            </w:pPr>
            <w:r>
              <w:t>мужчин</w:t>
            </w:r>
          </w:p>
        </w:tc>
        <w:tc>
          <w:tcPr>
            <w:tcW w:w="899" w:type="dxa"/>
            <w:gridSpan w:val="2"/>
          </w:tcPr>
          <w:p w:rsidR="00000000" w:rsidRDefault="00000000">
            <w:pPr>
              <w:spacing w:line="240" w:lineRule="auto"/>
            </w:pPr>
            <w:r>
              <w:t>женщин</w:t>
            </w:r>
          </w:p>
          <w:p w:rsidR="00000000" w:rsidRDefault="00000000">
            <w:pPr>
              <w:spacing w:line="240" w:lineRule="auto"/>
            </w:pPr>
          </w:p>
        </w:tc>
      </w:tr>
      <w:tr w:rsidR="00000000">
        <w:tblPrEx>
          <w:tblCellMar>
            <w:top w:w="0" w:type="dxa"/>
            <w:bottom w:w="0" w:type="dxa"/>
          </w:tblCellMar>
        </w:tblPrEx>
        <w:trPr>
          <w:cantSplit/>
        </w:trPr>
        <w:tc>
          <w:tcPr>
            <w:tcW w:w="2276" w:type="dxa"/>
          </w:tcPr>
          <w:p w:rsidR="00000000" w:rsidRDefault="00000000">
            <w:pPr>
              <w:spacing w:line="240" w:lineRule="auto"/>
            </w:pPr>
            <w:r>
              <w:t>численность государственных служащих, должности руководителей и специалистов, всего</w:t>
            </w:r>
          </w:p>
          <w:p w:rsidR="00000000" w:rsidRDefault="00000000">
            <w:pPr>
              <w:spacing w:line="240" w:lineRule="auto"/>
            </w:pPr>
          </w:p>
        </w:tc>
        <w:tc>
          <w:tcPr>
            <w:tcW w:w="840" w:type="dxa"/>
          </w:tcPr>
          <w:p w:rsidR="00000000" w:rsidRDefault="00000000">
            <w:pPr>
              <w:spacing w:line="240" w:lineRule="auto"/>
            </w:pPr>
            <w:r>
              <w:t xml:space="preserve">  25,8</w:t>
            </w:r>
          </w:p>
        </w:tc>
        <w:tc>
          <w:tcPr>
            <w:tcW w:w="812" w:type="dxa"/>
            <w:gridSpan w:val="2"/>
          </w:tcPr>
          <w:p w:rsidR="00000000" w:rsidRDefault="00000000">
            <w:pPr>
              <w:spacing w:line="240" w:lineRule="auto"/>
            </w:pPr>
            <w:r>
              <w:t xml:space="preserve">    74,2</w:t>
            </w:r>
          </w:p>
        </w:tc>
        <w:tc>
          <w:tcPr>
            <w:tcW w:w="938" w:type="dxa"/>
            <w:gridSpan w:val="2"/>
          </w:tcPr>
          <w:p w:rsidR="00000000" w:rsidRDefault="00000000">
            <w:pPr>
              <w:spacing w:line="240" w:lineRule="auto"/>
            </w:pPr>
            <w:r>
              <w:t xml:space="preserve">     25,0</w:t>
            </w:r>
          </w:p>
        </w:tc>
        <w:tc>
          <w:tcPr>
            <w:tcW w:w="1002" w:type="dxa"/>
            <w:gridSpan w:val="2"/>
          </w:tcPr>
          <w:p w:rsidR="00000000" w:rsidRDefault="00000000">
            <w:pPr>
              <w:spacing w:line="240" w:lineRule="auto"/>
            </w:pPr>
            <w:r>
              <w:t xml:space="preserve">    75,0</w:t>
            </w:r>
          </w:p>
        </w:tc>
        <w:tc>
          <w:tcPr>
            <w:tcW w:w="906" w:type="dxa"/>
            <w:gridSpan w:val="2"/>
          </w:tcPr>
          <w:p w:rsidR="00000000" w:rsidRDefault="00000000">
            <w:pPr>
              <w:spacing w:line="240" w:lineRule="auto"/>
            </w:pPr>
            <w:r>
              <w:t xml:space="preserve">  25,6</w:t>
            </w:r>
          </w:p>
        </w:tc>
        <w:tc>
          <w:tcPr>
            <w:tcW w:w="922" w:type="dxa"/>
            <w:gridSpan w:val="2"/>
          </w:tcPr>
          <w:p w:rsidR="00000000" w:rsidRDefault="00000000">
            <w:pPr>
              <w:spacing w:line="240" w:lineRule="auto"/>
            </w:pPr>
            <w:r>
              <w:t xml:space="preserve">  74,4</w:t>
            </w:r>
          </w:p>
        </w:tc>
        <w:tc>
          <w:tcPr>
            <w:tcW w:w="845" w:type="dxa"/>
            <w:gridSpan w:val="2"/>
          </w:tcPr>
          <w:p w:rsidR="00000000" w:rsidRDefault="00000000">
            <w:pPr>
              <w:spacing w:line="240" w:lineRule="auto"/>
            </w:pPr>
            <w:r>
              <w:t xml:space="preserve">  24,9</w:t>
            </w:r>
          </w:p>
        </w:tc>
        <w:tc>
          <w:tcPr>
            <w:tcW w:w="869" w:type="dxa"/>
          </w:tcPr>
          <w:p w:rsidR="00000000" w:rsidRDefault="00000000">
            <w:pPr>
              <w:spacing w:line="240" w:lineRule="auto"/>
            </w:pPr>
            <w:r>
              <w:t xml:space="preserve"> 75,1</w:t>
            </w:r>
          </w:p>
        </w:tc>
      </w:tr>
      <w:tr w:rsidR="00000000">
        <w:tblPrEx>
          <w:tblCellMar>
            <w:top w:w="0" w:type="dxa"/>
            <w:bottom w:w="0" w:type="dxa"/>
          </w:tblCellMar>
        </w:tblPrEx>
        <w:trPr>
          <w:cantSplit/>
        </w:trPr>
        <w:tc>
          <w:tcPr>
            <w:tcW w:w="2276" w:type="dxa"/>
          </w:tcPr>
          <w:p w:rsidR="00000000" w:rsidRDefault="00000000">
            <w:pPr>
              <w:spacing w:line="240" w:lineRule="auto"/>
            </w:pPr>
            <w:r>
              <w:t>Руководители</w:t>
            </w:r>
          </w:p>
        </w:tc>
        <w:tc>
          <w:tcPr>
            <w:tcW w:w="840" w:type="dxa"/>
          </w:tcPr>
          <w:p w:rsidR="00000000" w:rsidRDefault="00000000">
            <w:pPr>
              <w:spacing w:line="240" w:lineRule="auto"/>
            </w:pPr>
            <w:r>
              <w:t xml:space="preserve">  42,1</w:t>
            </w:r>
          </w:p>
        </w:tc>
        <w:tc>
          <w:tcPr>
            <w:tcW w:w="812" w:type="dxa"/>
            <w:gridSpan w:val="2"/>
          </w:tcPr>
          <w:p w:rsidR="00000000" w:rsidRDefault="00000000">
            <w:pPr>
              <w:spacing w:line="240" w:lineRule="auto"/>
            </w:pPr>
            <w:r>
              <w:t xml:space="preserve">    57,9</w:t>
            </w:r>
          </w:p>
        </w:tc>
        <w:tc>
          <w:tcPr>
            <w:tcW w:w="938" w:type="dxa"/>
            <w:gridSpan w:val="2"/>
          </w:tcPr>
          <w:p w:rsidR="00000000" w:rsidRDefault="00000000">
            <w:pPr>
              <w:spacing w:line="240" w:lineRule="auto"/>
            </w:pPr>
            <w:r>
              <w:t xml:space="preserve">     39,5</w:t>
            </w:r>
          </w:p>
        </w:tc>
        <w:tc>
          <w:tcPr>
            <w:tcW w:w="1002" w:type="dxa"/>
            <w:gridSpan w:val="2"/>
          </w:tcPr>
          <w:p w:rsidR="00000000" w:rsidRDefault="00000000">
            <w:pPr>
              <w:spacing w:line="240" w:lineRule="auto"/>
            </w:pPr>
            <w:r>
              <w:t xml:space="preserve">    60,5</w:t>
            </w:r>
          </w:p>
        </w:tc>
        <w:tc>
          <w:tcPr>
            <w:tcW w:w="906" w:type="dxa"/>
            <w:gridSpan w:val="2"/>
          </w:tcPr>
          <w:p w:rsidR="00000000" w:rsidRDefault="00000000">
            <w:pPr>
              <w:spacing w:line="240" w:lineRule="auto"/>
            </w:pPr>
            <w:r>
              <w:t xml:space="preserve">  39,4</w:t>
            </w:r>
          </w:p>
        </w:tc>
        <w:tc>
          <w:tcPr>
            <w:tcW w:w="922" w:type="dxa"/>
            <w:gridSpan w:val="2"/>
          </w:tcPr>
          <w:p w:rsidR="00000000" w:rsidRDefault="00000000">
            <w:pPr>
              <w:spacing w:line="240" w:lineRule="auto"/>
            </w:pPr>
            <w:r>
              <w:t xml:space="preserve">  60,6</w:t>
            </w:r>
          </w:p>
        </w:tc>
        <w:tc>
          <w:tcPr>
            <w:tcW w:w="845" w:type="dxa"/>
            <w:gridSpan w:val="2"/>
          </w:tcPr>
          <w:p w:rsidR="00000000" w:rsidRDefault="00000000">
            <w:pPr>
              <w:spacing w:line="240" w:lineRule="auto"/>
            </w:pPr>
            <w:r>
              <w:t xml:space="preserve">  38,2</w:t>
            </w:r>
          </w:p>
        </w:tc>
        <w:tc>
          <w:tcPr>
            <w:tcW w:w="869" w:type="dxa"/>
          </w:tcPr>
          <w:p w:rsidR="00000000" w:rsidRDefault="00000000">
            <w:pPr>
              <w:spacing w:line="240" w:lineRule="auto"/>
            </w:pPr>
            <w:r>
              <w:t xml:space="preserve"> 61,8</w:t>
            </w:r>
          </w:p>
          <w:p w:rsidR="00000000" w:rsidRDefault="00000000">
            <w:pPr>
              <w:spacing w:line="240" w:lineRule="auto"/>
            </w:pPr>
          </w:p>
        </w:tc>
      </w:tr>
      <w:tr w:rsidR="00000000">
        <w:tblPrEx>
          <w:tblCellMar>
            <w:top w:w="0" w:type="dxa"/>
            <w:bottom w:w="0" w:type="dxa"/>
          </w:tblCellMar>
        </w:tblPrEx>
        <w:trPr>
          <w:cantSplit/>
        </w:trPr>
        <w:tc>
          <w:tcPr>
            <w:tcW w:w="2276" w:type="dxa"/>
          </w:tcPr>
          <w:p w:rsidR="00000000" w:rsidRDefault="00000000">
            <w:pPr>
              <w:spacing w:line="240" w:lineRule="auto"/>
            </w:pPr>
            <w:r>
              <w:t>из них по категориям должностей:</w:t>
            </w:r>
          </w:p>
          <w:p w:rsidR="00000000" w:rsidRDefault="00000000">
            <w:pPr>
              <w:spacing w:line="240" w:lineRule="auto"/>
            </w:pPr>
          </w:p>
        </w:tc>
        <w:tc>
          <w:tcPr>
            <w:tcW w:w="840" w:type="dxa"/>
          </w:tcPr>
          <w:p w:rsidR="00000000" w:rsidRDefault="00000000">
            <w:pPr>
              <w:spacing w:line="240" w:lineRule="auto"/>
            </w:pPr>
          </w:p>
        </w:tc>
        <w:tc>
          <w:tcPr>
            <w:tcW w:w="812" w:type="dxa"/>
            <w:gridSpan w:val="2"/>
          </w:tcPr>
          <w:p w:rsidR="00000000" w:rsidRDefault="00000000">
            <w:pPr>
              <w:spacing w:line="240" w:lineRule="auto"/>
            </w:pPr>
          </w:p>
        </w:tc>
        <w:tc>
          <w:tcPr>
            <w:tcW w:w="938" w:type="dxa"/>
            <w:gridSpan w:val="2"/>
          </w:tcPr>
          <w:p w:rsidR="00000000" w:rsidRDefault="00000000">
            <w:pPr>
              <w:spacing w:line="240" w:lineRule="auto"/>
            </w:pPr>
          </w:p>
        </w:tc>
        <w:tc>
          <w:tcPr>
            <w:tcW w:w="1002" w:type="dxa"/>
            <w:gridSpan w:val="2"/>
          </w:tcPr>
          <w:p w:rsidR="00000000" w:rsidRDefault="00000000">
            <w:pPr>
              <w:spacing w:line="240" w:lineRule="auto"/>
            </w:pPr>
          </w:p>
        </w:tc>
        <w:tc>
          <w:tcPr>
            <w:tcW w:w="906" w:type="dxa"/>
            <w:gridSpan w:val="2"/>
          </w:tcPr>
          <w:p w:rsidR="00000000" w:rsidRDefault="00000000">
            <w:pPr>
              <w:spacing w:line="240" w:lineRule="auto"/>
            </w:pPr>
          </w:p>
        </w:tc>
        <w:tc>
          <w:tcPr>
            <w:tcW w:w="922" w:type="dxa"/>
            <w:gridSpan w:val="2"/>
          </w:tcPr>
          <w:p w:rsidR="00000000" w:rsidRDefault="00000000">
            <w:pPr>
              <w:spacing w:line="240" w:lineRule="auto"/>
            </w:pPr>
          </w:p>
        </w:tc>
        <w:tc>
          <w:tcPr>
            <w:tcW w:w="845" w:type="dxa"/>
            <w:gridSpan w:val="2"/>
          </w:tcPr>
          <w:p w:rsidR="00000000" w:rsidRDefault="00000000">
            <w:pPr>
              <w:spacing w:line="240" w:lineRule="auto"/>
            </w:pPr>
          </w:p>
        </w:tc>
        <w:tc>
          <w:tcPr>
            <w:tcW w:w="869" w:type="dxa"/>
          </w:tcPr>
          <w:p w:rsidR="00000000" w:rsidRDefault="00000000">
            <w:pPr>
              <w:spacing w:line="240" w:lineRule="auto"/>
            </w:pPr>
          </w:p>
        </w:tc>
      </w:tr>
      <w:tr w:rsidR="00000000">
        <w:tblPrEx>
          <w:tblCellMar>
            <w:top w:w="0" w:type="dxa"/>
            <w:bottom w:w="0" w:type="dxa"/>
          </w:tblCellMar>
        </w:tblPrEx>
        <w:trPr>
          <w:cantSplit/>
        </w:trPr>
        <w:tc>
          <w:tcPr>
            <w:tcW w:w="2276" w:type="dxa"/>
          </w:tcPr>
          <w:p w:rsidR="00000000" w:rsidRDefault="00000000">
            <w:pPr>
              <w:spacing w:line="240" w:lineRule="auto"/>
            </w:pPr>
            <w:r>
              <w:t>первая</w:t>
            </w:r>
          </w:p>
        </w:tc>
        <w:tc>
          <w:tcPr>
            <w:tcW w:w="840" w:type="dxa"/>
          </w:tcPr>
          <w:p w:rsidR="00000000" w:rsidRDefault="00000000">
            <w:pPr>
              <w:spacing w:line="240" w:lineRule="auto"/>
            </w:pPr>
            <w:r>
              <w:t xml:space="preserve">  94,4</w:t>
            </w:r>
          </w:p>
        </w:tc>
        <w:tc>
          <w:tcPr>
            <w:tcW w:w="812" w:type="dxa"/>
            <w:gridSpan w:val="2"/>
          </w:tcPr>
          <w:p w:rsidR="00000000" w:rsidRDefault="00000000">
            <w:pPr>
              <w:spacing w:line="240" w:lineRule="auto"/>
            </w:pPr>
            <w:r>
              <w:t xml:space="preserve">     5,6</w:t>
            </w:r>
          </w:p>
        </w:tc>
        <w:tc>
          <w:tcPr>
            <w:tcW w:w="938" w:type="dxa"/>
            <w:gridSpan w:val="2"/>
          </w:tcPr>
          <w:p w:rsidR="00000000" w:rsidRDefault="00000000">
            <w:pPr>
              <w:spacing w:line="240" w:lineRule="auto"/>
            </w:pPr>
            <w:r>
              <w:t xml:space="preserve">     91,7</w:t>
            </w:r>
          </w:p>
        </w:tc>
        <w:tc>
          <w:tcPr>
            <w:tcW w:w="1002" w:type="dxa"/>
            <w:gridSpan w:val="2"/>
          </w:tcPr>
          <w:p w:rsidR="00000000" w:rsidRDefault="00000000">
            <w:pPr>
              <w:spacing w:line="240" w:lineRule="auto"/>
            </w:pPr>
            <w:r>
              <w:t xml:space="preserve">     8,3</w:t>
            </w:r>
          </w:p>
        </w:tc>
        <w:tc>
          <w:tcPr>
            <w:tcW w:w="906" w:type="dxa"/>
            <w:gridSpan w:val="2"/>
          </w:tcPr>
          <w:p w:rsidR="00000000" w:rsidRDefault="00000000">
            <w:pPr>
              <w:spacing w:line="240" w:lineRule="auto"/>
            </w:pPr>
            <w:r>
              <w:t xml:space="preserve">  93,4</w:t>
            </w:r>
          </w:p>
        </w:tc>
        <w:tc>
          <w:tcPr>
            <w:tcW w:w="922" w:type="dxa"/>
            <w:gridSpan w:val="2"/>
          </w:tcPr>
          <w:p w:rsidR="00000000" w:rsidRDefault="00000000">
            <w:pPr>
              <w:spacing w:line="240" w:lineRule="auto"/>
            </w:pPr>
            <w:r>
              <w:t xml:space="preserve">   6,6</w:t>
            </w:r>
          </w:p>
        </w:tc>
        <w:tc>
          <w:tcPr>
            <w:tcW w:w="845" w:type="dxa"/>
            <w:gridSpan w:val="2"/>
          </w:tcPr>
          <w:p w:rsidR="00000000" w:rsidRDefault="00000000">
            <w:pPr>
              <w:spacing w:line="240" w:lineRule="auto"/>
            </w:pPr>
            <w:r>
              <w:t xml:space="preserve">  92,2</w:t>
            </w:r>
          </w:p>
        </w:tc>
        <w:tc>
          <w:tcPr>
            <w:tcW w:w="869" w:type="dxa"/>
          </w:tcPr>
          <w:p w:rsidR="00000000" w:rsidRDefault="00000000">
            <w:pPr>
              <w:spacing w:line="240" w:lineRule="auto"/>
            </w:pPr>
            <w:r>
              <w:t xml:space="preserve">  7,8</w:t>
            </w:r>
          </w:p>
        </w:tc>
      </w:tr>
      <w:tr w:rsidR="00000000">
        <w:tblPrEx>
          <w:tblCellMar>
            <w:top w:w="0" w:type="dxa"/>
            <w:bottom w:w="0" w:type="dxa"/>
          </w:tblCellMar>
        </w:tblPrEx>
        <w:trPr>
          <w:cantSplit/>
        </w:trPr>
        <w:tc>
          <w:tcPr>
            <w:tcW w:w="2276" w:type="dxa"/>
          </w:tcPr>
          <w:p w:rsidR="00000000" w:rsidRDefault="00000000">
            <w:pPr>
              <w:spacing w:line="240" w:lineRule="auto"/>
            </w:pPr>
            <w:r>
              <w:t>вторая</w:t>
            </w:r>
          </w:p>
        </w:tc>
        <w:tc>
          <w:tcPr>
            <w:tcW w:w="840" w:type="dxa"/>
          </w:tcPr>
          <w:p w:rsidR="00000000" w:rsidRDefault="00000000">
            <w:pPr>
              <w:spacing w:line="240" w:lineRule="auto"/>
            </w:pPr>
            <w:r>
              <w:t xml:space="preserve">  81,1</w:t>
            </w:r>
          </w:p>
        </w:tc>
        <w:tc>
          <w:tcPr>
            <w:tcW w:w="812" w:type="dxa"/>
            <w:gridSpan w:val="2"/>
          </w:tcPr>
          <w:p w:rsidR="00000000" w:rsidRDefault="00000000">
            <w:pPr>
              <w:spacing w:line="240" w:lineRule="auto"/>
            </w:pPr>
            <w:r>
              <w:t xml:space="preserve">    18,9</w:t>
            </w:r>
          </w:p>
        </w:tc>
        <w:tc>
          <w:tcPr>
            <w:tcW w:w="938" w:type="dxa"/>
            <w:gridSpan w:val="2"/>
          </w:tcPr>
          <w:p w:rsidR="00000000" w:rsidRDefault="00000000">
            <w:pPr>
              <w:spacing w:line="240" w:lineRule="auto"/>
            </w:pPr>
            <w:r>
              <w:t xml:space="preserve">     80,7</w:t>
            </w:r>
          </w:p>
        </w:tc>
        <w:tc>
          <w:tcPr>
            <w:tcW w:w="1002" w:type="dxa"/>
            <w:gridSpan w:val="2"/>
          </w:tcPr>
          <w:p w:rsidR="00000000" w:rsidRDefault="00000000">
            <w:pPr>
              <w:spacing w:line="240" w:lineRule="auto"/>
            </w:pPr>
            <w:r>
              <w:t xml:space="preserve">    19,3</w:t>
            </w:r>
          </w:p>
        </w:tc>
        <w:tc>
          <w:tcPr>
            <w:tcW w:w="906" w:type="dxa"/>
            <w:gridSpan w:val="2"/>
          </w:tcPr>
          <w:p w:rsidR="00000000" w:rsidRDefault="00000000">
            <w:pPr>
              <w:spacing w:line="240" w:lineRule="auto"/>
            </w:pPr>
            <w:r>
              <w:t xml:space="preserve">  80,5</w:t>
            </w:r>
          </w:p>
        </w:tc>
        <w:tc>
          <w:tcPr>
            <w:tcW w:w="922" w:type="dxa"/>
            <w:gridSpan w:val="2"/>
          </w:tcPr>
          <w:p w:rsidR="00000000" w:rsidRDefault="00000000">
            <w:pPr>
              <w:spacing w:line="240" w:lineRule="auto"/>
            </w:pPr>
            <w:r>
              <w:t xml:space="preserve">  19,5</w:t>
            </w:r>
          </w:p>
        </w:tc>
        <w:tc>
          <w:tcPr>
            <w:tcW w:w="845" w:type="dxa"/>
            <w:gridSpan w:val="2"/>
          </w:tcPr>
          <w:p w:rsidR="00000000" w:rsidRDefault="00000000">
            <w:pPr>
              <w:spacing w:line="240" w:lineRule="auto"/>
            </w:pPr>
            <w:r>
              <w:t xml:space="preserve">  80,9</w:t>
            </w:r>
          </w:p>
        </w:tc>
        <w:tc>
          <w:tcPr>
            <w:tcW w:w="869" w:type="dxa"/>
          </w:tcPr>
          <w:p w:rsidR="00000000" w:rsidRDefault="00000000">
            <w:pPr>
              <w:spacing w:line="240" w:lineRule="auto"/>
            </w:pPr>
            <w:r>
              <w:t xml:space="preserve"> 19,1</w:t>
            </w:r>
          </w:p>
        </w:tc>
      </w:tr>
      <w:tr w:rsidR="00000000">
        <w:tblPrEx>
          <w:tblCellMar>
            <w:top w:w="0" w:type="dxa"/>
            <w:bottom w:w="0" w:type="dxa"/>
          </w:tblCellMar>
        </w:tblPrEx>
        <w:trPr>
          <w:cantSplit/>
        </w:trPr>
        <w:tc>
          <w:tcPr>
            <w:tcW w:w="2276" w:type="dxa"/>
          </w:tcPr>
          <w:p w:rsidR="00000000" w:rsidRDefault="00000000">
            <w:pPr>
              <w:spacing w:line="240" w:lineRule="auto"/>
            </w:pPr>
            <w:r>
              <w:t>третья</w:t>
            </w:r>
          </w:p>
        </w:tc>
        <w:tc>
          <w:tcPr>
            <w:tcW w:w="840" w:type="dxa"/>
          </w:tcPr>
          <w:p w:rsidR="00000000" w:rsidRDefault="00000000">
            <w:pPr>
              <w:spacing w:line="240" w:lineRule="auto"/>
            </w:pPr>
            <w:r>
              <w:t xml:space="preserve">  72,0</w:t>
            </w:r>
          </w:p>
        </w:tc>
        <w:tc>
          <w:tcPr>
            <w:tcW w:w="812" w:type="dxa"/>
            <w:gridSpan w:val="2"/>
          </w:tcPr>
          <w:p w:rsidR="00000000" w:rsidRDefault="00000000">
            <w:pPr>
              <w:spacing w:line="240" w:lineRule="auto"/>
            </w:pPr>
            <w:r>
              <w:t xml:space="preserve">    28,0</w:t>
            </w:r>
          </w:p>
        </w:tc>
        <w:tc>
          <w:tcPr>
            <w:tcW w:w="938" w:type="dxa"/>
            <w:gridSpan w:val="2"/>
          </w:tcPr>
          <w:p w:rsidR="00000000" w:rsidRDefault="00000000">
            <w:pPr>
              <w:spacing w:line="240" w:lineRule="auto"/>
            </w:pPr>
            <w:r>
              <w:t xml:space="preserve">     68,7</w:t>
            </w:r>
          </w:p>
        </w:tc>
        <w:tc>
          <w:tcPr>
            <w:tcW w:w="1002" w:type="dxa"/>
            <w:gridSpan w:val="2"/>
          </w:tcPr>
          <w:p w:rsidR="00000000" w:rsidRDefault="00000000">
            <w:pPr>
              <w:spacing w:line="240" w:lineRule="auto"/>
            </w:pPr>
            <w:r>
              <w:t xml:space="preserve">    31,3</w:t>
            </w:r>
          </w:p>
        </w:tc>
        <w:tc>
          <w:tcPr>
            <w:tcW w:w="906" w:type="dxa"/>
            <w:gridSpan w:val="2"/>
          </w:tcPr>
          <w:p w:rsidR="00000000" w:rsidRDefault="00000000">
            <w:pPr>
              <w:spacing w:line="240" w:lineRule="auto"/>
            </w:pPr>
            <w:r>
              <w:t xml:space="preserve">  68,2</w:t>
            </w:r>
          </w:p>
        </w:tc>
        <w:tc>
          <w:tcPr>
            <w:tcW w:w="922" w:type="dxa"/>
            <w:gridSpan w:val="2"/>
          </w:tcPr>
          <w:p w:rsidR="00000000" w:rsidRDefault="00000000">
            <w:pPr>
              <w:spacing w:line="240" w:lineRule="auto"/>
            </w:pPr>
            <w:r>
              <w:t xml:space="preserve">  31,8</w:t>
            </w:r>
          </w:p>
        </w:tc>
        <w:tc>
          <w:tcPr>
            <w:tcW w:w="845" w:type="dxa"/>
            <w:gridSpan w:val="2"/>
          </w:tcPr>
          <w:p w:rsidR="00000000" w:rsidRDefault="00000000">
            <w:pPr>
              <w:spacing w:line="240" w:lineRule="auto"/>
            </w:pPr>
            <w:r>
              <w:t xml:space="preserve">  66,2</w:t>
            </w:r>
          </w:p>
        </w:tc>
        <w:tc>
          <w:tcPr>
            <w:tcW w:w="869" w:type="dxa"/>
          </w:tcPr>
          <w:p w:rsidR="00000000" w:rsidRDefault="00000000">
            <w:pPr>
              <w:spacing w:line="240" w:lineRule="auto"/>
            </w:pPr>
            <w:r>
              <w:t xml:space="preserve"> 33,8</w:t>
            </w:r>
          </w:p>
        </w:tc>
      </w:tr>
      <w:tr w:rsidR="00000000">
        <w:tblPrEx>
          <w:tblCellMar>
            <w:top w:w="0" w:type="dxa"/>
            <w:bottom w:w="0" w:type="dxa"/>
          </w:tblCellMar>
        </w:tblPrEx>
        <w:trPr>
          <w:cantSplit/>
        </w:trPr>
        <w:tc>
          <w:tcPr>
            <w:tcW w:w="2276" w:type="dxa"/>
          </w:tcPr>
          <w:p w:rsidR="00000000" w:rsidRDefault="00000000">
            <w:pPr>
              <w:spacing w:line="240" w:lineRule="auto"/>
            </w:pPr>
            <w:r>
              <w:t>четвертая</w:t>
            </w:r>
          </w:p>
        </w:tc>
        <w:tc>
          <w:tcPr>
            <w:tcW w:w="840" w:type="dxa"/>
          </w:tcPr>
          <w:p w:rsidR="00000000" w:rsidRDefault="00000000">
            <w:pPr>
              <w:spacing w:line="240" w:lineRule="auto"/>
            </w:pPr>
            <w:r>
              <w:t xml:space="preserve">  58,7</w:t>
            </w:r>
          </w:p>
        </w:tc>
        <w:tc>
          <w:tcPr>
            <w:tcW w:w="812" w:type="dxa"/>
            <w:gridSpan w:val="2"/>
          </w:tcPr>
          <w:p w:rsidR="00000000" w:rsidRDefault="00000000">
            <w:pPr>
              <w:spacing w:line="240" w:lineRule="auto"/>
            </w:pPr>
            <w:r>
              <w:t xml:space="preserve">    41,3</w:t>
            </w:r>
          </w:p>
        </w:tc>
        <w:tc>
          <w:tcPr>
            <w:tcW w:w="938" w:type="dxa"/>
            <w:gridSpan w:val="2"/>
          </w:tcPr>
          <w:p w:rsidR="00000000" w:rsidRDefault="00000000">
            <w:pPr>
              <w:spacing w:line="240" w:lineRule="auto"/>
            </w:pPr>
            <w:r>
              <w:t xml:space="preserve">     57,7</w:t>
            </w:r>
          </w:p>
        </w:tc>
        <w:tc>
          <w:tcPr>
            <w:tcW w:w="1002" w:type="dxa"/>
            <w:gridSpan w:val="2"/>
          </w:tcPr>
          <w:p w:rsidR="00000000" w:rsidRDefault="00000000">
            <w:pPr>
              <w:spacing w:line="240" w:lineRule="auto"/>
            </w:pPr>
            <w:r>
              <w:t xml:space="preserve">    42,3</w:t>
            </w:r>
          </w:p>
        </w:tc>
        <w:tc>
          <w:tcPr>
            <w:tcW w:w="906" w:type="dxa"/>
            <w:gridSpan w:val="2"/>
          </w:tcPr>
          <w:p w:rsidR="00000000" w:rsidRDefault="00000000">
            <w:pPr>
              <w:spacing w:line="240" w:lineRule="auto"/>
            </w:pPr>
            <w:r>
              <w:t xml:space="preserve">  55,9</w:t>
            </w:r>
          </w:p>
        </w:tc>
        <w:tc>
          <w:tcPr>
            <w:tcW w:w="922" w:type="dxa"/>
            <w:gridSpan w:val="2"/>
          </w:tcPr>
          <w:p w:rsidR="00000000" w:rsidRDefault="00000000">
            <w:pPr>
              <w:spacing w:line="240" w:lineRule="auto"/>
            </w:pPr>
            <w:r>
              <w:t xml:space="preserve">  44,1</w:t>
            </w:r>
          </w:p>
        </w:tc>
        <w:tc>
          <w:tcPr>
            <w:tcW w:w="845" w:type="dxa"/>
            <w:gridSpan w:val="2"/>
          </w:tcPr>
          <w:p w:rsidR="00000000" w:rsidRDefault="00000000">
            <w:pPr>
              <w:spacing w:line="240" w:lineRule="auto"/>
            </w:pPr>
            <w:r>
              <w:t xml:space="preserve">  54,9</w:t>
            </w:r>
          </w:p>
        </w:tc>
        <w:tc>
          <w:tcPr>
            <w:tcW w:w="869" w:type="dxa"/>
          </w:tcPr>
          <w:p w:rsidR="00000000" w:rsidRDefault="00000000">
            <w:pPr>
              <w:spacing w:line="240" w:lineRule="auto"/>
            </w:pPr>
            <w:r>
              <w:t xml:space="preserve"> 45,1</w:t>
            </w:r>
          </w:p>
        </w:tc>
      </w:tr>
      <w:tr w:rsidR="00000000">
        <w:tblPrEx>
          <w:tblCellMar>
            <w:top w:w="0" w:type="dxa"/>
            <w:bottom w:w="0" w:type="dxa"/>
          </w:tblCellMar>
        </w:tblPrEx>
        <w:trPr>
          <w:cantSplit/>
        </w:trPr>
        <w:tc>
          <w:tcPr>
            <w:tcW w:w="2276" w:type="dxa"/>
          </w:tcPr>
          <w:p w:rsidR="00000000" w:rsidRDefault="00000000">
            <w:pPr>
              <w:spacing w:line="240" w:lineRule="auto"/>
            </w:pPr>
            <w:r>
              <w:t>пятая</w:t>
            </w:r>
          </w:p>
        </w:tc>
        <w:tc>
          <w:tcPr>
            <w:tcW w:w="840" w:type="dxa"/>
          </w:tcPr>
          <w:p w:rsidR="00000000" w:rsidRDefault="00000000">
            <w:pPr>
              <w:spacing w:line="240" w:lineRule="auto"/>
            </w:pPr>
            <w:r>
              <w:t xml:space="preserve">  40,6</w:t>
            </w:r>
          </w:p>
        </w:tc>
        <w:tc>
          <w:tcPr>
            <w:tcW w:w="812" w:type="dxa"/>
            <w:gridSpan w:val="2"/>
          </w:tcPr>
          <w:p w:rsidR="00000000" w:rsidRDefault="00000000">
            <w:pPr>
              <w:spacing w:line="240" w:lineRule="auto"/>
            </w:pPr>
            <w:r>
              <w:t xml:space="preserve">    59,4</w:t>
            </w:r>
          </w:p>
        </w:tc>
        <w:tc>
          <w:tcPr>
            <w:tcW w:w="938" w:type="dxa"/>
            <w:gridSpan w:val="2"/>
          </w:tcPr>
          <w:p w:rsidR="00000000" w:rsidRDefault="00000000">
            <w:pPr>
              <w:spacing w:line="240" w:lineRule="auto"/>
            </w:pPr>
            <w:r>
              <w:t xml:space="preserve">     37,6</w:t>
            </w:r>
          </w:p>
        </w:tc>
        <w:tc>
          <w:tcPr>
            <w:tcW w:w="1002" w:type="dxa"/>
            <w:gridSpan w:val="2"/>
          </w:tcPr>
          <w:p w:rsidR="00000000" w:rsidRDefault="00000000">
            <w:pPr>
              <w:spacing w:line="240" w:lineRule="auto"/>
            </w:pPr>
            <w:r>
              <w:t xml:space="preserve">    62,4</w:t>
            </w:r>
          </w:p>
        </w:tc>
        <w:tc>
          <w:tcPr>
            <w:tcW w:w="906" w:type="dxa"/>
            <w:gridSpan w:val="2"/>
          </w:tcPr>
          <w:p w:rsidR="00000000" w:rsidRDefault="00000000">
            <w:pPr>
              <w:spacing w:line="240" w:lineRule="auto"/>
            </w:pPr>
            <w:r>
              <w:t xml:space="preserve">  37,5</w:t>
            </w:r>
          </w:p>
        </w:tc>
        <w:tc>
          <w:tcPr>
            <w:tcW w:w="922" w:type="dxa"/>
            <w:gridSpan w:val="2"/>
          </w:tcPr>
          <w:p w:rsidR="00000000" w:rsidRDefault="00000000">
            <w:pPr>
              <w:spacing w:line="240" w:lineRule="auto"/>
            </w:pPr>
            <w:r>
              <w:t xml:space="preserve">  62,5</w:t>
            </w:r>
          </w:p>
        </w:tc>
        <w:tc>
          <w:tcPr>
            <w:tcW w:w="845" w:type="dxa"/>
            <w:gridSpan w:val="2"/>
          </w:tcPr>
          <w:p w:rsidR="00000000" w:rsidRDefault="00000000">
            <w:pPr>
              <w:spacing w:line="240" w:lineRule="auto"/>
            </w:pPr>
            <w:r>
              <w:t xml:space="preserve">  35,6</w:t>
            </w:r>
          </w:p>
        </w:tc>
        <w:tc>
          <w:tcPr>
            <w:tcW w:w="869" w:type="dxa"/>
          </w:tcPr>
          <w:p w:rsidR="00000000" w:rsidRDefault="00000000">
            <w:pPr>
              <w:spacing w:line="240" w:lineRule="auto"/>
            </w:pPr>
            <w:r>
              <w:t xml:space="preserve"> 64,4</w:t>
            </w:r>
          </w:p>
        </w:tc>
      </w:tr>
      <w:tr w:rsidR="00000000">
        <w:tblPrEx>
          <w:tblCellMar>
            <w:top w:w="0" w:type="dxa"/>
            <w:bottom w:w="0" w:type="dxa"/>
          </w:tblCellMar>
        </w:tblPrEx>
        <w:trPr>
          <w:cantSplit/>
        </w:trPr>
        <w:tc>
          <w:tcPr>
            <w:tcW w:w="2276" w:type="dxa"/>
          </w:tcPr>
          <w:p w:rsidR="00000000" w:rsidRDefault="00000000">
            <w:pPr>
              <w:spacing w:line="240" w:lineRule="auto"/>
            </w:pPr>
            <w:r>
              <w:t>шестая</w:t>
            </w:r>
          </w:p>
        </w:tc>
        <w:tc>
          <w:tcPr>
            <w:tcW w:w="840" w:type="dxa"/>
          </w:tcPr>
          <w:p w:rsidR="00000000" w:rsidRDefault="00000000">
            <w:pPr>
              <w:spacing w:line="240" w:lineRule="auto"/>
            </w:pPr>
            <w:r>
              <w:t xml:space="preserve">  34,3</w:t>
            </w:r>
          </w:p>
        </w:tc>
        <w:tc>
          <w:tcPr>
            <w:tcW w:w="812" w:type="dxa"/>
            <w:gridSpan w:val="2"/>
          </w:tcPr>
          <w:p w:rsidR="00000000" w:rsidRDefault="00000000">
            <w:pPr>
              <w:spacing w:line="240" w:lineRule="auto"/>
            </w:pPr>
            <w:r>
              <w:t xml:space="preserve">    65,7</w:t>
            </w:r>
          </w:p>
        </w:tc>
        <w:tc>
          <w:tcPr>
            <w:tcW w:w="938" w:type="dxa"/>
            <w:gridSpan w:val="2"/>
          </w:tcPr>
          <w:p w:rsidR="00000000" w:rsidRDefault="00000000">
            <w:pPr>
              <w:spacing w:line="240" w:lineRule="auto"/>
            </w:pPr>
            <w:r>
              <w:t xml:space="preserve">     31,8</w:t>
            </w:r>
          </w:p>
        </w:tc>
        <w:tc>
          <w:tcPr>
            <w:tcW w:w="1002" w:type="dxa"/>
            <w:gridSpan w:val="2"/>
          </w:tcPr>
          <w:p w:rsidR="00000000" w:rsidRDefault="00000000">
            <w:pPr>
              <w:spacing w:line="240" w:lineRule="auto"/>
            </w:pPr>
            <w:r>
              <w:t xml:space="preserve">    68,2</w:t>
            </w:r>
          </w:p>
        </w:tc>
        <w:tc>
          <w:tcPr>
            <w:tcW w:w="906" w:type="dxa"/>
            <w:gridSpan w:val="2"/>
          </w:tcPr>
          <w:p w:rsidR="00000000" w:rsidRDefault="00000000">
            <w:pPr>
              <w:spacing w:line="240" w:lineRule="auto"/>
            </w:pPr>
            <w:r>
              <w:t xml:space="preserve">  32,4</w:t>
            </w:r>
          </w:p>
        </w:tc>
        <w:tc>
          <w:tcPr>
            <w:tcW w:w="922" w:type="dxa"/>
            <w:gridSpan w:val="2"/>
          </w:tcPr>
          <w:p w:rsidR="00000000" w:rsidRDefault="00000000">
            <w:pPr>
              <w:spacing w:line="240" w:lineRule="auto"/>
            </w:pPr>
            <w:r>
              <w:t xml:space="preserve">  67,6</w:t>
            </w:r>
          </w:p>
        </w:tc>
        <w:tc>
          <w:tcPr>
            <w:tcW w:w="845" w:type="dxa"/>
            <w:gridSpan w:val="2"/>
          </w:tcPr>
          <w:p w:rsidR="00000000" w:rsidRDefault="00000000">
            <w:pPr>
              <w:spacing w:line="240" w:lineRule="auto"/>
            </w:pPr>
            <w:r>
              <w:t xml:space="preserve">  31,6</w:t>
            </w:r>
          </w:p>
        </w:tc>
        <w:tc>
          <w:tcPr>
            <w:tcW w:w="869" w:type="dxa"/>
          </w:tcPr>
          <w:p w:rsidR="00000000" w:rsidRDefault="00000000">
            <w:pPr>
              <w:spacing w:line="240" w:lineRule="auto"/>
            </w:pPr>
            <w:r>
              <w:t xml:space="preserve"> 68,4</w:t>
            </w:r>
          </w:p>
          <w:p w:rsidR="00000000" w:rsidRDefault="00000000">
            <w:pPr>
              <w:spacing w:line="240" w:lineRule="auto"/>
            </w:pPr>
          </w:p>
        </w:tc>
      </w:tr>
      <w:tr w:rsidR="00000000">
        <w:tblPrEx>
          <w:tblCellMar>
            <w:top w:w="0" w:type="dxa"/>
            <w:bottom w:w="0" w:type="dxa"/>
          </w:tblCellMar>
        </w:tblPrEx>
        <w:trPr>
          <w:cantSplit/>
        </w:trPr>
        <w:tc>
          <w:tcPr>
            <w:tcW w:w="2276" w:type="dxa"/>
          </w:tcPr>
          <w:p w:rsidR="00000000" w:rsidRDefault="00000000">
            <w:pPr>
              <w:spacing w:line="240" w:lineRule="auto"/>
            </w:pPr>
            <w:r>
              <w:t>Специалисты</w:t>
            </w:r>
          </w:p>
        </w:tc>
        <w:tc>
          <w:tcPr>
            <w:tcW w:w="840" w:type="dxa"/>
          </w:tcPr>
          <w:p w:rsidR="00000000" w:rsidRDefault="00000000">
            <w:pPr>
              <w:spacing w:line="240" w:lineRule="auto"/>
            </w:pPr>
            <w:r>
              <w:t xml:space="preserve">  20,2</w:t>
            </w:r>
          </w:p>
        </w:tc>
        <w:tc>
          <w:tcPr>
            <w:tcW w:w="812" w:type="dxa"/>
            <w:gridSpan w:val="2"/>
          </w:tcPr>
          <w:p w:rsidR="00000000" w:rsidRDefault="00000000">
            <w:pPr>
              <w:spacing w:line="240" w:lineRule="auto"/>
            </w:pPr>
            <w:r>
              <w:t xml:space="preserve">    79,8</w:t>
            </w:r>
          </w:p>
        </w:tc>
        <w:tc>
          <w:tcPr>
            <w:tcW w:w="938" w:type="dxa"/>
            <w:gridSpan w:val="2"/>
          </w:tcPr>
          <w:p w:rsidR="00000000" w:rsidRDefault="00000000">
            <w:pPr>
              <w:spacing w:line="240" w:lineRule="auto"/>
            </w:pPr>
            <w:r>
              <w:t xml:space="preserve">     19,9</w:t>
            </w:r>
          </w:p>
        </w:tc>
        <w:tc>
          <w:tcPr>
            <w:tcW w:w="1002" w:type="dxa"/>
            <w:gridSpan w:val="2"/>
          </w:tcPr>
          <w:p w:rsidR="00000000" w:rsidRDefault="00000000">
            <w:pPr>
              <w:spacing w:line="240" w:lineRule="auto"/>
            </w:pPr>
            <w:r>
              <w:t xml:space="preserve">    80,1</w:t>
            </w:r>
          </w:p>
        </w:tc>
        <w:tc>
          <w:tcPr>
            <w:tcW w:w="906" w:type="dxa"/>
            <w:gridSpan w:val="2"/>
          </w:tcPr>
          <w:p w:rsidR="00000000" w:rsidRDefault="00000000">
            <w:pPr>
              <w:spacing w:line="240" w:lineRule="auto"/>
            </w:pPr>
            <w:r>
              <w:t xml:space="preserve">  20,5</w:t>
            </w:r>
          </w:p>
        </w:tc>
        <w:tc>
          <w:tcPr>
            <w:tcW w:w="922" w:type="dxa"/>
            <w:gridSpan w:val="2"/>
          </w:tcPr>
          <w:p w:rsidR="00000000" w:rsidRDefault="00000000">
            <w:pPr>
              <w:spacing w:line="240" w:lineRule="auto"/>
            </w:pPr>
            <w:r>
              <w:t xml:space="preserve">  79,5</w:t>
            </w:r>
          </w:p>
        </w:tc>
        <w:tc>
          <w:tcPr>
            <w:tcW w:w="845" w:type="dxa"/>
            <w:gridSpan w:val="2"/>
          </w:tcPr>
          <w:p w:rsidR="00000000" w:rsidRDefault="00000000">
            <w:pPr>
              <w:spacing w:line="240" w:lineRule="auto"/>
            </w:pPr>
            <w:r>
              <w:t xml:space="preserve">  20,0</w:t>
            </w:r>
          </w:p>
        </w:tc>
        <w:tc>
          <w:tcPr>
            <w:tcW w:w="869" w:type="dxa"/>
          </w:tcPr>
          <w:p w:rsidR="00000000" w:rsidRDefault="00000000">
            <w:pPr>
              <w:spacing w:line="240" w:lineRule="auto"/>
            </w:pPr>
            <w:r>
              <w:t xml:space="preserve"> 80,0</w:t>
            </w:r>
          </w:p>
          <w:p w:rsidR="00000000" w:rsidRDefault="00000000">
            <w:pPr>
              <w:spacing w:line="240" w:lineRule="auto"/>
            </w:pPr>
          </w:p>
        </w:tc>
      </w:tr>
      <w:tr w:rsidR="00000000">
        <w:tblPrEx>
          <w:tblCellMar>
            <w:top w:w="0" w:type="dxa"/>
            <w:bottom w:w="0" w:type="dxa"/>
          </w:tblCellMar>
        </w:tblPrEx>
        <w:trPr>
          <w:cantSplit/>
        </w:trPr>
        <w:tc>
          <w:tcPr>
            <w:tcW w:w="2276" w:type="dxa"/>
          </w:tcPr>
          <w:p w:rsidR="00000000" w:rsidRDefault="00000000">
            <w:pPr>
              <w:spacing w:line="240" w:lineRule="auto"/>
            </w:pPr>
            <w:r>
              <w:t>из них по категориям должностей</w:t>
            </w:r>
          </w:p>
        </w:tc>
        <w:tc>
          <w:tcPr>
            <w:tcW w:w="840" w:type="dxa"/>
          </w:tcPr>
          <w:p w:rsidR="00000000" w:rsidRDefault="00000000">
            <w:pPr>
              <w:spacing w:line="240" w:lineRule="auto"/>
            </w:pPr>
          </w:p>
        </w:tc>
        <w:tc>
          <w:tcPr>
            <w:tcW w:w="812" w:type="dxa"/>
            <w:gridSpan w:val="2"/>
          </w:tcPr>
          <w:p w:rsidR="00000000" w:rsidRDefault="00000000">
            <w:pPr>
              <w:spacing w:line="240" w:lineRule="auto"/>
            </w:pPr>
          </w:p>
        </w:tc>
        <w:tc>
          <w:tcPr>
            <w:tcW w:w="938" w:type="dxa"/>
            <w:gridSpan w:val="2"/>
          </w:tcPr>
          <w:p w:rsidR="00000000" w:rsidRDefault="00000000">
            <w:pPr>
              <w:spacing w:line="240" w:lineRule="auto"/>
            </w:pPr>
          </w:p>
        </w:tc>
        <w:tc>
          <w:tcPr>
            <w:tcW w:w="1002" w:type="dxa"/>
            <w:gridSpan w:val="2"/>
          </w:tcPr>
          <w:p w:rsidR="00000000" w:rsidRDefault="00000000">
            <w:pPr>
              <w:spacing w:line="240" w:lineRule="auto"/>
            </w:pPr>
          </w:p>
        </w:tc>
        <w:tc>
          <w:tcPr>
            <w:tcW w:w="906" w:type="dxa"/>
            <w:gridSpan w:val="2"/>
          </w:tcPr>
          <w:p w:rsidR="00000000" w:rsidRDefault="00000000">
            <w:pPr>
              <w:spacing w:line="240" w:lineRule="auto"/>
            </w:pPr>
          </w:p>
        </w:tc>
        <w:tc>
          <w:tcPr>
            <w:tcW w:w="922" w:type="dxa"/>
            <w:gridSpan w:val="2"/>
          </w:tcPr>
          <w:p w:rsidR="00000000" w:rsidRDefault="00000000">
            <w:pPr>
              <w:spacing w:line="240" w:lineRule="auto"/>
            </w:pPr>
          </w:p>
        </w:tc>
        <w:tc>
          <w:tcPr>
            <w:tcW w:w="845" w:type="dxa"/>
            <w:gridSpan w:val="2"/>
          </w:tcPr>
          <w:p w:rsidR="00000000" w:rsidRDefault="00000000">
            <w:pPr>
              <w:spacing w:line="240" w:lineRule="auto"/>
            </w:pPr>
          </w:p>
        </w:tc>
        <w:tc>
          <w:tcPr>
            <w:tcW w:w="869" w:type="dxa"/>
          </w:tcPr>
          <w:p w:rsidR="00000000" w:rsidRDefault="00000000">
            <w:pPr>
              <w:spacing w:line="240" w:lineRule="auto"/>
            </w:pPr>
          </w:p>
        </w:tc>
      </w:tr>
      <w:tr w:rsidR="00000000">
        <w:tblPrEx>
          <w:tblCellMar>
            <w:top w:w="0" w:type="dxa"/>
            <w:bottom w:w="0" w:type="dxa"/>
          </w:tblCellMar>
        </w:tblPrEx>
        <w:trPr>
          <w:cantSplit/>
        </w:trPr>
        <w:tc>
          <w:tcPr>
            <w:tcW w:w="2276" w:type="dxa"/>
          </w:tcPr>
          <w:p w:rsidR="00000000" w:rsidRDefault="00000000">
            <w:pPr>
              <w:spacing w:line="240" w:lineRule="auto"/>
            </w:pPr>
            <w:r>
              <w:t>вторая</w:t>
            </w:r>
          </w:p>
        </w:tc>
        <w:tc>
          <w:tcPr>
            <w:tcW w:w="840" w:type="dxa"/>
          </w:tcPr>
          <w:p w:rsidR="00000000" w:rsidRDefault="00000000">
            <w:pPr>
              <w:spacing w:line="240" w:lineRule="auto"/>
            </w:pPr>
            <w:r>
              <w:t>69,6</w:t>
            </w:r>
          </w:p>
        </w:tc>
        <w:tc>
          <w:tcPr>
            <w:tcW w:w="812" w:type="dxa"/>
            <w:gridSpan w:val="2"/>
          </w:tcPr>
          <w:p w:rsidR="00000000" w:rsidRDefault="00000000">
            <w:pPr>
              <w:spacing w:line="240" w:lineRule="auto"/>
            </w:pPr>
            <w:r>
              <w:t>30,4</w:t>
            </w:r>
          </w:p>
        </w:tc>
        <w:tc>
          <w:tcPr>
            <w:tcW w:w="938" w:type="dxa"/>
            <w:gridSpan w:val="2"/>
          </w:tcPr>
          <w:p w:rsidR="00000000" w:rsidRDefault="00000000">
            <w:pPr>
              <w:spacing w:line="240" w:lineRule="auto"/>
            </w:pPr>
            <w:r>
              <w:t>57,6</w:t>
            </w:r>
          </w:p>
        </w:tc>
        <w:tc>
          <w:tcPr>
            <w:tcW w:w="1002" w:type="dxa"/>
            <w:gridSpan w:val="2"/>
          </w:tcPr>
          <w:p w:rsidR="00000000" w:rsidRDefault="00000000">
            <w:pPr>
              <w:spacing w:line="240" w:lineRule="auto"/>
            </w:pPr>
            <w:r>
              <w:t>42,2</w:t>
            </w:r>
          </w:p>
        </w:tc>
        <w:tc>
          <w:tcPr>
            <w:tcW w:w="906" w:type="dxa"/>
            <w:gridSpan w:val="2"/>
          </w:tcPr>
          <w:p w:rsidR="00000000" w:rsidRDefault="00000000">
            <w:pPr>
              <w:spacing w:line="240" w:lineRule="auto"/>
            </w:pPr>
            <w:r>
              <w:t>72,6</w:t>
            </w:r>
          </w:p>
        </w:tc>
        <w:tc>
          <w:tcPr>
            <w:tcW w:w="922" w:type="dxa"/>
            <w:gridSpan w:val="2"/>
          </w:tcPr>
          <w:p w:rsidR="00000000" w:rsidRDefault="00000000">
            <w:pPr>
              <w:spacing w:line="240" w:lineRule="auto"/>
            </w:pPr>
            <w:r>
              <w:t>27,4</w:t>
            </w:r>
          </w:p>
        </w:tc>
        <w:tc>
          <w:tcPr>
            <w:tcW w:w="845" w:type="dxa"/>
            <w:gridSpan w:val="2"/>
          </w:tcPr>
          <w:p w:rsidR="00000000" w:rsidRDefault="00000000">
            <w:pPr>
              <w:spacing w:line="240" w:lineRule="auto"/>
            </w:pPr>
            <w:r>
              <w:t>64,2</w:t>
            </w:r>
          </w:p>
        </w:tc>
        <w:tc>
          <w:tcPr>
            <w:tcW w:w="869" w:type="dxa"/>
          </w:tcPr>
          <w:p w:rsidR="00000000" w:rsidRDefault="00000000">
            <w:pPr>
              <w:spacing w:line="240" w:lineRule="auto"/>
            </w:pPr>
            <w:r>
              <w:t>35,8</w:t>
            </w:r>
          </w:p>
        </w:tc>
      </w:tr>
      <w:tr w:rsidR="00000000">
        <w:tblPrEx>
          <w:tblCellMar>
            <w:top w:w="0" w:type="dxa"/>
            <w:bottom w:w="0" w:type="dxa"/>
          </w:tblCellMar>
        </w:tblPrEx>
        <w:trPr>
          <w:cantSplit/>
        </w:trPr>
        <w:tc>
          <w:tcPr>
            <w:tcW w:w="2276" w:type="dxa"/>
          </w:tcPr>
          <w:p w:rsidR="00000000" w:rsidRDefault="00000000">
            <w:pPr>
              <w:spacing w:line="240" w:lineRule="auto"/>
            </w:pPr>
            <w:r>
              <w:t>третья</w:t>
            </w:r>
          </w:p>
        </w:tc>
        <w:tc>
          <w:tcPr>
            <w:tcW w:w="840" w:type="dxa"/>
          </w:tcPr>
          <w:p w:rsidR="00000000" w:rsidRDefault="00000000">
            <w:pPr>
              <w:spacing w:line="240" w:lineRule="auto"/>
            </w:pPr>
            <w:r>
              <w:t>42,9</w:t>
            </w:r>
          </w:p>
        </w:tc>
        <w:tc>
          <w:tcPr>
            <w:tcW w:w="812" w:type="dxa"/>
            <w:gridSpan w:val="2"/>
          </w:tcPr>
          <w:p w:rsidR="00000000" w:rsidRDefault="00000000">
            <w:pPr>
              <w:spacing w:line="240" w:lineRule="auto"/>
            </w:pPr>
            <w:r>
              <w:t>57,1</w:t>
            </w:r>
          </w:p>
        </w:tc>
        <w:tc>
          <w:tcPr>
            <w:tcW w:w="938" w:type="dxa"/>
            <w:gridSpan w:val="2"/>
          </w:tcPr>
          <w:p w:rsidR="00000000" w:rsidRDefault="00000000">
            <w:pPr>
              <w:spacing w:line="240" w:lineRule="auto"/>
            </w:pPr>
            <w:r>
              <w:t>42,3</w:t>
            </w:r>
          </w:p>
        </w:tc>
        <w:tc>
          <w:tcPr>
            <w:tcW w:w="1002" w:type="dxa"/>
            <w:gridSpan w:val="2"/>
          </w:tcPr>
          <w:p w:rsidR="00000000" w:rsidRDefault="00000000">
            <w:pPr>
              <w:spacing w:line="240" w:lineRule="auto"/>
            </w:pPr>
            <w:r>
              <w:t>57,7</w:t>
            </w:r>
          </w:p>
        </w:tc>
        <w:tc>
          <w:tcPr>
            <w:tcW w:w="906" w:type="dxa"/>
            <w:gridSpan w:val="2"/>
          </w:tcPr>
          <w:p w:rsidR="00000000" w:rsidRDefault="00000000">
            <w:pPr>
              <w:spacing w:line="240" w:lineRule="auto"/>
            </w:pPr>
            <w:r>
              <w:t>40,9</w:t>
            </w:r>
          </w:p>
        </w:tc>
        <w:tc>
          <w:tcPr>
            <w:tcW w:w="922" w:type="dxa"/>
            <w:gridSpan w:val="2"/>
          </w:tcPr>
          <w:p w:rsidR="00000000" w:rsidRDefault="00000000">
            <w:pPr>
              <w:spacing w:line="240" w:lineRule="auto"/>
            </w:pPr>
            <w:r>
              <w:t>59,1</w:t>
            </w:r>
          </w:p>
        </w:tc>
        <w:tc>
          <w:tcPr>
            <w:tcW w:w="845" w:type="dxa"/>
            <w:gridSpan w:val="2"/>
          </w:tcPr>
          <w:p w:rsidR="00000000" w:rsidRDefault="00000000">
            <w:pPr>
              <w:spacing w:line="240" w:lineRule="auto"/>
            </w:pPr>
            <w:r>
              <w:t>40,1</w:t>
            </w:r>
          </w:p>
        </w:tc>
        <w:tc>
          <w:tcPr>
            <w:tcW w:w="869" w:type="dxa"/>
          </w:tcPr>
          <w:p w:rsidR="00000000" w:rsidRDefault="00000000">
            <w:pPr>
              <w:spacing w:line="240" w:lineRule="auto"/>
            </w:pPr>
            <w:r>
              <w:t>59,9</w:t>
            </w:r>
          </w:p>
        </w:tc>
      </w:tr>
      <w:tr w:rsidR="00000000">
        <w:tblPrEx>
          <w:tblCellMar>
            <w:top w:w="0" w:type="dxa"/>
            <w:bottom w:w="0" w:type="dxa"/>
          </w:tblCellMar>
        </w:tblPrEx>
        <w:trPr>
          <w:cantSplit/>
        </w:trPr>
        <w:tc>
          <w:tcPr>
            <w:tcW w:w="2276" w:type="dxa"/>
          </w:tcPr>
          <w:p w:rsidR="00000000" w:rsidRDefault="00000000">
            <w:pPr>
              <w:spacing w:line="240" w:lineRule="auto"/>
            </w:pPr>
            <w:r>
              <w:t>четвертая</w:t>
            </w:r>
          </w:p>
        </w:tc>
        <w:tc>
          <w:tcPr>
            <w:tcW w:w="840" w:type="dxa"/>
          </w:tcPr>
          <w:p w:rsidR="00000000" w:rsidRDefault="00000000">
            <w:pPr>
              <w:spacing w:line="240" w:lineRule="auto"/>
            </w:pPr>
            <w:r>
              <w:t>29,2</w:t>
            </w:r>
          </w:p>
        </w:tc>
        <w:tc>
          <w:tcPr>
            <w:tcW w:w="812" w:type="dxa"/>
            <w:gridSpan w:val="2"/>
          </w:tcPr>
          <w:p w:rsidR="00000000" w:rsidRDefault="00000000">
            <w:pPr>
              <w:spacing w:line="240" w:lineRule="auto"/>
            </w:pPr>
            <w:r>
              <w:t>70,8</w:t>
            </w:r>
          </w:p>
        </w:tc>
        <w:tc>
          <w:tcPr>
            <w:tcW w:w="938" w:type="dxa"/>
            <w:gridSpan w:val="2"/>
          </w:tcPr>
          <w:p w:rsidR="00000000" w:rsidRDefault="00000000">
            <w:pPr>
              <w:spacing w:line="240" w:lineRule="auto"/>
            </w:pPr>
            <w:r>
              <w:t>33,0</w:t>
            </w:r>
          </w:p>
        </w:tc>
        <w:tc>
          <w:tcPr>
            <w:tcW w:w="1002" w:type="dxa"/>
            <w:gridSpan w:val="2"/>
          </w:tcPr>
          <w:p w:rsidR="00000000" w:rsidRDefault="00000000">
            <w:pPr>
              <w:spacing w:line="240" w:lineRule="auto"/>
            </w:pPr>
            <w:r>
              <w:t>67,0</w:t>
            </w:r>
          </w:p>
        </w:tc>
        <w:tc>
          <w:tcPr>
            <w:tcW w:w="906" w:type="dxa"/>
            <w:gridSpan w:val="2"/>
          </w:tcPr>
          <w:p w:rsidR="00000000" w:rsidRDefault="00000000">
            <w:pPr>
              <w:spacing w:line="240" w:lineRule="auto"/>
            </w:pPr>
            <w:r>
              <w:t>35,6</w:t>
            </w:r>
          </w:p>
        </w:tc>
        <w:tc>
          <w:tcPr>
            <w:tcW w:w="922" w:type="dxa"/>
            <w:gridSpan w:val="2"/>
          </w:tcPr>
          <w:p w:rsidR="00000000" w:rsidRDefault="00000000">
            <w:pPr>
              <w:spacing w:line="240" w:lineRule="auto"/>
            </w:pPr>
            <w:r>
              <w:t>64,4</w:t>
            </w:r>
          </w:p>
        </w:tc>
        <w:tc>
          <w:tcPr>
            <w:tcW w:w="845" w:type="dxa"/>
            <w:gridSpan w:val="2"/>
          </w:tcPr>
          <w:p w:rsidR="00000000" w:rsidRDefault="00000000">
            <w:pPr>
              <w:spacing w:line="240" w:lineRule="auto"/>
            </w:pPr>
            <w:r>
              <w:t>35,7</w:t>
            </w:r>
          </w:p>
        </w:tc>
        <w:tc>
          <w:tcPr>
            <w:tcW w:w="869" w:type="dxa"/>
          </w:tcPr>
          <w:p w:rsidR="00000000" w:rsidRDefault="00000000">
            <w:pPr>
              <w:spacing w:line="240" w:lineRule="auto"/>
            </w:pPr>
            <w:r>
              <w:t>64,3</w:t>
            </w:r>
          </w:p>
        </w:tc>
      </w:tr>
      <w:tr w:rsidR="00000000">
        <w:tblPrEx>
          <w:tblCellMar>
            <w:top w:w="0" w:type="dxa"/>
            <w:bottom w:w="0" w:type="dxa"/>
          </w:tblCellMar>
        </w:tblPrEx>
        <w:trPr>
          <w:cantSplit/>
        </w:trPr>
        <w:tc>
          <w:tcPr>
            <w:tcW w:w="2276" w:type="dxa"/>
          </w:tcPr>
          <w:p w:rsidR="00000000" w:rsidRDefault="00000000">
            <w:pPr>
              <w:spacing w:line="240" w:lineRule="auto"/>
            </w:pPr>
            <w:r>
              <w:t>пятая</w:t>
            </w:r>
          </w:p>
        </w:tc>
        <w:tc>
          <w:tcPr>
            <w:tcW w:w="840" w:type="dxa"/>
          </w:tcPr>
          <w:p w:rsidR="00000000" w:rsidRDefault="00000000">
            <w:pPr>
              <w:spacing w:line="240" w:lineRule="auto"/>
            </w:pPr>
            <w:r>
              <w:t>31,9</w:t>
            </w:r>
          </w:p>
        </w:tc>
        <w:tc>
          <w:tcPr>
            <w:tcW w:w="812" w:type="dxa"/>
            <w:gridSpan w:val="2"/>
          </w:tcPr>
          <w:p w:rsidR="00000000" w:rsidRDefault="00000000">
            <w:pPr>
              <w:spacing w:line="240" w:lineRule="auto"/>
            </w:pPr>
            <w:r>
              <w:t>68,1</w:t>
            </w:r>
          </w:p>
        </w:tc>
        <w:tc>
          <w:tcPr>
            <w:tcW w:w="938" w:type="dxa"/>
            <w:gridSpan w:val="2"/>
          </w:tcPr>
          <w:p w:rsidR="00000000" w:rsidRDefault="00000000">
            <w:pPr>
              <w:spacing w:line="240" w:lineRule="auto"/>
            </w:pPr>
            <w:r>
              <w:t>30,3</w:t>
            </w:r>
          </w:p>
        </w:tc>
        <w:tc>
          <w:tcPr>
            <w:tcW w:w="1002" w:type="dxa"/>
            <w:gridSpan w:val="2"/>
          </w:tcPr>
          <w:p w:rsidR="00000000" w:rsidRDefault="00000000">
            <w:pPr>
              <w:spacing w:line="240" w:lineRule="auto"/>
            </w:pPr>
            <w:r>
              <w:t>69,7</w:t>
            </w:r>
          </w:p>
        </w:tc>
        <w:tc>
          <w:tcPr>
            <w:tcW w:w="906" w:type="dxa"/>
            <w:gridSpan w:val="2"/>
          </w:tcPr>
          <w:p w:rsidR="00000000" w:rsidRDefault="00000000">
            <w:pPr>
              <w:spacing w:line="240" w:lineRule="auto"/>
            </w:pPr>
            <w:r>
              <w:t>28,8</w:t>
            </w:r>
          </w:p>
        </w:tc>
        <w:tc>
          <w:tcPr>
            <w:tcW w:w="922" w:type="dxa"/>
            <w:gridSpan w:val="2"/>
          </w:tcPr>
          <w:p w:rsidR="00000000" w:rsidRDefault="00000000">
            <w:pPr>
              <w:spacing w:line="240" w:lineRule="auto"/>
            </w:pPr>
            <w:r>
              <w:t>71,2</w:t>
            </w:r>
          </w:p>
        </w:tc>
        <w:tc>
          <w:tcPr>
            <w:tcW w:w="845" w:type="dxa"/>
            <w:gridSpan w:val="2"/>
          </w:tcPr>
          <w:p w:rsidR="00000000" w:rsidRDefault="00000000">
            <w:pPr>
              <w:spacing w:line="240" w:lineRule="auto"/>
            </w:pPr>
            <w:r>
              <w:t>28,6</w:t>
            </w:r>
          </w:p>
        </w:tc>
        <w:tc>
          <w:tcPr>
            <w:tcW w:w="869" w:type="dxa"/>
          </w:tcPr>
          <w:p w:rsidR="00000000" w:rsidRDefault="00000000">
            <w:pPr>
              <w:spacing w:line="240" w:lineRule="auto"/>
            </w:pPr>
            <w:r>
              <w:t>71,4</w:t>
            </w:r>
          </w:p>
        </w:tc>
      </w:tr>
      <w:tr w:rsidR="00000000">
        <w:tblPrEx>
          <w:tblCellMar>
            <w:top w:w="0" w:type="dxa"/>
            <w:bottom w:w="0" w:type="dxa"/>
          </w:tblCellMar>
        </w:tblPrEx>
        <w:trPr>
          <w:cantSplit/>
        </w:trPr>
        <w:tc>
          <w:tcPr>
            <w:tcW w:w="2276" w:type="dxa"/>
          </w:tcPr>
          <w:p w:rsidR="00000000" w:rsidRDefault="00000000">
            <w:pPr>
              <w:spacing w:line="240" w:lineRule="auto"/>
            </w:pPr>
            <w:r>
              <w:t>шестая</w:t>
            </w:r>
          </w:p>
        </w:tc>
        <w:tc>
          <w:tcPr>
            <w:tcW w:w="840" w:type="dxa"/>
          </w:tcPr>
          <w:p w:rsidR="00000000" w:rsidRDefault="00000000">
            <w:pPr>
              <w:spacing w:line="240" w:lineRule="auto"/>
            </w:pPr>
            <w:r>
              <w:t>22,8</w:t>
            </w:r>
          </w:p>
        </w:tc>
        <w:tc>
          <w:tcPr>
            <w:tcW w:w="812" w:type="dxa"/>
            <w:gridSpan w:val="2"/>
          </w:tcPr>
          <w:p w:rsidR="00000000" w:rsidRDefault="00000000">
            <w:pPr>
              <w:spacing w:line="240" w:lineRule="auto"/>
            </w:pPr>
            <w:r>
              <w:t>77,2</w:t>
            </w:r>
          </w:p>
        </w:tc>
        <w:tc>
          <w:tcPr>
            <w:tcW w:w="938" w:type="dxa"/>
            <w:gridSpan w:val="2"/>
          </w:tcPr>
          <w:p w:rsidR="00000000" w:rsidRDefault="00000000">
            <w:pPr>
              <w:spacing w:line="240" w:lineRule="auto"/>
            </w:pPr>
            <w:r>
              <w:t>22,1</w:t>
            </w:r>
          </w:p>
        </w:tc>
        <w:tc>
          <w:tcPr>
            <w:tcW w:w="1002" w:type="dxa"/>
            <w:gridSpan w:val="2"/>
          </w:tcPr>
          <w:p w:rsidR="00000000" w:rsidRDefault="00000000">
            <w:pPr>
              <w:spacing w:line="240" w:lineRule="auto"/>
            </w:pPr>
            <w:r>
              <w:t>77,9</w:t>
            </w:r>
          </w:p>
        </w:tc>
        <w:tc>
          <w:tcPr>
            <w:tcW w:w="906" w:type="dxa"/>
            <w:gridSpan w:val="2"/>
          </w:tcPr>
          <w:p w:rsidR="00000000" w:rsidRDefault="00000000">
            <w:pPr>
              <w:spacing w:line="240" w:lineRule="auto"/>
            </w:pPr>
            <w:r>
              <w:t>20,7</w:t>
            </w:r>
          </w:p>
        </w:tc>
        <w:tc>
          <w:tcPr>
            <w:tcW w:w="922" w:type="dxa"/>
            <w:gridSpan w:val="2"/>
          </w:tcPr>
          <w:p w:rsidR="00000000" w:rsidRDefault="00000000">
            <w:pPr>
              <w:spacing w:line="240" w:lineRule="auto"/>
            </w:pPr>
            <w:r>
              <w:t>79,3</w:t>
            </w:r>
          </w:p>
        </w:tc>
        <w:tc>
          <w:tcPr>
            <w:tcW w:w="845" w:type="dxa"/>
            <w:gridSpan w:val="2"/>
          </w:tcPr>
          <w:p w:rsidR="00000000" w:rsidRDefault="00000000">
            <w:pPr>
              <w:spacing w:line="240" w:lineRule="auto"/>
            </w:pPr>
            <w:r>
              <w:t>19,7</w:t>
            </w:r>
          </w:p>
        </w:tc>
        <w:tc>
          <w:tcPr>
            <w:tcW w:w="869" w:type="dxa"/>
          </w:tcPr>
          <w:p w:rsidR="00000000" w:rsidRDefault="00000000">
            <w:pPr>
              <w:spacing w:line="240" w:lineRule="auto"/>
            </w:pPr>
            <w:r>
              <w:t>80,3</w:t>
            </w:r>
          </w:p>
        </w:tc>
      </w:tr>
      <w:tr w:rsidR="00000000">
        <w:tblPrEx>
          <w:tblCellMar>
            <w:top w:w="0" w:type="dxa"/>
            <w:bottom w:w="0" w:type="dxa"/>
          </w:tblCellMar>
        </w:tblPrEx>
        <w:trPr>
          <w:cantSplit/>
        </w:trPr>
        <w:tc>
          <w:tcPr>
            <w:tcW w:w="2276" w:type="dxa"/>
          </w:tcPr>
          <w:p w:rsidR="00000000" w:rsidRDefault="00000000">
            <w:pPr>
              <w:spacing w:line="240" w:lineRule="auto"/>
            </w:pPr>
            <w:r>
              <w:t>седьмая</w:t>
            </w:r>
          </w:p>
        </w:tc>
        <w:tc>
          <w:tcPr>
            <w:tcW w:w="840" w:type="dxa"/>
          </w:tcPr>
          <w:p w:rsidR="00000000" w:rsidRDefault="00000000">
            <w:pPr>
              <w:spacing w:line="240" w:lineRule="auto"/>
            </w:pPr>
            <w:r>
              <w:t>15,8</w:t>
            </w:r>
          </w:p>
        </w:tc>
        <w:tc>
          <w:tcPr>
            <w:tcW w:w="812" w:type="dxa"/>
            <w:gridSpan w:val="2"/>
          </w:tcPr>
          <w:p w:rsidR="00000000" w:rsidRDefault="00000000">
            <w:pPr>
              <w:spacing w:line="240" w:lineRule="auto"/>
            </w:pPr>
            <w:r>
              <w:t>84,2</w:t>
            </w:r>
          </w:p>
        </w:tc>
        <w:tc>
          <w:tcPr>
            <w:tcW w:w="938" w:type="dxa"/>
            <w:gridSpan w:val="2"/>
          </w:tcPr>
          <w:p w:rsidR="00000000" w:rsidRDefault="00000000">
            <w:pPr>
              <w:spacing w:line="240" w:lineRule="auto"/>
            </w:pPr>
            <w:r>
              <w:t>15,4</w:t>
            </w:r>
          </w:p>
        </w:tc>
        <w:tc>
          <w:tcPr>
            <w:tcW w:w="1002" w:type="dxa"/>
            <w:gridSpan w:val="2"/>
          </w:tcPr>
          <w:p w:rsidR="00000000" w:rsidRDefault="00000000">
            <w:pPr>
              <w:spacing w:line="240" w:lineRule="auto"/>
            </w:pPr>
            <w:r>
              <w:t>84,6</w:t>
            </w:r>
          </w:p>
        </w:tc>
        <w:tc>
          <w:tcPr>
            <w:tcW w:w="906" w:type="dxa"/>
            <w:gridSpan w:val="2"/>
          </w:tcPr>
          <w:p w:rsidR="00000000" w:rsidRDefault="00000000">
            <w:pPr>
              <w:spacing w:line="240" w:lineRule="auto"/>
            </w:pPr>
            <w:r>
              <w:t>17,2</w:t>
            </w:r>
          </w:p>
        </w:tc>
        <w:tc>
          <w:tcPr>
            <w:tcW w:w="922" w:type="dxa"/>
            <w:gridSpan w:val="2"/>
          </w:tcPr>
          <w:p w:rsidR="00000000" w:rsidRDefault="00000000">
            <w:pPr>
              <w:spacing w:line="240" w:lineRule="auto"/>
            </w:pPr>
            <w:r>
              <w:t>82,8</w:t>
            </w:r>
          </w:p>
        </w:tc>
        <w:tc>
          <w:tcPr>
            <w:tcW w:w="845" w:type="dxa"/>
            <w:gridSpan w:val="2"/>
          </w:tcPr>
          <w:p w:rsidR="00000000" w:rsidRDefault="00000000">
            <w:pPr>
              <w:spacing w:line="240" w:lineRule="auto"/>
            </w:pPr>
            <w:r>
              <w:t>16,6</w:t>
            </w:r>
          </w:p>
        </w:tc>
        <w:tc>
          <w:tcPr>
            <w:tcW w:w="869" w:type="dxa"/>
          </w:tcPr>
          <w:p w:rsidR="00000000" w:rsidRDefault="00000000">
            <w:pPr>
              <w:spacing w:line="240" w:lineRule="auto"/>
            </w:pPr>
            <w:r>
              <w:t>83,4</w:t>
            </w:r>
          </w:p>
        </w:tc>
      </w:tr>
    </w:tbl>
    <w:p w:rsidR="00000000" w:rsidRDefault="00000000"/>
    <w:p w:rsidR="00000000" w:rsidRDefault="00000000"/>
    <w:p w:rsidR="00000000" w:rsidRDefault="00000000">
      <w:pPr>
        <w:jc w:val="center"/>
        <w:rPr>
          <w:b/>
          <w:bCs/>
        </w:rPr>
      </w:pPr>
      <w:r>
        <w:rPr>
          <w:b/>
          <w:bCs/>
        </w:rPr>
        <w:t>Таблица 2</w:t>
      </w:r>
    </w:p>
    <w:p w:rsidR="00000000" w:rsidRDefault="00000000">
      <w:pPr>
        <w:jc w:val="center"/>
        <w:rPr>
          <w:b/>
          <w:bCs/>
        </w:rPr>
      </w:pPr>
    </w:p>
    <w:tbl>
      <w:tblPr>
        <w:tblW w:w="0" w:type="auto"/>
        <w:tblLayout w:type="fixed"/>
        <w:tblCellMar>
          <w:left w:w="28" w:type="dxa"/>
          <w:right w:w="28" w:type="dxa"/>
        </w:tblCellMar>
        <w:tblLook w:val="0000" w:firstRow="0" w:lastRow="0" w:firstColumn="0" w:lastColumn="0" w:noHBand="0" w:noVBand="0"/>
      </w:tblPr>
      <w:tblGrid>
        <w:gridCol w:w="2385"/>
        <w:gridCol w:w="1129"/>
        <w:gridCol w:w="1380"/>
        <w:gridCol w:w="1129"/>
        <w:gridCol w:w="1129"/>
        <w:gridCol w:w="1129"/>
        <w:gridCol w:w="1129"/>
      </w:tblGrid>
      <w:tr w:rsidR="00000000">
        <w:tblPrEx>
          <w:tblCellMar>
            <w:top w:w="0" w:type="dxa"/>
            <w:bottom w:w="0" w:type="dxa"/>
          </w:tblCellMar>
        </w:tblPrEx>
        <w:trPr>
          <w:cantSplit/>
        </w:trPr>
        <w:tc>
          <w:tcPr>
            <w:tcW w:w="9410" w:type="dxa"/>
            <w:gridSpan w:val="7"/>
          </w:tcPr>
          <w:p w:rsidR="00000000" w:rsidRDefault="00000000">
            <w:pPr>
              <w:jc w:val="center"/>
              <w:rPr>
                <w:b/>
                <w:bCs/>
              </w:rPr>
            </w:pPr>
            <w:r>
              <w:rPr>
                <w:b/>
                <w:bCs/>
              </w:rPr>
              <w:t xml:space="preserve">Численность женщин среди студентов Вузов </w:t>
            </w:r>
            <w:proofErr w:type="spellStart"/>
            <w:r>
              <w:rPr>
                <w:b/>
                <w:bCs/>
              </w:rPr>
              <w:t>I-IV</w:t>
            </w:r>
            <w:proofErr w:type="spellEnd"/>
            <w:r>
              <w:rPr>
                <w:b/>
                <w:bCs/>
              </w:rPr>
              <w:t xml:space="preserve"> уровней аккредитации</w:t>
            </w:r>
          </w:p>
          <w:p w:rsidR="00000000" w:rsidRDefault="00000000">
            <w:pPr>
              <w:jc w:val="center"/>
              <w:rPr>
                <w:b/>
                <w:bCs/>
              </w:rPr>
            </w:pPr>
          </w:p>
        </w:tc>
      </w:tr>
      <w:tr w:rsidR="00000000">
        <w:tblPrEx>
          <w:tblCellMar>
            <w:top w:w="0" w:type="dxa"/>
            <w:bottom w:w="0" w:type="dxa"/>
          </w:tblCellMar>
        </w:tblPrEx>
        <w:trPr>
          <w:cantSplit/>
        </w:trPr>
        <w:tc>
          <w:tcPr>
            <w:tcW w:w="2385" w:type="dxa"/>
          </w:tcPr>
          <w:p w:rsidR="00000000" w:rsidRDefault="00000000">
            <w:pPr>
              <w:jc w:val="center"/>
            </w:pPr>
          </w:p>
        </w:tc>
        <w:tc>
          <w:tcPr>
            <w:tcW w:w="1129" w:type="dxa"/>
          </w:tcPr>
          <w:p w:rsidR="00000000" w:rsidRDefault="00000000">
            <w:pPr>
              <w:jc w:val="center"/>
            </w:pPr>
            <w:r>
              <w:t>1995/96</w:t>
            </w:r>
          </w:p>
        </w:tc>
        <w:tc>
          <w:tcPr>
            <w:tcW w:w="1380" w:type="dxa"/>
          </w:tcPr>
          <w:p w:rsidR="00000000" w:rsidRDefault="00000000">
            <w:pPr>
              <w:jc w:val="center"/>
            </w:pPr>
            <w:r>
              <w:t>2000/01</w:t>
            </w:r>
          </w:p>
        </w:tc>
        <w:tc>
          <w:tcPr>
            <w:tcW w:w="1129" w:type="dxa"/>
          </w:tcPr>
          <w:p w:rsidR="00000000" w:rsidRDefault="00000000">
            <w:pPr>
              <w:jc w:val="center"/>
            </w:pPr>
            <w:r>
              <w:t>2001/02</w:t>
            </w:r>
          </w:p>
        </w:tc>
        <w:tc>
          <w:tcPr>
            <w:tcW w:w="1129" w:type="dxa"/>
          </w:tcPr>
          <w:p w:rsidR="00000000" w:rsidRDefault="00000000">
            <w:pPr>
              <w:jc w:val="center"/>
            </w:pPr>
            <w:r>
              <w:t>2002/03</w:t>
            </w:r>
          </w:p>
        </w:tc>
        <w:tc>
          <w:tcPr>
            <w:tcW w:w="1129" w:type="dxa"/>
          </w:tcPr>
          <w:p w:rsidR="00000000" w:rsidRDefault="00000000">
            <w:pPr>
              <w:jc w:val="center"/>
            </w:pPr>
            <w:r>
              <w:t>2003/04</w:t>
            </w:r>
          </w:p>
        </w:tc>
        <w:tc>
          <w:tcPr>
            <w:tcW w:w="1129" w:type="dxa"/>
          </w:tcPr>
          <w:p w:rsidR="00000000" w:rsidRDefault="00000000">
            <w:pPr>
              <w:jc w:val="center"/>
            </w:pPr>
            <w:r>
              <w:t>2004/05</w:t>
            </w:r>
          </w:p>
          <w:p w:rsidR="00000000" w:rsidRDefault="00000000">
            <w:pPr>
              <w:jc w:val="center"/>
            </w:pPr>
          </w:p>
        </w:tc>
      </w:tr>
      <w:tr w:rsidR="00000000">
        <w:tblPrEx>
          <w:tblCellMar>
            <w:top w:w="0" w:type="dxa"/>
            <w:bottom w:w="0" w:type="dxa"/>
          </w:tblCellMar>
        </w:tblPrEx>
        <w:trPr>
          <w:cantSplit/>
        </w:trPr>
        <w:tc>
          <w:tcPr>
            <w:tcW w:w="2385" w:type="dxa"/>
          </w:tcPr>
          <w:p w:rsidR="00000000" w:rsidRDefault="00000000">
            <w:r>
              <w:t>Всего человек</w:t>
            </w:r>
          </w:p>
        </w:tc>
        <w:tc>
          <w:tcPr>
            <w:tcW w:w="1129" w:type="dxa"/>
          </w:tcPr>
          <w:p w:rsidR="00000000" w:rsidRDefault="00000000">
            <w:r>
              <w:t>803 682</w:t>
            </w:r>
          </w:p>
        </w:tc>
        <w:tc>
          <w:tcPr>
            <w:tcW w:w="1380" w:type="dxa"/>
          </w:tcPr>
          <w:p w:rsidR="00000000" w:rsidRDefault="00000000">
            <w:r>
              <w:t>1 022 977</w:t>
            </w:r>
          </w:p>
        </w:tc>
        <w:tc>
          <w:tcPr>
            <w:tcW w:w="1129" w:type="dxa"/>
          </w:tcPr>
          <w:p w:rsidR="00000000" w:rsidRDefault="00000000">
            <w:r>
              <w:t>1 126 379</w:t>
            </w:r>
          </w:p>
        </w:tc>
        <w:tc>
          <w:tcPr>
            <w:tcW w:w="1129" w:type="dxa"/>
          </w:tcPr>
          <w:p w:rsidR="00000000" w:rsidRDefault="00000000">
            <w:r>
              <w:t>1 222 676</w:t>
            </w:r>
          </w:p>
        </w:tc>
        <w:tc>
          <w:tcPr>
            <w:tcW w:w="1129" w:type="dxa"/>
          </w:tcPr>
          <w:p w:rsidR="00000000" w:rsidRDefault="00000000">
            <w:r>
              <w:t>1 315 703</w:t>
            </w:r>
          </w:p>
        </w:tc>
        <w:tc>
          <w:tcPr>
            <w:tcW w:w="1129" w:type="dxa"/>
          </w:tcPr>
          <w:p w:rsidR="00000000" w:rsidRDefault="00000000">
            <w:r>
              <w:t>1 392 856</w:t>
            </w:r>
          </w:p>
          <w:p w:rsidR="00000000" w:rsidRDefault="00000000"/>
        </w:tc>
      </w:tr>
      <w:tr w:rsidR="00000000">
        <w:tblPrEx>
          <w:tblCellMar>
            <w:top w:w="0" w:type="dxa"/>
            <w:bottom w:w="0" w:type="dxa"/>
          </w:tblCellMar>
        </w:tblPrEx>
        <w:trPr>
          <w:cantSplit/>
        </w:trPr>
        <w:tc>
          <w:tcPr>
            <w:tcW w:w="2385" w:type="dxa"/>
          </w:tcPr>
          <w:p w:rsidR="00000000" w:rsidRDefault="00000000">
            <w:pPr>
              <w:spacing w:line="240" w:lineRule="auto"/>
            </w:pPr>
            <w:r>
              <w:t>В % к общей численности студентов</w:t>
            </w:r>
          </w:p>
        </w:tc>
        <w:tc>
          <w:tcPr>
            <w:tcW w:w="1129" w:type="dxa"/>
          </w:tcPr>
          <w:p w:rsidR="00000000" w:rsidRDefault="00000000">
            <w:r>
              <w:t>52,2</w:t>
            </w:r>
          </w:p>
        </w:tc>
        <w:tc>
          <w:tcPr>
            <w:tcW w:w="1380" w:type="dxa"/>
          </w:tcPr>
          <w:p w:rsidR="00000000" w:rsidRDefault="00000000">
            <w:r>
              <w:t>53,0</w:t>
            </w:r>
          </w:p>
        </w:tc>
        <w:tc>
          <w:tcPr>
            <w:tcW w:w="1129" w:type="dxa"/>
          </w:tcPr>
          <w:p w:rsidR="00000000" w:rsidRDefault="00000000">
            <w:r>
              <w:t>53,4</w:t>
            </w:r>
          </w:p>
        </w:tc>
        <w:tc>
          <w:tcPr>
            <w:tcW w:w="1129" w:type="dxa"/>
          </w:tcPr>
          <w:p w:rsidR="00000000" w:rsidRDefault="00000000">
            <w:r>
              <w:t>53,9</w:t>
            </w:r>
          </w:p>
        </w:tc>
        <w:tc>
          <w:tcPr>
            <w:tcW w:w="1129" w:type="dxa"/>
          </w:tcPr>
          <w:p w:rsidR="00000000" w:rsidRDefault="00000000">
            <w:r>
              <w:t>54,0</w:t>
            </w:r>
          </w:p>
        </w:tc>
        <w:tc>
          <w:tcPr>
            <w:tcW w:w="1129" w:type="dxa"/>
          </w:tcPr>
          <w:p w:rsidR="00000000" w:rsidRDefault="00000000">
            <w:r>
              <w:t>54,1</w:t>
            </w:r>
          </w:p>
        </w:tc>
      </w:tr>
    </w:tbl>
    <w:p w:rsidR="00000000" w:rsidRDefault="00000000"/>
    <w:p w:rsidR="00000000" w:rsidRDefault="00000000"/>
    <w:p w:rsidR="00000000" w:rsidRDefault="00000000">
      <w:pPr>
        <w:jc w:val="center"/>
      </w:pPr>
      <w:r>
        <w:t>-----</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CCPR/C/UKR/6</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60</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CCPR/C/UKR/6</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59</w:t>
    </w:r>
    <w:r>
      <w:rPr>
        <w:rStyle w:val="PageNumber"/>
      </w:rPr>
      <w:fldChar w:fldCharType="end"/>
    </w:r>
  </w:p>
  <w:p w:rsidR="00000000" w:rsidRDefault="00000000">
    <w:pPr>
      <w:pStyle w:val="Header"/>
      <w:tabs>
        <w:tab w:val="left" w:pos="6237"/>
        <w:tab w:val="left" w:pos="7371"/>
      </w:tabs>
      <w:rPr>
        <w:rStyle w:val="PageNumber"/>
        <w:lang w:val="en-US"/>
      </w:rPr>
    </w:pPr>
  </w:p>
  <w:p w:rsidR="00000000" w:rsidRDefault="00000000">
    <w:pPr>
      <w:pStyle w:val="Header"/>
      <w:tabs>
        <w:tab w:val="left" w:pos="6237"/>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871056F"/>
    <w:multiLevelType w:val="multilevel"/>
    <w:tmpl w:val="34BC9078"/>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2">
    <w:nsid w:val="10AD6DED"/>
    <w:multiLevelType w:val="hybridMultilevel"/>
    <w:tmpl w:val="DFEE2D8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4">
    <w:nsid w:val="170257B8"/>
    <w:multiLevelType w:val="hybridMultilevel"/>
    <w:tmpl w:val="07AA765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91164BA"/>
    <w:multiLevelType w:val="hybridMultilevel"/>
    <w:tmpl w:val="47641C06"/>
    <w:lvl w:ilvl="0" w:tplc="FFFFFFFF">
      <w:start w:val="1"/>
      <w:numFmt w:val="bullet"/>
      <w:lvlText w:val=""/>
      <w:lvlJc w:val="left"/>
      <w:pPr>
        <w:tabs>
          <w:tab w:val="num" w:pos="1400"/>
        </w:tabs>
        <w:ind w:left="1400" w:hanging="360"/>
      </w:pPr>
      <w:rPr>
        <w:rFonts w:ascii="Symbol" w:hAnsi="Symbol" w:hint="default"/>
      </w:rPr>
    </w:lvl>
    <w:lvl w:ilvl="1" w:tplc="FFFFFFFF">
      <w:numFmt w:val="bullet"/>
      <w:lvlText w:val="-"/>
      <w:lvlJc w:val="left"/>
      <w:pPr>
        <w:tabs>
          <w:tab w:val="num" w:pos="2705"/>
        </w:tabs>
        <w:ind w:left="2705" w:hanging="945"/>
      </w:pPr>
      <w:rPr>
        <w:rFonts w:ascii="Times New Roman" w:eastAsia="Times New Roman" w:hAnsi="Times New Roman" w:cs="Times New Roman" w:hint="default"/>
      </w:rPr>
    </w:lvl>
    <w:lvl w:ilvl="2" w:tplc="FFFFFFFF" w:tentative="1">
      <w:start w:val="1"/>
      <w:numFmt w:val="bullet"/>
      <w:lvlText w:val=""/>
      <w:lvlJc w:val="left"/>
      <w:pPr>
        <w:tabs>
          <w:tab w:val="num" w:pos="2840"/>
        </w:tabs>
        <w:ind w:left="2840" w:hanging="360"/>
      </w:pPr>
      <w:rPr>
        <w:rFonts w:ascii="Wingdings" w:hAnsi="Wingdings" w:hint="default"/>
      </w:rPr>
    </w:lvl>
    <w:lvl w:ilvl="3" w:tplc="FFFFFFFF" w:tentative="1">
      <w:start w:val="1"/>
      <w:numFmt w:val="bullet"/>
      <w:lvlText w:val=""/>
      <w:lvlJc w:val="left"/>
      <w:pPr>
        <w:tabs>
          <w:tab w:val="num" w:pos="3560"/>
        </w:tabs>
        <w:ind w:left="3560" w:hanging="360"/>
      </w:pPr>
      <w:rPr>
        <w:rFonts w:ascii="Symbol" w:hAnsi="Symbol" w:hint="default"/>
      </w:rPr>
    </w:lvl>
    <w:lvl w:ilvl="4" w:tplc="FFFFFFFF" w:tentative="1">
      <w:start w:val="1"/>
      <w:numFmt w:val="bullet"/>
      <w:lvlText w:val="o"/>
      <w:lvlJc w:val="left"/>
      <w:pPr>
        <w:tabs>
          <w:tab w:val="num" w:pos="4280"/>
        </w:tabs>
        <w:ind w:left="4280" w:hanging="360"/>
      </w:pPr>
      <w:rPr>
        <w:rFonts w:ascii="Courier New" w:hAnsi="Courier New" w:hint="default"/>
      </w:rPr>
    </w:lvl>
    <w:lvl w:ilvl="5" w:tplc="FFFFFFFF" w:tentative="1">
      <w:start w:val="1"/>
      <w:numFmt w:val="bullet"/>
      <w:lvlText w:val=""/>
      <w:lvlJc w:val="left"/>
      <w:pPr>
        <w:tabs>
          <w:tab w:val="num" w:pos="5000"/>
        </w:tabs>
        <w:ind w:left="5000" w:hanging="360"/>
      </w:pPr>
      <w:rPr>
        <w:rFonts w:ascii="Wingdings" w:hAnsi="Wingdings" w:hint="default"/>
      </w:rPr>
    </w:lvl>
    <w:lvl w:ilvl="6" w:tplc="FFFFFFFF" w:tentative="1">
      <w:start w:val="1"/>
      <w:numFmt w:val="bullet"/>
      <w:lvlText w:val=""/>
      <w:lvlJc w:val="left"/>
      <w:pPr>
        <w:tabs>
          <w:tab w:val="num" w:pos="5720"/>
        </w:tabs>
        <w:ind w:left="5720" w:hanging="360"/>
      </w:pPr>
      <w:rPr>
        <w:rFonts w:ascii="Symbol" w:hAnsi="Symbol" w:hint="default"/>
      </w:rPr>
    </w:lvl>
    <w:lvl w:ilvl="7" w:tplc="FFFFFFFF" w:tentative="1">
      <w:start w:val="1"/>
      <w:numFmt w:val="bullet"/>
      <w:lvlText w:val="o"/>
      <w:lvlJc w:val="left"/>
      <w:pPr>
        <w:tabs>
          <w:tab w:val="num" w:pos="6440"/>
        </w:tabs>
        <w:ind w:left="6440" w:hanging="360"/>
      </w:pPr>
      <w:rPr>
        <w:rFonts w:ascii="Courier New" w:hAnsi="Courier New" w:hint="default"/>
      </w:rPr>
    </w:lvl>
    <w:lvl w:ilvl="8" w:tplc="FFFFFFFF" w:tentative="1">
      <w:start w:val="1"/>
      <w:numFmt w:val="bullet"/>
      <w:lvlText w:val=""/>
      <w:lvlJc w:val="left"/>
      <w:pPr>
        <w:tabs>
          <w:tab w:val="num" w:pos="7160"/>
        </w:tabs>
        <w:ind w:left="7160" w:hanging="360"/>
      </w:pPr>
      <w:rPr>
        <w:rFonts w:ascii="Wingdings" w:hAnsi="Wingdings" w:hint="default"/>
      </w:rPr>
    </w:lvl>
  </w:abstractNum>
  <w:abstractNum w:abstractNumId="6">
    <w:nsid w:val="230F203D"/>
    <w:multiLevelType w:val="singleLevel"/>
    <w:tmpl w:val="F6A82448"/>
    <w:lvl w:ilvl="0">
      <w:start w:val="1"/>
      <w:numFmt w:val="decimal"/>
      <w:lvlText w:val="%1."/>
      <w:lvlJc w:val="left"/>
      <w:pPr>
        <w:tabs>
          <w:tab w:val="num" w:pos="1144"/>
        </w:tabs>
        <w:ind w:left="1144" w:hanging="435"/>
      </w:pPr>
      <w:rPr>
        <w:rFonts w:hint="default"/>
      </w:rPr>
    </w:lvl>
  </w:abstractNum>
  <w:abstractNum w:abstractNumId="7">
    <w:nsid w:val="3AA34A0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nsid w:val="46DD5744"/>
    <w:multiLevelType w:val="multilevel"/>
    <w:tmpl w:val="EFDA28DE"/>
    <w:lvl w:ilvl="0">
      <w:start w:val="1"/>
      <w:numFmt w:val="bullet"/>
      <w:lvlText w:val=""/>
      <w:lvlJc w:val="left"/>
      <w:pPr>
        <w:tabs>
          <w:tab w:val="num" w:pos="1400"/>
        </w:tabs>
        <w:ind w:left="1400" w:hanging="360"/>
      </w:pPr>
      <w:rPr>
        <w:rFonts w:ascii="Symbol" w:hAnsi="Symbol" w:hint="default"/>
      </w:rPr>
    </w:lvl>
    <w:lvl w:ilvl="1">
      <w:start w:val="1"/>
      <w:numFmt w:val="bullet"/>
      <w:lvlText w:val=""/>
      <w:lvlJc w:val="left"/>
      <w:pPr>
        <w:tabs>
          <w:tab w:val="num" w:pos="2160"/>
        </w:tabs>
        <w:ind w:left="2160" w:hanging="360"/>
      </w:pPr>
      <w:rPr>
        <w:rFonts w:ascii="Symbol" w:hAnsi="Symbol"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9">
    <w:nsid w:val="4A6B38DD"/>
    <w:multiLevelType w:val="multilevel"/>
    <w:tmpl w:val="EFDA28DE"/>
    <w:lvl w:ilvl="0">
      <w:start w:val="1"/>
      <w:numFmt w:val="bullet"/>
      <w:lvlText w:val=""/>
      <w:lvlJc w:val="left"/>
      <w:pPr>
        <w:tabs>
          <w:tab w:val="num" w:pos="1400"/>
        </w:tabs>
        <w:ind w:left="1400" w:hanging="360"/>
      </w:pPr>
      <w:rPr>
        <w:rFonts w:ascii="Symbol" w:hAnsi="Symbol" w:hint="default"/>
      </w:rPr>
    </w:lvl>
    <w:lvl w:ilvl="1">
      <w:start w:val="1"/>
      <w:numFmt w:val="bullet"/>
      <w:lvlText w:val=""/>
      <w:lvlJc w:val="left"/>
      <w:pPr>
        <w:tabs>
          <w:tab w:val="num" w:pos="2160"/>
        </w:tabs>
        <w:ind w:left="2160" w:hanging="360"/>
      </w:pPr>
      <w:rPr>
        <w:rFonts w:ascii="Symbol" w:hAnsi="Symbol"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0">
    <w:nsid w:val="4FC214C0"/>
    <w:multiLevelType w:val="hybridMultilevel"/>
    <w:tmpl w:val="5E9024F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2E73B8E"/>
    <w:multiLevelType w:val="multilevel"/>
    <w:tmpl w:val="34BC9078"/>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12">
    <w:nsid w:val="75D54CE4"/>
    <w:multiLevelType w:val="hybridMultilevel"/>
    <w:tmpl w:val="162E2AE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6"/>
  </w:num>
  <w:num w:numId="4">
    <w:abstractNumId w:val="7"/>
  </w:num>
  <w:num w:numId="5">
    <w:abstractNumId w:val="11"/>
  </w:num>
  <w:num w:numId="6">
    <w:abstractNumId w:val="1"/>
  </w:num>
  <w:num w:numId="7">
    <w:abstractNumId w:val="5"/>
  </w:num>
  <w:num w:numId="8">
    <w:abstractNumId w:val="9"/>
  </w:num>
  <w:num w:numId="9">
    <w:abstractNumId w:val="8"/>
  </w:num>
  <w:num w:numId="10">
    <w:abstractNumId w:val="2"/>
  </w:num>
  <w:num w:numId="11">
    <w:abstractNumId w:val="12"/>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paragraph" w:styleId="Heading9">
    <w:name w:val="heading 9"/>
    <w:basedOn w:val="Normal"/>
    <w:next w:val="Normal"/>
    <w:qFormat/>
    <w:pPr>
      <w:keepNext/>
      <w:tabs>
        <w:tab w:val="clear" w:pos="567"/>
        <w:tab w:val="clear" w:pos="1134"/>
        <w:tab w:val="clear" w:pos="1701"/>
        <w:tab w:val="clear" w:pos="2268"/>
        <w:tab w:val="clear" w:pos="6237"/>
      </w:tabs>
      <w:spacing w:line="240" w:lineRule="auto"/>
      <w:ind w:firstLine="720"/>
      <w:jc w:val="both"/>
      <w:outlineLvl w:val="8"/>
    </w:pPr>
    <w:rPr>
      <w:b/>
      <w:sz w:val="28"/>
      <w:lang w:val="uk-UA" w:eastAsia="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註腳文字 字元"/>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tabs>
        <w:tab w:val="clear" w:pos="567"/>
        <w:tab w:val="clear" w:pos="1134"/>
        <w:tab w:val="clear" w:pos="1701"/>
        <w:tab w:val="clear" w:pos="2268"/>
        <w:tab w:val="clear" w:pos="6237"/>
      </w:tabs>
      <w:spacing w:line="240" w:lineRule="auto"/>
      <w:ind w:firstLine="709"/>
      <w:jc w:val="both"/>
    </w:pPr>
    <w:rPr>
      <w:sz w:val="28"/>
      <w:lang w:val="uk-UA" w:eastAsia="ru-RU"/>
    </w:rPr>
  </w:style>
  <w:style w:type="paragraph" w:styleId="BodyText">
    <w:name w:val="Body Text"/>
    <w:basedOn w:val="Normal"/>
    <w:semiHidden/>
    <w:pPr>
      <w:tabs>
        <w:tab w:val="clear" w:pos="567"/>
        <w:tab w:val="clear" w:pos="1134"/>
        <w:tab w:val="clear" w:pos="1701"/>
        <w:tab w:val="clear" w:pos="2268"/>
        <w:tab w:val="clear" w:pos="6237"/>
      </w:tabs>
      <w:spacing w:after="120" w:line="240" w:lineRule="auto"/>
    </w:pPr>
    <w:rPr>
      <w:lang w:val="uk-UA" w:eastAsia="ru-RU"/>
    </w:rPr>
  </w:style>
  <w:style w:type="paragraph" w:styleId="BodyTextIndent3">
    <w:name w:val="Body Text Indent 3"/>
    <w:basedOn w:val="Normal"/>
    <w:semiHidden/>
    <w:pPr>
      <w:tabs>
        <w:tab w:val="clear" w:pos="567"/>
        <w:tab w:val="clear" w:pos="1134"/>
        <w:tab w:val="clear" w:pos="1701"/>
        <w:tab w:val="clear" w:pos="2268"/>
        <w:tab w:val="clear" w:pos="6237"/>
      </w:tabs>
      <w:spacing w:after="120" w:line="240" w:lineRule="auto"/>
      <w:ind w:left="283"/>
    </w:pPr>
    <w:rPr>
      <w:sz w:val="16"/>
      <w:lang w:val="uk-UA" w:eastAsia="ru-RU"/>
    </w:rPr>
  </w:style>
  <w:style w:type="paragraph" w:styleId="BodyTextIndent2">
    <w:name w:val="Body Text Indent 2"/>
    <w:basedOn w:val="Normal"/>
    <w:semiHidden/>
    <w:pPr>
      <w:tabs>
        <w:tab w:val="clear" w:pos="567"/>
        <w:tab w:val="clear" w:pos="1134"/>
        <w:tab w:val="clear" w:pos="1701"/>
        <w:tab w:val="clear" w:pos="2268"/>
        <w:tab w:val="clear" w:pos="6237"/>
      </w:tabs>
      <w:spacing w:line="360" w:lineRule="auto"/>
      <w:ind w:firstLine="709"/>
      <w:jc w:val="both"/>
    </w:pPr>
    <w:rPr>
      <w:sz w:val="28"/>
      <w:lang w:eastAsia="ru-RU"/>
    </w:rPr>
  </w:style>
  <w:style w:type="paragraph" w:customStyle="1" w:styleId="BodyText21">
    <w:name w:val="Body Text 21"/>
    <w:basedOn w:val="Normal"/>
    <w:pPr>
      <w:tabs>
        <w:tab w:val="clear" w:pos="567"/>
        <w:tab w:val="clear" w:pos="1134"/>
        <w:tab w:val="clear" w:pos="1701"/>
        <w:tab w:val="clear" w:pos="2268"/>
        <w:tab w:val="clear" w:pos="6237"/>
      </w:tabs>
      <w:spacing w:line="240" w:lineRule="auto"/>
      <w:jc w:val="both"/>
    </w:pPr>
    <w:rPr>
      <w:sz w:val="28"/>
      <w:lang w:val="uk-UA" w:eastAsia="ru-RU"/>
    </w:rPr>
  </w:style>
  <w:style w:type="paragraph" w:styleId="HTMLPreformatted">
    <w:name w:val="HTML Preformatted"/>
    <w:basedOn w:val="Normal"/>
    <w:semiHidden/>
    <w:pPr>
      <w:tabs>
        <w:tab w:val="clear" w:pos="567"/>
        <w:tab w:val="clear" w:pos="1134"/>
        <w:tab w:val="clear" w:pos="1701"/>
        <w:tab w:val="clear" w:pos="2268"/>
        <w:tab w:val="clear" w:pos="623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olor w:val="000000"/>
      <w:sz w:val="25"/>
      <w:lang w:eastAsia="ru-RU"/>
    </w:rPr>
  </w:style>
  <w:style w:type="paragraph" w:styleId="BodyText3">
    <w:name w:val="Body Text 3"/>
    <w:basedOn w:val="Normal"/>
    <w:semiHidden/>
    <w:pPr>
      <w:tabs>
        <w:tab w:val="clear" w:pos="567"/>
        <w:tab w:val="clear" w:pos="1134"/>
        <w:tab w:val="clear" w:pos="1701"/>
        <w:tab w:val="clear" w:pos="2268"/>
        <w:tab w:val="clear" w:pos="6237"/>
      </w:tabs>
      <w:spacing w:line="240" w:lineRule="auto"/>
      <w:jc w:val="both"/>
    </w:pPr>
    <w:rPr>
      <w:sz w:val="2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18047</Words>
  <Characters>102873</Characters>
  <Application>Microsoft Office Word</Application>
  <DocSecurity>4</DocSecurity>
  <Lines>857</Lines>
  <Paragraphs>205</Paragraphs>
  <ScaleCrop>false</ScaleCrop>
  <HeadingPairs>
    <vt:vector size="2" baseType="variant">
      <vt:variant>
        <vt:lpstr>Название</vt:lpstr>
      </vt:variant>
      <vt:variant>
        <vt:i4>1</vt:i4>
      </vt:variant>
    </vt:vector>
  </HeadingPairs>
  <TitlesOfParts>
    <vt:vector size="1" baseType="lpstr">
      <vt:lpstr>0641315.doc</vt:lpstr>
    </vt:vector>
  </TitlesOfParts>
  <Company> </Company>
  <LinksUpToDate>false</LinksUpToDate>
  <CharactersWithSpaces>126335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0641315.doc</dc:title>
  <dc:subject/>
  <dc:creator>Smirnova</dc:creator>
  <cp:keywords/>
  <dc:description/>
  <cp:lastModifiedBy>Smirnova</cp:lastModifiedBy>
  <cp:revision>3</cp:revision>
  <cp:lastPrinted>2006-05-03T09:29:00Z</cp:lastPrinted>
  <dcterms:created xsi:type="dcterms:W3CDTF">2006-05-03T09:29:00Z</dcterms:created>
  <dcterms:modified xsi:type="dcterms:W3CDTF">2006-05-03T09:29:00Z</dcterms:modified>
</cp:coreProperties>
</file>