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8E7CAD8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453F552" w14:textId="77777777" w:rsidR="002D5AAC" w:rsidRDefault="002D5AAC" w:rsidP="00544F0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3F6F45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409D972" w14:textId="62D8A880" w:rsidR="002D5AAC" w:rsidRDefault="00544F07" w:rsidP="00544F07">
            <w:pPr>
              <w:jc w:val="right"/>
            </w:pPr>
            <w:r w:rsidRPr="00544F07">
              <w:rPr>
                <w:sz w:val="40"/>
              </w:rPr>
              <w:t>CCPR</w:t>
            </w:r>
            <w:r>
              <w:t>/C/MNG/CO/7</w:t>
            </w:r>
          </w:p>
        </w:tc>
      </w:tr>
      <w:tr w:rsidR="002D5AAC" w:rsidRPr="00544F07" w14:paraId="0D6BB73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5DB7E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AD1102F" wp14:editId="5166C70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650749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2EFDD4F" w14:textId="00482394" w:rsidR="002D5AAC" w:rsidRPr="00544F07" w:rsidRDefault="00544F07" w:rsidP="00BC3629">
            <w:pPr>
              <w:spacing w:before="240"/>
              <w:rPr>
                <w:lang w:val="en-US"/>
              </w:rPr>
            </w:pPr>
            <w:r w:rsidRPr="00544F07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14:paraId="5A9C10E8" w14:textId="0221D5FD" w:rsidR="00544F07" w:rsidRPr="00544F07" w:rsidRDefault="008F346F" w:rsidP="00544F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May 2025</w:t>
            </w:r>
          </w:p>
          <w:p w14:paraId="3F3FA4FA" w14:textId="77777777" w:rsidR="00544F07" w:rsidRPr="00544F07" w:rsidRDefault="00544F07" w:rsidP="00544F07">
            <w:pPr>
              <w:spacing w:line="240" w:lineRule="exact"/>
              <w:rPr>
                <w:lang w:val="en-US"/>
              </w:rPr>
            </w:pPr>
            <w:r w:rsidRPr="00544F07">
              <w:rPr>
                <w:lang w:val="en-US"/>
              </w:rPr>
              <w:t>Russian</w:t>
            </w:r>
          </w:p>
          <w:p w14:paraId="63D56AB6" w14:textId="736D6F2E" w:rsidR="00544F07" w:rsidRPr="00544F07" w:rsidRDefault="00544F07" w:rsidP="00544F07">
            <w:pPr>
              <w:spacing w:line="240" w:lineRule="exact"/>
              <w:rPr>
                <w:lang w:val="en-US"/>
              </w:rPr>
            </w:pPr>
            <w:r w:rsidRPr="00544F07">
              <w:rPr>
                <w:lang w:val="en-US"/>
              </w:rPr>
              <w:t>Original: English</w:t>
            </w:r>
          </w:p>
        </w:tc>
      </w:tr>
    </w:tbl>
    <w:p w14:paraId="786160F2" w14:textId="79AAF936" w:rsidR="00544F07" w:rsidRPr="00544F07" w:rsidRDefault="00544F07" w:rsidP="00544F07">
      <w:pPr>
        <w:spacing w:before="120"/>
        <w:rPr>
          <w:sz w:val="24"/>
          <w:szCs w:val="24"/>
          <w:lang w:val="en-US"/>
        </w:rPr>
      </w:pPr>
      <w:r w:rsidRPr="00544F07">
        <w:rPr>
          <w:b/>
          <w:bCs/>
          <w:sz w:val="24"/>
          <w:szCs w:val="24"/>
        </w:rPr>
        <w:t>Комитет по правам человека</w:t>
      </w:r>
    </w:p>
    <w:p w14:paraId="7EC58BB9" w14:textId="77777777" w:rsidR="00544F07" w:rsidRDefault="00544F07" w:rsidP="00544F0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Монголии</w:t>
      </w:r>
      <w:r w:rsidRPr="007C6771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7B8E3EDA" w14:textId="53EC0B20" w:rsidR="00544F07" w:rsidRDefault="00544F07" w:rsidP="00544F07">
      <w:pPr>
        <w:pStyle w:val="SingleTxtG"/>
      </w:pPr>
      <w:r>
        <w:t>1.</w:t>
      </w:r>
      <w:r>
        <w:tab/>
        <w:t>Комитет рассмотрел седьмой периодический доклад Монголии</w:t>
      </w:r>
      <w:r w:rsidRPr="00571835">
        <w:rPr>
          <w:rStyle w:val="aa"/>
        </w:rPr>
        <w:footnoteReference w:id="2"/>
      </w:r>
      <w:r>
        <w:t xml:space="preserve"> на своих </w:t>
      </w:r>
      <w:r>
        <w:rPr>
          <w:lang w:val="en-US"/>
        </w:rPr>
        <w:br/>
      </w:r>
      <w:r>
        <w:t>4195-м и 4196-м заседаниях</w:t>
      </w:r>
      <w:r w:rsidRPr="00571835">
        <w:rPr>
          <w:rStyle w:val="aa"/>
        </w:rPr>
        <w:footnoteReference w:id="3"/>
      </w:r>
      <w:r>
        <w:t xml:space="preserve">, состоявшихся 10 и 11 марта 2025 года. На своем </w:t>
      </w:r>
      <w:r>
        <w:rPr>
          <w:lang w:val="en-US"/>
        </w:rPr>
        <w:br/>
      </w:r>
      <w:r>
        <w:t>4212-м заседании, состоявшемся 21 марта 2025 года, он принял настоящие заключительные замечания.</w:t>
      </w:r>
    </w:p>
    <w:p w14:paraId="1B0E1AC6" w14:textId="2173BE17" w:rsidR="00544F07" w:rsidRDefault="00544F07" w:rsidP="00544F07">
      <w:pPr>
        <w:pStyle w:val="H1G"/>
      </w:pPr>
      <w:r>
        <w:rPr>
          <w:bCs/>
          <w:lang w:val="en-US"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0725CEDD" w14:textId="77777777" w:rsidR="00544F07" w:rsidRPr="00B4522E" w:rsidRDefault="00544F07" w:rsidP="00544F07">
      <w:pPr>
        <w:pStyle w:val="SingleTxtG"/>
      </w:pPr>
      <w:r>
        <w:t>2.</w:t>
      </w:r>
      <w:r>
        <w:tab/>
        <w:t>Комитет приветствует представление седьмого периодического доклада Монголии и содержащуюся в нем информацию. Он выражает признательность за возможность возобновления конструктивного диалога с делегацией высокого уровня государства-участника по вопросу о мерах, принятых за отчетный период с целью осуществления положений Пакта. Комитет признателен государству-участнику за его письменные ответы</w:t>
      </w:r>
      <w:r w:rsidRPr="00571835">
        <w:rPr>
          <w:rStyle w:val="aa"/>
        </w:rPr>
        <w:footnoteReference w:id="4"/>
      </w:r>
      <w:r>
        <w:t xml:space="preserve"> на перечень вопросов</w:t>
      </w:r>
      <w:r w:rsidRPr="00571835">
        <w:rPr>
          <w:rStyle w:val="aa"/>
        </w:rPr>
        <w:footnoteReference w:id="5"/>
      </w:r>
      <w:r>
        <w:t xml:space="preserve">, которые были дополнены устными ответами делегации. </w:t>
      </w:r>
    </w:p>
    <w:p w14:paraId="507D98D9" w14:textId="70504EAC" w:rsidR="00544F07" w:rsidRDefault="00544F07" w:rsidP="00544F07">
      <w:pPr>
        <w:pStyle w:val="H1G"/>
      </w:pPr>
      <w:r>
        <w:rPr>
          <w:bCs/>
          <w:lang w:val="en-US"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7D5DAF3E" w14:textId="77777777" w:rsidR="00544F07" w:rsidRPr="006A2978" w:rsidRDefault="00544F07" w:rsidP="00544F07">
      <w:pPr>
        <w:pStyle w:val="SingleTxtG"/>
      </w:pPr>
      <w:r>
        <w:t>3.</w:t>
      </w:r>
      <w:r>
        <w:tab/>
        <w:t>Комитет приветствует принятие следующих законодательных, политических и институциональных мер:</w:t>
      </w:r>
    </w:p>
    <w:p w14:paraId="0E18EBBE" w14:textId="31F0FC47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a)</w:t>
      </w:r>
      <w:r w:rsidR="00544F07">
        <w:tab/>
        <w:t>Закон о создании судов, который предусматривает создание в районе Улан-Батора суда первой инстанции по делам семьи и детей, 2024 год;</w:t>
      </w:r>
    </w:p>
    <w:p w14:paraId="6D188235" w14:textId="050B02D1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b)</w:t>
      </w:r>
      <w:r w:rsidR="00544F07">
        <w:tab/>
        <w:t>Закон о защите детей, запрещающий, в частности, телесные наказания детей и другие виды унижающего достоинство обращения с ними со стороны родителей, опекунов и других лиц из семейного и социального окружения, 2024 год;</w:t>
      </w:r>
    </w:p>
    <w:p w14:paraId="60480F35" w14:textId="1277C94C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c)</w:t>
      </w:r>
      <w:r w:rsidR="00544F07">
        <w:tab/>
        <w:t>Закон о труде, который регулирует вопросы недискриминации, в том числе запрещает дискриминацию со стороны работодателей по признаку сексуальной ориентации и гендерной идентичности, а также содержит положение о преследовании и насилии на рабочем месте, 2021 год;</w:t>
      </w:r>
    </w:p>
    <w:p w14:paraId="477C4A15" w14:textId="18721306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d)</w:t>
      </w:r>
      <w:r w:rsidR="00544F07">
        <w:tab/>
        <w:t>Закон о судебной власти, регулирующий организацию и функции судебной системы и укрепляющий ее независимость, 2021 год;</w:t>
      </w:r>
    </w:p>
    <w:p w14:paraId="0632DBB4" w14:textId="1316E0F6" w:rsidR="00544F07" w:rsidRPr="00291268" w:rsidRDefault="007C6771" w:rsidP="00544F07">
      <w:pPr>
        <w:pStyle w:val="SingleTxtG"/>
      </w:pPr>
      <w:r>
        <w:rPr>
          <w:lang w:val="en-US"/>
        </w:rPr>
        <w:lastRenderedPageBreak/>
        <w:tab/>
      </w:r>
      <w:r w:rsidR="00544F07">
        <w:t>e)</w:t>
      </w:r>
      <w:r w:rsidR="00544F07">
        <w:tab/>
        <w:t>Закон о защите персональных данных, регулирующий сбор, обработку и использование персональной информации, определяющий ее категории, а также права и обязанности владельца данных, 2021 год;</w:t>
      </w:r>
    </w:p>
    <w:p w14:paraId="68233439" w14:textId="6FC1055F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f)</w:t>
      </w:r>
      <w:r w:rsidR="00544F07">
        <w:tab/>
        <w:t>пересмотр Закона о политических партиях, предусматривающий введение финансовых стимулов, побуждающих политические партии поддерживать большее число женщин-кандидатов, 2024 год;</w:t>
      </w:r>
    </w:p>
    <w:p w14:paraId="29975283" w14:textId="5AF7FCB4" w:rsidR="00544F07" w:rsidRPr="002E6897" w:rsidRDefault="007C6771" w:rsidP="00544F07">
      <w:pPr>
        <w:pStyle w:val="SingleTxtG"/>
      </w:pPr>
      <w:r>
        <w:rPr>
          <w:lang w:val="en-US"/>
        </w:rPr>
        <w:tab/>
      </w:r>
      <w:r w:rsidR="00544F07">
        <w:t>g)</w:t>
      </w:r>
      <w:r w:rsidR="00544F07">
        <w:tab/>
        <w:t>поправки к Закону о парламентских выборах, которые увеличивают квоту для женщин-кандидатов до 30 процентов и требуют, чтобы партийные списки следовали системе упорядочивания по гендерному признаку, 2023 год;</w:t>
      </w:r>
    </w:p>
    <w:p w14:paraId="2D454355" w14:textId="76A67482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h)</w:t>
      </w:r>
      <w:r w:rsidR="00544F07">
        <w:tab/>
        <w:t>пересмотр Закона о Национальной комиссии по правам человека Монголии, предусматривающий, в частности, создание национального превентивного механизма по борьбе с пытками и жестоким обращением, 2020 год;</w:t>
      </w:r>
    </w:p>
    <w:p w14:paraId="5534E241" w14:textId="5EBCB659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i)</w:t>
      </w:r>
      <w:r w:rsidR="00544F07">
        <w:tab/>
        <w:t>Национальная антикоррупционная программа на 2023</w:t>
      </w:r>
      <w:r>
        <w:t>–</w:t>
      </w:r>
      <w:r w:rsidR="00544F07">
        <w:t>2030 годы, 2023</w:t>
      </w:r>
      <w:r>
        <w:rPr>
          <w:lang w:val="en-US"/>
        </w:rPr>
        <w:t> </w:t>
      </w:r>
      <w:r w:rsidR="00544F07">
        <w:t>год;</w:t>
      </w:r>
    </w:p>
    <w:p w14:paraId="68D8B14D" w14:textId="08AC6FD1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j)</w:t>
      </w:r>
      <w:r w:rsidR="00544F07">
        <w:tab/>
        <w:t>Национальная программа по борьбе с торговлей людьми, 2017 год;</w:t>
      </w:r>
    </w:p>
    <w:p w14:paraId="5C16C112" w14:textId="65B9CD80" w:rsidR="00544F07" w:rsidRPr="00291268" w:rsidRDefault="007C6771" w:rsidP="00544F07">
      <w:pPr>
        <w:pStyle w:val="SingleTxtG"/>
      </w:pPr>
      <w:r>
        <w:rPr>
          <w:lang w:val="en-US"/>
        </w:rPr>
        <w:tab/>
      </w:r>
      <w:r w:rsidR="00544F07">
        <w:t>k)</w:t>
      </w:r>
      <w:r w:rsidR="00544F07">
        <w:tab/>
        <w:t>Национальная программа по гендерному равенству на 2017</w:t>
      </w:r>
      <w:r>
        <w:t>–</w:t>
      </w:r>
      <w:r w:rsidR="00544F07">
        <w:t>2021 годы, 2017 год.</w:t>
      </w:r>
    </w:p>
    <w:p w14:paraId="6FF9B12B" w14:textId="7EB1D9C8" w:rsidR="00544F07" w:rsidRDefault="007C6771" w:rsidP="00544F07">
      <w:pPr>
        <w:pStyle w:val="H1G"/>
      </w:pPr>
      <w:r>
        <w:rPr>
          <w:bCs/>
          <w:lang w:val="en-US"/>
        </w:rPr>
        <w:tab/>
      </w:r>
      <w:r w:rsidR="00544F07">
        <w:rPr>
          <w:bCs/>
        </w:rPr>
        <w:t>C.</w:t>
      </w:r>
      <w:r w:rsidR="00544F07">
        <w:tab/>
      </w:r>
      <w:r w:rsidR="00544F07">
        <w:tab/>
      </w:r>
      <w:r w:rsidR="00544F07">
        <w:rPr>
          <w:bCs/>
        </w:rPr>
        <w:t xml:space="preserve">Основные вопросы, вызывающие обеспокоенность, </w:t>
      </w:r>
      <w:r w:rsidRPr="007C6771">
        <w:rPr>
          <w:bCs/>
        </w:rPr>
        <w:br/>
      </w:r>
      <w:r w:rsidR="00544F07">
        <w:rPr>
          <w:bCs/>
        </w:rPr>
        <w:t>и рекомендации</w:t>
      </w:r>
    </w:p>
    <w:p w14:paraId="590EB276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Осуществление Пакта</w:t>
      </w:r>
    </w:p>
    <w:p w14:paraId="23E12BD1" w14:textId="77777777" w:rsidR="00544F07" w:rsidRPr="00140E29" w:rsidRDefault="00544F07" w:rsidP="00544F07">
      <w:pPr>
        <w:pStyle w:val="SingleTxtG"/>
      </w:pPr>
      <w:r>
        <w:t>4.</w:t>
      </w:r>
      <w:r>
        <w:tab/>
        <w:t xml:space="preserve">Комитет отмечает представленную государством-участником информацию о применении Пакта во внутреннем праве, включая четыре дела, рассмотренные Верховным судом в 2023 году. Вместе с тем он сожалеет, что применение Пакта в национальных судах остается ограниченным, как признало государство-участник. Комитет отмечает также, что в соответствии с первым Факультативным протоколом Комитету было представлено только одно сообщение, и выражает сожаление по поводу отсутствия информации о мерах, принятых для повышения осведомленности широкой общественности о Пакте и Факультативном протоколе (статья 2). </w:t>
      </w:r>
    </w:p>
    <w:p w14:paraId="105AA754" w14:textId="77777777" w:rsidR="00544F07" w:rsidRPr="00102E09" w:rsidRDefault="00544F07" w:rsidP="00544F07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Государству-участнику следует активизировать усилия по содействию эффективному применению положений Пакта в национальных судах, в том числе посредством институционализированной подготовки адвокатов, прокуроров и судей по вопросам международных договоров по правам человека.</w:t>
      </w:r>
      <w:r>
        <w:t xml:space="preserve"> </w:t>
      </w:r>
      <w:r>
        <w:rPr>
          <w:b/>
          <w:bCs/>
        </w:rPr>
        <w:t>Государству-участнику следует принять соответствующие меры для повышения осведомленности о Пакте среди широких слоев населения, включая возможность подачи индивидуальных жалоб в Комитет на основании первого Факультативного протокола.</w:t>
      </w:r>
      <w:r>
        <w:t xml:space="preserve"> </w:t>
      </w:r>
    </w:p>
    <w:p w14:paraId="00D1F00D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10F2CE7C" w14:textId="07FCC5B2" w:rsidR="00544F07" w:rsidRPr="00140E29" w:rsidRDefault="00544F07" w:rsidP="00544F07">
      <w:pPr>
        <w:pStyle w:val="SingleTxtG"/>
      </w:pPr>
      <w:r>
        <w:t>6.</w:t>
      </w:r>
      <w:r>
        <w:tab/>
        <w:t>Комитет приветствует принятие в 2020 году пересмотренного Закона о Национальной комиссии по правам человека, что укрепило независимость, автономию и мандат Комиссии, в том числе путем создания национального механизма по предупреждению пыток. Комитет приветствует также расширение мандата, предоставленного Комиссии в соответствии с Законом о правовом статусе правозащитников (2021 год) и Законом о защите персональных данных (2021 год). Тем не менее Комитет обеспокоен тем, что статья 22.2 пересмотренного Закона о Национальной комиссии по правам человека, как представляется, неоправданно ограничивает полномочия Комиссии по расследованию индивидуальных жалоб, связанных с нерассмотренными и завершенными уголовными и гражданскими делами. Комитет выражает сожаление по поводу отсутствия представленной государством-участником информации о мерах, принятых для расширения разнообразия и плюрализма состава Комиссии и ее Совета гражданского общества (статья 2).</w:t>
      </w:r>
    </w:p>
    <w:p w14:paraId="4DE82185" w14:textId="77777777" w:rsidR="00544F07" w:rsidRPr="00102E09" w:rsidRDefault="00544F07" w:rsidP="00544F07">
      <w:pPr>
        <w:pStyle w:val="SingleTxtG"/>
        <w:rPr>
          <w:b/>
          <w:bCs/>
        </w:rPr>
      </w:pPr>
      <w:r>
        <w:lastRenderedPageBreak/>
        <w:t>7.</w:t>
      </w:r>
      <w:r>
        <w:tab/>
      </w:r>
      <w:r>
        <w:rPr>
          <w:b/>
          <w:bCs/>
        </w:rPr>
        <w:t>Государству-участнику следует рассмотреть возможность пересмотра Закона о Национальной комиссии по правам человека с целью уточнения юрисдикции Комиссии в отношении жалоб, связанных с предполагаемыми нарушениями процессуальных прав в рамках действующих и завершенных уголовных и гражданских дел.</w:t>
      </w:r>
      <w:r>
        <w:t xml:space="preserve"> </w:t>
      </w:r>
      <w:r>
        <w:rPr>
          <w:b/>
          <w:bCs/>
        </w:rPr>
        <w:t>Государству-участнику следует также принять соответствующие меры для повышения разнообразия и плюрализма состава Комиссии и ее Совета гражданского общества, например путем обеспечения широкого информирования общественности о вакансиях, в том числе среди этнических групп и групп меньшинств.</w:t>
      </w:r>
    </w:p>
    <w:p w14:paraId="5D5AD2AE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005139D4" w14:textId="77777777" w:rsidR="00544F07" w:rsidRPr="00140E29" w:rsidRDefault="00544F07" w:rsidP="00544F07">
      <w:pPr>
        <w:pStyle w:val="SingleTxtG"/>
      </w:pPr>
      <w:r>
        <w:t>8.</w:t>
      </w:r>
      <w:r>
        <w:tab/>
        <w:t xml:space="preserve">Отмечая меры, принятые государством-участником для борьбы с коррупцией, включая введение в Уголовный кодекс более строгих наказаний за преступления, связанные с коррупцией, и реформы в области применения срока давности, Комитет выражает обеспокоенность по поводу сообщений о том, что в государстве-участнике широко распространена коррупция, в том числе коррупция на высоком уровне с участием </w:t>
      </w:r>
      <w:proofErr w:type="gramStart"/>
      <w:r>
        <w:t>государственных чиновников</w:t>
      </w:r>
      <w:proofErr w:type="gramEnd"/>
      <w:r>
        <w:t xml:space="preserve"> и политиков. Комитет принимает к сведению представленную статистическую информацию, свидетельствующую о росте числа дел, переданных в суды, но сожалеет об отсутствии информации о вынесенных обвинительных приговорах и назначенных наказаниях. Признавая принятые или планируемые меры по укреплению Независимого органа по борьбе с коррупцией, Комитет выражает обеспокоенность по поводу сообщений о том, что обеспечению его независимости и эффективности мешают недостаточные ресурсы и политическое давление со стороны исполнительной власти (статьи 2 и 25).</w:t>
      </w:r>
    </w:p>
    <w:p w14:paraId="47241A9C" w14:textId="77777777" w:rsidR="00544F07" w:rsidRPr="00102E09" w:rsidRDefault="00544F07" w:rsidP="00544F07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активизировать свои усилия по предупреждению и искоренению коррупции на всех уровнях и, в частности, ему следует:</w:t>
      </w:r>
    </w:p>
    <w:p w14:paraId="4F1DAD09" w14:textId="0738F0D8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эффективно обеспечивать соблюдение антикоррупционного законодательства, в том числе путем принятия соответствующих мер по укреплению независимости и эффективности Независимого органа по борьбе с коррупцией;</w:t>
      </w:r>
    </w:p>
    <w:p w14:paraId="40841CBE" w14:textId="2E7C4445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оперативное, тщательное и беспристрастное расследование всех заявлений о коррупции, а также привлечение виновных к ответственности и, в случае осуждения, назначение им наказаний, соразмерных тяжести совершенного преступления, и в приоритетном порядке проводить расследования и осуществлять судебное преследование применительно к коррупции на высоком уровне среди политиков и государственных должностных лиц;</w:t>
      </w:r>
    </w:p>
    <w:p w14:paraId="274F8323" w14:textId="7053CE93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эффективную подготовку сотрудников правоохранительных органов, прокуроров и судей по вопросам выявления и расследования случаев коррупции и связанных с ней преступлений и привлечения к ответственности за них;</w:t>
      </w:r>
    </w:p>
    <w:p w14:paraId="30668E96" w14:textId="5A28D07E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эффективную защиту информаторов и свидетелей, в том числе путем принятия соответствующего законодательства и создания механизмов защиты;</w:t>
      </w:r>
    </w:p>
    <w:p w14:paraId="6978E529" w14:textId="6AD34B9C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e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разъяснение общественности процессуальных решений и основных итогов рассмотрения дел о коррупции на высоком уровне или резонансных дел с помощью соответствующих мер по информированию общественности.</w:t>
      </w:r>
      <w:r w:rsidR="00544F07">
        <w:t xml:space="preserve"> </w:t>
      </w:r>
    </w:p>
    <w:p w14:paraId="5DFC3979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3035C028" w14:textId="77777777" w:rsidR="00544F07" w:rsidRPr="002E6897" w:rsidRDefault="00544F07" w:rsidP="00544F07">
      <w:pPr>
        <w:pStyle w:val="SingleTxtG"/>
      </w:pPr>
      <w:r>
        <w:t>10.</w:t>
      </w:r>
      <w:r>
        <w:tab/>
        <w:t xml:space="preserve">Приветствуя принятые в 2020 году поправки к Закону о чрезвычайном положении, которые предусматривают защиту прав человека и признание нескольких не допускающих отступлений прав, Комитет выражает сожаление по поводу непредставления государством-участником информации о том, каким образом его </w:t>
      </w:r>
      <w:r>
        <w:lastRenderedPageBreak/>
        <w:t>законодательная основа, регулирующая чрезвычайное положение, запрещает приостановление действия всех не допускающих отступлений прав, перечисленных в пункте 2 статьи 4 Пакта. Признавая меры, принятые государством-участником для защиты людей во время пандемии коронавирусной инфекции (COVID-19), включая принятие 29 апреля 2020 года Закона о предотвращении, ограничении и сокращении последствий пандемии COVID-19, Комитет выражает сожаление по поводу отсутствия информации об ограничениях прав, введенных в этом контексте, а также о сообщениях о том, что во многих случаях не соблюдались процедуры и что некоторые ограничения применялись выборочно (статья 4).</w:t>
      </w:r>
    </w:p>
    <w:p w14:paraId="19199946" w14:textId="14849F4C" w:rsidR="00544F07" w:rsidRPr="00102E09" w:rsidRDefault="00544F07" w:rsidP="00544F07">
      <w:pPr>
        <w:pStyle w:val="SingleTxtG"/>
        <w:tabs>
          <w:tab w:val="left" w:pos="2072"/>
        </w:tabs>
        <w:rPr>
          <w:b/>
          <w:bCs/>
        </w:rPr>
      </w:pPr>
      <w:r>
        <w:t>11.</w:t>
      </w:r>
      <w:r>
        <w:tab/>
      </w:r>
      <w:r w:rsidRPr="000401F7">
        <w:rPr>
          <w:b/>
          <w:bCs/>
        </w:rPr>
        <w:t xml:space="preserve">Государству-участнику следует рассмотреть вопрос о внесении поправок в часть 2 статьи 19 Конституции и Закон о чрезвычайном положении (1995 год), </w:t>
      </w:r>
      <w:r w:rsidR="00CA4F1E">
        <w:rPr>
          <w:b/>
          <w:bCs/>
          <w:lang w:val="en-US"/>
        </w:rPr>
        <w:br/>
      </w:r>
      <w:r w:rsidRPr="000401F7">
        <w:rPr>
          <w:b/>
          <w:bCs/>
        </w:rPr>
        <w:t>с тем чтобы обеспечить их полное соответствие требованиям статьи 4 Пакта в том толковании, которое Комитет дал в своем замечании общего порядка № 29 (2001) об отступлениях от обязательств по Пакту во время чрезвычайного положения.</w:t>
      </w:r>
      <w:r>
        <w:t xml:space="preserve"> </w:t>
      </w:r>
      <w:r>
        <w:rPr>
          <w:b/>
          <w:bCs/>
        </w:rPr>
        <w:t>В частности, государству-участнику следует гарантировать, что любые меры, принимаемые в период объявленного или фактического чрезвычайного положения, являются временными, соразмерными, строго необходимыми и подлежат судебному надзору.</w:t>
      </w:r>
      <w:r>
        <w:t xml:space="preserve"> </w:t>
      </w:r>
      <w:r>
        <w:rPr>
          <w:b/>
          <w:bCs/>
        </w:rPr>
        <w:t>В этой связи государству-участнику следует оценить ограничения гражданских и политических прав, принятые в ответ на пандемию COVID-19, и выполнить рекомендации Национальной комиссии по правам человека, чтобы сократить ограничения прав во время будущих чрезвычайных ситуаций.</w:t>
      </w:r>
      <w:r>
        <w:t xml:space="preserve"> </w:t>
      </w:r>
    </w:p>
    <w:p w14:paraId="0619C4A3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Нормативно-правовая основа борьбы с дискриминацией</w:t>
      </w:r>
    </w:p>
    <w:p w14:paraId="25994927" w14:textId="77777777" w:rsidR="00544F07" w:rsidRPr="00140E29" w:rsidRDefault="00544F07" w:rsidP="00544F07">
      <w:pPr>
        <w:pStyle w:val="SingleTxtG"/>
      </w:pPr>
      <w:r>
        <w:t>12.</w:t>
      </w:r>
      <w:r>
        <w:tab/>
        <w:t>Отмечая запрещение дискриминации Уголовным кодексом и многочисленными отраслевыми законами, а также разработку и проведение подготовки по вопросам дискриминации для государственных служащих, Комитет выражает обеспокоенность по поводу малого числа зарегистрированных случаев дискриминации и связанных с ними уголовных преследований, что может свидетельствовать о слишком узком определении дискриминации и чрезмерном бремени доказывания. Со ссылкой на свои предыдущие заключительные замечания</w:t>
      </w:r>
      <w:r w:rsidRPr="00571835">
        <w:rPr>
          <w:rStyle w:val="aa"/>
        </w:rPr>
        <w:footnoteReference w:id="6"/>
      </w:r>
      <w:r>
        <w:t xml:space="preserve"> Комитет по-прежнему выражает обеспокоенность по поводу  отсутствия всеобъемлющего антидискриминационного законодательства (статьи 2 и 26).</w:t>
      </w:r>
    </w:p>
    <w:p w14:paraId="04982FE5" w14:textId="2FB0D44B" w:rsidR="00544F07" w:rsidRPr="00102E09" w:rsidRDefault="00544F07" w:rsidP="00544F0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 xml:space="preserve">Государству-участнику следует незамедлительно принять всеобъемлющее антидискриминационное законодательство, запрещающее прямую и косвенную дискриминацию в государственной и частной сферах, в том числе по признакам сексуальной ориентации и гендерной идентичности, и обеспечивающее эффективные средства правовой защиты в рамках судебных </w:t>
      </w:r>
      <w:r w:rsidR="007C6771">
        <w:rPr>
          <w:b/>
          <w:bCs/>
          <w:lang w:val="en-US"/>
        </w:rPr>
        <w:br/>
      </w:r>
      <w:r>
        <w:rPr>
          <w:b/>
          <w:bCs/>
        </w:rPr>
        <w:t>и административных процедур.</w:t>
      </w:r>
      <w:r>
        <w:t xml:space="preserve"> </w:t>
      </w:r>
      <w:r>
        <w:rPr>
          <w:b/>
          <w:bCs/>
        </w:rPr>
        <w:t>Государству-участнику следует институционализировать и адекватно финансировать подготовку по вопросам дискриминации для государственных служащих, включая прокуроров, судей и сотрудников правоохранительных органов, а также активизировать меры по повышению осведомленности широкой общественности о законах о дискриминации и средствах правовой защиты, имеющихся в распоряжении жертв.</w:t>
      </w:r>
      <w:r>
        <w:t xml:space="preserve"> </w:t>
      </w:r>
    </w:p>
    <w:p w14:paraId="5D7205AF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</w:p>
    <w:p w14:paraId="7A50EBD4" w14:textId="77777777" w:rsidR="00544F07" w:rsidRPr="00140E29" w:rsidRDefault="00544F07" w:rsidP="00544F07">
      <w:pPr>
        <w:pStyle w:val="SingleTxtG"/>
      </w:pPr>
      <w:r>
        <w:t>14.</w:t>
      </w:r>
      <w:r>
        <w:tab/>
        <w:t>Ссылаясь на свои предыдущие заключительные замечания</w:t>
      </w:r>
      <w:r w:rsidRPr="00571835">
        <w:rPr>
          <w:rStyle w:val="aa"/>
        </w:rPr>
        <w:footnoteReference w:id="7"/>
      </w:r>
      <w:r>
        <w:t xml:space="preserve"> и информацию, представленную государством-участником в рамках процедуры последующих действий</w:t>
      </w:r>
      <w:r w:rsidRPr="00571835">
        <w:rPr>
          <w:rStyle w:val="aa"/>
        </w:rPr>
        <w:footnoteReference w:id="8"/>
      </w:r>
      <w:r>
        <w:t xml:space="preserve">, Комитет по-прежнему выражает обеспокоенность по поводу поступающих сообщений о предрассудках, дискриминации, преследованиях и нападениях в отношении лесбиянок, геев, бисексуальных, трансгендерных и интерсекс-людей и </w:t>
      </w:r>
      <w:r>
        <w:lastRenderedPageBreak/>
        <w:t>непривлечения к ответственности за такие действия. Комитет обеспокоен сообщениями о том, что о большинстве преступлений на почве ненависти, направленных против лесбиянок, геев, бисексуальных, трансгендерных и интерсекс-людей, не сообщается из-за опасений дискриминации и злоупотреблений со стороны сотрудников правоохранительных органов и отсутствия доверия к системе правосудия. Комитет по-прежнему обеспокоен препятствиями на пути осуществления свободы собраний лесбиянками, геями, бисексуальными, трансгендерными и интерсекс-людьми, а также сохраняющимся отсутствием юридического признания и защиты однополых пар (статьи 2, 6, 7, 21 и 26).</w:t>
      </w:r>
    </w:p>
    <w:p w14:paraId="0D741B61" w14:textId="77777777" w:rsidR="00544F07" w:rsidRPr="00102E09" w:rsidRDefault="00544F07" w:rsidP="00544F07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3A4B195A" w14:textId="2DCD1D69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активизировать усилия по борьбе со стереотипами и предрассудками в отношении лесбиянок, геев, бисексуальных, трансгендерных и интерсекс-людей;</w:t>
      </w:r>
    </w:p>
    <w:p w14:paraId="6E18659D" w14:textId="30EE08A8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расследование актов дискриминации и насилия в отношении лесбиянок, геев, бисексуальных, трансгендерных и интерсекс-людей, привлечение к ответственности виновных и, в случае осуждения, назначение им соответствующего наказания, а также предоставление жертвам возмещения в полном объеме;</w:t>
      </w:r>
      <w:r w:rsidR="00544F07">
        <w:t xml:space="preserve"> </w:t>
      </w:r>
    </w:p>
    <w:p w14:paraId="38FF22A9" w14:textId="36CEE1C2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гарантировать свободу мирных собраний для лесбиянок, геев, бисексуальных, трансгендерных и интерсекс-людей, в том числе для проведения ежегодного Марша равенства на площади Чингисхана, обеспечивая, чтобы любые введенные ограничения соответствовали строгим требованиям статьи 21 Пакта и не применялись дискриминационным образом;</w:t>
      </w:r>
      <w:r w:rsidR="00544F07">
        <w:t xml:space="preserve"> </w:t>
      </w:r>
    </w:p>
    <w:p w14:paraId="2EE17327" w14:textId="39B7A951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рассмотреть возможность принятия закона о юридическом признании и защите однополых пар;</w:t>
      </w:r>
      <w:bookmarkStart w:id="1" w:name="_Hlk193294262"/>
      <w:bookmarkEnd w:id="1"/>
    </w:p>
    <w:p w14:paraId="1A0B7D21" w14:textId="55E75A19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e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эффективные консультации с организациями гражданского общества, занимающимися проблемами лесбиянок, геев, бисексуальных, трансгендерных и интерсекс-людей, при разработке антидискриминационного законодательства и политики.</w:t>
      </w:r>
    </w:p>
    <w:p w14:paraId="45CC2C49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44CBC96E" w14:textId="27784A79" w:rsidR="00544F07" w:rsidRPr="00140E29" w:rsidRDefault="00544F07" w:rsidP="00544F07">
      <w:pPr>
        <w:pStyle w:val="SingleTxtG"/>
      </w:pPr>
      <w:r>
        <w:t>16.</w:t>
      </w:r>
      <w:r>
        <w:tab/>
        <w:t>Комитет приветствует поправки к законодательству государства-участника, направленные на увеличение представленности женщин в парламенте и их участия в структурах принятия решений политических партий, включая поправки к Закону о парламентских выборах, в результате которых была увеличена квота для женщин в списках кандидатов от политических партий с 20 до 30 процентов, с последующим увеличением до 40 процентов, запланированным на 2028 год. Тем не менее Комитет обеспокоен тем, что женщинам, как сообщается, не рекомендуют заниматься политической деятельностью из-за негативных гендерных стереотипов и преследований женщин-политиков. Он также обеспокоен тем, что женщины по-прежнему недопредставлены в политической и общественной жизни, в том числе на местном уровне (статьи 2, 3, 25 и 26).</w:t>
      </w:r>
    </w:p>
    <w:p w14:paraId="58FB63CA" w14:textId="77777777" w:rsidR="00544F07" w:rsidRPr="00102E09" w:rsidRDefault="00544F07" w:rsidP="00544F07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обеспечить эффективную реализацию гендерных квот и соответствующих мер по расширению участия и представленности женщин в политической жизни на национальном и местном уровнях, в том числе путем применения жестких санкций за их несоблюдение.</w:t>
      </w:r>
      <w:r>
        <w:t xml:space="preserve"> </w:t>
      </w:r>
      <w:r>
        <w:rPr>
          <w:b/>
          <w:bCs/>
        </w:rPr>
        <w:t>Государству-участнику следует также принять соответствующие меры для борьбы с домогательствами в отношении женщин-политиков и преодоления негативных гендерных стереотипов, в том числе путем проведения общественных информационных кампаний, направленных на поощрение гендерного равенства.</w:t>
      </w:r>
    </w:p>
    <w:p w14:paraId="3F302CA0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Изменение климата и деградация окружающей среды</w:t>
      </w:r>
      <w:r>
        <w:t xml:space="preserve"> </w:t>
      </w:r>
    </w:p>
    <w:p w14:paraId="362CD3B6" w14:textId="10784023" w:rsidR="00544F07" w:rsidRPr="00140E29" w:rsidRDefault="00544F07" w:rsidP="00544F07">
      <w:pPr>
        <w:pStyle w:val="SingleTxtG"/>
      </w:pPr>
      <w:r>
        <w:t>18.</w:t>
      </w:r>
      <w:r>
        <w:tab/>
        <w:t xml:space="preserve">Комитет признает шаги, предпринятые государством-участником для предотвращения и смягчения последствий изменения климата и деградации </w:t>
      </w:r>
      <w:r>
        <w:lastRenderedPageBreak/>
        <w:t xml:space="preserve">окружающей среды. Тем не менее он обеспокоен серьезностью связанных с этим угроз для жизни, здоровья и средств к существованию. Отмечая усилия государства-участника по поощрению более чистых и эффективных систем отопления, в том числе путем субсидирования цен на источники энергии для отопления, не использующие уголь, и введения налоговых льгот для предприятий, Комитет в то же время выражает особую обеспокоенность по поводу большого числа смертей, связанных с загрязнением воздуха как на открытом воздухе, так и внутри помещений, особенно в городских районах, таких как Улан-Батор, причем среди жертв непропорционально велика доля детей, женщин и пожилых людей (статья 6). </w:t>
      </w:r>
    </w:p>
    <w:p w14:paraId="70C2C1EF" w14:textId="0F0520D4" w:rsidR="00544F07" w:rsidRPr="00102E09" w:rsidRDefault="00544F07" w:rsidP="00544F0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предпринять адекватные шаги для обеспечения устойчивого использования природных ресурсов и принять основанный на принципе предосторожности подход к защите людей, включая наиболее уязвимые слои населения, от негативного воздействия изменения климата, деградации окружающей среды и стихийных бедствий.</w:t>
      </w:r>
      <w:r>
        <w:t xml:space="preserve"> </w:t>
      </w:r>
      <w:r>
        <w:rPr>
          <w:b/>
          <w:bCs/>
        </w:rPr>
        <w:t>В свете пункта</w:t>
      </w:r>
      <w:r w:rsidR="007C6771">
        <w:rPr>
          <w:b/>
          <w:bCs/>
          <w:lang w:val="en-US"/>
        </w:rPr>
        <w:t> </w:t>
      </w:r>
      <w:r>
        <w:rPr>
          <w:b/>
          <w:bCs/>
        </w:rPr>
        <w:t>62 замечания общего порядка № 36 (2018) Комитета о праве на жизнь государству-участнику следует, в частности, принять эффективные меры по сокращению числа смертей, связанных с загрязнением воздуха внутри и вне помещений, в том числе путем эффективного осуществления правил сжигания ископаемых видов топлива и мер по сокращению использования твердых ископаемых видов топлива для отопления жилых помещений.</w:t>
      </w:r>
      <w:r>
        <w:t xml:space="preserve"> </w:t>
      </w:r>
    </w:p>
    <w:p w14:paraId="7A96DF56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</w:t>
      </w:r>
      <w:r>
        <w:t xml:space="preserve"> </w:t>
      </w:r>
    </w:p>
    <w:p w14:paraId="0902EDA4" w14:textId="77777777" w:rsidR="00544F07" w:rsidRPr="00140E29" w:rsidRDefault="00544F07" w:rsidP="00544F07">
      <w:pPr>
        <w:pStyle w:val="SingleTxtG"/>
      </w:pPr>
      <w:r>
        <w:t>20.</w:t>
      </w:r>
      <w:r>
        <w:tab/>
        <w:t>Комитет приветствует создание в 2022 году национального механизма по предупреждению пыток, однако выражает обеспокоенность сообщениями о продолжающихся актах пыток и жестокого обращения со стороны государственных служащих, в частности во время полицейских допросов, низких показателях судебных преследований и недостаточности наказаний, налагаемых в некоторых случаях. Отмечая планы государства-участника по внесению поправок в законодательство о пытках и жестоком обращении, Комитет выражает обеспокоенность по поводу того, что до принятия поправок определение пытки в Уголовном кодексе не полностью соответствует Пакту и другим международным стандартам и что многие дела прекращаются в результате применения срока давности. Комитет отмечает планы государства-участника по созданию специального следственного подразделения в рамках государственной прокуратуры, но сожалеет об отсутствии информации о гарантиях, призванных обеспечить независимость и эффективность этого подразделения (статьи 2 и 7).</w:t>
      </w:r>
    </w:p>
    <w:p w14:paraId="506368BF" w14:textId="77777777" w:rsidR="00544F07" w:rsidRPr="00102E09" w:rsidRDefault="00544F07" w:rsidP="00544F07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 принять решительные меры для искоренения пыток и жестокого обращения и, в частности:</w:t>
      </w:r>
      <w:r>
        <w:t xml:space="preserve"> </w:t>
      </w:r>
    </w:p>
    <w:p w14:paraId="10B63BC2" w14:textId="52C930FE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пересмотреть свое законодательство, с тем чтобы обеспечить наличие в нем определения пытки, полностью соответствующего статье 1 Конвенции против пыток и других жестоких, бесчеловечных или унижающих достоинство видов обращения и наказания, а также статье 7 Пакта;</w:t>
      </w:r>
      <w:r w:rsidR="00544F07">
        <w:t xml:space="preserve"> </w:t>
      </w:r>
    </w:p>
    <w:p w14:paraId="3A1F492F" w14:textId="0B696129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принять закон о создании независимого механизма для расследования актов пыток и жестокого обращения, совершенных государственными служащими, обеспечивая отсутствие институциональных или иерархических отношений между следователями этого органа и подозреваемыми в совершении таких актов;</w:t>
      </w:r>
      <w:r w:rsidR="00544F07">
        <w:t xml:space="preserve"> </w:t>
      </w:r>
    </w:p>
    <w:p w14:paraId="5D476365" w14:textId="64C1100C" w:rsidR="00544F07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 xml:space="preserve">проводить оперативные, тщательные, эффективные, транспарентные и беспристрастные расследования в связи со всеми утверждениями о применении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обеспечивать привлечение ответственных за них лиц к уголовной ответственности и, в случае признания их </w:t>
      </w:r>
      <w:r w:rsidR="00544F07">
        <w:rPr>
          <w:b/>
          <w:bCs/>
        </w:rPr>
        <w:lastRenderedPageBreak/>
        <w:t>виновными, назначение им надлежащих мер наказания, а также предоставление жертвам возмещения в полном объеме;</w:t>
      </w:r>
      <w:r w:rsidR="00544F07">
        <w:t xml:space="preserve"> </w:t>
      </w:r>
    </w:p>
    <w:p w14:paraId="16BCF2EF" w14:textId="30DD8989" w:rsidR="00544F07" w:rsidRPr="00BC1FC8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принимать все необходимые меры для предотвращения пыток и других жестоких, бесчеловечных или унижающих достоинство видов обращения и наказания, в том числе посредством усиления подготовки судей, прокуроров, сотрудников правоохранительных органов и судебно-медицинского персонала в области прав человека, включая подготовку по вопросам международных стандартов в области прав человека, таких как Принципы эффективного ведения опроса в ходе расследования и сбора информации (Принципы Мендеса)</w:t>
      </w:r>
      <w:r w:rsidR="00BC1FC8" w:rsidRPr="00BC1FC8">
        <w:rPr>
          <w:b/>
          <w:bCs/>
        </w:rPr>
        <w:t>.</w:t>
      </w:r>
    </w:p>
    <w:p w14:paraId="69C07B1C" w14:textId="77777777" w:rsidR="00544F07" w:rsidRPr="00140E29" w:rsidRDefault="00544F07" w:rsidP="00544F07">
      <w:pPr>
        <w:pStyle w:val="SingleTxtG"/>
      </w:pPr>
      <w:r>
        <w:t>22.</w:t>
      </w:r>
      <w:r>
        <w:tab/>
        <w:t>Ссылаясь на свои предыдущие заключительные замечания</w:t>
      </w:r>
      <w:r w:rsidRPr="00571835">
        <w:rPr>
          <w:rStyle w:val="aa"/>
        </w:rPr>
        <w:footnoteReference w:id="9"/>
      </w:r>
      <w:r>
        <w:t>, Комитет по-прежнему выражает обеспокоенность по поводу того, что государство-участник прибегает к одиночному заключению. Что касается заключенных, приговоренных к пожизненному заключению, то, отмечая, что руководитель пенитенциарного учреждения может по согласованию с прокурором содержать таких заключенных в одиночных камерах, Комитет по-прежнему выражает обеспокоенность по поводу того, что законом для таких заключенных предусматривается не менее десяти лет одиночного заключения. Комитет также обеспокоен тем, что другие категории заключенных могут быть подвергнуты в качестве дисциплинарной меры одиночному заключению на срок до 30 дней, а в исключительных случаях до 60 дней для заключенных-мужчин, в течение которого они содержатся вместе с лицами, отбывающими пожизненное наказание (статья 7).</w:t>
      </w:r>
    </w:p>
    <w:p w14:paraId="183FDB88" w14:textId="77777777" w:rsidR="00544F07" w:rsidRPr="00102E09" w:rsidRDefault="00544F07" w:rsidP="00544F07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привести все законодательство и практику в отношении одиночного заключения в соответствие с Пактом и международными стандартами, отраженными в Минимальных стандартных правилах Организации Объединенных Наций в отношении обращения с заключенными (Правила Нельсона Манделы).</w:t>
      </w:r>
      <w:r>
        <w:t xml:space="preserve"> </w:t>
      </w:r>
      <w:r>
        <w:rPr>
          <w:b/>
          <w:bCs/>
        </w:rPr>
        <w:t>Это должно включать обеспечение того, чтобы одиночное заключение назначалось только в исключительных случаях, в качестве крайней меры, на максимально короткий срок (не более 15 дней) и при условии независимого надзора.</w:t>
      </w:r>
    </w:p>
    <w:p w14:paraId="64D5BBA2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</w:p>
    <w:p w14:paraId="768C1DC6" w14:textId="77777777" w:rsidR="00544F07" w:rsidRPr="00140E29" w:rsidRDefault="00544F07" w:rsidP="00544F07">
      <w:pPr>
        <w:pStyle w:val="SingleTxtG"/>
      </w:pPr>
      <w:r>
        <w:t>24.</w:t>
      </w:r>
      <w:r>
        <w:tab/>
        <w:t xml:space="preserve">Комитет признает поправки, принятые государством-участником для улучшения законодательной основы, регулирующей задержание и заключение под стражу до суда, а также применение мер, альтернативных содержанию под стражей, таких как ограничения на поездки. Тем не менее Комитет обеспокоен сообщениями о том, что Главное разведывательное управление и Независимое агентство по борьбе с коррупцией производят многочисленные задержания без санкции суда и что отсутствие четких процедур, касающихся использования альтернатив предварительному заключению, приводит к ограниченному применению таких мер даже в отношении лиц, обвиняемых в преступлениях, за которые не предусмотрено тюремное заключение. Комитет также обеспокоен сообщениями о том, что адвокаты на практике не имеют полного доступа к материалам дела своих клиентов, чтобы оспорить содержание под стражей до суда, поскольку Уголовно-процессуальный кодекс (2017 год) предусматривает, что полный доступ к материалам дела должен быть предоставлен по завершении расследования, в то время как решение об избрании меры пресечения в виде содержания под стражей до суда обычно принимается в период проведения расследования (статья 9). </w:t>
      </w:r>
    </w:p>
    <w:p w14:paraId="785F32A8" w14:textId="77777777" w:rsidR="00544F07" w:rsidRPr="00102E09" w:rsidRDefault="00544F07" w:rsidP="00544F07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77274F70" w14:textId="358F193A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принять все меры, необходимые для того, чтобы сотрудники правоохранительных органов для проведения задержания в обязательном порядке получали ордер на арест, выданный судебным органом, за исключением случаев, когда речь идет о лицах, задержанных в момент совершения преступления;</w:t>
      </w:r>
    </w:p>
    <w:p w14:paraId="3A1F77FF" w14:textId="4DC7A00F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активизировать усилия по продвижению и внедрению альтернатив содержанию под стражей, в том числе путем разработки четких правил и процедур применения альтернатив содержанию под стражей до суда, таких как общинный надзор</w:t>
      </w:r>
      <w:r w:rsidR="00544F07" w:rsidRPr="00AA0425">
        <w:rPr>
          <w:b/>
          <w:bCs/>
        </w:rPr>
        <w:t>;</w:t>
      </w:r>
    </w:p>
    <w:p w14:paraId="644B324C" w14:textId="7E543F0E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периодически пересматривать продолжительность содержания под стражей до суда, чтобы определить, сохраняется ли в нем необходимость и гарантирует ли оно право на судебное разбирательство в разумные сроки;</w:t>
      </w:r>
    </w:p>
    <w:p w14:paraId="33D58472" w14:textId="0103F39A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внести поправки в Уголовно-процессуальный кодекс (2017 год), чтобы адвокаты могли получать доступ к материалам дел своих клиентов с самого начала следствия и, в случае необходимости, оспаривать законность содержания под стражей до суда.</w:t>
      </w:r>
    </w:p>
    <w:p w14:paraId="2146E667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Условия содержания в местах лишения свободы</w:t>
      </w:r>
    </w:p>
    <w:p w14:paraId="3801C0DB" w14:textId="48892988" w:rsidR="00544F07" w:rsidRPr="00140E29" w:rsidRDefault="00544F07" w:rsidP="00544F07">
      <w:pPr>
        <w:pStyle w:val="SingleTxtG"/>
      </w:pPr>
      <w:r>
        <w:t>26.</w:t>
      </w:r>
      <w:r>
        <w:tab/>
        <w:t>Приветствуя принятые или принимаемые меры по  улучшению материальных условий в местах лишения свободы, в том числе путем строительства следственных изоляторов, Комитет по-прежнему выражает обеспокоенность по поводу сообщений о сохранении плохих материальных условий в местах содержания под стражей до суда и тюрьмах и того, что систематически не обеспечивается доступ к надлежащему медицинскому обслуживанию, в частности в женской тюрьме в Улан-Баторе. Отмечая, что в специальном учебно-реабилитационном центре для несовершеннолетних правонарушителей строится новое здание, Комитет выражает обеспокоенность по поводу сообщений о плохих материальных условиях в нынешних учреждениях и об отсутствии отдельных мест содержания под стражей до суда для несовершеннолетних с адекватным доступом к образовательным и рекреационным мероприятиям (статья</w:t>
      </w:r>
      <w:r w:rsidR="007C6771">
        <w:rPr>
          <w:lang w:val="en-US"/>
        </w:rPr>
        <w:t> </w:t>
      </w:r>
      <w:r>
        <w:t>10).</w:t>
      </w:r>
    </w:p>
    <w:p w14:paraId="36505751" w14:textId="77777777" w:rsidR="00544F07" w:rsidRPr="00102E09" w:rsidRDefault="00544F07" w:rsidP="00544F07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продолжать усилия по обеспечению того, чтобы условия содержания в местах лишения свободы соответствовали международным стандартам в области прав человека, включая Минимальные стандартные правила Организации Объединенных Наций в отношении обращения с заключенными (Правила Нельсона Манделы),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и Правила Организации Объединенных Наций, касающиеся защиты несовершеннолетних, лишенных свободы (Гаванские правила).</w:t>
      </w:r>
      <w:r>
        <w:t xml:space="preserve"> </w:t>
      </w:r>
    </w:p>
    <w:p w14:paraId="43329C63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Торговля людьми и принудительный труд</w:t>
      </w:r>
    </w:p>
    <w:p w14:paraId="07A65344" w14:textId="77777777" w:rsidR="00544F07" w:rsidRPr="00140E29" w:rsidRDefault="00544F07" w:rsidP="00544F07">
      <w:pPr>
        <w:pStyle w:val="SingleTxtG"/>
      </w:pPr>
      <w:r>
        <w:t>28.</w:t>
      </w:r>
      <w:r>
        <w:tab/>
        <w:t>Комитет отмечает шаги, предпринятые государством-участником для предотвращения торговли людьми и борьбы с ней, включая разработку учебной программы по расследованию преступлений, связанных с торговлей людьми, с учетом интересов жертв и соответствующую подготовку судей, прокуроров и сотрудников полиции. Тем не менее Комитет по-прежнему обеспокоен сохраняющейся распространенностью торговли людьми в целях трудовой и сексуальной эксплуатации, отмечая сохраняющиеся недостатки в выявлении жертв и сообщения о том, что жертвы, в частности женщины и девочки, ставшие жертвами торговли людьми с целью сексуальной эксплуатации, подвергаются аресту и задержанию за действия, совершенные непосредственно в результате торговли людьми. Комитет сожалеет об отсутствии информации о мерах по предупреждению и пресечению торговли людьми, связанной с принудительными браками (статьи 3, 7, 8 и 24).</w:t>
      </w:r>
    </w:p>
    <w:p w14:paraId="12D50E41" w14:textId="77777777" w:rsidR="00544F07" w:rsidRPr="00102E09" w:rsidRDefault="00544F07" w:rsidP="00544F0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и далее активизировать свои усилия по эффективному предупреждению и пресечению торговли людьми, включая торговлю людьми в целях трудовой и сексуальной эксплуатации, в том числе:</w:t>
      </w:r>
    </w:p>
    <w:p w14:paraId="12909015" w14:textId="510B16EA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эффективное выявление жертв торговли людьми;</w:t>
      </w:r>
      <w:r w:rsidR="00544F07">
        <w:t xml:space="preserve"> </w:t>
      </w:r>
    </w:p>
    <w:p w14:paraId="4EF43F82" w14:textId="317B02B3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обеспечить, чтобы жертвы торговли людьми не подвергались уголовному преследованию за противоправные действия, являющиеся результатом их эксплуатации;</w:t>
      </w:r>
    </w:p>
    <w:p w14:paraId="0B353BD1" w14:textId="572351E3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оперативно и тщательно расследовать все случаи торговли людьми, судебного преследования подозреваемых в ней лиц и, в случае осуждения, применять адекватные и сдерживающие меры наказания;</w:t>
      </w:r>
      <w:r w:rsidR="00544F07">
        <w:t xml:space="preserve"> </w:t>
      </w:r>
    </w:p>
    <w:p w14:paraId="14446F62" w14:textId="01094889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обеспечивать жертвам доступ к эффективным средствам защиты, службам помощи и к возмещению ущерба в полном объеме, включая реабилитацию и надлежащую компенсацию;</w:t>
      </w:r>
    </w:p>
    <w:p w14:paraId="2071CDC2" w14:textId="5C3065CB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e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институционализировать и расширять масштабы специализированной подготовки для всех заинтересованных сторон, особенно в сельской местности.</w:t>
      </w:r>
    </w:p>
    <w:p w14:paraId="48EF4612" w14:textId="77777777" w:rsidR="00544F07" w:rsidRPr="00140E29" w:rsidRDefault="00544F07" w:rsidP="00544F07">
      <w:pPr>
        <w:pStyle w:val="SingleTxtG"/>
      </w:pPr>
      <w:r>
        <w:t>30.</w:t>
      </w:r>
      <w:r>
        <w:tab/>
        <w:t>Комитет принимает к сведению статистическую информацию о нарушениях трудового законодательства, выявленных инспекторами, и наложенных штрафах, а также отмечает, что инспекторы труда и соответствующие заинтересованные стороны в местах расположения предприятий добывающей промышленности проходят подготовку с целью повысить выявление случаев принудительного труда и информировать о них. Со ссылкой на свои предыдущие заключительные замечания</w:t>
      </w:r>
      <w:r w:rsidRPr="00571835">
        <w:rPr>
          <w:rStyle w:val="aa"/>
        </w:rPr>
        <w:footnoteReference w:id="10"/>
      </w:r>
      <w:r>
        <w:t xml:space="preserve"> Комитет по-прежнему выражает обеспокоенность по поводу утверждений о том, что мигранты работают в равносильных принудительному труду условиях в горнодобывающей, строительной и других отраслях, а также сообщений о недостатках в выявлении мужчин, ставших жертвами торговли людьми в целях трудовой эксплуатации (статья 8). </w:t>
      </w:r>
    </w:p>
    <w:p w14:paraId="1E5FFC07" w14:textId="47BDF52A" w:rsidR="00544F07" w:rsidRPr="00102E09" w:rsidRDefault="00544F07" w:rsidP="00544F0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Со ссылкой на предыдущую рекомендацию Комитета</w:t>
      </w:r>
      <w:r w:rsidRPr="00571835">
        <w:rPr>
          <w:rStyle w:val="aa"/>
        </w:rPr>
        <w:footnoteReference w:id="11"/>
      </w:r>
      <w:r>
        <w:rPr>
          <w:b/>
          <w:bCs/>
        </w:rPr>
        <w:t xml:space="preserve"> государству-участнику следует активизировать усилия по обеспечению соблюдения запрета на принудительный труд и предоставлению защиты трудящимся-мигрантам, </w:t>
      </w:r>
      <w:r w:rsidR="007C6771">
        <w:rPr>
          <w:b/>
          <w:bCs/>
          <w:lang w:val="en-US"/>
        </w:rPr>
        <w:br/>
      </w:r>
      <w:r>
        <w:rPr>
          <w:b/>
          <w:bCs/>
        </w:rPr>
        <w:t>в том числе путем укрепления потенциала трудовых инспекторов по выявлению случаев принудительного труда и реагированию на них.</w:t>
      </w:r>
      <w:r>
        <w:t xml:space="preserve"> </w:t>
      </w:r>
      <w:r>
        <w:rPr>
          <w:b/>
          <w:bCs/>
        </w:rPr>
        <w:t>Государству-участнику следует усилить работу по выявлению мужчин, ставших жертвами торговли людьми в целях трудовой эксплуатации, в том числе путем повышения уровня подготовки и увеличения числа необъявленных инспекций, особенно в горнодобывающем и строительном секторах.</w:t>
      </w:r>
    </w:p>
    <w:p w14:paraId="63546A10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Обращение с беженцами и просителями убежища</w:t>
      </w:r>
    </w:p>
    <w:p w14:paraId="3875D9A1" w14:textId="236FD6F1" w:rsidR="00544F07" w:rsidRPr="00140E29" w:rsidRDefault="00544F07" w:rsidP="00544F07">
      <w:pPr>
        <w:pStyle w:val="SingleTxtG"/>
      </w:pPr>
      <w:r>
        <w:t>32.</w:t>
      </w:r>
      <w:r>
        <w:tab/>
        <w:t>Комитет обеспокоен отсутствием законодательства и процедур по защите прав просителей убежища и беженцев, а также сообщениями о случаях депортации просителей убежища в нарушение принципа невыдворения. Комитет также обеспокоен тем, что законодательство государства-участника не предоставляет вид на жительство или другой конкретный правовой статус просителям убежища или лицам, признанным беженцами Управлением Верховного комиссара Организации Объединенных Наций по делам беженцев, в результате чего они, как правило, не имеют доступа к предоставляемым государством основным услугам, таким как здравоохранение и образование, и не получают разрешения на работу (статьи 6, 7, 9 и</w:t>
      </w:r>
      <w:r w:rsidR="007C6771">
        <w:rPr>
          <w:lang w:val="en-US"/>
        </w:rPr>
        <w:t> </w:t>
      </w:r>
      <w:r>
        <w:t>13).</w:t>
      </w:r>
    </w:p>
    <w:p w14:paraId="1C2ACBF5" w14:textId="77777777" w:rsidR="00544F07" w:rsidRPr="00102E09" w:rsidRDefault="00544F07" w:rsidP="00544F0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усилить защиту беженцев и просителей убежища без какой-либо дискриминации.</w:t>
      </w:r>
      <w:r>
        <w:t xml:space="preserve"> </w:t>
      </w:r>
      <w:r>
        <w:rPr>
          <w:b/>
          <w:bCs/>
        </w:rPr>
        <w:t>В частности, ему следует рассмотреть вопрос о принятии общего закона о предоставлении убежища и о статусе беженца, отвечающего соответствующим международным стандартам, уточнить процедурные гарантии, доступные всем просителям убежища, и обеспечить беженцам и просителям убежища недискриминационный и равный доступ к основным услугам.</w:t>
      </w:r>
      <w:r>
        <w:t xml:space="preserve"> </w:t>
      </w:r>
      <w:r>
        <w:rPr>
          <w:b/>
          <w:bCs/>
        </w:rPr>
        <w:t xml:space="preserve">Государству-участнику следует также рассмотреть </w:t>
      </w:r>
      <w:r>
        <w:rPr>
          <w:b/>
          <w:bCs/>
        </w:rPr>
        <w:lastRenderedPageBreak/>
        <w:t>возможность присоединения к Конвенции о статусе беженцев 1951 года и Протоколу, касающемуся статуса беженцев, 1967 года.</w:t>
      </w:r>
    </w:p>
    <w:p w14:paraId="30DF4102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Безгражданство</w:t>
      </w:r>
    </w:p>
    <w:p w14:paraId="7FCDBCBE" w14:textId="7E8DEBA4" w:rsidR="00544F07" w:rsidRPr="00140E29" w:rsidRDefault="00544F07" w:rsidP="00544F07">
      <w:pPr>
        <w:pStyle w:val="SingleTxtG"/>
      </w:pPr>
      <w:r>
        <w:t>34.</w:t>
      </w:r>
      <w:r>
        <w:tab/>
        <w:t xml:space="preserve">Отмечая, что дети без гражданства, родившиеся на территории государства-участника от родителей без гражданства, могут стать гражданами Монголии по достижении 16 лет, Комитет выражает обеспокоенность по поводу того, что эта процедура не является автоматической, что получение гражданства не гарантировано и что данный режим оставляет таких детей без гражданства до достижения ими </w:t>
      </w:r>
      <w:r w:rsidR="006F27F1">
        <w:rPr>
          <w:lang w:val="en-US"/>
        </w:rPr>
        <w:br/>
      </w:r>
      <w:r>
        <w:t>16-летнего возраста. Комитет также обеспокоен тем, что обязанность лиц в юридическом порядке отказываться от своего гражданства при подаче заявления на получение монгольского гражданства может приводить к безгражданству, поскольку нет никаких гарантий предоставления монгольского гражданства даже в случае отказа от своего предыдущего гражданства (статьи 2, 16, 24 и 26).</w:t>
      </w:r>
    </w:p>
    <w:p w14:paraId="12CECF1F" w14:textId="77777777" w:rsidR="00544F07" w:rsidRPr="00102E09" w:rsidRDefault="00544F07" w:rsidP="00544F07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принять необходимые законодательные меры для обеспечения того, чтобы в законодательстве о гражданстве были предусмотрены надлежащие гарантии предотвращения безгражданства в соответствии с международными стандартами.</w:t>
      </w:r>
      <w:r>
        <w:t xml:space="preserve"> </w:t>
      </w:r>
      <w:r>
        <w:rPr>
          <w:b/>
          <w:bCs/>
        </w:rPr>
        <w:t>Государству-участнику следует также рассмотреть возможность присоединения к Конвенции о статусе апатридов 1954 года и Конвенции о сокращении безгражданства 1961 года.</w:t>
      </w:r>
    </w:p>
    <w:p w14:paraId="22EC82C0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</w:p>
    <w:p w14:paraId="6660B2D9" w14:textId="77777777" w:rsidR="00544F07" w:rsidRPr="00140E29" w:rsidRDefault="00544F07" w:rsidP="00544F07">
      <w:pPr>
        <w:pStyle w:val="SingleTxtG"/>
      </w:pPr>
      <w:r>
        <w:t>36.</w:t>
      </w:r>
      <w:r>
        <w:tab/>
        <w:t>Комитет приветствует меры, принятые государством-участником в отчетный период для укрепления независимости судей и прокуроров, в частности конституционную реформу 2019 года и принятие в январе 2021 года пересмотренного закона о судебных органах. Комитет высоко оценивает меры, принятые в соответствии с законом 2021 года для укрепления независимости дисциплинарных механизмов, применяемых к судьям, однако выражает сожаление по поводу непредставления государством-участником конкретной информации о том, как этот закон гарантирует право судей на защиту и на эффективное обжалование решений, принятых дисциплинарным комитетом судебной власти. Комитет также сожалеет об отсутствии информации о средствах правовой защиты, предоставленных судьям, которые были отстранены от должности или сняты с нее в 2013 и 2019 годах, как сообщается, без веских правовых оснований, в том числе о том, были ли они восстановлены в должности (статья 14).</w:t>
      </w:r>
    </w:p>
    <w:p w14:paraId="26BA2A64" w14:textId="77777777" w:rsidR="00544F07" w:rsidRPr="00102E09" w:rsidRDefault="00544F07" w:rsidP="00544F07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продолжать укреплять законодательную основу, гарантирующую независимость судебных органов, в том числе путем обеспечения того, чтобы применимые дисциплинарные механизмы гарантировали право судей на защиту и на эффективное обжалование решений, принятых дисциплинарным комитетом судебных органов.</w:t>
      </w:r>
      <w:r>
        <w:t xml:space="preserve"> </w:t>
      </w:r>
      <w:r>
        <w:rPr>
          <w:b/>
          <w:bCs/>
        </w:rPr>
        <w:t>Государству-участнику следует также незамедлительно принять меры для урегулирования дел судей, которые были отстранены от работы или сняты со своих должностей в 2013 и 2019 годах, как сообщается, без веских правовых оснований, обеспечив им доступ к эффективным средствам правовой защиты.</w:t>
      </w:r>
    </w:p>
    <w:p w14:paraId="4EF905F6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42667AB8" w14:textId="2178F066" w:rsidR="00544F07" w:rsidRPr="00140E29" w:rsidRDefault="00544F07" w:rsidP="00544F07">
      <w:pPr>
        <w:pStyle w:val="SingleTxtG"/>
      </w:pPr>
      <w:r>
        <w:t>38.</w:t>
      </w:r>
      <w:r>
        <w:tab/>
        <w:t xml:space="preserve">Приветствуя принятие в 2021 году Закона о защите персональных данных, Комитет выражает сожаление по поводу непредставления государством-участником сведений о несанкционированном использовании личной информации за отчетный период и о применении Закона о защите персональных данных с момента его вступления в силу в 2021 году, включая средства правовой защиты, предоставленные лицам, пострадавшим от нарушения неприкосновенности данных. Кроме того, Комитет обеспокоен сообщениями о том, что уровень осведомленности о Законе о защите персональных данных и его понимания остается низким как в правительственных кругах, так </w:t>
      </w:r>
      <w:r w:rsidR="00A8023B">
        <w:t>и</w:t>
      </w:r>
      <w:r w:rsidR="00A8023B">
        <w:t xml:space="preserve"> </w:t>
      </w:r>
      <w:r>
        <w:t>среди населения в целом (статья 17).</w:t>
      </w:r>
    </w:p>
    <w:p w14:paraId="707EC234" w14:textId="77777777" w:rsidR="00544F07" w:rsidRPr="00102E09" w:rsidRDefault="00544F07" w:rsidP="00544F07">
      <w:pPr>
        <w:pStyle w:val="SingleTxtG"/>
        <w:rPr>
          <w:b/>
          <w:bCs/>
        </w:rPr>
      </w:pPr>
      <w:r>
        <w:lastRenderedPageBreak/>
        <w:t>39.</w:t>
      </w:r>
      <w:r>
        <w:tab/>
      </w:r>
      <w:r>
        <w:rPr>
          <w:b/>
          <w:bCs/>
        </w:rPr>
        <w:t>Государству-участнику следует обеспечить эффективное применение Закона о защите персональных данных, принятого в 2021 году, в том числе путем обеспечения доступа к эффективным средствам правовой защиты в случаях, когда права на неприкосновенность частной жизни были нарушены.</w:t>
      </w:r>
      <w:r>
        <w:t xml:space="preserve"> </w:t>
      </w:r>
      <w:r>
        <w:rPr>
          <w:b/>
          <w:bCs/>
        </w:rPr>
        <w:t>Государству-участнику следует принять соответствующие меры для повышения уровня осведомленности о законах о защите персональных данных, правах и доступных средствах правовой защиты и их понимания в случае нарушения неприкосновенности частной жизни среди сотрудников государственных учреждений, судебных и правоохранительных органов, а также населения в целом.</w:t>
      </w:r>
    </w:p>
    <w:p w14:paraId="49ED2B2B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</w:p>
    <w:p w14:paraId="2A9DE837" w14:textId="77777777" w:rsidR="00544F07" w:rsidRPr="00140E29" w:rsidRDefault="00544F07" w:rsidP="00544F07">
      <w:pPr>
        <w:pStyle w:val="SingleTxtG"/>
      </w:pPr>
      <w:r>
        <w:t>40.</w:t>
      </w:r>
      <w:r>
        <w:tab/>
        <w:t xml:space="preserve">Высоко оценивая усилия государства-участника в плане закрепления свободы совести и религиозных убеждений в Конституции и законодательстве, Комитет выражает обеспокоенность по поводу сообщений о том, что местные власти непоследовательно применяют процедуры регистрации религиозных групп. Например, группам Свидетелей Иеговы в Улан-Баторе неоднократно отказывали в регистрации и задерживали рассмотрение их заявлений. Комитет также обеспокоен тем, что некоторые положения монгольского законодательства препятствуют свободному осуществлению религиозных убеждений иностранными гражданами, например требование о том, чтобы глава религиозной организации был гражданином Монголии, или установленный процент сотрудников иностранных религиозных групп, которые должны быть гражданами Монголии (статья 18). </w:t>
      </w:r>
    </w:p>
    <w:p w14:paraId="06E2466C" w14:textId="77777777" w:rsidR="00544F07" w:rsidRPr="00102E09" w:rsidRDefault="00544F07" w:rsidP="00544F07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принять соответствующие меры для обеспечения того, чтобы законы и процедуры, регулирующие регистрацию религиозных групп, применялись последовательно, оперативно и без дискриминации и не были связаны с обременительными административными требованиями.</w:t>
      </w:r>
      <w:r>
        <w:t xml:space="preserve"> </w:t>
      </w:r>
      <w:r>
        <w:rPr>
          <w:b/>
          <w:bCs/>
        </w:rPr>
        <w:t>С учетом того, что в настоящее время разрабатывается пересмотренный проект закона о взаимоотношениях государства и религиозных учреждений, государству-участнику следует рассмотреть возможность включения в него положений, отменяющих или изменяющих требования, препятствующие свободному осуществлению религиозных убеждений иностранными гражданами.</w:t>
      </w:r>
    </w:p>
    <w:p w14:paraId="31B458CE" w14:textId="77777777" w:rsidR="00544F07" w:rsidRPr="00140E29" w:rsidRDefault="00544F07" w:rsidP="00544F07">
      <w:pPr>
        <w:pStyle w:val="SingleTxtG"/>
      </w:pPr>
      <w:r>
        <w:t>42.</w:t>
      </w:r>
      <w:r>
        <w:tab/>
        <w:t>Комитет отмечает, что государство-участник в принципе признает право на отказ от военной службы по соображениям совести, однако он обеспокоен сообщениями о том, что продолжительность альтернативной службы для лиц, отказывающихся от военной службы по соображениям совести, в два раза превышает продолжительность военной службы и что обучение в рамках альтернативной службы проводится военнослужащими вооруженных сил. Отмечая наличие в Законе о военной службе варианта оплаты в счет выполнения обязанности по прохождению военной службы, Комитет выражает обеспокоенность по поводу того, что такой вариант не соответствует Пакту с точки зрения как необходимости для лиц, отказывающихся от военной службы по соображениям совести, поддерживать армию, так и негативного воздействия на лиц с ограниченной платежеспособностью (статья 18).</w:t>
      </w:r>
    </w:p>
    <w:p w14:paraId="6EBF99D2" w14:textId="149591F4" w:rsidR="00544F07" w:rsidRPr="00102E09" w:rsidRDefault="00544F07" w:rsidP="00544F07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Государству-участнику следует незамедлительно принять все необходимые меры для обеспечения того, чтобы право на отказ от военной службы по соображениям совести было гарантировано в законодательстве и на практике и чтобы альтернативная служба была доступна для всех лиц, отказывающихся от военной службы по соображениям совести, без дискриминации, не носила карательного или дискриминационного характера, </w:t>
      </w:r>
      <w:r w:rsidR="007C6771">
        <w:rPr>
          <w:b/>
          <w:bCs/>
          <w:lang w:val="en-US"/>
        </w:rPr>
        <w:br/>
      </w:r>
      <w:r>
        <w:rPr>
          <w:b/>
          <w:bCs/>
        </w:rPr>
        <w:t>не сопровождалась обязательными выплатами и не отличалась по продолжительности.</w:t>
      </w:r>
    </w:p>
    <w:p w14:paraId="477CF5F7" w14:textId="77777777" w:rsidR="00544F07" w:rsidRPr="00140E29" w:rsidRDefault="00544F07" w:rsidP="00544F07">
      <w:pPr>
        <w:pStyle w:val="H23G"/>
      </w:pPr>
      <w:r>
        <w:lastRenderedPageBreak/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1FF4D521" w14:textId="77777777" w:rsidR="00544F07" w:rsidRPr="00140E29" w:rsidRDefault="00544F07" w:rsidP="00544F07">
      <w:pPr>
        <w:pStyle w:val="SingleTxtG"/>
      </w:pPr>
      <w:r>
        <w:t>44.</w:t>
      </w:r>
      <w:r>
        <w:tab/>
        <w:t>Ссылаясь на свои предыдущие заключительные замечания</w:t>
      </w:r>
      <w:r w:rsidRPr="00571835">
        <w:rPr>
          <w:rStyle w:val="aa"/>
        </w:rPr>
        <w:footnoteReference w:id="12"/>
      </w:r>
      <w:r>
        <w:t>, Комитет выражает обеспокоенность по поводу сообщений, свидетельствующих о сокращении свободы выражения мнений в государстве-участнике, в частности в отношении условий работы журналистов и правозащитников, некоторые из которых, как сообщается, сталкиваются с запугиванием, необоснованными исками о диффамации и привлечением к уголовной ответственности. Комитет с обеспокоенностью отмечает чрезмерно широкие положения уголовного законодательства, касающиеся распространения ложной информации, которые используются для преследования журналистов, в частности журналистов, расследующих коррупцию. Комитет по-прежнему обеспокоен ограничениями права на доступ к информации, отмечая сообщения о том, что Закон о государственной и служебной тайне регулярно используется для необоснованного отказа в доступе к информации. Кроме того, Комитет обеспокоен тем, что, несмотря на разнообразие медийного ландшафта, большинство СМИ, как сообщается, связаны с определенными политическими кругами или находятся под их влиянием, что негативно сказывается на редакционной независимости, что характер собственности медийных компаний по-прежнему непрозрачен и что многие журналисты практикуют самоцензуру, чтобы не оскорбить политические или деловые круги и не столкнуться с дорогостоящими исками о диффамации (статья 19).</w:t>
      </w:r>
    </w:p>
    <w:p w14:paraId="0EA12902" w14:textId="77777777" w:rsidR="00544F07" w:rsidRPr="00102E09" w:rsidRDefault="00544F07" w:rsidP="00544F07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повторяет свою предыдущую рекомендацию о свободе выражения мнений и настоятельно призывает государство-участник принять необходимые меры для обеспечения того, чтобы каждый человек мог свободно осуществлять право на свободу выражения мнений, в соответствии со статьей 19 Пакта и замечанием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При этом государству-участнику следует:</w:t>
      </w:r>
    </w:p>
    <w:p w14:paraId="57AEF948" w14:textId="490CEC2C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защищать журналистов, работников СМИ и правозащитников от актов преследования и запугивания, оперативно расследовать все такие акты и привлекать виновных к ответственности, обеспечивая их адекватное наказание;</w:t>
      </w:r>
    </w:p>
    <w:p w14:paraId="6E9E2AE7" w14:textId="0FCD261C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провести обзор и пересмотр действующего и готовящееся к принятию законодательства, включая Уголовный кодекс и законопроекты о свободе СМИ и доступе к информации, чтобы избежать использования расплывчатой терминологии и чрезмерно широких ограничений, несовместимых с пунктом 3 статьи 19 Пакта, в частности в отношении положений о распространении ложной информации;</w:t>
      </w:r>
    </w:p>
    <w:p w14:paraId="44E0C166" w14:textId="4C3BB6A5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эффективное применение на практике права на доступ к информации, которой располагают государственные органы, и активно предоставлять в распоряжение общественности правительственную информацию, имеющую общественный интерес;</w:t>
      </w:r>
    </w:p>
    <w:p w14:paraId="7D684C07" w14:textId="29DAB3CE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принять меры по защите редакционной независимости СМИ от политического влияния, в том числе путем обеспечения прозрачности владения частными СМИ.</w:t>
      </w:r>
    </w:p>
    <w:p w14:paraId="2539B0EA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3144CAF7" w14:textId="77777777" w:rsidR="00544F07" w:rsidRPr="00BC6A08" w:rsidRDefault="00544F07" w:rsidP="00544F07">
      <w:pPr>
        <w:pStyle w:val="SingleTxtG"/>
      </w:pPr>
      <w:r>
        <w:t>46.</w:t>
      </w:r>
      <w:r>
        <w:tab/>
        <w:t xml:space="preserve">Комитет обеспокоен сообщениями о том, что власти часто ограничивают или косвенно подавляют мирные собрания, особенно демонстрации с критикой правительства или собрания, выступающие за права лесбиянок, геев, бисексуальных, трансгендерных и интерсекс-людей. Приветствуя заявление делегации о том, что недавно внесенный в парламент проект пересмотра закона о порядке проведения демонстраций и собраний (1994 год) предусматривает введение режима уведомления, Комитет выражает обеспокоенность по поводу указаний на то, что этот закон будет включать требование о получении разрешения полиции на проведение собраний с использованием главных дорог, что потенциально может подорвать режим </w:t>
      </w:r>
      <w:r>
        <w:lastRenderedPageBreak/>
        <w:t>уведомления. Комитет обеспокоен также сообщениями о непропорциональном применении силы и произвольных задержаниях и содержании под стражей сотрудниками правоохранительных органов при разгоне мирных собраний. Комитет выражает сожаление по поводу непредставления государством-участником сведений о законопроекте о внесении поправок в Уголовный кодекс, предусматривающих тюремное заключение за создание препятствий для осуществления горнодобывающих и других проектов в области развития, и выражает обеспокоенность относительно последствий этого законопроекта для эффективного осуществления права на мирные собрания (статья 21).</w:t>
      </w:r>
    </w:p>
    <w:p w14:paraId="372B23EC" w14:textId="77777777" w:rsidR="00544F07" w:rsidRPr="00102E09" w:rsidRDefault="00544F07" w:rsidP="00544F0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В свете статьи 21 Пакта и замечания общего порядка № 37 (2020) Комитета о праве на мирные собрания государству-участнику следует предпринять конкретные шаги в плане создания благоприятных условий для осуществления права на мирные собрания и обеспечить, чтобы ограничения этого права строго соответствовали статье 21 Пакта и принципам соразмерности и необходимости.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  <w:r>
        <w:t xml:space="preserve"> </w:t>
      </w:r>
    </w:p>
    <w:p w14:paraId="0D0DE570" w14:textId="4630B3D6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осуществить запланированный пересмотр закона о порядке проведения демонстраций и собраний (1994 год) с целью отмены требования о получении предварительного разрешения на проведение мирных собраний и введения процедуры предварительного уведомления, обеспечив, чтобы любые исключения, требующие получения разрешения, не могли быть использованы для подавления мирных собраний и чтобы любое решение о запрете мирных собраний подлежало судебному надзору;</w:t>
      </w:r>
    </w:p>
    <w:p w14:paraId="69279EDA" w14:textId="556FF5F4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оперативное, тщательное и беспристрастное расследование всех заявлений о чрезмерном применении силы, произвольном задержании или помещении под стражу в контексте мирных собраний, привлечение к судебной ответственности виновных и, в случае их осуждения, назначение им надлежащих наказаний, а также предоставление потерпевшим возмещения ущерба в полном объеме;</w:t>
      </w:r>
    </w:p>
    <w:p w14:paraId="3005EEA2" w14:textId="433B69FB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обеспечить эффективную подготовку судей, прокуроров и сотрудников правоохранительных органов по вопросам права на мирные собрания, включая специальную подготовку сотрудников правоохранительных органов по ненасильственным средствам поддержания порядка и международным стандартам применения силы, в частности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деятельности.</w:t>
      </w:r>
    </w:p>
    <w:p w14:paraId="6EA083BB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Права ребенка</w:t>
      </w:r>
    </w:p>
    <w:p w14:paraId="1EEA96B2" w14:textId="5619D0B6" w:rsidR="00544F07" w:rsidRPr="00140E29" w:rsidRDefault="00544F07" w:rsidP="00544F07">
      <w:pPr>
        <w:pStyle w:val="SingleTxtG"/>
      </w:pPr>
      <w:r>
        <w:t>48.</w:t>
      </w:r>
      <w:r>
        <w:tab/>
        <w:t>Комитет приветствует меры, принятые государством-участником для усиления защиты прав детей, включая ужесточение наказаний за насилие в отношении детей, расширение доступа к юридической помощи для несовершеннолетних, ставших жертвами сексуального насилия и торговли людьми, и подготовку сотрудников правоохранительных органов по вопросам торговли детьми. Тем не менее Комитет вновь выражает свою обеспокоенность по поводу использования детей в качестве жокеев на скачках, что подвергает их риску травм и даже смерти. Приветствуя планы по значительному увеличению числа инспекторов по вопросам детского труда, Комитет выражает обеспокоенность также по поводу того, что дети по-прежнему заняты на опасных работах в горнодобывающей промышленности и сельском хозяйстве и что число детей в ситуациях улицы, как сообщается, продолжает расти, несмотря на меры, принимаемые государством-участником для воссоединения детей со своими семьями или передачи их под опеку (статьи 6, 7, 8 и 24).</w:t>
      </w:r>
    </w:p>
    <w:p w14:paraId="28A3E496" w14:textId="77777777" w:rsidR="00544F07" w:rsidRPr="00102E09" w:rsidRDefault="00544F07" w:rsidP="00544F07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 обеспечить эффективное применение своей законодательной основы для защиты детей, в том числе:</w:t>
      </w:r>
    </w:p>
    <w:p w14:paraId="328511A1" w14:textId="595DA1F1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повысить уровень осведомленности семей о запрете детского труда, возможных опасностях на рабочих местах и важности посещения школы;</w:t>
      </w:r>
    </w:p>
    <w:p w14:paraId="36021DBD" w14:textId="781A79A2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ввести запрет на использование детей в качестве жокеев на скачках;</w:t>
      </w:r>
    </w:p>
    <w:p w14:paraId="0A3BA3BF" w14:textId="2AB928F3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продолжить реализацию планов по увеличению числа инспекторов по детскому труду и укреплению режима проведения инспекций, в том числе путем обеспечения его достаточным и устойчивым финансированием;</w:t>
      </w:r>
    </w:p>
    <w:p w14:paraId="2D057FD3" w14:textId="1C64B7BD" w:rsidR="00544F07" w:rsidRPr="00102E09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d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устранить коренные причины появления детей в ситуациях улицы, таких как жестокое обращение, нищета, родительская безнадзорность и социальная изоляция.</w:t>
      </w:r>
    </w:p>
    <w:p w14:paraId="47058649" w14:textId="77777777" w:rsidR="00544F07" w:rsidRPr="00140E29" w:rsidRDefault="00544F07" w:rsidP="00544F07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  <w:r>
        <w:t xml:space="preserve"> </w:t>
      </w:r>
    </w:p>
    <w:p w14:paraId="39FD870C" w14:textId="457C8B57" w:rsidR="00544F07" w:rsidRDefault="00544F07" w:rsidP="00544F07">
      <w:pPr>
        <w:pStyle w:val="SingleTxtG"/>
      </w:pPr>
      <w:r>
        <w:t>50.</w:t>
      </w:r>
      <w:r>
        <w:tab/>
        <w:t xml:space="preserve">Комитет высоко оценивает шаги, предпринятые государством-участником для укрепления своей избирательной системы и проведения регулярных выборов, которые в целом соответствуют международным стандартам. Тем не менее Комитет обеспокоен тем, что некоторые ограничения могут не соответствовать международным стандартам, в частности лишение права голоса по причине интеллектуальной инвалидности и полное лишение права голоса граждан, отбывающих тюремное заключение, независимо от тяжести совершенного преступления. С учетом того, что государственным служащим запрещено участвовать в предвыборной агитации, Комитет обеспокоен сообщениями о нецелевом использовании государственных ресурсов и оказании давления на государственных служащих с целью вовлечения их в предвыборную деятельность в интересах кандидатов, уже занимающих соответствующие должности (статья 25). </w:t>
      </w:r>
    </w:p>
    <w:p w14:paraId="4E3299BF" w14:textId="77777777" w:rsidR="00544F07" w:rsidRPr="00D57026" w:rsidRDefault="00544F07" w:rsidP="00544F07">
      <w:pPr>
        <w:pStyle w:val="SingleTxtG"/>
        <w:keepNext/>
        <w:keepLines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следует:</w:t>
      </w:r>
    </w:p>
    <w:p w14:paraId="06410BAF" w14:textId="5EE98FBF" w:rsidR="00544F07" w:rsidRPr="00D57026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a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отменить ограничения на голосование по причине интеллектуальной инвалидности и пересмотреть положение о полном лишении права голоса заключенных;</w:t>
      </w:r>
    </w:p>
    <w:p w14:paraId="0869DD25" w14:textId="413C742B" w:rsidR="00544F07" w:rsidRPr="00D57026" w:rsidRDefault="007C6771" w:rsidP="00544F0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544F07">
        <w:rPr>
          <w:b/>
          <w:bCs/>
        </w:rPr>
        <w:t>b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принять соответствующие меры для предотвращения злоупотребления государственными ресурсами и оказания давления на государственных служащих с целью вовлечения их в предвыборную деятельность, обеспечив четкое разделение служебных обязанностей и предвыборной деятельности;</w:t>
      </w:r>
      <w:r w:rsidR="00544F07">
        <w:t xml:space="preserve"> </w:t>
      </w:r>
    </w:p>
    <w:p w14:paraId="60557A21" w14:textId="47417109" w:rsidR="00544F07" w:rsidRPr="00D57026" w:rsidRDefault="007C6771" w:rsidP="00544F07">
      <w:pPr>
        <w:pStyle w:val="SingleTxtG"/>
        <w:rPr>
          <w:b/>
          <w:bCs/>
        </w:rPr>
      </w:pPr>
      <w:bookmarkStart w:id="2" w:name="_Hlk193439555"/>
      <w:r>
        <w:rPr>
          <w:b/>
          <w:bCs/>
          <w:lang w:val="en-US"/>
        </w:rPr>
        <w:tab/>
      </w:r>
      <w:r w:rsidR="00544F07">
        <w:rPr>
          <w:b/>
          <w:bCs/>
        </w:rPr>
        <w:t>c</w:t>
      </w:r>
      <w:r w:rsidR="00544F07" w:rsidRPr="007C6771">
        <w:rPr>
          <w:b/>
          <w:bCs/>
        </w:rPr>
        <w:t>)</w:t>
      </w:r>
      <w:r w:rsidR="00544F07">
        <w:tab/>
      </w:r>
      <w:r w:rsidR="00544F07">
        <w:rPr>
          <w:b/>
          <w:bCs/>
        </w:rPr>
        <w:t>более активно применять правила финансирования избирательных кампаний, обеспечив эффективный мониторинг и создав механизм для устранения нарушений с соответствующими санкциями.</w:t>
      </w:r>
    </w:p>
    <w:bookmarkEnd w:id="2"/>
    <w:p w14:paraId="4A3B2BD7" w14:textId="1A4FDE3B" w:rsidR="00544F07" w:rsidRPr="00F501BD" w:rsidRDefault="007C6771" w:rsidP="00544F07">
      <w:pPr>
        <w:pStyle w:val="H1G"/>
      </w:pPr>
      <w:r>
        <w:rPr>
          <w:bCs/>
          <w:lang w:val="en-US"/>
        </w:rPr>
        <w:tab/>
      </w:r>
      <w:r w:rsidR="00544F07">
        <w:rPr>
          <w:bCs/>
        </w:rPr>
        <w:t>D.</w:t>
      </w:r>
      <w:r w:rsidR="00544F07">
        <w:tab/>
      </w:r>
      <w:r w:rsidR="00544F07">
        <w:tab/>
      </w:r>
      <w:r w:rsidR="00544F07">
        <w:rPr>
          <w:bCs/>
        </w:rPr>
        <w:t>Распространение информации и последующая деятельность</w:t>
      </w:r>
    </w:p>
    <w:p w14:paraId="5B0DA781" w14:textId="77777777" w:rsidR="00544F07" w:rsidRPr="005470C2" w:rsidRDefault="00544F07" w:rsidP="00544F07">
      <w:pPr>
        <w:pStyle w:val="SingleTxtG"/>
        <w:rPr>
          <w:b/>
          <w:bCs/>
          <w:i/>
          <w:iCs/>
        </w:rPr>
      </w:pPr>
      <w:bookmarkStart w:id="3" w:name="_Hlk168404895"/>
      <w:r>
        <w:t>52.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седьмого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End w:id="3"/>
    </w:p>
    <w:p w14:paraId="35DFD5E2" w14:textId="77777777" w:rsidR="00544F07" w:rsidRDefault="00544F07" w:rsidP="00544F07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28 марта 2028 года информацию о выполнении рекомендаций, сформулированных Комитетом в пунктах 7 (Национальное правозащитное учреждение), 9 (Меры по борьбе с коррупцией) и 45 (Свобода выражения мнений) выше.</w:t>
      </w:r>
    </w:p>
    <w:p w14:paraId="671D06A8" w14:textId="658A72C8" w:rsidR="00544F07" w:rsidRPr="00D57026" w:rsidRDefault="00544F07" w:rsidP="00544F07">
      <w:pPr>
        <w:pStyle w:val="SingleTxtG"/>
        <w:spacing w:before="240" w:after="0"/>
        <w:rPr>
          <w:b/>
          <w:bCs/>
          <w:color w:val="000000" w:themeColor="text1"/>
        </w:rPr>
      </w:pPr>
      <w:r>
        <w:t>54.</w:t>
      </w:r>
      <w:r>
        <w:tab/>
      </w:r>
      <w:r>
        <w:rPr>
          <w:b/>
          <w:bCs/>
        </w:rPr>
        <w:t xml:space="preserve">В соответствии с прогнозируемым циклом обзора Комитета государство-участник получит в 2031 году перечень вопросов Комитета до представления доклада и должно будет представить в течение одного года свои ответы, которые </w:t>
      </w:r>
      <w:r>
        <w:rPr>
          <w:b/>
          <w:bCs/>
        </w:rPr>
        <w:lastRenderedPageBreak/>
        <w:t>составят его восьмой периодический доклад.</w:t>
      </w:r>
      <w:r>
        <w:t xml:space="preserve"> </w:t>
      </w:r>
      <w:r>
        <w:rPr>
          <w:b/>
          <w:bCs/>
        </w:rPr>
        <w:t>Кроме того, Комитет просит государство-участник в процессе подготовки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</w:t>
      </w:r>
      <w:r w:rsidR="007C6771">
        <w:rPr>
          <w:b/>
          <w:bCs/>
          <w:lang w:val="en-US"/>
        </w:rPr>
        <w:t> </w:t>
      </w:r>
      <w:r>
        <w:rPr>
          <w:b/>
          <w:bCs/>
        </w:rPr>
        <w:t>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2033 году в Женеве.</w:t>
      </w:r>
    </w:p>
    <w:p w14:paraId="124FC97D" w14:textId="24DDF1AB" w:rsidR="00544F07" w:rsidRPr="00544F07" w:rsidRDefault="00544F07" w:rsidP="00544F0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44F07" w:rsidRPr="00544F07" w:rsidSect="00544F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4C8AD" w14:textId="77777777" w:rsidR="00B136BD" w:rsidRPr="00A312BC" w:rsidRDefault="00B136BD" w:rsidP="00A312BC"/>
  </w:endnote>
  <w:endnote w:type="continuationSeparator" w:id="0">
    <w:p w14:paraId="53D97992" w14:textId="77777777" w:rsidR="00B136BD" w:rsidRPr="00A312BC" w:rsidRDefault="00B136B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47C7" w14:textId="718CEBEF" w:rsidR="00544F07" w:rsidRPr="00544F07" w:rsidRDefault="00544F07">
    <w:pPr>
      <w:pStyle w:val="a8"/>
    </w:pPr>
    <w:r w:rsidRPr="00544F07">
      <w:rPr>
        <w:b/>
        <w:sz w:val="18"/>
      </w:rPr>
      <w:fldChar w:fldCharType="begin"/>
    </w:r>
    <w:r w:rsidRPr="00544F07">
      <w:rPr>
        <w:b/>
        <w:sz w:val="18"/>
      </w:rPr>
      <w:instrText xml:space="preserve"> PAGE  \* MERGEFORMAT </w:instrText>
    </w:r>
    <w:r w:rsidRPr="00544F07">
      <w:rPr>
        <w:b/>
        <w:sz w:val="18"/>
      </w:rPr>
      <w:fldChar w:fldCharType="separate"/>
    </w:r>
    <w:r w:rsidRPr="00544F07">
      <w:rPr>
        <w:b/>
        <w:noProof/>
        <w:sz w:val="18"/>
      </w:rPr>
      <w:t>2</w:t>
    </w:r>
    <w:r w:rsidRPr="00544F07">
      <w:rPr>
        <w:b/>
        <w:sz w:val="18"/>
      </w:rPr>
      <w:fldChar w:fldCharType="end"/>
    </w:r>
    <w:r>
      <w:rPr>
        <w:b/>
        <w:sz w:val="18"/>
      </w:rPr>
      <w:tab/>
    </w:r>
    <w:r>
      <w:t>GE.25-05339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3B246" w14:textId="6EF3C46A" w:rsidR="00544F07" w:rsidRPr="00544F07" w:rsidRDefault="00544F07" w:rsidP="00544F07">
    <w:pPr>
      <w:pStyle w:val="a8"/>
      <w:tabs>
        <w:tab w:val="clear" w:pos="9639"/>
        <w:tab w:val="right" w:pos="9638"/>
      </w:tabs>
      <w:rPr>
        <w:b/>
        <w:sz w:val="18"/>
      </w:rPr>
    </w:pPr>
    <w:r>
      <w:t>GE.25-05339</w:t>
    </w:r>
    <w:r>
      <w:tab/>
    </w:r>
    <w:r w:rsidRPr="00544F07">
      <w:rPr>
        <w:b/>
        <w:sz w:val="18"/>
      </w:rPr>
      <w:fldChar w:fldCharType="begin"/>
    </w:r>
    <w:r w:rsidRPr="00544F07">
      <w:rPr>
        <w:b/>
        <w:sz w:val="18"/>
      </w:rPr>
      <w:instrText xml:space="preserve"> PAGE  \* MERGEFORMAT </w:instrText>
    </w:r>
    <w:r w:rsidRPr="00544F07">
      <w:rPr>
        <w:b/>
        <w:sz w:val="18"/>
      </w:rPr>
      <w:fldChar w:fldCharType="separate"/>
    </w:r>
    <w:r w:rsidRPr="00544F07">
      <w:rPr>
        <w:b/>
        <w:noProof/>
        <w:sz w:val="18"/>
      </w:rPr>
      <w:t>3</w:t>
    </w:r>
    <w:r w:rsidRPr="00544F0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6D39" w14:textId="093AE66D" w:rsidR="00042B72" w:rsidRPr="00075A14" w:rsidRDefault="00544F07" w:rsidP="00544F0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B030E6B" wp14:editId="5193D64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25-05339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636D776" wp14:editId="7051ECF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5A14">
      <w:rPr>
        <w:lang w:val="en-US"/>
      </w:rPr>
      <w:t xml:space="preserve">  260525  100625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7424" w14:textId="77777777" w:rsidR="00B136BD" w:rsidRPr="001075E9" w:rsidRDefault="00B136B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469EE8" w14:textId="77777777" w:rsidR="00B136BD" w:rsidRDefault="00B136B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F9546C7" w14:textId="786C8530" w:rsidR="00544F07" w:rsidRDefault="00544F07" w:rsidP="00544F07">
      <w:pPr>
        <w:pStyle w:val="ad"/>
      </w:pPr>
      <w:r>
        <w:tab/>
      </w:r>
      <w:r w:rsidRPr="007C6771">
        <w:rPr>
          <w:sz w:val="20"/>
          <w:szCs w:val="22"/>
        </w:rPr>
        <w:t>*</w:t>
      </w:r>
      <w:r>
        <w:tab/>
        <w:t>Приняты Комитетом на его 143-й сессии (3–28 марта 2025 года).</w:t>
      </w:r>
    </w:p>
  </w:footnote>
  <w:footnote w:id="2">
    <w:p w14:paraId="7CC921C5" w14:textId="595FF097" w:rsidR="00544F07" w:rsidRPr="00AD6284" w:rsidRDefault="00544F07" w:rsidP="00544F07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571835">
        <w:rPr>
          <w:rStyle w:val="aa"/>
        </w:rPr>
        <w:footnoteRef/>
      </w:r>
      <w:r>
        <w:tab/>
      </w:r>
      <w:hyperlink r:id="rId1" w:history="1">
        <w:proofErr w:type="spellStart"/>
        <w:r w:rsidRPr="007C6771">
          <w:rPr>
            <w:rStyle w:val="af1"/>
          </w:rPr>
          <w:t>CCPR</w:t>
        </w:r>
        <w:proofErr w:type="spellEnd"/>
        <w:r w:rsidRPr="007C6771">
          <w:rPr>
            <w:rStyle w:val="af1"/>
          </w:rPr>
          <w:t>/C/</w:t>
        </w:r>
        <w:proofErr w:type="spellStart"/>
        <w:r w:rsidRPr="007C6771">
          <w:rPr>
            <w:rStyle w:val="af1"/>
          </w:rPr>
          <w:t>MNG</w:t>
        </w:r>
        <w:proofErr w:type="spellEnd"/>
        <w:r w:rsidRPr="007C6771">
          <w:rPr>
            <w:rStyle w:val="af1"/>
          </w:rPr>
          <w:t>/7</w:t>
        </w:r>
      </w:hyperlink>
      <w:r>
        <w:t xml:space="preserve">. </w:t>
      </w:r>
    </w:p>
  </w:footnote>
  <w:footnote w:id="3">
    <w:p w14:paraId="4B218ED5" w14:textId="11304741" w:rsidR="00544F07" w:rsidRPr="007C6771" w:rsidRDefault="00544F07" w:rsidP="00544F07">
      <w:pPr>
        <w:pStyle w:val="ad"/>
        <w:widowControl w:val="0"/>
        <w:tabs>
          <w:tab w:val="clear" w:pos="1021"/>
          <w:tab w:val="right" w:pos="1020"/>
        </w:tabs>
        <w:rPr>
          <w:lang w:val="de-CH"/>
        </w:rPr>
      </w:pPr>
      <w:r w:rsidRPr="00AD6284">
        <w:tab/>
      </w:r>
      <w:r w:rsidRPr="00571835">
        <w:rPr>
          <w:rStyle w:val="aa"/>
        </w:rPr>
        <w:footnoteRef/>
      </w:r>
      <w:r>
        <w:tab/>
        <w:t xml:space="preserve">См. </w:t>
      </w:r>
      <w:hyperlink r:id="rId2" w:history="1">
        <w:proofErr w:type="spellStart"/>
        <w:r w:rsidRPr="007C6771">
          <w:rPr>
            <w:rStyle w:val="af1"/>
            <w:lang w:val="de-CH"/>
          </w:rPr>
          <w:t>CCPR</w:t>
        </w:r>
        <w:proofErr w:type="spellEnd"/>
        <w:r w:rsidRPr="007C6771">
          <w:rPr>
            <w:rStyle w:val="af1"/>
            <w:lang w:val="de-CH"/>
          </w:rPr>
          <w:t>/C/SR.4195</w:t>
        </w:r>
      </w:hyperlink>
      <w:r w:rsidRPr="007C6771">
        <w:rPr>
          <w:lang w:val="de-CH"/>
        </w:rPr>
        <w:t xml:space="preserve"> </w:t>
      </w:r>
      <w:r>
        <w:t>и</w:t>
      </w:r>
      <w:r w:rsidRPr="007C6771">
        <w:rPr>
          <w:lang w:val="de-CH"/>
        </w:rPr>
        <w:t xml:space="preserve"> </w:t>
      </w:r>
      <w:hyperlink r:id="rId3" w:history="1">
        <w:proofErr w:type="spellStart"/>
        <w:r w:rsidRPr="007C6771">
          <w:rPr>
            <w:rStyle w:val="af1"/>
            <w:lang w:val="de-CH"/>
          </w:rPr>
          <w:t>CCPR</w:t>
        </w:r>
        <w:proofErr w:type="spellEnd"/>
        <w:r w:rsidRPr="007C6771">
          <w:rPr>
            <w:rStyle w:val="af1"/>
            <w:lang w:val="de-CH"/>
          </w:rPr>
          <w:t>/C/SR.4196</w:t>
        </w:r>
      </w:hyperlink>
      <w:r w:rsidRPr="007C6771">
        <w:rPr>
          <w:lang w:val="de-CH"/>
        </w:rPr>
        <w:t>.</w:t>
      </w:r>
    </w:p>
  </w:footnote>
  <w:footnote w:id="4">
    <w:p w14:paraId="61715C6A" w14:textId="266B2181" w:rsidR="00544F07" w:rsidRPr="007C6771" w:rsidRDefault="00544F07" w:rsidP="00544F07">
      <w:pPr>
        <w:pStyle w:val="ad"/>
        <w:rPr>
          <w:lang w:val="de-CH"/>
        </w:rPr>
      </w:pPr>
      <w:r w:rsidRPr="007C6771">
        <w:rPr>
          <w:lang w:val="de-CH"/>
        </w:rPr>
        <w:tab/>
      </w:r>
      <w:r w:rsidRPr="00571835">
        <w:rPr>
          <w:rStyle w:val="aa"/>
        </w:rPr>
        <w:footnoteRef/>
      </w:r>
      <w:r w:rsidRPr="007C6771">
        <w:rPr>
          <w:lang w:val="de-CH"/>
        </w:rPr>
        <w:tab/>
      </w:r>
      <w:hyperlink r:id="rId4" w:history="1">
        <w:proofErr w:type="spellStart"/>
        <w:r w:rsidRPr="007C6771">
          <w:rPr>
            <w:rStyle w:val="af1"/>
            <w:lang w:val="de-CH"/>
          </w:rPr>
          <w:t>CCPR</w:t>
        </w:r>
        <w:proofErr w:type="spellEnd"/>
        <w:r w:rsidRPr="007C6771">
          <w:rPr>
            <w:rStyle w:val="af1"/>
            <w:lang w:val="de-CH"/>
          </w:rPr>
          <w:t>/C/</w:t>
        </w:r>
        <w:proofErr w:type="spellStart"/>
        <w:r w:rsidRPr="007C6771">
          <w:rPr>
            <w:rStyle w:val="af1"/>
            <w:lang w:val="de-CH"/>
          </w:rPr>
          <w:t>MNG</w:t>
        </w:r>
        <w:proofErr w:type="spellEnd"/>
        <w:r w:rsidRPr="007C6771">
          <w:rPr>
            <w:rStyle w:val="af1"/>
            <w:lang w:val="de-CH"/>
          </w:rPr>
          <w:t>/</w:t>
        </w:r>
        <w:proofErr w:type="spellStart"/>
        <w:r w:rsidRPr="007C6771">
          <w:rPr>
            <w:rStyle w:val="af1"/>
            <w:lang w:val="de-CH"/>
          </w:rPr>
          <w:t>RQ</w:t>
        </w:r>
        <w:proofErr w:type="spellEnd"/>
        <w:r w:rsidRPr="007C6771">
          <w:rPr>
            <w:rStyle w:val="af1"/>
            <w:lang w:val="de-CH"/>
          </w:rPr>
          <w:t>/7</w:t>
        </w:r>
      </w:hyperlink>
      <w:r w:rsidRPr="007C6771">
        <w:rPr>
          <w:lang w:val="de-CH"/>
        </w:rPr>
        <w:t>.</w:t>
      </w:r>
    </w:p>
  </w:footnote>
  <w:footnote w:id="5">
    <w:p w14:paraId="54F342F2" w14:textId="0592D180" w:rsidR="00544F07" w:rsidRPr="007C6771" w:rsidRDefault="00544F07" w:rsidP="00544F07">
      <w:pPr>
        <w:pStyle w:val="ad"/>
        <w:rPr>
          <w:lang w:val="de-CH"/>
        </w:rPr>
      </w:pPr>
      <w:r w:rsidRPr="007C6771">
        <w:rPr>
          <w:lang w:val="de-CH"/>
        </w:rPr>
        <w:tab/>
      </w:r>
      <w:r w:rsidRPr="00571835">
        <w:rPr>
          <w:rStyle w:val="aa"/>
        </w:rPr>
        <w:footnoteRef/>
      </w:r>
      <w:r w:rsidRPr="007C6771">
        <w:rPr>
          <w:lang w:val="de-CH"/>
        </w:rPr>
        <w:t xml:space="preserve"> </w:t>
      </w:r>
      <w:r w:rsidRPr="007C6771">
        <w:rPr>
          <w:lang w:val="de-CH"/>
        </w:rPr>
        <w:tab/>
      </w:r>
      <w:hyperlink r:id="rId5" w:history="1">
        <w:proofErr w:type="spellStart"/>
        <w:r w:rsidRPr="007C6771">
          <w:rPr>
            <w:rStyle w:val="af1"/>
            <w:lang w:val="de-CH"/>
          </w:rPr>
          <w:t>CCPR</w:t>
        </w:r>
        <w:proofErr w:type="spellEnd"/>
        <w:r w:rsidRPr="007C6771">
          <w:rPr>
            <w:rStyle w:val="af1"/>
            <w:lang w:val="de-CH"/>
          </w:rPr>
          <w:t>/C/</w:t>
        </w:r>
        <w:proofErr w:type="spellStart"/>
        <w:r w:rsidRPr="007C6771">
          <w:rPr>
            <w:rStyle w:val="af1"/>
            <w:lang w:val="de-CH"/>
          </w:rPr>
          <w:t>MNG</w:t>
        </w:r>
        <w:proofErr w:type="spellEnd"/>
        <w:r w:rsidRPr="007C6771">
          <w:rPr>
            <w:rStyle w:val="af1"/>
            <w:lang w:val="de-CH"/>
          </w:rPr>
          <w:t>/Q/7</w:t>
        </w:r>
      </w:hyperlink>
      <w:r w:rsidRPr="007C6771">
        <w:rPr>
          <w:lang w:val="de-CH"/>
        </w:rPr>
        <w:t>.</w:t>
      </w:r>
    </w:p>
  </w:footnote>
  <w:footnote w:id="6">
    <w:p w14:paraId="135C2219" w14:textId="703469F2" w:rsidR="00544F07" w:rsidRPr="00ED1494" w:rsidRDefault="00544F07" w:rsidP="00544F07">
      <w:pPr>
        <w:pStyle w:val="ad"/>
        <w:rPr>
          <w:szCs w:val="18"/>
          <w:lang w:val="de-CH"/>
        </w:rPr>
      </w:pPr>
      <w:r w:rsidRPr="007C6771">
        <w:rPr>
          <w:lang w:val="de-CH"/>
        </w:rPr>
        <w:tab/>
      </w:r>
      <w:r w:rsidRPr="00571835">
        <w:rPr>
          <w:rStyle w:val="aa"/>
        </w:rPr>
        <w:footnoteRef/>
      </w:r>
      <w:r w:rsidRPr="00ED1494">
        <w:rPr>
          <w:lang w:val="de-CH"/>
        </w:rPr>
        <w:t xml:space="preserve"> </w:t>
      </w:r>
      <w:r w:rsidRPr="00ED1494">
        <w:rPr>
          <w:lang w:val="de-CH"/>
        </w:rPr>
        <w:tab/>
      </w:r>
      <w:r w:rsidR="007C6771">
        <w:rPr>
          <w:lang w:val="en-US"/>
        </w:rPr>
        <w:fldChar w:fldCharType="begin"/>
      </w:r>
      <w:r w:rsidR="007C6771" w:rsidRPr="00ED1494">
        <w:rPr>
          <w:lang w:val="de-CH"/>
        </w:rPr>
        <w:instrText>HYPERLINK "https://docs.un.org/ru/CCPR/C/MNG/CO/6"</w:instrText>
      </w:r>
      <w:r w:rsidR="007C6771">
        <w:rPr>
          <w:lang w:val="en-US"/>
        </w:rPr>
      </w:r>
      <w:r w:rsidR="007C6771">
        <w:rPr>
          <w:lang w:val="en-US"/>
        </w:rPr>
        <w:fldChar w:fldCharType="separate"/>
      </w:r>
      <w:r w:rsidRPr="00ED1494">
        <w:rPr>
          <w:rStyle w:val="af1"/>
          <w:lang w:val="de-CH"/>
        </w:rPr>
        <w:t>CCPR/C/MNG/CO/6</w:t>
      </w:r>
      <w:r w:rsidR="007C6771">
        <w:rPr>
          <w:lang w:val="en-US"/>
        </w:rPr>
        <w:fldChar w:fldCharType="end"/>
      </w:r>
      <w:r w:rsidRPr="00ED1494">
        <w:rPr>
          <w:lang w:val="de-CH"/>
        </w:rPr>
        <w:t xml:space="preserve">, </w:t>
      </w:r>
      <w:r>
        <w:t>пп</w:t>
      </w:r>
      <w:r w:rsidRPr="00ED1494">
        <w:rPr>
          <w:lang w:val="de-CH"/>
        </w:rPr>
        <w:t xml:space="preserve">. </w:t>
      </w:r>
      <w:r w:rsidRPr="00ED1494">
        <w:rPr>
          <w:lang w:val="de-CH"/>
        </w:rPr>
        <w:t xml:space="preserve">9 </w:t>
      </w:r>
      <w:r>
        <w:t>и</w:t>
      </w:r>
      <w:r w:rsidRPr="00ED1494">
        <w:rPr>
          <w:lang w:val="de-CH"/>
        </w:rPr>
        <w:t xml:space="preserve"> 10.</w:t>
      </w:r>
    </w:p>
  </w:footnote>
  <w:footnote w:id="7">
    <w:p w14:paraId="5094C6F0" w14:textId="77777777" w:rsidR="00544F07" w:rsidRPr="00406400" w:rsidRDefault="00544F07" w:rsidP="00544F07">
      <w:pPr>
        <w:pStyle w:val="ad"/>
      </w:pPr>
      <w:r w:rsidRPr="00ED1494">
        <w:rPr>
          <w:lang w:val="de-CH"/>
        </w:rPr>
        <w:tab/>
      </w:r>
      <w:r w:rsidRPr="00571835">
        <w:rPr>
          <w:rStyle w:val="aa"/>
        </w:rPr>
        <w:footnoteRef/>
      </w:r>
      <w:r>
        <w:t xml:space="preserve"> </w:t>
      </w:r>
      <w:r>
        <w:tab/>
      </w:r>
      <w:r>
        <w:tab/>
        <w:t>Там же, пп. 11 и 12.</w:t>
      </w:r>
      <w:bookmarkStart w:id="0" w:name="_Hlk193465372"/>
      <w:bookmarkEnd w:id="0"/>
    </w:p>
  </w:footnote>
  <w:footnote w:id="8">
    <w:p w14:paraId="76A0C551" w14:textId="5056E459" w:rsidR="00544F07" w:rsidRPr="00406400" w:rsidRDefault="00544F07" w:rsidP="00544F07">
      <w:pPr>
        <w:pStyle w:val="ad"/>
        <w:widowControl w:val="0"/>
      </w:pPr>
      <w:r>
        <w:tab/>
      </w:r>
      <w:r w:rsidRPr="00571835">
        <w:rPr>
          <w:rStyle w:val="aa"/>
        </w:rPr>
        <w:footnoteRef/>
      </w:r>
      <w:r>
        <w:tab/>
      </w:r>
      <w:hyperlink r:id="rId6" w:history="1">
        <w:proofErr w:type="spellStart"/>
        <w:r w:rsidRPr="007C6771">
          <w:rPr>
            <w:rStyle w:val="af1"/>
          </w:rPr>
          <w:t>CCPR</w:t>
        </w:r>
        <w:proofErr w:type="spellEnd"/>
        <w:r w:rsidRPr="007C6771">
          <w:rPr>
            <w:rStyle w:val="af1"/>
          </w:rPr>
          <w:t>/C/129/2/Add.1</w:t>
        </w:r>
      </w:hyperlink>
      <w:r>
        <w:t>.</w:t>
      </w:r>
    </w:p>
  </w:footnote>
  <w:footnote w:id="9">
    <w:p w14:paraId="10BEB65B" w14:textId="77777777" w:rsidR="00544F07" w:rsidRPr="004D021B" w:rsidRDefault="00544F07" w:rsidP="00544F07">
      <w:pPr>
        <w:pStyle w:val="ad"/>
      </w:pPr>
      <w:r w:rsidRPr="00406400">
        <w:tab/>
      </w:r>
      <w:r w:rsidRPr="00571835">
        <w:rPr>
          <w:rStyle w:val="aa"/>
        </w:rPr>
        <w:footnoteRef/>
      </w:r>
      <w:r>
        <w:t xml:space="preserve"> </w:t>
      </w:r>
      <w:r>
        <w:tab/>
        <w:t>Там же, пп. 19 и 20.</w:t>
      </w:r>
    </w:p>
  </w:footnote>
  <w:footnote w:id="10">
    <w:p w14:paraId="7F667355" w14:textId="77777777" w:rsidR="00544F07" w:rsidRPr="00D6407A" w:rsidRDefault="00544F07" w:rsidP="00544F07">
      <w:pPr>
        <w:pStyle w:val="ad"/>
      </w:pPr>
      <w:r w:rsidRPr="004D021B">
        <w:tab/>
      </w:r>
      <w:r w:rsidRPr="00571835">
        <w:rPr>
          <w:rStyle w:val="aa"/>
        </w:rPr>
        <w:footnoteRef/>
      </w:r>
      <w:r>
        <w:t xml:space="preserve"> </w:t>
      </w:r>
      <w:r>
        <w:tab/>
        <w:t>Там же, пп. 29 и 30.</w:t>
      </w:r>
    </w:p>
  </w:footnote>
  <w:footnote w:id="11">
    <w:p w14:paraId="18637F83" w14:textId="77777777" w:rsidR="00544F07" w:rsidRPr="00406400" w:rsidRDefault="00544F07" w:rsidP="00544F07">
      <w:pPr>
        <w:pStyle w:val="ad"/>
      </w:pPr>
      <w:r w:rsidRPr="00D6407A">
        <w:tab/>
      </w:r>
      <w:r w:rsidRPr="00571835">
        <w:rPr>
          <w:rStyle w:val="aa"/>
        </w:rPr>
        <w:footnoteRef/>
      </w:r>
      <w:r>
        <w:t xml:space="preserve"> </w:t>
      </w:r>
      <w:r>
        <w:tab/>
        <w:t>Там же, п. 30.</w:t>
      </w:r>
    </w:p>
  </w:footnote>
  <w:footnote w:id="12">
    <w:p w14:paraId="3C1F9357" w14:textId="77777777" w:rsidR="00544F07" w:rsidRPr="004D021B" w:rsidRDefault="00544F07" w:rsidP="00544F07">
      <w:pPr>
        <w:pStyle w:val="ad"/>
      </w:pPr>
      <w:r w:rsidRPr="00406400">
        <w:tab/>
      </w:r>
      <w:r w:rsidRPr="00571835">
        <w:rPr>
          <w:rStyle w:val="aa"/>
        </w:rPr>
        <w:footnoteRef/>
      </w:r>
      <w:r>
        <w:t xml:space="preserve"> </w:t>
      </w:r>
      <w:r>
        <w:tab/>
        <w:t>Там же, пп. 37 и 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4ADFC" w14:textId="360925B9" w:rsidR="00544F07" w:rsidRPr="00544F07" w:rsidRDefault="00544F0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ED1494">
      <w:t>CCPR</w:t>
    </w:r>
    <w:proofErr w:type="spellEnd"/>
    <w:r w:rsidR="00ED1494">
      <w:t>/C/</w:t>
    </w:r>
    <w:proofErr w:type="spellStart"/>
    <w:r w:rsidR="00ED1494">
      <w:t>MNG</w:t>
    </w:r>
    <w:proofErr w:type="spellEnd"/>
    <w:r w:rsidR="00ED1494">
      <w:t>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144E" w14:textId="486D62E6" w:rsidR="00544F07" w:rsidRPr="00544F07" w:rsidRDefault="00544F07" w:rsidP="00544F0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ED1494">
      <w:t>CCPR</w:t>
    </w:r>
    <w:proofErr w:type="spellEnd"/>
    <w:r w:rsidR="00ED1494">
      <w:t>/C/</w:t>
    </w:r>
    <w:proofErr w:type="spellStart"/>
    <w:r w:rsidR="00ED1494">
      <w:t>MNG</w:t>
    </w:r>
    <w:proofErr w:type="spellEnd"/>
    <w:r w:rsidR="00ED1494">
      <w:t>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6BD"/>
    <w:rsid w:val="00033EE1"/>
    <w:rsid w:val="000358F2"/>
    <w:rsid w:val="000401F7"/>
    <w:rsid w:val="00042B72"/>
    <w:rsid w:val="000558BD"/>
    <w:rsid w:val="00075A14"/>
    <w:rsid w:val="000B57E7"/>
    <w:rsid w:val="000B6373"/>
    <w:rsid w:val="000D432E"/>
    <w:rsid w:val="000F09DF"/>
    <w:rsid w:val="000F61B2"/>
    <w:rsid w:val="001041E7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34610"/>
    <w:rsid w:val="00544F07"/>
    <w:rsid w:val="005513F3"/>
    <w:rsid w:val="005709E0"/>
    <w:rsid w:val="00572E19"/>
    <w:rsid w:val="005961C8"/>
    <w:rsid w:val="005A3C75"/>
    <w:rsid w:val="005D7914"/>
    <w:rsid w:val="005E2B41"/>
    <w:rsid w:val="005F0B42"/>
    <w:rsid w:val="006311CF"/>
    <w:rsid w:val="00666B97"/>
    <w:rsid w:val="00681A10"/>
    <w:rsid w:val="006A1ED8"/>
    <w:rsid w:val="006B3942"/>
    <w:rsid w:val="006C2031"/>
    <w:rsid w:val="006D461A"/>
    <w:rsid w:val="006E6A50"/>
    <w:rsid w:val="006F27F1"/>
    <w:rsid w:val="006F35EE"/>
    <w:rsid w:val="007021FF"/>
    <w:rsid w:val="007117DB"/>
    <w:rsid w:val="00712895"/>
    <w:rsid w:val="0075523D"/>
    <w:rsid w:val="00757357"/>
    <w:rsid w:val="00787D3A"/>
    <w:rsid w:val="00791B9D"/>
    <w:rsid w:val="007C6771"/>
    <w:rsid w:val="00825F8D"/>
    <w:rsid w:val="00834B71"/>
    <w:rsid w:val="0086445C"/>
    <w:rsid w:val="008670D5"/>
    <w:rsid w:val="00894693"/>
    <w:rsid w:val="008A08D7"/>
    <w:rsid w:val="008B6909"/>
    <w:rsid w:val="008F346F"/>
    <w:rsid w:val="00906890"/>
    <w:rsid w:val="00911BE4"/>
    <w:rsid w:val="00931A71"/>
    <w:rsid w:val="00951972"/>
    <w:rsid w:val="009608F3"/>
    <w:rsid w:val="009918E2"/>
    <w:rsid w:val="009A24AC"/>
    <w:rsid w:val="009D21FD"/>
    <w:rsid w:val="009E29CD"/>
    <w:rsid w:val="00A14DA8"/>
    <w:rsid w:val="00A312BC"/>
    <w:rsid w:val="00A34D07"/>
    <w:rsid w:val="00A8023B"/>
    <w:rsid w:val="00A84021"/>
    <w:rsid w:val="00A84D35"/>
    <w:rsid w:val="00A917B3"/>
    <w:rsid w:val="00AA0425"/>
    <w:rsid w:val="00AB4B51"/>
    <w:rsid w:val="00AD6F87"/>
    <w:rsid w:val="00AE7ACC"/>
    <w:rsid w:val="00B10CC7"/>
    <w:rsid w:val="00B136BD"/>
    <w:rsid w:val="00B136DB"/>
    <w:rsid w:val="00B539E7"/>
    <w:rsid w:val="00B62458"/>
    <w:rsid w:val="00BC18B2"/>
    <w:rsid w:val="00BC1FC8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A4F1E"/>
    <w:rsid w:val="00CB151C"/>
    <w:rsid w:val="00CE5A1A"/>
    <w:rsid w:val="00CF55F6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D1494"/>
    <w:rsid w:val="00EF1360"/>
    <w:rsid w:val="00EF3220"/>
    <w:rsid w:val="00F00593"/>
    <w:rsid w:val="00F13F5C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22A3C0"/>
  <w15:docId w15:val="{987E6800-0C00-492E-B3E5-5A5B65E35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544F0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C6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CPR/C/SR.4196" TargetMode="External"/><Relationship Id="rId2" Type="http://schemas.openxmlformats.org/officeDocument/2006/relationships/hyperlink" Target="https://docs.un.org/ru/CCPR/C/SR.4195" TargetMode="External"/><Relationship Id="rId1" Type="http://schemas.openxmlformats.org/officeDocument/2006/relationships/hyperlink" Target="https://docs.un.org/en/CCPR/C/MNG/7" TargetMode="External"/><Relationship Id="rId6" Type="http://schemas.openxmlformats.org/officeDocument/2006/relationships/hyperlink" Target="https://docs.un.org/ru/CCPR/C/129/2/Add.1" TargetMode="External"/><Relationship Id="rId5" Type="http://schemas.openxmlformats.org/officeDocument/2006/relationships/hyperlink" Target="https://docs.un.org/en/CCPR/C/MNG/Q/7" TargetMode="External"/><Relationship Id="rId4" Type="http://schemas.openxmlformats.org/officeDocument/2006/relationships/hyperlink" Target="https://docs.un.org/en/CCPR/C/MNG/RQ/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15</Pages>
  <Words>5756</Words>
  <Characters>40977</Characters>
  <Application>Microsoft Office Word</Application>
  <DocSecurity>0</DocSecurity>
  <Lines>722</Lines>
  <Paragraphs>136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CCPR/C/MNG/CO/7</vt:lpstr>
      <vt:lpstr>A/</vt:lpstr>
      <vt:lpstr>A/</vt:lpstr>
    </vt:vector>
  </TitlesOfParts>
  <Company>DCM</Company>
  <LinksUpToDate>false</LinksUpToDate>
  <CharactersWithSpaces>46730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CCPR/C/MNG/CO/7</dc:title>
  <dc:subject/>
  <dc:creator>Anna PETELINA</dc:creator>
  <cp:keywords/>
  <cp:lastModifiedBy>Anna Taillandier</cp:lastModifiedBy>
  <cp:revision>3</cp:revision>
  <cp:lastPrinted>2025-06-10T13:23:00Z</cp:lastPrinted>
  <dcterms:created xsi:type="dcterms:W3CDTF">2025-06-10T13:22:00Z</dcterms:created>
  <dcterms:modified xsi:type="dcterms:W3CDTF">2025-06-10T13:23:00Z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