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75E205D9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B5E85A4" w14:textId="77777777" w:rsidR="002D5AAC" w:rsidRDefault="002D5AAC" w:rsidP="0060212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4399C2C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1293BA6" w14:textId="3A5E47A3" w:rsidR="002D5AAC" w:rsidRDefault="0060212F" w:rsidP="0060212F">
            <w:pPr>
              <w:jc w:val="right"/>
            </w:pPr>
            <w:r w:rsidRPr="0060212F">
              <w:rPr>
                <w:sz w:val="40"/>
              </w:rPr>
              <w:t>E</w:t>
            </w:r>
            <w:r>
              <w:t>/C.12/KWT/CO/3</w:t>
            </w:r>
          </w:p>
        </w:tc>
      </w:tr>
      <w:tr w:rsidR="002D5AAC" w14:paraId="4802D3DE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075F06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34FBBAE" wp14:editId="04DFEBF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D5597F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39BE3E3" w14:textId="77777777" w:rsidR="002D5AAC" w:rsidRDefault="0060212F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81C4279" w14:textId="77777777" w:rsidR="0060212F" w:rsidRDefault="0060212F" w:rsidP="0060212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November 2021</w:t>
            </w:r>
          </w:p>
          <w:p w14:paraId="58BEABDF" w14:textId="77777777" w:rsidR="0060212F" w:rsidRDefault="0060212F" w:rsidP="0060212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7D741C3" w14:textId="62129C54" w:rsidR="0060212F" w:rsidRPr="00D62A45" w:rsidRDefault="0060212F" w:rsidP="0060212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41C07E2" w14:textId="50ACA61B" w:rsidR="00072E92" w:rsidRPr="00072E92" w:rsidRDefault="00072E92" w:rsidP="00072E92">
      <w:pPr>
        <w:spacing w:before="120"/>
        <w:rPr>
          <w:b/>
          <w:sz w:val="24"/>
          <w:szCs w:val="24"/>
        </w:rPr>
      </w:pPr>
      <w:r w:rsidRPr="00072E92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072E92">
        <w:rPr>
          <w:b/>
          <w:bCs/>
          <w:sz w:val="24"/>
          <w:szCs w:val="24"/>
        </w:rPr>
        <w:t>и культурным правам</w:t>
      </w:r>
    </w:p>
    <w:p w14:paraId="22675993" w14:textId="77777777" w:rsidR="00072E92" w:rsidRPr="0044713A" w:rsidRDefault="00072E92" w:rsidP="00072E9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Кувейта</w:t>
      </w:r>
      <w:r w:rsidRPr="00072E92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71E4192B" w14:textId="19A296D5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1.</w:t>
      </w:r>
      <w:r>
        <w:tab/>
        <w:t>Комитет рассмотрел третий периодический доклад Кувейта</w:t>
      </w:r>
      <w:r w:rsidRPr="00AD1738">
        <w:rPr>
          <w:rStyle w:val="a8"/>
        </w:rPr>
        <w:footnoteReference w:id="2"/>
      </w:r>
      <w:r>
        <w:t xml:space="preserve"> на своих </w:t>
      </w:r>
      <w:r>
        <w:br/>
      </w:r>
      <w:r>
        <w:t>30-м и 32-м заседаниях</w:t>
      </w:r>
      <w:r w:rsidRPr="00AD1738">
        <w:rPr>
          <w:rStyle w:val="a8"/>
        </w:rPr>
        <w:footnoteReference w:id="3"/>
      </w:r>
      <w:r>
        <w:t xml:space="preserve">, состоявшихся 28 и 29 сентября 2021 года, и на своем </w:t>
      </w:r>
      <w:r>
        <w:br/>
      </w:r>
      <w:r>
        <w:t>57-м заседании, состоявшемся 15 октября 2021 года, принял настоящие заключительные замечания.</w:t>
      </w:r>
    </w:p>
    <w:p w14:paraId="56A66C5F" w14:textId="77777777" w:rsidR="00072E92" w:rsidRPr="0044713A" w:rsidRDefault="00072E92" w:rsidP="00072E92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49986C20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2.</w:t>
      </w:r>
      <w:r>
        <w:tab/>
        <w:t>Комитет приветствует представление третьего периодического доклада государства-участника и дополнительную информацию, представленную в ответах на перечень вопросов</w:t>
      </w:r>
      <w:r w:rsidRPr="00AD1738">
        <w:rPr>
          <w:rStyle w:val="a8"/>
        </w:rPr>
        <w:footnoteReference w:id="4"/>
      </w:r>
      <w:r>
        <w:t>, а также обновленный общий базовый документ государства-участника. Комитет выражает признательность за конструктивный диалог, состоявшийся с делегацией государства-участника.</w:t>
      </w:r>
    </w:p>
    <w:p w14:paraId="7778EBE0" w14:textId="77777777" w:rsidR="00072E92" w:rsidRPr="0044713A" w:rsidRDefault="00072E92" w:rsidP="00072E92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74FDF1EC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3.</w:t>
      </w:r>
      <w:r>
        <w:tab/>
        <w:t>Комитет приветствует законодательные, институциональные и политические меры, принятые государством-участником для более активного осуществления экономических, социальных и культурных прав, о которых говорится в настоящих заключительных замечаниях. В частности, Комитет приветствует прогресс, достигнутый в отношении некоторых трудовых прав домашних работников и принятие законов о защите от насилия в семье и от сексуальных домогательств на рабочем месте. Комитет также приветствует деятельность государства-участника в области международного сотрудничества и предоставления помощи, в том числе финансовой, в контексте пандемии коронавирусного заболевания (COVID-19), а также объявленную властями амнистию для трудящихся-мигрантов, которые из-за пандемии превысили сроки пребывания в стране согласно их визам.</w:t>
      </w:r>
    </w:p>
    <w:p w14:paraId="4D36ED2F" w14:textId="33701922" w:rsidR="00072E92" w:rsidRPr="0044713A" w:rsidRDefault="00072E92" w:rsidP="00072E92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4F36070E" w14:textId="77777777" w:rsidR="00072E92" w:rsidRPr="0044713A" w:rsidRDefault="00072E92" w:rsidP="00072E92">
      <w:pPr>
        <w:pStyle w:val="H23G"/>
      </w:pPr>
      <w:r>
        <w:tab/>
      </w:r>
      <w:r>
        <w:tab/>
      </w:r>
      <w:r>
        <w:rPr>
          <w:bCs/>
        </w:rPr>
        <w:t>Применение Пакта во внутреннем праве</w:t>
      </w:r>
    </w:p>
    <w:p w14:paraId="66B97BE6" w14:textId="6351BEC3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4.</w:t>
      </w:r>
      <w:r>
        <w:tab/>
        <w:t xml:space="preserve">Отмечая, что, согласно конституционному принципу, международные договоры, ратифицированные государством-участником, являются неотъемлемой </w:t>
      </w:r>
      <w:r>
        <w:lastRenderedPageBreak/>
        <w:t>частью его национального законодательства, Комитет, однако, обеспокоен тем, что некоторые права, закрепленные в Пакте, не включены в него в полной мере. Он также обеспокоен отсутствием примеров ссылок на положения Пакта в судах (пункт 1 статьи</w:t>
      </w:r>
      <w:r>
        <w:rPr>
          <w:lang w:val="en-US"/>
        </w:rPr>
        <w:t> </w:t>
      </w:r>
      <w:r>
        <w:t>2).</w:t>
      </w:r>
    </w:p>
    <w:p w14:paraId="74D32242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в полной мере включить все закрепленные в Пакте права в свое национальное законодательство и принять меры для повышения осведомленности судей, адвокатов и государственных служащих о нем и о возможности защиты предусмотренных в нем прав в судебном порядке, в том числе за счет проведения учебных мероприятий.</w:t>
      </w:r>
    </w:p>
    <w:p w14:paraId="62D639E8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Оговорки и заявления о толковании</w:t>
      </w:r>
    </w:p>
    <w:p w14:paraId="4F7863E7" w14:textId="52101D2C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6.</w:t>
      </w:r>
      <w:r>
        <w:tab/>
        <w:t>Комитет обеспокоен тем, что оговорка государства-участника к пункту 1 d) статьи 8 усиливает неопределенность, препятствующую осуществлению права на забастовку. Комитет также обеспокоен тем, что государство-участник сохраняет свое заявление о толковании пункта 2 статьи 2 и статьи 3 Пакта относительно недискриминации и равенства мужчин и женщин, что равносильно оговорке, несовместимой с объектом и целью Пакта. Учитывая, что около 70</w:t>
      </w:r>
      <w:r>
        <w:rPr>
          <w:lang w:val="en-US"/>
        </w:rPr>
        <w:t> </w:t>
      </w:r>
      <w:r>
        <w:t>% населения государства-участника составляют лица, не являющиеся гражданами Кувейта, Комитет также обеспокоен тем пагубным воздействием, которое заявление государства-участника, сделанное в отношении статьи 9 Пакта, оказывает на осуществление экономических, социальных и культурных прав значительной части его населения (пункт 1 статьи 2).</w:t>
      </w:r>
    </w:p>
    <w:p w14:paraId="589D80F7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пересмотреть свои оговорки и заявления о толковании, сделанные при ратификации Пакта, и предоставить негражданам доступ к существующим в стране накопительным системам социального обеспечения для получения пенсий по старости и пособий по безработице.</w:t>
      </w:r>
      <w:r>
        <w:t xml:space="preserve"> </w:t>
      </w:r>
      <w:r>
        <w:rPr>
          <w:b/>
          <w:bCs/>
        </w:rPr>
        <w:t>Комитет напоминает государству-участнику, что культурные и другие местные обычаи не являются оправданием каких-либо форм дискриминации.</w:t>
      </w:r>
      <w:r>
        <w:t xml:space="preserve"> </w:t>
      </w:r>
      <w:r>
        <w:rPr>
          <w:b/>
          <w:bCs/>
        </w:rPr>
        <w:t>Комитет также обращает внимание государства-участника на свое замечание общего порядка № 19 (2008) о праве на социальное обеспечение.</w:t>
      </w:r>
    </w:p>
    <w:p w14:paraId="2D695AB9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3DCA40A0" w14:textId="78D623EF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8.</w:t>
      </w:r>
      <w:r>
        <w:tab/>
        <w:t>Отмечая создание в 2015 году Национального управления по правам человека на основании Закона № 67, Комитет</w:t>
      </w:r>
      <w:r w:rsidR="004D32AD" w:rsidRPr="004D32AD">
        <w:t>,</w:t>
      </w:r>
      <w:r>
        <w:t xml:space="preserve"> тем не менее</w:t>
      </w:r>
      <w:r w:rsidR="004D32AD" w:rsidRPr="004D32AD">
        <w:t>,</w:t>
      </w:r>
      <w:r>
        <w:t xml:space="preserve"> обеспокоен тем, что структура Управления не соответствует принципам, касающимся статуса национальных учреждений, занимающихся поощрением и защитой прав человека (Парижские принципы), в частности, в том, что касается его независимости от правительства. Кроме того, хотя Комитет был проинформирован о том, что в состав Управления входит комиссия по экономическим, социальным и культурным правам, он отмечает, что статья 9 Закона № 67 прямо не предусматривает создание постоянного комитета по экономическим, социальным и культурным правам (пункт 1 статьи 2).</w:t>
      </w:r>
    </w:p>
    <w:p w14:paraId="131E16AA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принять правовые, структурные и бюджетные меры для укрепления и гарантирования независимости Национального управления по правам человека в соответствии с Парижскими принципами.</w:t>
      </w:r>
      <w:r>
        <w:t xml:space="preserve"> </w:t>
      </w:r>
      <w:r>
        <w:rPr>
          <w:b/>
          <w:bCs/>
        </w:rPr>
        <w:t>Комитет далее рекомендует государству-участнику принять меры для обеспечения того, чтобы мандат Управления четко распространялся на все экономические, социальные и культурные права, закрепленные в Пакте.</w:t>
      </w:r>
    </w:p>
    <w:p w14:paraId="045837C0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Изменение климата</w:t>
      </w:r>
    </w:p>
    <w:p w14:paraId="475F78DF" w14:textId="4912732A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10.</w:t>
      </w:r>
      <w:r>
        <w:tab/>
        <w:t>Комитет с обеспокоенностью отмечает тот факт, что государство-</w:t>
      </w:r>
      <w:r>
        <w:t>участник</w:t>
      </w:r>
      <w:r>
        <w:t xml:space="preserve"> не предоставило подробной информации о прогрессе, достигнутом в выполнении его обязательств по Парижскому соглашению и в установлении количественных целевых показателей сокращения выбросов парниковых газов, а также о шагах, предпринятых для мониторинга экологических показателей государственных учреждений (пункт 1 статьи 2).</w:t>
      </w:r>
    </w:p>
    <w:p w14:paraId="66E945A2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lastRenderedPageBreak/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E213D4F" w14:textId="63D8F0E4" w:rsidR="00072E92" w:rsidRPr="00072E92" w:rsidRDefault="00072E92" w:rsidP="00072E92">
      <w:pPr>
        <w:pStyle w:val="SingleTxtG"/>
        <w:rPr>
          <w:b/>
          <w:bCs/>
        </w:rPr>
      </w:pPr>
      <w:r>
        <w:tab/>
      </w:r>
      <w:r w:rsidRPr="00072E92">
        <w:rPr>
          <w:b/>
          <w:bCs/>
        </w:rPr>
        <w:t>a)</w:t>
      </w:r>
      <w:r w:rsidRPr="00072E92">
        <w:rPr>
          <w:b/>
          <w:bCs/>
        </w:rPr>
        <w:tab/>
        <w:t>принять конкретные меры для реализации своих определяемых на национальном уровне вкладов в рамках Парижского соглашения и отслеживать прогресс в этой области;</w:t>
      </w:r>
    </w:p>
    <w:p w14:paraId="7C39B0EC" w14:textId="149E447B" w:rsidR="00072E92" w:rsidRPr="00072E92" w:rsidRDefault="00072E92" w:rsidP="00072E92">
      <w:pPr>
        <w:pStyle w:val="SingleTxtG"/>
        <w:rPr>
          <w:b/>
          <w:bCs/>
        </w:rPr>
      </w:pPr>
      <w:r w:rsidRPr="00072E92">
        <w:rPr>
          <w:b/>
          <w:bCs/>
        </w:rPr>
        <w:tab/>
      </w:r>
      <w:r w:rsidRPr="00072E92">
        <w:rPr>
          <w:b/>
          <w:bCs/>
        </w:rPr>
        <w:t xml:space="preserve">b) </w:t>
      </w:r>
      <w:r w:rsidRPr="00072E92">
        <w:rPr>
          <w:b/>
          <w:bCs/>
        </w:rPr>
        <w:tab/>
        <w:t>установить количественные целевые показатели сокращения выбросов парниковых газов и активизировать усилия для их достижения;</w:t>
      </w:r>
    </w:p>
    <w:p w14:paraId="4C455AE6" w14:textId="35D14C77" w:rsidR="00072E92" w:rsidRPr="00072E92" w:rsidRDefault="00072E92" w:rsidP="00072E92">
      <w:pPr>
        <w:pStyle w:val="SingleTxtG"/>
        <w:rPr>
          <w:b/>
          <w:bCs/>
        </w:rPr>
      </w:pPr>
      <w:r w:rsidRPr="00072E92">
        <w:rPr>
          <w:b/>
          <w:bCs/>
        </w:rPr>
        <w:tab/>
      </w:r>
      <w:r w:rsidRPr="00072E92">
        <w:rPr>
          <w:b/>
          <w:bCs/>
        </w:rPr>
        <w:t xml:space="preserve">c) </w:t>
      </w:r>
      <w:r w:rsidRPr="00072E92">
        <w:rPr>
          <w:b/>
          <w:bCs/>
        </w:rPr>
        <w:tab/>
        <w:t xml:space="preserve">включить определяемые на национальном уровне вклады в планы и стратегии развития, разработанные в рамках концепции </w:t>
      </w:r>
      <w:r>
        <w:rPr>
          <w:b/>
          <w:bCs/>
        </w:rPr>
        <w:t>«</w:t>
      </w:r>
      <w:r w:rsidRPr="00072E92">
        <w:rPr>
          <w:b/>
          <w:bCs/>
        </w:rPr>
        <w:t>Новые перспективы Кувейта</w:t>
      </w:r>
      <w:r>
        <w:rPr>
          <w:b/>
          <w:bCs/>
        </w:rPr>
        <w:t>»</w:t>
      </w:r>
      <w:r w:rsidRPr="00072E92">
        <w:rPr>
          <w:b/>
          <w:bCs/>
        </w:rPr>
        <w:t xml:space="preserve"> на период до 2035 года;</w:t>
      </w:r>
    </w:p>
    <w:p w14:paraId="1BBD0B7D" w14:textId="598C6D10" w:rsidR="00072E92" w:rsidRPr="0044713A" w:rsidRDefault="00072E92" w:rsidP="00072E92">
      <w:pPr>
        <w:pStyle w:val="SingleTxtG"/>
      </w:pPr>
      <w:r w:rsidRPr="00072E92">
        <w:rPr>
          <w:b/>
          <w:bCs/>
        </w:rPr>
        <w:tab/>
      </w:r>
      <w:r w:rsidRPr="00072E92">
        <w:rPr>
          <w:b/>
          <w:bCs/>
        </w:rPr>
        <w:t xml:space="preserve">d) </w:t>
      </w:r>
      <w:r w:rsidRPr="00072E92">
        <w:rPr>
          <w:b/>
          <w:bCs/>
        </w:rPr>
        <w:tab/>
        <w:t>обесп</w:t>
      </w:r>
      <w:r>
        <w:rPr>
          <w:b/>
          <w:bCs/>
        </w:rPr>
        <w:t>ечить назначение Высшим советом по охране окружающей среды наблюдателей для мониторинга экологических показателей государственных учреждений и создание механизмов для принятия последующих мер в соответствии со сделанными ими выводами.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заявление об изменении климата и Пакте</w:t>
      </w:r>
      <w:r w:rsidRPr="00AD1738">
        <w:rPr>
          <w:rStyle w:val="a8"/>
        </w:rPr>
        <w:footnoteReference w:id="5"/>
      </w:r>
      <w:r>
        <w:rPr>
          <w:b/>
          <w:bCs/>
        </w:rPr>
        <w:t>, принятое 8 октября 2018 года.</w:t>
      </w:r>
    </w:p>
    <w:p w14:paraId="3E6E7D65" w14:textId="78AFAF6B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Предпринимательская деятельность и экономические, социальные и</w:t>
      </w:r>
      <w:r>
        <w:rPr>
          <w:bCs/>
        </w:rPr>
        <w:t> </w:t>
      </w:r>
      <w:r>
        <w:rPr>
          <w:bCs/>
        </w:rPr>
        <w:t>культурные права</w:t>
      </w:r>
    </w:p>
    <w:p w14:paraId="2FCD745E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12.</w:t>
      </w:r>
      <w:r>
        <w:tab/>
        <w:t>Комитет обеспокоен непринятием государством-участником конкретных мер для обеспечения того, чтобы государственные и частные коммерческие предприятия, находящиеся под его юрисдикцией, проявляли должную осмотрительность и обеспечивали соблюдение экономических, социальных и культурных прав в ходе всей своей деятельности, включая зарубежные операции, а также для контроля за ними в этой связи (пункт 1 статьи 2).</w:t>
      </w:r>
    </w:p>
    <w:p w14:paraId="77F60A78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законодательные, административные, просветительные и другие соответствующие меры для обеспечения контроля и эффективной защиты от нарушений прав, закрепленных в Пакте, связанных с предпринимательской деятельностью, в том числе за рубежом, со стороны государственных и частных компаний, находящихся под юрисдикцией государства-участника.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предоставление доступа к эффективным средствам правовой защиты жертвам нарушений прав, закрепленных в Пакте, со стороны корпораций.</w:t>
      </w:r>
      <w:r>
        <w:t xml:space="preserve"> </w:t>
      </w:r>
      <w:r>
        <w:rPr>
          <w:b/>
          <w:bCs/>
        </w:rPr>
        <w:t>Комитет далее рекомендует государству-участнику разработать правовые рамки, требующие от государственных и частных компаний, находящихся под его юрисдикцией: проявлять должную осмотрительность в области прав человека, с тем чтобы выявлять, предотвращать и смягчать риски нарушений прав, закрепленных в Пакте;</w:t>
      </w:r>
      <w:r>
        <w:t xml:space="preserve"> </w:t>
      </w:r>
      <w:r>
        <w:rPr>
          <w:b/>
          <w:bCs/>
        </w:rPr>
        <w:t>и нести ответственность за негативные последствия для осуществления этих прав, полностью или частично порожденные их решениями и деятельностью, а также решениями и деятельностью организаций, находящихся под их контролем.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24 (2017) об обязательствах государств по Пакту в контексте предпринимательской деятельности.</w:t>
      </w:r>
    </w:p>
    <w:p w14:paraId="34FC9302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Недискриминация</w:t>
      </w:r>
    </w:p>
    <w:p w14:paraId="58A07F7A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14.</w:t>
      </w:r>
      <w:r>
        <w:tab/>
        <w:t>Комитет обеспокоен тем, что конституционные гарантии недискриминации не включают запрещение дискриминации по всем признакам, перечисленным в пункте 2 статьи 2 Пакта. Комитет также обеспокоен отсутствием всеобъемлющего антидискриминационного законодательства, предусматривающего наказание за дискриминацию по всем признакам и обеспечивающего доступ к экономическим, социальным и культурным правам без какой-либо дискриминации (статья 2).</w:t>
      </w:r>
    </w:p>
    <w:p w14:paraId="43B4018F" w14:textId="77777777" w:rsidR="00072E92" w:rsidRDefault="00072E92">
      <w:pPr>
        <w:suppressAutoHyphens w:val="0"/>
        <w:spacing w:line="240" w:lineRule="auto"/>
        <w:rPr>
          <w:rFonts w:eastAsia="Times New Roman" w:cs="Times New Roman"/>
          <w:szCs w:val="20"/>
          <w:lang w:eastAsia="ru-RU"/>
        </w:rPr>
      </w:pPr>
      <w:r>
        <w:br w:type="page"/>
      </w:r>
    </w:p>
    <w:p w14:paraId="20475DAA" w14:textId="5F1BAC76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lastRenderedPageBreak/>
        <w:t>15.</w:t>
      </w:r>
      <w:r>
        <w:tab/>
      </w:r>
      <w:r>
        <w:rPr>
          <w:b/>
          <w:bCs/>
        </w:rPr>
        <w:t>Комитет рекомендует государству-участнику принять всеобъемлющее антидискриминационное законодательство, определяющее, запрещающее и наказывающее дискриминацию по всем признакам, в полном соответствии с пунктом 2 статьи 2 Пакта.</w:t>
      </w:r>
      <w:r>
        <w:t xml:space="preserve"> </w:t>
      </w:r>
      <w:r>
        <w:rPr>
          <w:b/>
          <w:bCs/>
        </w:rPr>
        <w:t>Комитет далее рекомендует государству-участнику включить в свой следующий периодический доклад подробную информацию о фактическом осуществлении экономических, социальных и культурных прав различными группами населения, включая статистические данные в разбивке по году, полу и другим соответствующим критериям.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20 (2009) о недискриминации экономических, социальных и культурных прав.</w:t>
      </w:r>
    </w:p>
    <w:p w14:paraId="6CE0FD46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Дискриминация в отношении бедуинов</w:t>
      </w:r>
    </w:p>
    <w:p w14:paraId="0E616151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16.</w:t>
      </w:r>
      <w:r>
        <w:tab/>
        <w:t>Комитет обеспокоен медленным прогрессом в выполнении его предыдущих рекомендаций, касающихся признания статуса бедуинов, с тем чтобы они могли в полной мере пользоваться своими экономическими, социальными и культурными правами без какой-либо дискриминации (статья 2).</w:t>
      </w:r>
    </w:p>
    <w:p w14:paraId="48DF0FB5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принять меры для ускорения выполнения его предыдущих рекомендаций</w:t>
      </w:r>
      <w:r w:rsidRPr="00AD1738">
        <w:rPr>
          <w:rStyle w:val="a8"/>
        </w:rPr>
        <w:footnoteReference w:id="6"/>
      </w:r>
      <w:r>
        <w:rPr>
          <w:b/>
          <w:bCs/>
        </w:rPr>
        <w:t xml:space="preserve"> по поиску постоянного решения проблемы статуса бедуинов, с тем чтобы они могли в полной мере пользоваться своими правами, закрепленными в Пакте.</w:t>
      </w:r>
    </w:p>
    <w:p w14:paraId="306A5DD5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Равенство мужчин и женщин</w:t>
      </w:r>
    </w:p>
    <w:p w14:paraId="7B9E8E5D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18.</w:t>
      </w:r>
      <w:r>
        <w:tab/>
        <w:t>Комитет признает ряд позитивных мер, принятых государством-участником для улучшения положения женщин, включая выдвижение инициатив по расширению их прав и возможностей в частном и государственном секторах и принятие в 2020 году закона о защите от насилия в семье и соответствующих подзаконных актов. Ссылаясь на пункты 6 и 7 выше, Комитет, однако, обеспокоен тем, что дискриминационные положения некоторых законов в государстве-участнике по-прежнему препятствуют осуществлению женщинами экономических, социальных и культурных прав наравне с мужчинами. Речь идет, в частности, о положениях Закона о личном статусе, касающихся таких вопросов, как гражданство, брак, наследование, полигамия и родительские права (статья 3).</w:t>
      </w:r>
    </w:p>
    <w:p w14:paraId="0CC88BC3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4A662A1" w14:textId="6D3AA056" w:rsidR="00072E92" w:rsidRPr="00072E92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a)</w:t>
      </w:r>
      <w:r w:rsidRPr="00072E92">
        <w:rPr>
          <w:b/>
          <w:bCs/>
        </w:rPr>
        <w:tab/>
        <w:t>исключить из своих законов положения, имеющие дискриминационный характер по отношению к женщинам и девочкам, включая положения, ограничивающие женщин в возможности передавать свое гражданство супругам или детям, не являющимся гражданами Кувейта, и</w:t>
      </w:r>
      <w:r>
        <w:rPr>
          <w:b/>
          <w:bCs/>
        </w:rPr>
        <w:t> </w:t>
      </w:r>
      <w:r w:rsidRPr="00072E92">
        <w:rPr>
          <w:b/>
          <w:bCs/>
        </w:rPr>
        <w:t>оставлять наследство своим детям;</w:t>
      </w:r>
    </w:p>
    <w:p w14:paraId="7E226319" w14:textId="47440E86" w:rsidR="00072E92" w:rsidRPr="00072E92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b)</w:t>
      </w:r>
      <w:r w:rsidRPr="00072E92">
        <w:rPr>
          <w:b/>
          <w:bCs/>
        </w:rPr>
        <w:tab/>
        <w:t>обеспечить, чтобы женщины имели равные с мужчинами права при вступлении в брак, во время брака, при получении развода и после развода, в</w:t>
      </w:r>
      <w:r>
        <w:rPr>
          <w:b/>
          <w:bCs/>
        </w:rPr>
        <w:t> </w:t>
      </w:r>
      <w:r w:rsidRPr="00072E92">
        <w:rPr>
          <w:b/>
          <w:bCs/>
        </w:rPr>
        <w:t xml:space="preserve">частности </w:t>
      </w:r>
      <w:r>
        <w:rPr>
          <w:b/>
          <w:bCs/>
        </w:rPr>
        <w:t>⸺</w:t>
      </w:r>
      <w:r w:rsidRPr="00072E92">
        <w:rPr>
          <w:b/>
          <w:bCs/>
        </w:rPr>
        <w:t xml:space="preserve"> отменить требование о мужской опеке над женщинами, и установить минимальный возраст вступления в брак не менее 18 лет как для девочек, так и для мальчиков;</w:t>
      </w:r>
    </w:p>
    <w:p w14:paraId="0840A129" w14:textId="440D86FE" w:rsidR="00072E92" w:rsidRPr="00072E92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c)</w:t>
      </w:r>
      <w:r w:rsidRPr="00072E92">
        <w:rPr>
          <w:b/>
          <w:bCs/>
        </w:rPr>
        <w:tab/>
        <w:t>обеспечить, чтобы лица, совершающие акты насилия в семье, несли соответствующее наказание;</w:t>
      </w:r>
    </w:p>
    <w:p w14:paraId="327344BD" w14:textId="1F16AD92" w:rsidR="00072E92" w:rsidRPr="0044713A" w:rsidRDefault="00072E92" w:rsidP="00072E92">
      <w:pPr>
        <w:pStyle w:val="SingleTxtG"/>
      </w:pPr>
      <w:r>
        <w:rPr>
          <w:b/>
          <w:bCs/>
        </w:rPr>
        <w:tab/>
      </w:r>
      <w:r w:rsidRPr="00072E92">
        <w:rPr>
          <w:b/>
          <w:bCs/>
        </w:rPr>
        <w:t>d)</w:t>
      </w:r>
      <w:r w:rsidRPr="00072E92">
        <w:rPr>
          <w:b/>
          <w:bCs/>
        </w:rPr>
        <w:tab/>
      </w:r>
      <w:r>
        <w:rPr>
          <w:b/>
          <w:bCs/>
        </w:rPr>
        <w:t>выполнить, в той мере, в какой они касаются экономических, социальных и культурных прав и конституционной и законодательной базы государства-участника, рекомендации, вынесенные Комитетом по ликвидации дискриминации в отношении женщин в 2017 году</w:t>
      </w:r>
      <w:r w:rsidRPr="00AD1738">
        <w:rPr>
          <w:rStyle w:val="a8"/>
        </w:rPr>
        <w:footnoteReference w:id="7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 xml:space="preserve">Комитет также обращает внимание государства-участника на свое замечание общего порядка № 16 (2005) </w:t>
      </w:r>
      <w:r>
        <w:rPr>
          <w:b/>
          <w:bCs/>
        </w:rPr>
        <w:lastRenderedPageBreak/>
        <w:t>о равном для мужчин и женщин праве пользования всеми экономическими, социальными и культурными правами.</w:t>
      </w:r>
    </w:p>
    <w:p w14:paraId="0B20CBE6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Трудящиеся-мигранты</w:t>
      </w:r>
    </w:p>
    <w:p w14:paraId="043AE3BE" w14:textId="7C7587E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20.</w:t>
      </w:r>
      <w:r>
        <w:tab/>
        <w:t>Комитет приветствует предпринятые государством-участником инициативы по предоставлению профессиональной и юридической подготовки прибывающим трудящимся-мигрантам в стране их происхождения, направленные на то, чтобы они были лучше подготовлены к любым злоупотреблениям или дискриминации, с</w:t>
      </w:r>
      <w:r>
        <w:t> </w:t>
      </w:r>
      <w:r>
        <w:t xml:space="preserve">которыми они могут столкнуться. Комитет также приветствует создание приюта для трудящихся женщин-мигрантов и планы по созданию такого приюта для находящихся в таком же положении мужчин. Комитет, однако, обеспокоен сообщениями, указывающими на то, что трудовые права трудящихся-мигрантов по-прежнему нарушаются и что существующее до сих пор преступление </w:t>
      </w:r>
      <w:r>
        <w:t>«</w:t>
      </w:r>
      <w:r>
        <w:t>побега</w:t>
      </w:r>
      <w:r>
        <w:t>»</w:t>
      </w:r>
      <w:r>
        <w:t xml:space="preserve"> делает их уязвимыми для злоупотреблений и принудительного труда. Комитет также обеспокоен административным решением о том, что разрешения на работу для трудящихся-мигрантов старше 60 лет, имеющих только аттестат о среднем общем образовании или ниже, не будут продлеваться (статья 7).</w:t>
      </w:r>
    </w:p>
    <w:p w14:paraId="623F9171" w14:textId="3C6A85B9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21.</w:t>
      </w:r>
      <w:r>
        <w:tab/>
      </w:r>
      <w:r>
        <w:rPr>
          <w:b/>
          <w:bCs/>
        </w:rPr>
        <w:t xml:space="preserve">Комитет рекомендует государству-участнику принять необходимые законодательные меры для отмены уголовного наказания за </w:t>
      </w:r>
      <w:r>
        <w:rPr>
          <w:b/>
          <w:bCs/>
        </w:rPr>
        <w:t>«</w:t>
      </w:r>
      <w:r>
        <w:rPr>
          <w:b/>
          <w:bCs/>
        </w:rPr>
        <w:t>побег</w:t>
      </w:r>
      <w:r>
        <w:rPr>
          <w:b/>
          <w:bCs/>
        </w:rPr>
        <w:t>»</w:t>
      </w:r>
      <w:r>
        <w:rPr>
          <w:b/>
          <w:bCs/>
        </w:rPr>
        <w:t xml:space="preserve"> и обеспечить, чтобы процедура найма и трудоустройства иностранных трудящихся гарантировала соблюдение на практике экономических, социальных и культурных прав трудящихся-мигрантов и обеспечивала их защиту от злоупотреблений и эксплуатации.</w:t>
      </w:r>
      <w:r>
        <w:t xml:space="preserve"> </w:t>
      </w:r>
      <w:r>
        <w:rPr>
          <w:b/>
          <w:bCs/>
        </w:rPr>
        <w:t>Комитет также рекомендует государству-участнику:</w:t>
      </w:r>
    </w:p>
    <w:p w14:paraId="3BBB7657" w14:textId="43EB9723" w:rsidR="00072E92" w:rsidRPr="00072E92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 xml:space="preserve">a) </w:t>
      </w:r>
      <w:r w:rsidRPr="00072E92">
        <w:rPr>
          <w:b/>
          <w:bCs/>
        </w:rPr>
        <w:tab/>
        <w:t>расширить возможности трудовых инспекций по регулярному мониторингу условий труда в компаниях, действующих на территории государства-участника, обеспечить эффективное применение санкций за нарушение прав трудящихся, и предоставить всем трудящимся-мигрантам реальный доступ к судам, трибуналам и другим механизмам разрешения споров;</w:t>
      </w:r>
    </w:p>
    <w:p w14:paraId="21B7BCBA" w14:textId="4011FB0C" w:rsidR="00072E92" w:rsidRPr="0044713A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 xml:space="preserve">b) </w:t>
      </w:r>
      <w:r w:rsidRPr="00072E92">
        <w:rPr>
          <w:b/>
          <w:bCs/>
        </w:rPr>
        <w:tab/>
        <w:t>отменить административное решение, согласно которому трудящимся-мигрантам старше 60 лет, имеющим только аттестат о среднем общем о</w:t>
      </w:r>
      <w:r>
        <w:rPr>
          <w:b/>
          <w:bCs/>
        </w:rPr>
        <w:t>бразовании или ниже, не продлеваются разрешения на работу.</w:t>
      </w:r>
    </w:p>
    <w:p w14:paraId="20CFEC3C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Домашние работники из числа трудящихся-мигрантов</w:t>
      </w:r>
    </w:p>
    <w:p w14:paraId="63A68A45" w14:textId="56ED5C0E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22.</w:t>
      </w:r>
      <w:r>
        <w:tab/>
        <w:t>Приветствуя гарантии защиты, предоставляемые домашним работникам из числа трудящихся-мигрантов в соответствии с Законом о домашних работниках № 68 от 2015 года, Комитет</w:t>
      </w:r>
      <w:r w:rsidR="00421057" w:rsidRPr="00421057">
        <w:t>,</w:t>
      </w:r>
      <w:r>
        <w:t xml:space="preserve"> тем не менее</w:t>
      </w:r>
      <w:r w:rsidR="00421057" w:rsidRPr="00421057">
        <w:t>,</w:t>
      </w:r>
      <w:r>
        <w:t xml:space="preserve"> обеспокоен продолжающими поступать сообщениями об эксплуатации и злоупотреблениях в отношении таких домашних работников со стороны работодателей, а также недостаточной эффективностью механизмов, созданных для обеспечения соблюдения этих гарантий (статья 7).</w:t>
      </w:r>
    </w:p>
    <w:p w14:paraId="0713560E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принять меры для эффективного применения законодательства, обеспечивающего защиту домашних работников из числа трудящихся-мигрантов, в том числе путем введения сдерживающих мер для работодателей, нарушающих это законодательство, и обеспечения их реального наказания.</w:t>
      </w:r>
      <w:r>
        <w:t xml:space="preserve"> </w:t>
      </w:r>
      <w:r>
        <w:rPr>
          <w:b/>
          <w:bCs/>
        </w:rPr>
        <w:t>Комитет далее рекомендует государству-участнику:</w:t>
      </w:r>
    </w:p>
    <w:p w14:paraId="0BD91A86" w14:textId="4CA741A6" w:rsidR="00072E92" w:rsidRPr="00072E92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a)</w:t>
      </w:r>
      <w:r w:rsidRPr="00072E92">
        <w:rPr>
          <w:b/>
          <w:bCs/>
        </w:rPr>
        <w:tab/>
        <w:t>обеспечить, чтобы домашние работники из числа трудящихся-мигрантов имели реальный доступ к средствам правовой защиты, включая суды, трибуналы и другие механизмы разрешения споров, и устранить любые барьеры, препятствующие такому доступу, включая незнание ими своих прав, неспособность ориентироваться в соответствующих бюрократических процедурах и языковые барьеры;</w:t>
      </w:r>
    </w:p>
    <w:p w14:paraId="22DB4C71" w14:textId="02D6E010" w:rsidR="00072E92" w:rsidRPr="0044713A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b)</w:t>
      </w:r>
      <w:r>
        <w:tab/>
      </w:r>
      <w:r>
        <w:rPr>
          <w:b/>
          <w:bCs/>
        </w:rPr>
        <w:t xml:space="preserve">принять меры для повышения осведомленности населения в целом и домашних работников из числа трудящихся-мигрантов в частности о Законе о домашних работниках и его подзаконных актах 2016 года, о механизмах </w:t>
      </w:r>
      <w:r>
        <w:rPr>
          <w:b/>
          <w:bCs/>
        </w:rPr>
        <w:lastRenderedPageBreak/>
        <w:t>проведения инспекции, а также о доступных для работников средствах правовой защиты;</w:t>
      </w:r>
    </w:p>
    <w:p w14:paraId="521042A6" w14:textId="3D4CDA1C" w:rsidR="00072E92" w:rsidRPr="00072E92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c)</w:t>
      </w:r>
      <w:r w:rsidRPr="00072E92">
        <w:rPr>
          <w:b/>
          <w:bCs/>
        </w:rPr>
        <w:tab/>
        <w:t>разработать и внедрить эффективные механизмы контроля за соблюдением трудового законодательства, обеспечивающего защиту домашних работников из числа трудящихся-мигрантов;</w:t>
      </w:r>
    </w:p>
    <w:p w14:paraId="54D9AB9A" w14:textId="4858408F" w:rsidR="00072E92" w:rsidRPr="00072E92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d)</w:t>
      </w:r>
      <w:r w:rsidRPr="00072E92">
        <w:rPr>
          <w:b/>
          <w:bCs/>
        </w:rPr>
        <w:tab/>
        <w:t>обеспечить эффективность процедур регулирования, выдачи лицензий и мониторинга деятельности агентств по найму и трудоустройству в том, что касается предотвращения эксплуатации домашних работников из числа трудящихся-мигрантов;</w:t>
      </w:r>
    </w:p>
    <w:p w14:paraId="3D990FDB" w14:textId="085E837C" w:rsidR="00072E92" w:rsidRPr="00072E92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e)</w:t>
      </w:r>
      <w:r w:rsidRPr="00072E92">
        <w:rPr>
          <w:b/>
          <w:bCs/>
        </w:rPr>
        <w:tab/>
        <w:t>привести Закон о домашних работниках в соответствие с трудовым законодательством Кувейта, в частности в связи с продолжительностью рабочего дня и правом на отдых и отпуск по болезни;</w:t>
      </w:r>
    </w:p>
    <w:p w14:paraId="34022764" w14:textId="417C8483" w:rsidR="00072E92" w:rsidRPr="0044713A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f)</w:t>
      </w:r>
      <w:r>
        <w:tab/>
      </w:r>
      <w:r>
        <w:rPr>
          <w:b/>
          <w:bCs/>
        </w:rPr>
        <w:t>ратифицировать Конвенцию Международной организации труда 2011 года (№ 189) о достойном труде домашних работников.</w:t>
      </w:r>
    </w:p>
    <w:p w14:paraId="51ADF135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Право создавать профессиональные союзы и вступать в них</w:t>
      </w:r>
    </w:p>
    <w:p w14:paraId="190B5BD8" w14:textId="309DF56B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24.</w:t>
      </w:r>
      <w:r>
        <w:tab/>
        <w:t>Отмечая, что рабочая сила в некоторых отраслях промышленности состоит, в</w:t>
      </w:r>
      <w:r>
        <w:t> </w:t>
      </w:r>
      <w:r>
        <w:t>основном, из трудящихся-мигрантов, Комитет по-прежнему обеспокоен тем, что в соответствии с Законом о труде 2010 года право на создание профсоюзов признается только за гражданами страны. Отмечая также, что забастовки в государстве-участнике прямо не запрещены и проводились ранее, Комитет</w:t>
      </w:r>
      <w:r w:rsidR="00D81FB8" w:rsidRPr="00D81FB8">
        <w:t>,</w:t>
      </w:r>
      <w:r>
        <w:t xml:space="preserve"> тем не менее</w:t>
      </w:r>
      <w:r w:rsidR="00D81FB8" w:rsidRPr="00D81FB8">
        <w:t>,</w:t>
      </w:r>
      <w:r>
        <w:t xml:space="preserve"> обеспокоен тем, что отсутствие всеобъемлющего правового регулирования права на забастовку допускает его ограничения, не предусмотренные законом (статья 8).</w:t>
      </w:r>
    </w:p>
    <w:p w14:paraId="63CF1BEC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распространить профсоюзные права на неграждан в соответствии со статьей 8 Пакта, в том числе путем предоставления им права создавать профсоюзы, вступать в них и участвовать в профсоюзной деятельности наравне с кувейтскими трудящимися.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обеспечить, чтобы новая трудовая политика и нормативные акты основывались на трехсторонних соглашениях.</w:t>
      </w:r>
      <w:r>
        <w:t xml:space="preserve"> </w:t>
      </w:r>
      <w:r>
        <w:rPr>
          <w:b/>
          <w:bCs/>
        </w:rPr>
        <w:t>Комитет далее рекомендует государству-участнику обеспечить всеобъемлющее правовое регулирование, гарантирующее соблюдение права на забастовку и устанавливающее его ограничения в соответствии с Пактом.</w:t>
      </w:r>
    </w:p>
    <w:p w14:paraId="1B6F1E41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Защита детей и семьи</w:t>
      </w:r>
    </w:p>
    <w:p w14:paraId="10E85E36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26.</w:t>
      </w:r>
      <w:r>
        <w:tab/>
        <w:t>Комитет обеспокоен сообщениями о том, что гражданам Кувейта для заключения брака с иностранными гражданами требуется предварительное разрешение кувейтского Комитета по бракам с иностранцами (статья 10).</w:t>
      </w:r>
    </w:p>
    <w:p w14:paraId="3D72F2BE" w14:textId="197CDE7F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27.</w:t>
      </w:r>
      <w:r>
        <w:tab/>
      </w:r>
      <w:r>
        <w:rPr>
          <w:b/>
          <w:bCs/>
        </w:rPr>
        <w:t xml:space="preserve">Комитет рекомендует государству-участнику принять меры для того, чтобы для заключения брака было достаточно добровольного согласия будущих супругов, в том числе, когда в нем участвуют неграждане Кувейта, </w:t>
      </w:r>
      <w:r>
        <w:rPr>
          <w:b/>
          <w:bCs/>
        </w:rPr>
        <w:br/>
      </w:r>
      <w:r>
        <w:rPr>
          <w:b/>
          <w:bCs/>
        </w:rPr>
        <w:t>и отсутствовала необходимость получать на него разрешение.</w:t>
      </w:r>
    </w:p>
    <w:p w14:paraId="7DD7348B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Нищета</w:t>
      </w:r>
    </w:p>
    <w:p w14:paraId="4407AA50" w14:textId="4F279C2F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28.</w:t>
      </w:r>
      <w:r>
        <w:tab/>
        <w:t>Принимая к сведению представленную государством-участником информацию о том, что ни один человек на его территории не живет за национальной или международной чертой бедности, Комитет</w:t>
      </w:r>
      <w:r w:rsidR="00D81FB8" w:rsidRPr="00D81FB8">
        <w:t>,</w:t>
      </w:r>
      <w:r>
        <w:t xml:space="preserve"> тем не менее</w:t>
      </w:r>
      <w:r w:rsidR="00D81FB8" w:rsidRPr="00D81FB8">
        <w:t>,</w:t>
      </w:r>
      <w:r>
        <w:t xml:space="preserve"> обеспокоен разрывом в уровне благосостояния, который существует между беднейшими и богатейшими слоями населения государства-участника. Признавая различные меры, принятые государством-участником для поддержки своего населения во время пандемии COVID-19, Комитет, однако, обеспокоен тем, что социально-экономические последствия пандемии могут непропорционально сильно сказаться на способности наиболее обездоленных и маргинализованных лиц и групп пользоваться своим правом на достаточный уровень жизни (статья 11).</w:t>
      </w:r>
    </w:p>
    <w:p w14:paraId="751D959A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lastRenderedPageBreak/>
        <w:t>29.</w:t>
      </w:r>
      <w:r>
        <w:tab/>
      </w:r>
      <w:r>
        <w:rPr>
          <w:b/>
          <w:bCs/>
        </w:rPr>
        <w:t>Комитет рекомендует государству-участнику предоставлять целенаправленную поддержку наиболее обездоленным и маргинализованным лицам и группам населения, с тем чтобы предотвратить их дальнейшее отставание от более обеспеченных слоев общества, в частности в свете непропорционального воздействия пандемии COVID-19 на эти группы.</w:t>
      </w:r>
      <w:r>
        <w:t xml:space="preserve"> </w:t>
      </w:r>
      <w:r>
        <w:rPr>
          <w:b/>
          <w:bCs/>
        </w:rPr>
        <w:t>Комитет далее просит государство-участник включить в свой следующий периодический доклад информацию о прожиточном минимуме в разбивке по размеру домохозяйств, а также статистические данные об абсолютном числе и процентной доле лиц, получающих минимальную заработную плату, в разбивке по году, возрасту, полу, гражданству и другим соответствующим показателям.</w:t>
      </w:r>
    </w:p>
    <w:p w14:paraId="0B012D49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Право на жилище</w:t>
      </w:r>
    </w:p>
    <w:p w14:paraId="4732F235" w14:textId="1692B05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30.</w:t>
      </w:r>
      <w:r>
        <w:tab/>
        <w:t>Отмечая, что государство-участник внесло в свое жилищное законодательство поправки, которые устраняют некоторые препятствия, с которыми сталкиваются женщины при получении доступа к жилью, включая, например, принятие министерского постановления № 29 от 2021 года, согласно которому государственные органы могут при определенных обстоятельствах предоставлять жилье одиноким женщинам, Комитет</w:t>
      </w:r>
      <w:r w:rsidR="00D81FB8">
        <w:t>,</w:t>
      </w:r>
      <w:r>
        <w:t xml:space="preserve"> тем не менее</w:t>
      </w:r>
      <w:r w:rsidR="00D81FB8">
        <w:t>,</w:t>
      </w:r>
      <w:r>
        <w:t xml:space="preserve"> обеспокоен сохраняющейся дискриминацией в области жилья в отношении некоторых женщин, не имеющих семьи, и женщин, разведенных с мужьями, не являющимися гражданами Кувейта (статья 11).</w:t>
      </w:r>
    </w:p>
    <w:p w14:paraId="0882A6EF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принять меры по отмене положений, которые не позволяют кувейтским женщинам, разведенным, овдовевшим или состоящим в браке с мужчинами, не являющимися гражданами Кувейта, получить доступ к государственному жилью.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защиту всех женщин от дискриминации при получении кредитов на жилье, в частности тех из них, кто в настоящее время не имеет возможности получить такой кредит, например одиноких женщин моложе 40 лет и замужних женщин.</w:t>
      </w:r>
    </w:p>
    <w:p w14:paraId="174AE3D6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Право на наивысший достижимый уровень здоровья</w:t>
      </w:r>
    </w:p>
    <w:p w14:paraId="2F134762" w14:textId="1AD5ED54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32.</w:t>
      </w:r>
      <w:r>
        <w:tab/>
        <w:t>Комитет приветствует усилия государства-участника по смягчению последствий пандемии COVID-19, в том числе за счет оказания поддержки наиболее обездоленным и маргинализованным лицам и группам населения, оснащения больниц, с тем чтобы они могли лучше справляться с пандемией, и обеспечения вакцинации от COVID-19 всех лиц, проживающих на его территории, независимо от их статуса проживания. Принимая к сведению представленную государством-участником информацию о том, что медицинское обслуживание предоставляется всем жителям страны на одинаковых условиях, Комитет</w:t>
      </w:r>
      <w:r w:rsidR="00D81FB8">
        <w:t>,</w:t>
      </w:r>
      <w:r>
        <w:t xml:space="preserve"> тем не менее</w:t>
      </w:r>
      <w:r w:rsidR="00D81FB8">
        <w:t>,</w:t>
      </w:r>
      <w:r>
        <w:t xml:space="preserve"> обеспокоен сообщениями о дискриминации в отношении бедуинов, которые были отнесены к категории лиц без гражданства или лиц, незаконно проживающих в стране, в отношении доступа к медицинским услугам, а также о более высокой плате за медицинские услуги, взимаемой с таких неграждан. Комитет также обеспокоен сообщениями о непредоставлении достаточной помощи лицам с психосоциальными или интеллектуальными нарушениями, у которых развилась зависимость от лекарств (статья 12).</w:t>
      </w:r>
    </w:p>
    <w:p w14:paraId="11A64EC0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обеспечить доступ к медицинскому обслуживанию для всех без какой-либо дискриминации, в том числе путем введения административных процедур, позволяющих всем бедуинам получить удостоверяющие личность документы, необходимые для такого доступа.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предоставление целенаправленной помощи лицам с психосоциальными или интеллектуальными нарушениями и принять меры по контролю за предоставлением обезболивающих средств людям с инвалидностью в целях предотвращения зависимости.</w:t>
      </w:r>
    </w:p>
    <w:p w14:paraId="3427CE8D" w14:textId="77777777" w:rsidR="00072E92" w:rsidRPr="0044713A" w:rsidRDefault="00072E92" w:rsidP="00072E92">
      <w:pPr>
        <w:pStyle w:val="H23G"/>
      </w:pPr>
      <w:r>
        <w:lastRenderedPageBreak/>
        <w:tab/>
      </w:r>
      <w:r>
        <w:tab/>
      </w:r>
      <w:r>
        <w:tab/>
      </w:r>
      <w:r>
        <w:rPr>
          <w:bCs/>
        </w:rPr>
        <w:t>Право на образование</w:t>
      </w:r>
    </w:p>
    <w:p w14:paraId="762BD6E7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34.</w:t>
      </w:r>
      <w:r>
        <w:tab/>
        <w:t>Комитет обеспокоен тем, что бесплатное дошкольное и начальное образование не доступно для всех детей, в частности для проживающих в государстве-участнике детей, не являющихся гражданами Кувейта. Комитет также обеспокоен непринятием мер для повышения качества образования в государстве-участнике и предоставления качественного образования всем группам населения. Комитет далее обеспокоен возможным неравенством в доступе к образованию в результате закрытия школ в связи с пандемией COVID-19 (статья 13).</w:t>
      </w:r>
    </w:p>
    <w:p w14:paraId="0AE05A67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35.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5BF8C5E8" w14:textId="46373524" w:rsidR="00072E92" w:rsidRPr="00072E92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a)</w:t>
      </w:r>
      <w:r>
        <w:tab/>
      </w:r>
      <w:r>
        <w:rPr>
          <w:b/>
          <w:bCs/>
        </w:rPr>
        <w:t xml:space="preserve">обеспечить предоставление бесплатного начального образования всем </w:t>
      </w:r>
      <w:r w:rsidRPr="00072E92">
        <w:rPr>
          <w:b/>
          <w:bCs/>
        </w:rPr>
        <w:t xml:space="preserve">детям в государстве-участнике, включая детей, не являющихся гражданами Кувейта, наравне с кувейтскими детьми, без какой-либо дискриминации, </w:t>
      </w:r>
      <w:r>
        <w:rPr>
          <w:b/>
          <w:bCs/>
        </w:rPr>
        <w:br/>
      </w:r>
      <w:r w:rsidRPr="00072E92">
        <w:rPr>
          <w:b/>
          <w:bCs/>
        </w:rPr>
        <w:t xml:space="preserve">в частности </w:t>
      </w:r>
      <w:r>
        <w:rPr>
          <w:b/>
          <w:bCs/>
        </w:rPr>
        <w:t>⸺</w:t>
      </w:r>
      <w:r w:rsidRPr="00072E92">
        <w:rPr>
          <w:b/>
          <w:bCs/>
        </w:rPr>
        <w:t xml:space="preserve"> детям бедуинов;</w:t>
      </w:r>
    </w:p>
    <w:p w14:paraId="71CD40BA" w14:textId="7F85FF67" w:rsidR="00072E92" w:rsidRPr="00072E92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b)</w:t>
      </w:r>
      <w:r w:rsidRPr="00072E92">
        <w:rPr>
          <w:b/>
          <w:bCs/>
        </w:rPr>
        <w:tab/>
        <w:t>рассмотреть возможность предоставления бесплатного дошкольного образования всем детям в государстве-участнике, включая детей, не являющихся гражданами Кувейта;</w:t>
      </w:r>
    </w:p>
    <w:p w14:paraId="6A390B8A" w14:textId="52A41458" w:rsidR="00072E92" w:rsidRPr="00072E92" w:rsidRDefault="00072E92" w:rsidP="00072E92">
      <w:pPr>
        <w:pStyle w:val="SingleTxtG"/>
        <w:rPr>
          <w:b/>
          <w:bCs/>
        </w:rPr>
      </w:pPr>
      <w:r>
        <w:rPr>
          <w:b/>
          <w:bCs/>
        </w:rPr>
        <w:tab/>
      </w:r>
      <w:r w:rsidRPr="00072E92">
        <w:rPr>
          <w:b/>
          <w:bCs/>
        </w:rPr>
        <w:t>c)</w:t>
      </w:r>
      <w:r w:rsidRPr="00072E92">
        <w:rPr>
          <w:b/>
          <w:bCs/>
        </w:rPr>
        <w:tab/>
        <w:t>принять меры по повышению качества образования, в том числе за счет улучшения подготовки учителей и обеспечения соблюдения минимальных стандартов образования, а также за счет совершенствования образовательной инфраструктуры;</w:t>
      </w:r>
    </w:p>
    <w:p w14:paraId="297CA399" w14:textId="7BAD4C9B" w:rsidR="00072E92" w:rsidRPr="0044713A" w:rsidRDefault="00072E92" w:rsidP="00072E92">
      <w:pPr>
        <w:pStyle w:val="SingleTxtG"/>
      </w:pPr>
      <w:r>
        <w:rPr>
          <w:b/>
          <w:bCs/>
        </w:rPr>
        <w:tab/>
      </w:r>
      <w:r w:rsidRPr="00072E92">
        <w:rPr>
          <w:b/>
          <w:bCs/>
        </w:rPr>
        <w:t>d)</w:t>
      </w:r>
      <w:r w:rsidRPr="00072E92">
        <w:rPr>
          <w:b/>
          <w:bCs/>
        </w:rPr>
        <w:tab/>
        <w:t>предоставлять дополнительную поддержку группам студентов, которые не могл</w:t>
      </w:r>
      <w:r>
        <w:rPr>
          <w:b/>
          <w:bCs/>
        </w:rPr>
        <w:t>и полноценно участвовать в дистанционном обучении во время пандемии COVID-19, в том числе из-за отсутствия доступа к соответствующим технологиям или связи, или поддержки со стороны опекунов.</w:t>
      </w:r>
    </w:p>
    <w:p w14:paraId="2D9CDEBA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Образование в области прав человека</w:t>
      </w:r>
    </w:p>
    <w:p w14:paraId="76195D9C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36.</w:t>
      </w:r>
      <w:r>
        <w:tab/>
        <w:t>Отмечая, что права человека преподаются в школе в рамках изучения ислама и Конституции Кувейта, Комитет, однако, выражает сожаление в связи с тем, что всеобщие права человека не включены в школьную программу в качестве самостоятельного предмета (статья 13).</w:t>
      </w:r>
    </w:p>
    <w:p w14:paraId="462913EC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37.</w:t>
      </w:r>
      <w:r>
        <w:tab/>
      </w:r>
      <w:r>
        <w:rPr>
          <w:b/>
          <w:bCs/>
        </w:rPr>
        <w:t>Комитет рекомендует включить подготовку в области всеобщих прав человека, включая экономические, социальные и культурные права, в качестве самостоятельного предмета в учебные программы на всех уровнях в системе образования государства-участника.</w:t>
      </w:r>
    </w:p>
    <w:p w14:paraId="30EE0E17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Культурные права и наука</w:t>
      </w:r>
    </w:p>
    <w:p w14:paraId="379F5B87" w14:textId="601642D9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38.</w:t>
      </w:r>
      <w:r>
        <w:tab/>
        <w:t>Отмечая, что Регламентирующий орган по вопросам связи и информационных технологий государства-участника снизил плату за доступ в Интернет на 40</w:t>
      </w:r>
      <w:r w:rsidR="000B08D4">
        <w:t> </w:t>
      </w:r>
      <w:r>
        <w:t>% на время пандемии COVID-19, Комитет, однако, обеспокоен сообщениями о том, что меры, принятые государством-участником для предотвращения распространения дезинформации, связанной с COVID-19 в Интернете, могут потенциально препятствовать распространению точной и достоверной информации и доступу к ней (статья 15).</w:t>
      </w:r>
    </w:p>
    <w:p w14:paraId="77871558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обеспечить, чтобы любые меры, принимаемые им для ограничения распространения дезинформации о COVID-19 в Интернете, касались только ее и принимались таким образом, чтобы не препятствовать доступу к точной и достоверной информации в Интернете в любой ее форме.</w:t>
      </w:r>
    </w:p>
    <w:p w14:paraId="144ABFDE" w14:textId="77777777" w:rsidR="00072E92" w:rsidRPr="0044713A" w:rsidRDefault="00072E92" w:rsidP="00072E92">
      <w:pPr>
        <w:pStyle w:val="H23G"/>
      </w:pPr>
      <w:r>
        <w:tab/>
      </w:r>
      <w:r>
        <w:tab/>
      </w:r>
      <w:r>
        <w:tab/>
      </w:r>
      <w:r>
        <w:rPr>
          <w:bCs/>
        </w:rPr>
        <w:t>Право на пользование результатами научного прогресса</w:t>
      </w:r>
    </w:p>
    <w:p w14:paraId="12AF5489" w14:textId="687C276D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40.</w:t>
      </w:r>
      <w:r>
        <w:tab/>
        <w:t xml:space="preserve">Признавая принимаемые государством-участником меры в отношении национальных проектов и международного сотрудничества в области науки и технологий, и особенно его поддержку COVAX </w:t>
      </w:r>
      <w:r>
        <w:t>⸺</w:t>
      </w:r>
      <w:r>
        <w:t xml:space="preserve"> компонента по вакцинам Инициативы по ускорению доступа к средствам для борьбы с COVID-19, Комитет</w:t>
      </w:r>
      <w:r>
        <w:t>,</w:t>
      </w:r>
      <w:r>
        <w:t xml:space="preserve"> тем </w:t>
      </w:r>
      <w:r>
        <w:lastRenderedPageBreak/>
        <w:t>не менее</w:t>
      </w:r>
      <w:r>
        <w:t>,</w:t>
      </w:r>
      <w:r>
        <w:t xml:space="preserve"> выражает сожаление в связи с отсутствием информации о конкретных мерах, принятых государством-участником для обеспечения того, чтобы в рамках проектов, в которых оно принимает участие, соблюдался принцип всеобщего доступа к науке и технологиям (статья 15).</w:t>
      </w:r>
    </w:p>
    <w:p w14:paraId="6B4AB7AD" w14:textId="75EB54B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41.</w:t>
      </w:r>
      <w:r>
        <w:tab/>
      </w:r>
      <w:r>
        <w:rPr>
          <w:b/>
          <w:bCs/>
        </w:rPr>
        <w:t xml:space="preserve">Комитет рекомендует государству-участнику включить право каждого человека пользоваться результатами научного прогресса и их практического применения в свои планы по развитию экономики знаний в рамках концепции </w:t>
      </w:r>
      <w:r>
        <w:rPr>
          <w:b/>
          <w:bCs/>
        </w:rPr>
        <w:t>«</w:t>
      </w:r>
      <w:r>
        <w:rPr>
          <w:b/>
          <w:bCs/>
        </w:rPr>
        <w:t>Новые перспективы Кувейта</w:t>
      </w:r>
      <w:r>
        <w:rPr>
          <w:b/>
          <w:bCs/>
        </w:rPr>
        <w:t>»</w:t>
      </w:r>
      <w:r>
        <w:rPr>
          <w:b/>
          <w:bCs/>
        </w:rPr>
        <w:t>, а также в любые другие проекты, реализуемые им на национальном или международном уровнях.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25 (2020) о науке и экономических, социальных и культурных правах.</w:t>
      </w:r>
    </w:p>
    <w:p w14:paraId="2C75529F" w14:textId="77777777" w:rsidR="00072E92" w:rsidRPr="00B93A52" w:rsidRDefault="00072E92" w:rsidP="00072E92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Другие рекомендации</w:t>
      </w:r>
    </w:p>
    <w:p w14:paraId="2BEF7175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1BE06B39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семей, а также Международной конвенции о защите всех лиц от насильственных исчезновений.</w:t>
      </w:r>
    </w:p>
    <w:p w14:paraId="0B7E3BC2" w14:textId="1A77CCFE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в рамках восстановления после пандемии COVID-19.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посредством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AD1738">
        <w:rPr>
          <w:rStyle w:val="a8"/>
        </w:rPr>
        <w:footnoteReference w:id="8"/>
      </w:r>
      <w:r>
        <w:rPr>
          <w:b/>
          <w:bCs/>
        </w:rPr>
        <w:t>.</w:t>
      </w:r>
    </w:p>
    <w:p w14:paraId="04C730FC" w14:textId="77777777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 и муниципальном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шагах, предпринятых для их осуществления.</w:t>
      </w:r>
      <w:r>
        <w:t xml:space="preserve"> </w:t>
      </w:r>
      <w:r>
        <w:rPr>
          <w:b/>
          <w:bCs/>
        </w:rPr>
        <w:t>Комитет призывает государство-участник вовлечь в последующую работу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 неправительственные организации и других членов гражданского общества.</w:t>
      </w:r>
    </w:p>
    <w:p w14:paraId="68AEED2A" w14:textId="100C24B0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46.</w:t>
      </w:r>
      <w:r>
        <w:tab/>
      </w:r>
      <w:r w:rsidRPr="004A58EE">
        <w:rPr>
          <w:b/>
          <w:bCs/>
        </w:rPr>
        <w:t xml:space="preserve"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 информацию о выполнении рекомендаций, содержащихся в пунктах 17 (дискриминация в отношении бедуинов), </w:t>
      </w:r>
      <w:r w:rsidR="00941105">
        <w:rPr>
          <w:b/>
          <w:bCs/>
        </w:rPr>
        <w:br/>
      </w:r>
      <w:r w:rsidRPr="004A58EE">
        <w:rPr>
          <w:b/>
          <w:bCs/>
        </w:rPr>
        <w:t xml:space="preserve">23 с) </w:t>
      </w:r>
      <w:r w:rsidRPr="004A58EE">
        <w:rPr>
          <w:b/>
          <w:bCs/>
        </w:rPr>
        <w:lastRenderedPageBreak/>
        <w:t>(домашние работники из числа трудящихся-мигрантов) и 35 а) (право на образование) выше.</w:t>
      </w:r>
    </w:p>
    <w:p w14:paraId="19CD5840" w14:textId="753D0324" w:rsidR="00072E92" w:rsidRPr="0044713A" w:rsidRDefault="00072E92" w:rsidP="00072E92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просит государство-участник представить свой следующий периодический доклад в соответствии со статьей 16 Пакта к 31 октября 2026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</w:t>
      </w:r>
      <w:r>
        <w:rPr>
          <w:b/>
          <w:bCs/>
        </w:rPr>
        <w:t> </w:t>
      </w:r>
      <w:r>
        <w:rPr>
          <w:b/>
          <w:bCs/>
        </w:rPr>
        <w:t>соответствии с резолюцией 68/268 Генеральной Ассамблеи объем этого доклада не должен превышать 21 200 слов.</w:t>
      </w:r>
    </w:p>
    <w:p w14:paraId="75BF499E" w14:textId="77777777" w:rsidR="00072E92" w:rsidRPr="0044713A" w:rsidRDefault="00072E92" w:rsidP="00072E92">
      <w:pPr>
        <w:spacing w:before="240"/>
        <w:jc w:val="center"/>
        <w:rPr>
          <w:u w:val="single"/>
        </w:rPr>
      </w:pPr>
      <w:r w:rsidRPr="0044713A">
        <w:rPr>
          <w:u w:val="single"/>
        </w:rPr>
        <w:tab/>
      </w:r>
      <w:r w:rsidRPr="0044713A">
        <w:rPr>
          <w:u w:val="single"/>
        </w:rPr>
        <w:tab/>
      </w:r>
      <w:r w:rsidRPr="0044713A">
        <w:rPr>
          <w:u w:val="single"/>
        </w:rPr>
        <w:tab/>
      </w:r>
    </w:p>
    <w:p w14:paraId="2F86D96B" w14:textId="5093F559" w:rsidR="0060212F" w:rsidRDefault="0060212F" w:rsidP="00896BA2"/>
    <w:p w14:paraId="2D2BE183" w14:textId="77777777" w:rsidR="00381C24" w:rsidRPr="00BC18B2" w:rsidRDefault="00381C24" w:rsidP="00896BA2"/>
    <w:sectPr w:rsidR="00381C24" w:rsidRPr="00BC18B2" w:rsidSect="0060212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B9A135" w14:textId="77777777" w:rsidR="00346FC9" w:rsidRPr="00A312BC" w:rsidRDefault="00346FC9" w:rsidP="00A312BC"/>
  </w:endnote>
  <w:endnote w:type="continuationSeparator" w:id="0">
    <w:p w14:paraId="19B0712C" w14:textId="77777777" w:rsidR="00346FC9" w:rsidRPr="00A312BC" w:rsidRDefault="00346FC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3C84D" w14:textId="2831556D" w:rsidR="0060212F" w:rsidRPr="0060212F" w:rsidRDefault="0060212F">
    <w:pPr>
      <w:pStyle w:val="aa"/>
    </w:pPr>
    <w:r w:rsidRPr="0060212F">
      <w:rPr>
        <w:b/>
        <w:sz w:val="18"/>
      </w:rPr>
      <w:fldChar w:fldCharType="begin"/>
    </w:r>
    <w:r w:rsidRPr="0060212F">
      <w:rPr>
        <w:b/>
        <w:sz w:val="18"/>
      </w:rPr>
      <w:instrText xml:space="preserve"> PAGE  \* MERGEFORMAT </w:instrText>
    </w:r>
    <w:r w:rsidRPr="0060212F">
      <w:rPr>
        <w:b/>
        <w:sz w:val="18"/>
      </w:rPr>
      <w:fldChar w:fldCharType="separate"/>
    </w:r>
    <w:r w:rsidRPr="0060212F">
      <w:rPr>
        <w:b/>
        <w:noProof/>
        <w:sz w:val="18"/>
      </w:rPr>
      <w:t>2</w:t>
    </w:r>
    <w:r w:rsidRPr="0060212F">
      <w:rPr>
        <w:b/>
        <w:sz w:val="18"/>
      </w:rPr>
      <w:fldChar w:fldCharType="end"/>
    </w:r>
    <w:r>
      <w:rPr>
        <w:b/>
        <w:sz w:val="18"/>
      </w:rPr>
      <w:tab/>
    </w:r>
    <w:r>
      <w:t>GE.21-15967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F9769" w14:textId="6DB586E7" w:rsidR="0060212F" w:rsidRPr="0060212F" w:rsidRDefault="0060212F" w:rsidP="0060212F">
    <w:pPr>
      <w:pStyle w:val="aa"/>
      <w:tabs>
        <w:tab w:val="clear" w:pos="9639"/>
        <w:tab w:val="right" w:pos="9638"/>
      </w:tabs>
      <w:rPr>
        <w:b/>
        <w:sz w:val="18"/>
      </w:rPr>
    </w:pPr>
    <w:r>
      <w:t>GE.21-15967</w:t>
    </w:r>
    <w:r>
      <w:tab/>
    </w:r>
    <w:r w:rsidRPr="0060212F">
      <w:rPr>
        <w:b/>
        <w:sz w:val="18"/>
      </w:rPr>
      <w:fldChar w:fldCharType="begin"/>
    </w:r>
    <w:r w:rsidRPr="0060212F">
      <w:rPr>
        <w:b/>
        <w:sz w:val="18"/>
      </w:rPr>
      <w:instrText xml:space="preserve"> PAGE  \* MERGEFORMAT </w:instrText>
    </w:r>
    <w:r w:rsidRPr="0060212F">
      <w:rPr>
        <w:b/>
        <w:sz w:val="18"/>
      </w:rPr>
      <w:fldChar w:fldCharType="separate"/>
    </w:r>
    <w:r w:rsidRPr="0060212F">
      <w:rPr>
        <w:b/>
        <w:noProof/>
        <w:sz w:val="18"/>
      </w:rPr>
      <w:t>3</w:t>
    </w:r>
    <w:r w:rsidRPr="0060212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8D3D0" w14:textId="362D7967" w:rsidR="00042B72" w:rsidRPr="0060212F" w:rsidRDefault="0060212F" w:rsidP="0060212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BF4EDD4" wp14:editId="05042ED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21-15967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71EC6BC" wp14:editId="1CFF48F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040122  310122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6B14FB" w14:textId="77777777" w:rsidR="00346FC9" w:rsidRPr="001075E9" w:rsidRDefault="00346FC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8601AD8" w14:textId="77777777" w:rsidR="00346FC9" w:rsidRDefault="00346FC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6781F58" w14:textId="4DA317C1" w:rsidR="00072E92" w:rsidRPr="0044713A" w:rsidRDefault="00072E92" w:rsidP="00072E92">
      <w:pPr>
        <w:pStyle w:val="af"/>
      </w:pPr>
      <w:r>
        <w:tab/>
      </w:r>
      <w:r w:rsidRPr="00072E92">
        <w:rPr>
          <w:sz w:val="20"/>
        </w:rPr>
        <w:t>*</w:t>
      </w:r>
      <w:r>
        <w:tab/>
        <w:t xml:space="preserve">Приняты Комитетом на его семидесятой сессии (27 сентября </w:t>
      </w:r>
      <w:r>
        <w:t>⸺</w:t>
      </w:r>
      <w:r>
        <w:t xml:space="preserve"> 15 октября 2021 года).</w:t>
      </w:r>
    </w:p>
  </w:footnote>
  <w:footnote w:id="2">
    <w:p w14:paraId="09575102" w14:textId="44ADA0B4" w:rsidR="00072E92" w:rsidRPr="0044713A" w:rsidRDefault="00072E92" w:rsidP="00072E92">
      <w:pPr>
        <w:pStyle w:val="af"/>
        <w:rPr>
          <w:lang w:val="de-CH"/>
        </w:rPr>
      </w:pPr>
      <w:r w:rsidRPr="00F62800">
        <w:tab/>
      </w:r>
      <w:r w:rsidRPr="00F62800">
        <w:rPr>
          <w:rStyle w:val="a8"/>
        </w:rPr>
        <w:footnoteRef/>
      </w:r>
      <w:r w:rsidRPr="0044713A">
        <w:rPr>
          <w:lang w:val="de-CH"/>
        </w:rPr>
        <w:tab/>
      </w:r>
      <w:hyperlink r:id="rId1" w:history="1">
        <w:r w:rsidRPr="00143397">
          <w:rPr>
            <w:rStyle w:val="a7"/>
            <w:lang w:val="de-CH"/>
          </w:rPr>
          <w:t>E/C.1</w:t>
        </w:r>
        <w:r w:rsidRPr="00143397">
          <w:rPr>
            <w:rStyle w:val="a7"/>
            <w:lang w:val="de-CH"/>
          </w:rPr>
          <w:t>2</w:t>
        </w:r>
        <w:r w:rsidRPr="00143397">
          <w:rPr>
            <w:rStyle w:val="a7"/>
            <w:lang w:val="de-CH"/>
          </w:rPr>
          <w:t>/</w:t>
        </w:r>
        <w:r w:rsidRPr="00143397">
          <w:rPr>
            <w:rStyle w:val="a7"/>
            <w:lang w:val="de-CH"/>
          </w:rPr>
          <w:t>K</w:t>
        </w:r>
        <w:r w:rsidRPr="00143397">
          <w:rPr>
            <w:rStyle w:val="a7"/>
            <w:lang w:val="de-CH"/>
          </w:rPr>
          <w:t>W</w:t>
        </w:r>
        <w:r w:rsidRPr="00143397">
          <w:rPr>
            <w:rStyle w:val="a7"/>
            <w:lang w:val="de-CH"/>
          </w:rPr>
          <w:t>T/3</w:t>
        </w:r>
      </w:hyperlink>
      <w:r w:rsidRPr="0044713A">
        <w:rPr>
          <w:lang w:val="de-CH"/>
        </w:rPr>
        <w:t>.</w:t>
      </w:r>
    </w:p>
  </w:footnote>
  <w:footnote w:id="3">
    <w:p w14:paraId="75CB6BA0" w14:textId="0D3D50AD" w:rsidR="00072E92" w:rsidRPr="0044713A" w:rsidRDefault="00072E92" w:rsidP="00072E92">
      <w:pPr>
        <w:pStyle w:val="af"/>
        <w:rPr>
          <w:lang w:val="de-CH"/>
        </w:rPr>
      </w:pPr>
      <w:r w:rsidRPr="0044713A">
        <w:rPr>
          <w:lang w:val="de-CH"/>
        </w:rPr>
        <w:tab/>
      </w:r>
      <w:r w:rsidRPr="00F62800">
        <w:rPr>
          <w:rStyle w:val="a8"/>
        </w:rPr>
        <w:footnoteRef/>
      </w:r>
      <w:r w:rsidRPr="0044713A">
        <w:rPr>
          <w:lang w:val="de-CH"/>
        </w:rPr>
        <w:tab/>
      </w:r>
      <w:r>
        <w:t>См</w:t>
      </w:r>
      <w:r w:rsidRPr="0044713A">
        <w:rPr>
          <w:lang w:val="de-CH"/>
        </w:rPr>
        <w:t xml:space="preserve">. </w:t>
      </w:r>
      <w:hyperlink r:id="rId2" w:history="1">
        <w:r w:rsidRPr="00143397">
          <w:rPr>
            <w:rStyle w:val="a7"/>
            <w:lang w:val="de-CH"/>
          </w:rPr>
          <w:t>E/C.1</w:t>
        </w:r>
        <w:r w:rsidRPr="00143397">
          <w:rPr>
            <w:rStyle w:val="a7"/>
            <w:lang w:val="de-CH"/>
          </w:rPr>
          <w:t>2</w:t>
        </w:r>
        <w:r w:rsidRPr="00143397">
          <w:rPr>
            <w:rStyle w:val="a7"/>
            <w:lang w:val="de-CH"/>
          </w:rPr>
          <w:t>/</w:t>
        </w:r>
        <w:r w:rsidRPr="00143397">
          <w:rPr>
            <w:rStyle w:val="a7"/>
            <w:lang w:val="de-CH"/>
          </w:rPr>
          <w:t>2021/</w:t>
        </w:r>
        <w:r w:rsidRPr="00143397">
          <w:rPr>
            <w:rStyle w:val="a7"/>
            <w:lang w:val="de-CH"/>
          </w:rPr>
          <w:t>S</w:t>
        </w:r>
        <w:r w:rsidRPr="00143397">
          <w:rPr>
            <w:rStyle w:val="a7"/>
            <w:lang w:val="de-CH"/>
          </w:rPr>
          <w:t>R.30</w:t>
        </w:r>
      </w:hyperlink>
      <w:r w:rsidRPr="0044713A">
        <w:rPr>
          <w:lang w:val="de-CH"/>
        </w:rPr>
        <w:t xml:space="preserve"> </w:t>
      </w:r>
      <w:r>
        <w:t>и</w:t>
      </w:r>
      <w:r w:rsidRPr="0044713A">
        <w:rPr>
          <w:lang w:val="de-CH"/>
        </w:rPr>
        <w:t xml:space="preserve"> </w:t>
      </w:r>
      <w:hyperlink r:id="rId3" w:history="1">
        <w:r w:rsidRPr="00143397">
          <w:rPr>
            <w:rStyle w:val="a7"/>
            <w:lang w:val="de-CH"/>
          </w:rPr>
          <w:t>E/C.12/</w:t>
        </w:r>
        <w:r w:rsidRPr="00143397">
          <w:rPr>
            <w:rStyle w:val="a7"/>
            <w:lang w:val="de-CH"/>
          </w:rPr>
          <w:t>2</w:t>
        </w:r>
        <w:r w:rsidRPr="00143397">
          <w:rPr>
            <w:rStyle w:val="a7"/>
            <w:lang w:val="de-CH"/>
          </w:rPr>
          <w:t>0</w:t>
        </w:r>
        <w:r w:rsidRPr="00143397">
          <w:rPr>
            <w:rStyle w:val="a7"/>
            <w:lang w:val="de-CH"/>
          </w:rPr>
          <w:t>21/SR.32</w:t>
        </w:r>
      </w:hyperlink>
      <w:r w:rsidRPr="0044713A">
        <w:rPr>
          <w:lang w:val="de-CH"/>
        </w:rPr>
        <w:t>.</w:t>
      </w:r>
    </w:p>
  </w:footnote>
  <w:footnote w:id="4">
    <w:p w14:paraId="17ECD848" w14:textId="25585FFC" w:rsidR="00072E92" w:rsidRPr="0044713A" w:rsidRDefault="00072E92" w:rsidP="00072E92">
      <w:pPr>
        <w:pStyle w:val="af"/>
        <w:rPr>
          <w:lang w:val="de-CH"/>
        </w:rPr>
      </w:pPr>
      <w:r w:rsidRPr="0044713A">
        <w:rPr>
          <w:lang w:val="de-CH"/>
        </w:rPr>
        <w:tab/>
      </w:r>
      <w:r w:rsidRPr="00F62800">
        <w:rPr>
          <w:rStyle w:val="a8"/>
        </w:rPr>
        <w:footnoteRef/>
      </w:r>
      <w:r w:rsidRPr="0044713A">
        <w:rPr>
          <w:lang w:val="de-CH"/>
        </w:rPr>
        <w:tab/>
      </w:r>
      <w:hyperlink r:id="rId4" w:history="1">
        <w:r w:rsidRPr="00143397">
          <w:rPr>
            <w:rStyle w:val="a7"/>
            <w:lang w:val="de-CH"/>
          </w:rPr>
          <w:t>E/C.12/K</w:t>
        </w:r>
        <w:r w:rsidRPr="00143397">
          <w:rPr>
            <w:rStyle w:val="a7"/>
            <w:lang w:val="de-CH"/>
          </w:rPr>
          <w:t>W</w:t>
        </w:r>
        <w:r w:rsidRPr="00143397">
          <w:rPr>
            <w:rStyle w:val="a7"/>
            <w:lang w:val="de-CH"/>
          </w:rPr>
          <w:t>T</w:t>
        </w:r>
        <w:r w:rsidRPr="00143397">
          <w:rPr>
            <w:rStyle w:val="a7"/>
            <w:lang w:val="de-CH"/>
          </w:rPr>
          <w:t>/RQ/3</w:t>
        </w:r>
      </w:hyperlink>
      <w:r w:rsidRPr="0044713A">
        <w:rPr>
          <w:lang w:val="de-CH"/>
        </w:rPr>
        <w:t>.</w:t>
      </w:r>
    </w:p>
  </w:footnote>
  <w:footnote w:id="5">
    <w:p w14:paraId="7431FF12" w14:textId="3DA33574" w:rsidR="00072E92" w:rsidRPr="0044713A" w:rsidRDefault="00072E92" w:rsidP="00072E92">
      <w:pPr>
        <w:pStyle w:val="af"/>
        <w:rPr>
          <w:lang w:val="de-CH"/>
        </w:rPr>
      </w:pPr>
      <w:r w:rsidRPr="0044713A">
        <w:rPr>
          <w:lang w:val="de-CH"/>
        </w:rPr>
        <w:tab/>
      </w:r>
      <w:r w:rsidRPr="00F62800">
        <w:rPr>
          <w:rStyle w:val="a8"/>
        </w:rPr>
        <w:footnoteRef/>
      </w:r>
      <w:r w:rsidRPr="0044713A">
        <w:rPr>
          <w:lang w:val="de-CH"/>
        </w:rPr>
        <w:tab/>
      </w:r>
      <w:hyperlink r:id="rId5" w:history="1">
        <w:r w:rsidRPr="00070915">
          <w:rPr>
            <w:rStyle w:val="a7"/>
            <w:lang w:val="de-CH"/>
          </w:rPr>
          <w:t>E/C.12/2</w:t>
        </w:r>
        <w:r w:rsidRPr="00070915">
          <w:rPr>
            <w:rStyle w:val="a7"/>
            <w:lang w:val="de-CH"/>
          </w:rPr>
          <w:t>0</w:t>
        </w:r>
        <w:r w:rsidRPr="00070915">
          <w:rPr>
            <w:rStyle w:val="a7"/>
            <w:lang w:val="de-CH"/>
          </w:rPr>
          <w:t>18/1</w:t>
        </w:r>
      </w:hyperlink>
      <w:r w:rsidRPr="0044713A">
        <w:rPr>
          <w:lang w:val="de-CH"/>
        </w:rPr>
        <w:t>.</w:t>
      </w:r>
    </w:p>
  </w:footnote>
  <w:footnote w:id="6">
    <w:p w14:paraId="3D13493B" w14:textId="12AFC257" w:rsidR="00072E92" w:rsidRPr="00244904" w:rsidRDefault="00072E92" w:rsidP="00072E92">
      <w:pPr>
        <w:pStyle w:val="af"/>
        <w:rPr>
          <w:lang w:val="de-DE"/>
        </w:rPr>
      </w:pPr>
      <w:r w:rsidRPr="0044713A">
        <w:rPr>
          <w:lang w:val="de-CH"/>
        </w:rPr>
        <w:tab/>
      </w:r>
      <w:r w:rsidRPr="00F62800">
        <w:rPr>
          <w:rStyle w:val="a8"/>
        </w:rPr>
        <w:footnoteRef/>
      </w:r>
      <w:r w:rsidRPr="00244904">
        <w:rPr>
          <w:lang w:val="de-DE"/>
        </w:rPr>
        <w:tab/>
      </w:r>
      <w:hyperlink r:id="rId6" w:history="1">
        <w:r w:rsidRPr="00244904">
          <w:rPr>
            <w:rStyle w:val="a7"/>
            <w:lang w:val="de-DE"/>
          </w:rPr>
          <w:t>E/C.12/KWT/</w:t>
        </w:r>
        <w:r w:rsidRPr="00244904">
          <w:rPr>
            <w:rStyle w:val="a7"/>
            <w:lang w:val="de-DE"/>
          </w:rPr>
          <w:t>C</w:t>
        </w:r>
        <w:r w:rsidRPr="00244904">
          <w:rPr>
            <w:rStyle w:val="a7"/>
            <w:lang w:val="de-DE"/>
          </w:rPr>
          <w:t>O/2</w:t>
        </w:r>
      </w:hyperlink>
      <w:r w:rsidRPr="00244904">
        <w:rPr>
          <w:lang w:val="de-DE"/>
        </w:rPr>
        <w:t xml:space="preserve">, </w:t>
      </w:r>
      <w:r>
        <w:t>п</w:t>
      </w:r>
      <w:r w:rsidRPr="00244904">
        <w:rPr>
          <w:lang w:val="de-DE"/>
        </w:rPr>
        <w:t>. 9.</w:t>
      </w:r>
    </w:p>
  </w:footnote>
  <w:footnote w:id="7">
    <w:p w14:paraId="27ED214B" w14:textId="535D0D07" w:rsidR="00072E92" w:rsidRPr="00072E92" w:rsidRDefault="00072E92" w:rsidP="00072E92">
      <w:pPr>
        <w:pStyle w:val="af"/>
        <w:rPr>
          <w:lang w:val="en-US"/>
        </w:rPr>
      </w:pPr>
      <w:r w:rsidRPr="00244904">
        <w:rPr>
          <w:lang w:val="de-DE"/>
        </w:rPr>
        <w:tab/>
      </w:r>
      <w:r w:rsidRPr="00F62800">
        <w:rPr>
          <w:rStyle w:val="a8"/>
        </w:rPr>
        <w:footnoteRef/>
      </w:r>
      <w:r w:rsidRPr="0044713A">
        <w:rPr>
          <w:lang w:val="en-US"/>
        </w:rPr>
        <w:tab/>
      </w:r>
      <w:hyperlink r:id="rId7" w:history="1">
        <w:r w:rsidRPr="00070915">
          <w:rPr>
            <w:rStyle w:val="a7"/>
            <w:lang w:val="en-US"/>
          </w:rPr>
          <w:t>CEDAW</w:t>
        </w:r>
        <w:r w:rsidRPr="00070915">
          <w:rPr>
            <w:rStyle w:val="a7"/>
            <w:lang w:val="en-US"/>
          </w:rPr>
          <w:t>/</w:t>
        </w:r>
        <w:r w:rsidRPr="00070915">
          <w:rPr>
            <w:rStyle w:val="a7"/>
            <w:lang w:val="en-US"/>
          </w:rPr>
          <w:t>C/KWT/CO/5</w:t>
        </w:r>
      </w:hyperlink>
      <w:r w:rsidRPr="0044713A">
        <w:rPr>
          <w:lang w:val="en-US"/>
        </w:rPr>
        <w:t>.</w:t>
      </w:r>
    </w:p>
  </w:footnote>
  <w:footnote w:id="8">
    <w:p w14:paraId="4F231150" w14:textId="3F9A8060" w:rsidR="00072E92" w:rsidRPr="00072E92" w:rsidRDefault="00072E92" w:rsidP="00072E92">
      <w:pPr>
        <w:pStyle w:val="af"/>
        <w:rPr>
          <w:lang w:val="en-US"/>
        </w:rPr>
      </w:pPr>
      <w:r w:rsidRPr="0044713A">
        <w:rPr>
          <w:lang w:val="en-US"/>
        </w:rPr>
        <w:tab/>
      </w:r>
      <w:r w:rsidRPr="00F62800">
        <w:rPr>
          <w:rStyle w:val="a8"/>
        </w:rPr>
        <w:footnoteRef/>
      </w:r>
      <w:r w:rsidRPr="0044713A">
        <w:rPr>
          <w:lang w:val="en-US"/>
        </w:rPr>
        <w:tab/>
      </w:r>
      <w:hyperlink r:id="rId8" w:history="1">
        <w:r w:rsidRPr="00941105">
          <w:rPr>
            <w:rStyle w:val="a7"/>
            <w:lang w:val="en-US"/>
          </w:rPr>
          <w:t>E/C.12</w:t>
        </w:r>
        <w:r w:rsidRPr="00941105">
          <w:rPr>
            <w:rStyle w:val="a7"/>
            <w:lang w:val="en-US"/>
          </w:rPr>
          <w:t>/</w:t>
        </w:r>
        <w:r w:rsidRPr="00941105">
          <w:rPr>
            <w:rStyle w:val="a7"/>
            <w:lang w:val="en-US"/>
          </w:rPr>
          <w:t>2019/1</w:t>
        </w:r>
      </w:hyperlink>
      <w:r w:rsidRPr="0044713A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84899A" w14:textId="3F0E83EB" w:rsidR="0060212F" w:rsidRPr="0060212F" w:rsidRDefault="0060212F">
    <w:pPr>
      <w:pStyle w:val="a5"/>
    </w:pPr>
    <w:fldSimple w:instr=" TITLE  \* MERGEFORMAT ">
      <w:r w:rsidR="0044506B">
        <w:t>E/C.12/KWT/CO/3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BF97D" w14:textId="12B1825D" w:rsidR="0060212F" w:rsidRPr="0060212F" w:rsidRDefault="0060212F" w:rsidP="0060212F">
    <w:pPr>
      <w:pStyle w:val="a5"/>
      <w:jc w:val="right"/>
    </w:pPr>
    <w:fldSimple w:instr=" TITLE  \* MERGEFORMAT ">
      <w:r w:rsidR="0044506B">
        <w:t>E/C.12/KWT/CO/3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TabTxt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6"/>
  </w:num>
  <w:num w:numId="20">
    <w:abstractNumId w:val="13"/>
  </w:num>
  <w:num w:numId="21">
    <w:abstractNumId w:val="15"/>
  </w:num>
  <w:num w:numId="22">
    <w:abstractNumId w:val="16"/>
  </w:num>
  <w:num w:numId="23">
    <w:abstractNumId w:val="13"/>
  </w:num>
  <w:num w:numId="24">
    <w:abstractNumId w:val="15"/>
  </w:num>
  <w:num w:numId="25">
    <w:abstractNumId w:val="16"/>
  </w:num>
  <w:num w:numId="26">
    <w:abstractNumId w:val="13"/>
  </w:num>
  <w:num w:numId="27">
    <w:abstractNumId w:val="15"/>
  </w:num>
  <w:num w:numId="28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FC9"/>
    <w:rsid w:val="00033EE1"/>
    <w:rsid w:val="00042B72"/>
    <w:rsid w:val="00043B08"/>
    <w:rsid w:val="000558BD"/>
    <w:rsid w:val="00070915"/>
    <w:rsid w:val="00072E92"/>
    <w:rsid w:val="000857D2"/>
    <w:rsid w:val="000B08D4"/>
    <w:rsid w:val="000B57E7"/>
    <w:rsid w:val="000B6373"/>
    <w:rsid w:val="000F09DF"/>
    <w:rsid w:val="000F61B2"/>
    <w:rsid w:val="001075E9"/>
    <w:rsid w:val="001253D8"/>
    <w:rsid w:val="0014152F"/>
    <w:rsid w:val="00142F5E"/>
    <w:rsid w:val="00143397"/>
    <w:rsid w:val="00180183"/>
    <w:rsid w:val="0018024D"/>
    <w:rsid w:val="0018649F"/>
    <w:rsid w:val="00196389"/>
    <w:rsid w:val="001B3EF6"/>
    <w:rsid w:val="001C7A89"/>
    <w:rsid w:val="001D5C5A"/>
    <w:rsid w:val="00203065"/>
    <w:rsid w:val="00244904"/>
    <w:rsid w:val="0024680B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46FC9"/>
    <w:rsid w:val="00381C24"/>
    <w:rsid w:val="003958D0"/>
    <w:rsid w:val="003A0D43"/>
    <w:rsid w:val="003B00E5"/>
    <w:rsid w:val="00407B78"/>
    <w:rsid w:val="00421057"/>
    <w:rsid w:val="00424203"/>
    <w:rsid w:val="0042551A"/>
    <w:rsid w:val="0044506B"/>
    <w:rsid w:val="00452493"/>
    <w:rsid w:val="00453318"/>
    <w:rsid w:val="00454E07"/>
    <w:rsid w:val="00472C5C"/>
    <w:rsid w:val="004A2F1B"/>
    <w:rsid w:val="004D32AD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0212F"/>
    <w:rsid w:val="00640F49"/>
    <w:rsid w:val="00681A10"/>
    <w:rsid w:val="006A16E3"/>
    <w:rsid w:val="006A1ED8"/>
    <w:rsid w:val="006C2031"/>
    <w:rsid w:val="006D461A"/>
    <w:rsid w:val="006E49FE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41105"/>
    <w:rsid w:val="00945BAC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110D1"/>
    <w:rsid w:val="00B36DF7"/>
    <w:rsid w:val="00B520D9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77642"/>
    <w:rsid w:val="00D81FB8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4F8F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D81AF3F"/>
  <w15:docId w15:val="{BE2488AC-DDA1-4326-990B-738AAA337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072E92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1433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2019/1" TargetMode="External"/><Relationship Id="rId3" Type="http://schemas.openxmlformats.org/officeDocument/2006/relationships/hyperlink" Target="http://undocs.org/en/E/C.12/2021/SR.32" TargetMode="External"/><Relationship Id="rId7" Type="http://schemas.openxmlformats.org/officeDocument/2006/relationships/hyperlink" Target="http://undocs.org/ru/CEDAW/C/KWT/CO/5" TargetMode="External"/><Relationship Id="rId2" Type="http://schemas.openxmlformats.org/officeDocument/2006/relationships/hyperlink" Target="http://undocs.org/en/E/C.12/2021/SR.30" TargetMode="External"/><Relationship Id="rId1" Type="http://schemas.openxmlformats.org/officeDocument/2006/relationships/hyperlink" Target="http://undocs.org/ar/E/C.12/KWT/3" TargetMode="External"/><Relationship Id="rId6" Type="http://schemas.openxmlformats.org/officeDocument/2006/relationships/hyperlink" Target="http://undocs.org/ru/E/C.12/KWT/CO/2" TargetMode="External"/><Relationship Id="rId5" Type="http://schemas.openxmlformats.org/officeDocument/2006/relationships/hyperlink" Target="http://undocs.org/ru/E/C.12/2018/1" TargetMode="External"/><Relationship Id="rId4" Type="http://schemas.openxmlformats.org/officeDocument/2006/relationships/hyperlink" Target="http://undocs.org/ar/E/C.12/KWT/RQ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6</TotalTime>
  <Pages>10</Pages>
  <Words>3558</Words>
  <Characters>25266</Characters>
  <Application>Microsoft Office Word</Application>
  <DocSecurity>0</DocSecurity>
  <Lines>459</Lines>
  <Paragraphs>113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E/C.12/KWT/CO/3</vt:lpstr>
      <vt:lpstr>A/</vt:lpstr>
      <vt:lpstr>A/</vt:lpstr>
    </vt:vector>
  </TitlesOfParts>
  <Company>DCM</Company>
  <LinksUpToDate>false</LinksUpToDate>
  <CharactersWithSpaces>28711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E/C.12/KWT/CO/3</dc:title>
  <dc:subject/>
  <dc:creator>Ekaterina SALYNSKAYA</dc:creator>
  <cp:keywords/>
  <cp:lastModifiedBy>Ekaterina SALYNSKAYA</cp:lastModifiedBy>
  <cp:revision>3</cp:revision>
  <cp:lastPrinted>2022-01-31T13:49:00Z</cp:lastPrinted>
  <dcterms:created xsi:type="dcterms:W3CDTF">2022-01-31T13:48:00Z</dcterms:created>
  <dcterms:modified xsi:type="dcterms:W3CDTF">2022-01-31T13:52:00Z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