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C34B751" w14:textId="77777777" w:rsidTr="0002432E">
        <w:trPr>
          <w:trHeight w:hRule="exact" w:val="851"/>
        </w:trPr>
        <w:tc>
          <w:tcPr>
            <w:tcW w:w="1276" w:type="dxa"/>
            <w:tcBorders>
              <w:bottom w:val="single" w:sz="4" w:space="0" w:color="auto"/>
            </w:tcBorders>
          </w:tcPr>
          <w:p w14:paraId="0619F53C" w14:textId="77777777" w:rsidR="0080236C" w:rsidRPr="00DB58B5" w:rsidRDefault="0080236C" w:rsidP="006656AF">
            <w:pPr>
              <w:tabs>
                <w:tab w:val="left" w:pos="567"/>
              </w:tabs>
            </w:pPr>
          </w:p>
        </w:tc>
        <w:tc>
          <w:tcPr>
            <w:tcW w:w="2268" w:type="dxa"/>
            <w:tcBorders>
              <w:bottom w:val="single" w:sz="4" w:space="0" w:color="auto"/>
            </w:tcBorders>
            <w:vAlign w:val="bottom"/>
          </w:tcPr>
          <w:p w14:paraId="2CE1B3FF" w14:textId="77777777" w:rsidR="0080236C" w:rsidRPr="00DB58B5" w:rsidRDefault="0080236C" w:rsidP="006656AF">
            <w:pPr>
              <w:tabs>
                <w:tab w:val="left" w:pos="567"/>
              </w:tabs>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C31620" w14:textId="535AB4D6" w:rsidR="0080236C" w:rsidRPr="00DB58B5" w:rsidRDefault="00B21A8D" w:rsidP="006656AF">
            <w:pPr>
              <w:tabs>
                <w:tab w:val="left" w:pos="567"/>
              </w:tabs>
              <w:jc w:val="right"/>
            </w:pPr>
            <w:r w:rsidRPr="00B21A8D">
              <w:rPr>
                <w:sz w:val="40"/>
              </w:rPr>
              <w:t>E</w:t>
            </w:r>
            <w:r>
              <w:t>/C.12/ALB/RQ/4</w:t>
            </w:r>
          </w:p>
        </w:tc>
      </w:tr>
      <w:tr w:rsidR="0080236C" w:rsidRPr="00DB58B5" w14:paraId="5237FE86" w14:textId="77777777" w:rsidTr="0002432E">
        <w:trPr>
          <w:trHeight w:hRule="exact" w:val="2835"/>
        </w:trPr>
        <w:tc>
          <w:tcPr>
            <w:tcW w:w="1276" w:type="dxa"/>
            <w:tcBorders>
              <w:top w:val="single" w:sz="4" w:space="0" w:color="auto"/>
              <w:bottom w:val="single" w:sz="12" w:space="0" w:color="auto"/>
            </w:tcBorders>
          </w:tcPr>
          <w:p w14:paraId="0D699BA2" w14:textId="77777777" w:rsidR="0080236C" w:rsidRPr="00DB58B5" w:rsidRDefault="0080236C" w:rsidP="006656AF">
            <w:pPr>
              <w:tabs>
                <w:tab w:val="left" w:pos="567"/>
              </w:tabs>
              <w:spacing w:before="120"/>
              <w:jc w:val="center"/>
            </w:pPr>
            <w:r>
              <w:rPr>
                <w:noProof/>
                <w:lang w:eastAsia="fr-CH"/>
              </w:rPr>
              <w:drawing>
                <wp:inline distT="0" distB="0" distL="0" distR="0" wp14:anchorId="41B66F2B" wp14:editId="0ED392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845D69" w14:textId="77777777" w:rsidR="0080236C" w:rsidRPr="00740562" w:rsidRDefault="0080236C" w:rsidP="006656AF">
            <w:pPr>
              <w:tabs>
                <w:tab w:val="left" w:pos="567"/>
              </w:tabs>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53D662C" w14:textId="77777777" w:rsidR="0080236C" w:rsidRDefault="00B21A8D" w:rsidP="006656AF">
            <w:pPr>
              <w:tabs>
                <w:tab w:val="left" w:pos="567"/>
              </w:tabs>
              <w:spacing w:before="240"/>
            </w:pPr>
            <w:proofErr w:type="spellStart"/>
            <w:r>
              <w:t>Distr</w:t>
            </w:r>
            <w:proofErr w:type="spellEnd"/>
            <w:r>
              <w:t xml:space="preserve">. générale </w:t>
            </w:r>
          </w:p>
          <w:p w14:paraId="528510F1" w14:textId="145C5C22" w:rsidR="00B21A8D" w:rsidRDefault="00B21A8D" w:rsidP="006656AF">
            <w:pPr>
              <w:tabs>
                <w:tab w:val="left" w:pos="567"/>
              </w:tabs>
              <w:spacing w:line="240" w:lineRule="exact"/>
            </w:pPr>
            <w:r>
              <w:t>5 avril 2024</w:t>
            </w:r>
          </w:p>
          <w:p w14:paraId="5EF8CEE3" w14:textId="77777777" w:rsidR="00B21A8D" w:rsidRDefault="00B21A8D" w:rsidP="006656AF">
            <w:pPr>
              <w:tabs>
                <w:tab w:val="left" w:pos="567"/>
              </w:tabs>
              <w:spacing w:line="240" w:lineRule="exact"/>
            </w:pPr>
            <w:r>
              <w:t>Français</w:t>
            </w:r>
          </w:p>
          <w:p w14:paraId="681E1031" w14:textId="77777777" w:rsidR="00B21A8D" w:rsidRDefault="00B21A8D" w:rsidP="006656AF">
            <w:pPr>
              <w:tabs>
                <w:tab w:val="left" w:pos="567"/>
              </w:tabs>
              <w:spacing w:line="240" w:lineRule="exact"/>
            </w:pPr>
            <w:r>
              <w:t>Original : anglais</w:t>
            </w:r>
          </w:p>
          <w:p w14:paraId="1C004A88" w14:textId="5E9A906B" w:rsidR="00B21A8D" w:rsidRPr="00DB58B5" w:rsidRDefault="00B21A8D" w:rsidP="006656AF">
            <w:pPr>
              <w:tabs>
                <w:tab w:val="left" w:pos="567"/>
              </w:tabs>
              <w:spacing w:line="240" w:lineRule="exact"/>
            </w:pPr>
            <w:r>
              <w:t>Anglais, espagnol et français seulement</w:t>
            </w:r>
          </w:p>
        </w:tc>
      </w:tr>
    </w:tbl>
    <w:p w14:paraId="6774A268" w14:textId="77777777" w:rsidR="00B21A8D" w:rsidRPr="006927FC" w:rsidRDefault="00B21A8D" w:rsidP="006656AF">
      <w:pPr>
        <w:tabs>
          <w:tab w:val="left" w:pos="567"/>
        </w:tabs>
        <w:spacing w:before="120"/>
        <w:rPr>
          <w:b/>
          <w:sz w:val="24"/>
          <w:szCs w:val="24"/>
          <w:lang w:val="fr-FR"/>
        </w:rPr>
      </w:pPr>
      <w:r w:rsidRPr="006927FC">
        <w:rPr>
          <w:b/>
          <w:bCs/>
          <w:sz w:val="24"/>
          <w:szCs w:val="24"/>
          <w:lang w:val="fr-FR"/>
        </w:rPr>
        <w:t>Comité des droits économiques, sociaux et culturels</w:t>
      </w:r>
    </w:p>
    <w:p w14:paraId="0087505E" w14:textId="77777777" w:rsidR="00B21A8D" w:rsidRPr="00820E13" w:rsidRDefault="00B21A8D" w:rsidP="006656AF">
      <w:pPr>
        <w:tabs>
          <w:tab w:val="left" w:pos="567"/>
        </w:tabs>
        <w:rPr>
          <w:b/>
          <w:lang w:val="fr-FR"/>
        </w:rPr>
      </w:pPr>
      <w:r>
        <w:rPr>
          <w:b/>
          <w:bCs/>
          <w:lang w:val="fr-FR"/>
        </w:rPr>
        <w:t>Soixante-seizième session</w:t>
      </w:r>
    </w:p>
    <w:p w14:paraId="6222DECB" w14:textId="375A08ED" w:rsidR="00B21A8D" w:rsidRPr="00820E13" w:rsidRDefault="00B21A8D" w:rsidP="006656AF">
      <w:pPr>
        <w:tabs>
          <w:tab w:val="left" w:pos="567"/>
        </w:tabs>
        <w:rPr>
          <w:lang w:val="fr-FR"/>
        </w:rPr>
      </w:pPr>
      <w:r>
        <w:rPr>
          <w:lang w:val="fr-FR"/>
        </w:rPr>
        <w:t>9</w:t>
      </w:r>
      <w:r w:rsidR="00C0366F">
        <w:rPr>
          <w:lang w:val="fr-FR"/>
        </w:rPr>
        <w:noBreakHyphen/>
      </w:r>
      <w:r>
        <w:rPr>
          <w:lang w:val="fr-FR"/>
        </w:rPr>
        <w:t>27 septembre 2024</w:t>
      </w:r>
    </w:p>
    <w:p w14:paraId="6EC9F7DF" w14:textId="77777777" w:rsidR="00B21A8D" w:rsidRDefault="00B21A8D" w:rsidP="006656AF">
      <w:pPr>
        <w:tabs>
          <w:tab w:val="left" w:pos="567"/>
        </w:tabs>
        <w:rPr>
          <w:b/>
          <w:bCs/>
          <w:lang w:val="fr-FR"/>
        </w:rPr>
      </w:pPr>
      <w:r>
        <w:rPr>
          <w:b/>
          <w:bCs/>
          <w:lang w:val="fr-FR"/>
        </w:rPr>
        <w:t>Examen des rapports : rapports soumis par les États parties</w:t>
      </w:r>
    </w:p>
    <w:p w14:paraId="5537216B" w14:textId="77777777" w:rsidR="00B21A8D" w:rsidRPr="00820E13" w:rsidRDefault="00B21A8D" w:rsidP="006656AF">
      <w:pPr>
        <w:tabs>
          <w:tab w:val="left" w:pos="567"/>
        </w:tabs>
        <w:rPr>
          <w:b/>
          <w:bCs/>
          <w:lang w:val="fr-FR"/>
        </w:rPr>
      </w:pPr>
      <w:r>
        <w:rPr>
          <w:b/>
          <w:bCs/>
          <w:lang w:val="fr-FR"/>
        </w:rPr>
        <w:t>en application des articles 16 et 17 du Pacte</w:t>
      </w:r>
    </w:p>
    <w:p w14:paraId="3F09E601" w14:textId="64195BAF" w:rsidR="00B21A8D" w:rsidRPr="006656AF" w:rsidRDefault="00B21A8D" w:rsidP="006656AF">
      <w:pPr>
        <w:pStyle w:val="HMG"/>
        <w:tabs>
          <w:tab w:val="clear" w:pos="851"/>
          <w:tab w:val="left" w:pos="567"/>
        </w:tabs>
        <w:rPr>
          <w:b w:val="0"/>
          <w:bCs/>
          <w:sz w:val="28"/>
          <w:szCs w:val="28"/>
          <w:lang w:val="fr-FR"/>
        </w:rPr>
      </w:pPr>
      <w:r>
        <w:rPr>
          <w:lang w:val="fr-FR"/>
        </w:rPr>
        <w:tab/>
      </w:r>
      <w:r>
        <w:rPr>
          <w:lang w:val="fr-FR"/>
        </w:rPr>
        <w:tab/>
      </w:r>
      <w:r w:rsidRPr="006927FC">
        <w:rPr>
          <w:sz w:val="28"/>
          <w:szCs w:val="28"/>
          <w:lang w:val="fr-FR"/>
        </w:rPr>
        <w:t>Réponses de l</w:t>
      </w:r>
      <w:r>
        <w:rPr>
          <w:sz w:val="28"/>
          <w:szCs w:val="28"/>
          <w:lang w:val="fr-FR"/>
        </w:rPr>
        <w:t>’</w:t>
      </w:r>
      <w:r w:rsidRPr="006927FC">
        <w:rPr>
          <w:sz w:val="28"/>
          <w:szCs w:val="28"/>
          <w:lang w:val="fr-FR"/>
        </w:rPr>
        <w:t xml:space="preserve">Albanie à la liste de points concernant </w:t>
      </w:r>
      <w:r w:rsidR="006656AF">
        <w:rPr>
          <w:sz w:val="28"/>
          <w:szCs w:val="28"/>
          <w:lang w:val="fr-FR"/>
        </w:rPr>
        <w:br/>
      </w:r>
      <w:r w:rsidRPr="006927FC">
        <w:rPr>
          <w:sz w:val="28"/>
          <w:szCs w:val="28"/>
          <w:lang w:val="fr-FR"/>
        </w:rPr>
        <w:t>son quatrième rapport périodique</w:t>
      </w:r>
      <w:r w:rsidR="006656AF" w:rsidRPr="006656AF">
        <w:rPr>
          <w:rStyle w:val="Appelnotedebasdep"/>
          <w:b w:val="0"/>
          <w:bCs/>
          <w:sz w:val="20"/>
          <w:szCs w:val="28"/>
          <w:vertAlign w:val="baseline"/>
        </w:rPr>
        <w:footnoteReference w:customMarkFollows="1" w:id="2"/>
        <w:t>*</w:t>
      </w:r>
      <w:r w:rsidRPr="006656AF">
        <w:rPr>
          <w:b w:val="0"/>
          <w:bCs/>
          <w:sz w:val="20"/>
          <w:vertAlign w:val="superscript"/>
          <w:lang w:val="fr-FR"/>
        </w:rPr>
        <w:t>,</w:t>
      </w:r>
      <w:r w:rsidR="006656AF" w:rsidRPr="006656AF">
        <w:rPr>
          <w:b w:val="0"/>
          <w:bCs/>
          <w:sz w:val="20"/>
          <w:vertAlign w:val="superscript"/>
          <w:lang w:val="fr-FR"/>
        </w:rPr>
        <w:t xml:space="preserve"> </w:t>
      </w:r>
      <w:r w:rsidR="006656AF" w:rsidRPr="006656AF">
        <w:rPr>
          <w:rStyle w:val="Appelnotedebasdep"/>
          <w:b w:val="0"/>
          <w:bCs/>
          <w:sz w:val="20"/>
          <w:vertAlign w:val="baseline"/>
        </w:rPr>
        <w:footnoteReference w:customMarkFollows="1" w:id="3"/>
        <w:t>**</w:t>
      </w:r>
    </w:p>
    <w:p w14:paraId="79C98FEC" w14:textId="77777777" w:rsidR="00B21A8D" w:rsidRPr="006927FC" w:rsidRDefault="00B21A8D" w:rsidP="006656AF">
      <w:pPr>
        <w:pStyle w:val="SingleTxtG"/>
        <w:tabs>
          <w:tab w:val="clear" w:pos="1701"/>
          <w:tab w:val="clear" w:pos="2268"/>
          <w:tab w:val="clear" w:pos="2835"/>
          <w:tab w:val="left" w:pos="567"/>
        </w:tabs>
        <w:jc w:val="right"/>
        <w:rPr>
          <w:lang w:val="fr-FR"/>
        </w:rPr>
      </w:pPr>
      <w:r>
        <w:rPr>
          <w:lang w:val="fr-FR"/>
        </w:rPr>
        <w:t>[Date de réception : 8 mars 2024]</w:t>
      </w:r>
    </w:p>
    <w:p w14:paraId="44A34F97" w14:textId="77777777" w:rsidR="00B21A8D" w:rsidRPr="006927FC" w:rsidRDefault="00B21A8D" w:rsidP="006656AF">
      <w:pPr>
        <w:tabs>
          <w:tab w:val="left" w:pos="567"/>
        </w:tabs>
        <w:suppressAutoHyphens w:val="0"/>
        <w:spacing w:after="200" w:line="276" w:lineRule="auto"/>
        <w:rPr>
          <w:lang w:val="fr-FR"/>
        </w:rPr>
      </w:pPr>
      <w:r w:rsidRPr="006927FC">
        <w:rPr>
          <w:lang w:val="fr-FR"/>
        </w:rPr>
        <w:br w:type="page"/>
      </w:r>
    </w:p>
    <w:p w14:paraId="48311B43" w14:textId="77777777" w:rsidR="00B21A8D" w:rsidRPr="006927FC" w:rsidRDefault="00B21A8D" w:rsidP="006656AF">
      <w:pPr>
        <w:pStyle w:val="HChG"/>
        <w:rPr>
          <w:lang w:val="fr-FR"/>
        </w:rPr>
      </w:pPr>
      <w:r>
        <w:rPr>
          <w:lang w:val="fr-FR"/>
        </w:rPr>
        <w:lastRenderedPageBreak/>
        <w:tab/>
      </w:r>
      <w:r>
        <w:rPr>
          <w:lang w:val="fr-FR"/>
        </w:rPr>
        <w:tab/>
        <w:t>Introduction</w:t>
      </w:r>
    </w:p>
    <w:p w14:paraId="1EEFB727" w14:textId="0DC18A0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Le présent rapport a été établi en coordination avec des administrations centrales telles que le Ministère de la santé et de la protection sociale, le Ministère de l’économie, de la culture et de l’innovation, le Ministère de la justice, le Ministère de l’intérieur, le Ministère de l’éducation et des sports, le Ministère des finances, le Ministère du tourisme et de l’environnement et l’Institut de la statistique. Celles-ci ont apporté leur contribution au rapport, tout comme des organismes indépendants tels que le </w:t>
      </w:r>
      <w:r w:rsidR="00C0366F">
        <w:rPr>
          <w:lang w:val="fr-FR"/>
        </w:rPr>
        <w:t>B</w:t>
      </w:r>
      <w:r>
        <w:rPr>
          <w:lang w:val="fr-FR"/>
        </w:rPr>
        <w:t>ureau de l’Avocat du peuple de l’Albanie et le Commissariat à la protection contre la discrimination.</w:t>
      </w:r>
    </w:p>
    <w:p w14:paraId="6D521687" w14:textId="77777777" w:rsidR="00B21A8D" w:rsidRPr="00820E13" w:rsidRDefault="00B21A8D" w:rsidP="00DC6B7B">
      <w:pPr>
        <w:pStyle w:val="H1G"/>
        <w:rPr>
          <w:lang w:val="fr-FR"/>
        </w:rPr>
      </w:pPr>
      <w:r>
        <w:rPr>
          <w:lang w:val="fr-FR"/>
        </w:rPr>
        <w:tab/>
        <w:t>A.</w:t>
      </w:r>
      <w:r>
        <w:rPr>
          <w:lang w:val="fr-FR"/>
        </w:rPr>
        <w:tab/>
        <w:t>Renseignements d’ordre général</w:t>
      </w:r>
    </w:p>
    <w:p w14:paraId="01371E33" w14:textId="77777777" w:rsidR="00B21A8D" w:rsidRPr="00820E13" w:rsidRDefault="00B21A8D" w:rsidP="00DC6B7B">
      <w:pPr>
        <w:pStyle w:val="H23G"/>
        <w:rPr>
          <w:lang w:val="fr-FR"/>
        </w:rPr>
      </w:pPr>
      <w:r>
        <w:rPr>
          <w:lang w:val="fr-FR"/>
        </w:rPr>
        <w:tab/>
      </w:r>
      <w:r>
        <w:rPr>
          <w:lang w:val="fr-FR"/>
        </w:rPr>
        <w:tab/>
        <w:t>Réponse au paragraphe 1 de la liste de points (E/C.12/ALB/Q/4)</w:t>
      </w:r>
    </w:p>
    <w:p w14:paraId="3A8E4665" w14:textId="7EDF539D"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La loi n</w:t>
      </w:r>
      <w:r>
        <w:rPr>
          <w:vertAlign w:val="superscript"/>
          <w:lang w:val="fr-FR"/>
        </w:rPr>
        <w:t>o</w:t>
      </w:r>
      <w:r w:rsidR="006656AF">
        <w:rPr>
          <w:lang w:val="fr-FR"/>
        </w:rPr>
        <w:t> </w:t>
      </w:r>
      <w:r>
        <w:rPr>
          <w:lang w:val="fr-FR"/>
        </w:rPr>
        <w:t xml:space="preserve">111/2017 relative à l’aide juridictionnelle garantie par l’État est l’une des lois adoptées dans le cadre de la réforme. Son entrée en vigueur a donné lieu à une refonte complète du système, apportant une vision nouvelle de l’organisation, du fonctionnement et de la </w:t>
      </w:r>
      <w:r w:rsidRPr="00EB135E">
        <w:rPr>
          <w:spacing w:val="-2"/>
          <w:lang w:val="fr-FR"/>
        </w:rPr>
        <w:t>fourniture</w:t>
      </w:r>
      <w:r>
        <w:rPr>
          <w:lang w:val="fr-FR"/>
        </w:rPr>
        <w:t xml:space="preserve"> de l’aide juridictionnelle garantie par l’État. À la suite de l’adoption de cette loi, un ensemble de règlements visant à encadrer de manière précise toute procédure d’aide juridictionnelle garantie par l’État a été rédigé.</w:t>
      </w:r>
    </w:p>
    <w:p w14:paraId="7F2F6F8C" w14:textId="7777777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6927FC">
        <w:rPr>
          <w:lang w:val="fr-FR"/>
        </w:rPr>
        <w:t>L</w:t>
      </w:r>
      <w:r>
        <w:rPr>
          <w:lang w:val="fr-FR"/>
        </w:rPr>
        <w:t>’</w:t>
      </w:r>
      <w:r w:rsidRPr="006927FC">
        <w:rPr>
          <w:lang w:val="fr-FR"/>
        </w:rPr>
        <w:t xml:space="preserve">objectif principal de cette loi est de fournir une assistance juridique gratuite à toutes les catégories de la population qui, en </w:t>
      </w:r>
      <w:r w:rsidRPr="00387F78">
        <w:rPr>
          <w:lang w:val="fr-FR"/>
        </w:rPr>
        <w:t>raison des conditions dans lesquelles elles se trouvent, sont dans l</w:t>
      </w:r>
      <w:r>
        <w:rPr>
          <w:lang w:val="fr-FR"/>
        </w:rPr>
        <w:t>’</w:t>
      </w:r>
      <w:r w:rsidRPr="00387F78">
        <w:rPr>
          <w:lang w:val="fr-FR"/>
        </w:rPr>
        <w:t>impossibilité d</w:t>
      </w:r>
      <w:r>
        <w:rPr>
          <w:lang w:val="fr-FR"/>
        </w:rPr>
        <w:t>’</w:t>
      </w:r>
      <w:r w:rsidRPr="00387F78">
        <w:rPr>
          <w:lang w:val="fr-FR"/>
        </w:rPr>
        <w:t>en bénéficier. Les différentes catégories de bénéficiaires ont fait l</w:t>
      </w:r>
      <w:r>
        <w:rPr>
          <w:lang w:val="fr-FR"/>
        </w:rPr>
        <w:t>’</w:t>
      </w:r>
      <w:r w:rsidRPr="00387F78">
        <w:rPr>
          <w:lang w:val="fr-FR"/>
        </w:rPr>
        <w:t>objet d</w:t>
      </w:r>
      <w:r>
        <w:rPr>
          <w:lang w:val="fr-FR"/>
        </w:rPr>
        <w:t>’</w:t>
      </w:r>
      <w:r w:rsidRPr="00387F78">
        <w:rPr>
          <w:lang w:val="fr-FR"/>
        </w:rPr>
        <w:t>une attention particulière, dans le souci d</w:t>
      </w:r>
      <w:r>
        <w:rPr>
          <w:lang w:val="fr-FR"/>
        </w:rPr>
        <w:t>’</w:t>
      </w:r>
      <w:r w:rsidRPr="00387F78">
        <w:rPr>
          <w:lang w:val="fr-FR"/>
        </w:rPr>
        <w:t>élargir le cercle de personnes concernées et de permettre aux groupes vulnérables de bénéficier</w:t>
      </w:r>
      <w:r>
        <w:rPr>
          <w:lang w:val="fr-FR"/>
        </w:rPr>
        <w:t xml:space="preserve"> directement du dispositif d’aide juridictionnelle gratuite.</w:t>
      </w:r>
    </w:p>
    <w:p w14:paraId="59D757E0" w14:textId="6FCC6BCC"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La loi n</w:t>
      </w:r>
      <w:r w:rsidRPr="00DE3198">
        <w:rPr>
          <w:vertAlign w:val="superscript"/>
          <w:lang w:val="fr-FR"/>
        </w:rPr>
        <w:t>o</w:t>
      </w:r>
      <w:r w:rsidR="006656AF" w:rsidRPr="006656AF">
        <w:rPr>
          <w:lang w:val="fr-FR"/>
        </w:rPr>
        <w:t> </w:t>
      </w:r>
      <w:r>
        <w:rPr>
          <w:lang w:val="fr-FR"/>
        </w:rPr>
        <w:t xml:space="preserve">111/2017 relative à l’aide juridictionnelle garantie par l’État établit un dispositif </w:t>
      </w:r>
      <w:r w:rsidRPr="00EB135E">
        <w:rPr>
          <w:spacing w:val="-2"/>
          <w:lang w:val="fr-FR"/>
        </w:rPr>
        <w:t>complet</w:t>
      </w:r>
      <w:r>
        <w:rPr>
          <w:lang w:val="fr-FR"/>
        </w:rPr>
        <w:t>, organisé comme suit :</w:t>
      </w:r>
    </w:p>
    <w:p w14:paraId="35531CB2" w14:textId="77777777" w:rsidR="00B21A8D" w:rsidRPr="00820E13" w:rsidRDefault="00B21A8D" w:rsidP="00B10A18">
      <w:pPr>
        <w:pStyle w:val="H4G"/>
        <w:ind w:left="1701"/>
        <w:rPr>
          <w:lang w:val="fr-FR"/>
        </w:rPr>
      </w:pPr>
      <w:r>
        <w:rPr>
          <w:lang w:val="fr-FR"/>
        </w:rPr>
        <w:tab/>
      </w:r>
      <w:r>
        <w:rPr>
          <w:lang w:val="fr-FR"/>
        </w:rPr>
        <w:tab/>
        <w:t>Aide juridictionnelle primaire</w:t>
      </w:r>
    </w:p>
    <w:p w14:paraId="508096DB" w14:textId="77777777" w:rsidR="00B21A8D" w:rsidRPr="00820E13" w:rsidRDefault="00B21A8D" w:rsidP="00DC6B7B">
      <w:pPr>
        <w:pStyle w:val="SingleTxtG"/>
        <w:ind w:left="1701" w:firstLine="567"/>
        <w:rPr>
          <w:lang w:val="fr-FR"/>
        </w:rPr>
      </w:pPr>
      <w:r>
        <w:rPr>
          <w:lang w:val="fr-FR"/>
        </w:rPr>
        <w:t>L’aide juridictionnelle primaire est l’une des formes d’aide juridictionnelle garantie par l’État. Ce service est fourni par des organisations à but non lucratif, des cliniques juridiques au sein d’établissements d’enseignement supérieur et des centres du service d’aide juridictionnelle primaire, qui se répartissent comme suit :</w:t>
      </w:r>
    </w:p>
    <w:p w14:paraId="70282041" w14:textId="46A9E061" w:rsidR="00B21A8D" w:rsidRPr="00887156" w:rsidRDefault="00B21A8D" w:rsidP="00887156">
      <w:pPr>
        <w:pStyle w:val="Bullet2G"/>
      </w:pPr>
      <w:r>
        <w:rPr>
          <w:lang w:val="fr-FR"/>
        </w:rPr>
        <w:t>20</w:t>
      </w:r>
      <w:r w:rsidR="00B10A18">
        <w:rPr>
          <w:lang w:val="fr-FR"/>
        </w:rPr>
        <w:t> </w:t>
      </w:r>
      <w:r>
        <w:rPr>
          <w:lang w:val="fr-FR"/>
        </w:rPr>
        <w:t xml:space="preserve">centres de services d’aide juridictionnelle primaire sont déjà opérationnels (voir </w:t>
      </w:r>
      <w:r w:rsidRPr="00887156">
        <w:t>ci-dessous) ;</w:t>
      </w:r>
    </w:p>
    <w:p w14:paraId="4E6A4F81" w14:textId="0C72710D" w:rsidR="00B21A8D" w:rsidRPr="00887156" w:rsidRDefault="00B21A8D" w:rsidP="00887156">
      <w:pPr>
        <w:pStyle w:val="Bullet2G"/>
      </w:pPr>
      <w:r w:rsidRPr="00887156">
        <w:t>15</w:t>
      </w:r>
      <w:r w:rsidR="00B10A18" w:rsidRPr="00887156">
        <w:t> </w:t>
      </w:r>
      <w:r w:rsidRPr="00887156">
        <w:t>organisations à but non lucratif intervenant à Tirana, à Vlora, à Berat, à Elbasan et à Shkodër (innovation et partenariat public-privé aux fins de la réalisation de la mission conjointe « égalité d’accès à la justice pour les catégories de personnes dans le besoin et les groupes vulnérables ») ont été agréées pour la première fois par le Ministère de la justice ;</w:t>
      </w:r>
    </w:p>
    <w:p w14:paraId="5F78E54C" w14:textId="2E2FFEC1" w:rsidR="00B21A8D" w:rsidRPr="00820E13" w:rsidRDefault="00B21A8D" w:rsidP="00887156">
      <w:pPr>
        <w:pStyle w:val="Bullet2G"/>
        <w:rPr>
          <w:lang w:val="fr-FR"/>
        </w:rPr>
      </w:pPr>
      <w:r w:rsidRPr="00887156">
        <w:t>12</w:t>
      </w:r>
      <w:r w:rsidR="00B10A18" w:rsidRPr="00887156">
        <w:t> </w:t>
      </w:r>
      <w:r w:rsidRPr="00887156">
        <w:t>accords</w:t>
      </w:r>
      <w:r>
        <w:rPr>
          <w:lang w:val="fr-FR"/>
        </w:rPr>
        <w:t xml:space="preserve"> de coopération ont été signés avec des cliniques juridiques intervenant à Tirana, à Vlora et à Shkodër.</w:t>
      </w:r>
    </w:p>
    <w:p w14:paraId="3C0181DB" w14:textId="26801AE2" w:rsidR="00B21A8D" w:rsidRPr="00820E13" w:rsidRDefault="00B21A8D" w:rsidP="00B10A18">
      <w:pPr>
        <w:pStyle w:val="H4G"/>
        <w:ind w:left="1701"/>
        <w:rPr>
          <w:lang w:val="fr-FR"/>
        </w:rPr>
      </w:pPr>
      <w:r>
        <w:rPr>
          <w:lang w:val="fr-FR"/>
        </w:rPr>
        <w:tab/>
      </w:r>
      <w:r>
        <w:rPr>
          <w:lang w:val="fr-FR"/>
        </w:rPr>
        <w:tab/>
      </w:r>
      <w:r>
        <w:rPr>
          <w:iCs/>
          <w:lang w:val="fr-FR"/>
        </w:rPr>
        <w:t xml:space="preserve">Aide </w:t>
      </w:r>
      <w:r w:rsidRPr="00B10A18">
        <w:rPr>
          <w:lang w:val="fr-FR"/>
        </w:rPr>
        <w:t>juridictionnelle</w:t>
      </w:r>
      <w:r>
        <w:rPr>
          <w:iCs/>
          <w:lang w:val="fr-FR"/>
        </w:rPr>
        <w:t xml:space="preserve"> secondaire (représentation par un avocat dans le cadre </w:t>
      </w:r>
      <w:r w:rsidR="00DC6B7B">
        <w:rPr>
          <w:iCs/>
          <w:lang w:val="fr-FR"/>
        </w:rPr>
        <w:br/>
      </w:r>
      <w:r>
        <w:rPr>
          <w:iCs/>
          <w:lang w:val="fr-FR"/>
        </w:rPr>
        <w:t>d’une procédure judiciaire)</w:t>
      </w:r>
    </w:p>
    <w:p w14:paraId="20DF81F5" w14:textId="68263045" w:rsidR="00B21A8D" w:rsidRPr="00887156" w:rsidRDefault="00B21A8D" w:rsidP="00887156">
      <w:pPr>
        <w:pStyle w:val="Bullet2G"/>
      </w:pPr>
      <w:r>
        <w:rPr>
          <w:lang w:val="fr-FR"/>
        </w:rPr>
        <w:t>Conformément aux dispositions de la loi n</w:t>
      </w:r>
      <w:r w:rsidRPr="00B50414">
        <w:rPr>
          <w:vertAlign w:val="superscript"/>
          <w:lang w:val="fr-FR"/>
        </w:rPr>
        <w:t>o</w:t>
      </w:r>
      <w:r>
        <w:rPr>
          <w:lang w:val="fr-FR"/>
        </w:rPr>
        <w:t xml:space="preserve"> 111/2017 relative à l’aide </w:t>
      </w:r>
      <w:r w:rsidRPr="00887156">
        <w:t>juridictionnelle garantie par l’État, l’aide juridictionnelle secondaire est l’une des principales formes de services d’aide juridictionnelle garantie par l’État. Elle est fournie en coopération avec plusieurs institutions</w:t>
      </w:r>
      <w:r w:rsidR="00337D74">
        <w:t> ;</w:t>
      </w:r>
    </w:p>
    <w:p w14:paraId="39894DD9" w14:textId="1A511FCF" w:rsidR="00B21A8D" w:rsidRPr="00820E13" w:rsidRDefault="00B21A8D" w:rsidP="00887156">
      <w:pPr>
        <w:pStyle w:val="Bullet2G"/>
        <w:rPr>
          <w:lang w:val="fr-FR"/>
        </w:rPr>
      </w:pPr>
      <w:r w:rsidRPr="00887156">
        <w:t>L’aide juridictionnelle secondaire est fournie par des avocats inscrits sur la liste approuvée par</w:t>
      </w:r>
      <w:r>
        <w:rPr>
          <w:lang w:val="fr-FR"/>
        </w:rPr>
        <w:t xml:space="preserve"> la Chambre nationale des avocats, sur demande (par l’intermédiaire d’un formulaire)</w:t>
      </w:r>
      <w:r w:rsidRPr="00784533">
        <w:rPr>
          <w:lang w:val="fr-FR"/>
        </w:rPr>
        <w:t xml:space="preserve"> </w:t>
      </w:r>
      <w:r>
        <w:rPr>
          <w:lang w:val="fr-FR"/>
        </w:rPr>
        <w:t xml:space="preserve">de la personne en droit d’y prétendre. </w:t>
      </w:r>
      <w:r w:rsidRPr="006927FC">
        <w:rPr>
          <w:lang w:val="fr-FR"/>
        </w:rPr>
        <w:t>La</w:t>
      </w:r>
      <w:r w:rsidR="00DC6B7B">
        <w:rPr>
          <w:lang w:val="fr-FR"/>
        </w:rPr>
        <w:t> </w:t>
      </w:r>
      <w:r w:rsidRPr="006927FC">
        <w:rPr>
          <w:lang w:val="fr-FR"/>
        </w:rPr>
        <w:t>demande doit être adressée à la juridiction compétente, laquelle doit statuer dans un délai de cinq jours à compter de la date de réception de la demande</w:t>
      </w:r>
      <w:r>
        <w:rPr>
          <w:lang w:val="fr-FR"/>
        </w:rPr>
        <w:t>.</w:t>
      </w:r>
    </w:p>
    <w:p w14:paraId="637C605C" w14:textId="77777777" w:rsidR="00B21A8D" w:rsidRPr="00820E13" w:rsidRDefault="00B21A8D" w:rsidP="00B10A18">
      <w:pPr>
        <w:pStyle w:val="H4G"/>
        <w:ind w:left="1701"/>
        <w:rPr>
          <w:lang w:val="fr-FR"/>
        </w:rPr>
      </w:pPr>
      <w:r>
        <w:rPr>
          <w:lang w:val="fr-FR"/>
        </w:rPr>
        <w:lastRenderedPageBreak/>
        <w:tab/>
      </w:r>
      <w:r>
        <w:rPr>
          <w:lang w:val="fr-FR"/>
        </w:rPr>
        <w:tab/>
      </w:r>
      <w:r w:rsidRPr="00B10A18">
        <w:rPr>
          <w:lang w:val="fr-FR"/>
        </w:rPr>
        <w:t>Exemption</w:t>
      </w:r>
      <w:r>
        <w:rPr>
          <w:iCs/>
          <w:lang w:val="fr-FR"/>
        </w:rPr>
        <w:t xml:space="preserve"> du paiement des frais de procédure et autres frais de justice, conformément à la loi, et exemption de l’obligation de payer à l’avance les frais d’exécution de la décision de justice</w:t>
      </w:r>
    </w:p>
    <w:p w14:paraId="3589A428" w14:textId="279B9975" w:rsidR="00B21A8D" w:rsidRPr="00820E13" w:rsidRDefault="00B21A8D" w:rsidP="00DC6B7B">
      <w:pPr>
        <w:pStyle w:val="SingleTxtG"/>
        <w:ind w:left="1701" w:firstLine="567"/>
        <w:rPr>
          <w:lang w:val="fr-FR"/>
        </w:rPr>
      </w:pPr>
      <w:r>
        <w:rPr>
          <w:lang w:val="fr-FR"/>
        </w:rPr>
        <w:t>La loi n</w:t>
      </w:r>
      <w:r>
        <w:rPr>
          <w:vertAlign w:val="superscript"/>
          <w:lang w:val="fr-FR"/>
        </w:rPr>
        <w:t>o</w:t>
      </w:r>
      <w:r w:rsidR="00DC6B7B">
        <w:rPr>
          <w:lang w:val="fr-FR"/>
        </w:rPr>
        <w:t> </w:t>
      </w:r>
      <w:r>
        <w:rPr>
          <w:lang w:val="fr-FR"/>
        </w:rPr>
        <w:t>111/2017 relative à l’aide juridictionnelle garantie par l’État définit les groupes de personnes pouvant prétendre au bénéfice de l’aide juridictionnelle (art</w:t>
      </w:r>
      <w:r w:rsidR="00DC6B7B">
        <w:rPr>
          <w:lang w:val="fr-FR"/>
        </w:rPr>
        <w:t>.</w:t>
      </w:r>
      <w:r>
        <w:rPr>
          <w:lang w:val="fr-FR"/>
        </w:rPr>
        <w:t> 11 et 12) :</w:t>
      </w:r>
    </w:p>
    <w:p w14:paraId="7C6B5A3C" w14:textId="77777777" w:rsidR="00B21A8D" w:rsidRPr="00887156" w:rsidRDefault="00B21A8D" w:rsidP="00887156">
      <w:pPr>
        <w:pStyle w:val="Bullet2G"/>
      </w:pPr>
      <w:r>
        <w:rPr>
          <w:lang w:val="fr-FR"/>
        </w:rPr>
        <w:t xml:space="preserve">Les </w:t>
      </w:r>
      <w:r w:rsidRPr="00887156">
        <w:t>personnes dont les revenus et le patrimoine sont insuffisants ;</w:t>
      </w:r>
    </w:p>
    <w:p w14:paraId="3D71A97B" w14:textId="77777777" w:rsidR="00B21A8D" w:rsidRPr="00820E13" w:rsidRDefault="00B21A8D" w:rsidP="00887156">
      <w:pPr>
        <w:pStyle w:val="Bullet2G"/>
        <w:rPr>
          <w:lang w:val="fr-FR"/>
        </w:rPr>
      </w:pPr>
      <w:r w:rsidRPr="00887156">
        <w:t>Certain</w:t>
      </w:r>
      <w:r>
        <w:rPr>
          <w:lang w:val="fr-FR"/>
        </w:rPr>
        <w:t>s groupes particuliers (victimes, enfants ou autres personnes vulnérables).</w:t>
      </w:r>
    </w:p>
    <w:p w14:paraId="4C7FACEC" w14:textId="157F9749"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Les personnes dont les revenus et le patrimoine sont insuffisants ainsi que certaines catégories particulières peuvent prétendre au bénéfice du système d’aide juridictionnelle gratuite </w:t>
      </w:r>
      <w:r w:rsidRPr="00EB135E">
        <w:rPr>
          <w:spacing w:val="-2"/>
          <w:lang w:val="fr-FR"/>
        </w:rPr>
        <w:t>conformément</w:t>
      </w:r>
      <w:r>
        <w:rPr>
          <w:lang w:val="fr-FR"/>
        </w:rPr>
        <w:t xml:space="preserve"> à la loi n</w:t>
      </w:r>
      <w:r>
        <w:rPr>
          <w:vertAlign w:val="superscript"/>
          <w:lang w:val="fr-FR"/>
        </w:rPr>
        <w:t>o</w:t>
      </w:r>
      <w:r w:rsidR="00DC6B7B">
        <w:rPr>
          <w:lang w:val="fr-FR"/>
        </w:rPr>
        <w:t> </w:t>
      </w:r>
      <w:r>
        <w:rPr>
          <w:lang w:val="fr-FR"/>
        </w:rPr>
        <w:t>111/2017. Les groupes couverts par l’article 11 peuvent être divisés en sous-groupes comme suit :</w:t>
      </w:r>
    </w:p>
    <w:p w14:paraId="5919C063" w14:textId="75B3F024" w:rsidR="00B21A8D" w:rsidRPr="003B48A0" w:rsidRDefault="00B10A18" w:rsidP="00DC6B7B">
      <w:pPr>
        <w:pStyle w:val="H4G"/>
      </w:pPr>
      <w:r>
        <w:rPr>
          <w:lang w:val="fr-FR"/>
        </w:rPr>
        <w:tab/>
      </w:r>
      <w:r>
        <w:rPr>
          <w:lang w:val="fr-FR"/>
        </w:rPr>
        <w:tab/>
      </w:r>
      <w:r w:rsidR="00337D74">
        <w:rPr>
          <w:lang w:val="fr-FR"/>
        </w:rPr>
        <w:tab/>
      </w:r>
      <w:r w:rsidR="00337D74">
        <w:rPr>
          <w:lang w:val="fr-FR"/>
        </w:rPr>
        <w:tab/>
      </w:r>
      <w:r w:rsidR="00B21A8D">
        <w:rPr>
          <w:lang w:val="fr-FR"/>
        </w:rPr>
        <w:t>Victimes</w:t>
      </w:r>
    </w:p>
    <w:p w14:paraId="4BF669F6" w14:textId="77777777" w:rsidR="00B21A8D" w:rsidRPr="00887156" w:rsidRDefault="00B21A8D" w:rsidP="00887156">
      <w:pPr>
        <w:pStyle w:val="Bullet1G"/>
      </w:pPr>
      <w:r>
        <w:rPr>
          <w:lang w:val="fr-FR"/>
        </w:rPr>
        <w:t xml:space="preserve">Les </w:t>
      </w:r>
      <w:r w:rsidRPr="00887156">
        <w:t>victimes de violence intrafamiliale ;</w:t>
      </w:r>
    </w:p>
    <w:p w14:paraId="474BCD98" w14:textId="6154F58D" w:rsidR="00B21A8D" w:rsidRPr="00820E13" w:rsidRDefault="00B21A8D" w:rsidP="00887156">
      <w:pPr>
        <w:pStyle w:val="Bullet1G"/>
        <w:rPr>
          <w:lang w:val="fr-FR"/>
        </w:rPr>
      </w:pPr>
      <w:r w:rsidRPr="00887156">
        <w:t xml:space="preserve">Les </w:t>
      </w:r>
      <w:r w:rsidR="00337D74">
        <w:rPr>
          <w:lang w:val="fr-FR"/>
        </w:rPr>
        <w:t>victimes</w:t>
      </w:r>
      <w:r>
        <w:rPr>
          <w:lang w:val="fr-FR"/>
        </w:rPr>
        <w:t xml:space="preserve"> d’atteintes sexuelles et de la traite des êtres humains, quel que soit le stade de la procédure pénale, ou les mineurs victimes et les mineurs en conflit avec la loi, quel que soit le stade de la procédure pénale.</w:t>
      </w:r>
    </w:p>
    <w:p w14:paraId="421B2825" w14:textId="13107C08" w:rsidR="00B21A8D" w:rsidRPr="00D941BA" w:rsidRDefault="00B10A18" w:rsidP="00DC6B7B">
      <w:pPr>
        <w:pStyle w:val="H4G"/>
        <w:rPr>
          <w:iCs/>
        </w:rPr>
      </w:pPr>
      <w:r>
        <w:rPr>
          <w:lang w:val="fr-FR"/>
        </w:rPr>
        <w:tab/>
      </w:r>
      <w:r>
        <w:rPr>
          <w:lang w:val="fr-FR"/>
        </w:rPr>
        <w:tab/>
      </w:r>
      <w:r>
        <w:rPr>
          <w:lang w:val="fr-FR"/>
        </w:rPr>
        <w:tab/>
      </w:r>
      <w:r w:rsidR="00337D74">
        <w:rPr>
          <w:lang w:val="fr-FR"/>
        </w:rPr>
        <w:tab/>
      </w:r>
      <w:r w:rsidR="00B21A8D" w:rsidRPr="00B10A18">
        <w:rPr>
          <w:lang w:val="fr-FR"/>
        </w:rPr>
        <w:t>Enfants</w:t>
      </w:r>
    </w:p>
    <w:p w14:paraId="26DFEACF" w14:textId="77777777" w:rsidR="00B21A8D" w:rsidRPr="00820E13" w:rsidRDefault="00B21A8D" w:rsidP="006656AF">
      <w:pPr>
        <w:pStyle w:val="Bullet1G"/>
        <w:numPr>
          <w:ilvl w:val="0"/>
          <w:numId w:val="1"/>
        </w:numPr>
        <w:tabs>
          <w:tab w:val="clear" w:pos="1701"/>
          <w:tab w:val="left" w:pos="567"/>
        </w:tabs>
        <w:rPr>
          <w:lang w:val="fr-FR"/>
        </w:rPr>
      </w:pPr>
      <w:r>
        <w:rPr>
          <w:lang w:val="fr-FR"/>
        </w:rPr>
        <w:t>Les enfants placés en établissement de protection sociale ;</w:t>
      </w:r>
    </w:p>
    <w:p w14:paraId="773FD918" w14:textId="77777777" w:rsidR="00B21A8D" w:rsidRPr="00820E13" w:rsidRDefault="00B21A8D" w:rsidP="006656AF">
      <w:pPr>
        <w:pStyle w:val="Bullet1G"/>
        <w:numPr>
          <w:ilvl w:val="0"/>
          <w:numId w:val="1"/>
        </w:numPr>
        <w:tabs>
          <w:tab w:val="clear" w:pos="1701"/>
          <w:tab w:val="left" w:pos="567"/>
        </w:tabs>
        <w:rPr>
          <w:lang w:val="fr-FR"/>
        </w:rPr>
      </w:pPr>
      <w:r>
        <w:rPr>
          <w:lang w:val="fr-FR"/>
        </w:rPr>
        <w:t>Les enfants sous tutelle qui demandent à engager une action en justice sans le consentement de leur tuteur légal ou contre leur tuteur légal.</w:t>
      </w:r>
    </w:p>
    <w:p w14:paraId="67785C03" w14:textId="77777777" w:rsidR="00B21A8D" w:rsidRPr="00D941BA" w:rsidRDefault="00B21A8D" w:rsidP="006656AF">
      <w:pPr>
        <w:pStyle w:val="SingleTxtG"/>
        <w:tabs>
          <w:tab w:val="clear" w:pos="1701"/>
          <w:tab w:val="clear" w:pos="2268"/>
          <w:tab w:val="clear" w:pos="2835"/>
          <w:tab w:val="left" w:pos="567"/>
        </w:tabs>
        <w:ind w:left="1701"/>
        <w:rPr>
          <w:i/>
          <w:iCs/>
        </w:rPr>
      </w:pPr>
      <w:r>
        <w:rPr>
          <w:i/>
          <w:iCs/>
          <w:lang w:val="fr-FR"/>
        </w:rPr>
        <w:t>Autres personnes vulnérables</w:t>
      </w:r>
    </w:p>
    <w:p w14:paraId="0F6EC752" w14:textId="77777777" w:rsidR="00B21A8D" w:rsidRPr="00820E13" w:rsidRDefault="00B21A8D" w:rsidP="006656AF">
      <w:pPr>
        <w:pStyle w:val="Bullet1G"/>
        <w:numPr>
          <w:ilvl w:val="0"/>
          <w:numId w:val="1"/>
        </w:numPr>
        <w:tabs>
          <w:tab w:val="clear" w:pos="1701"/>
          <w:tab w:val="left" w:pos="567"/>
        </w:tabs>
        <w:rPr>
          <w:lang w:val="fr-FR"/>
        </w:rPr>
      </w:pPr>
      <w:r>
        <w:rPr>
          <w:lang w:val="fr-FR"/>
        </w:rPr>
        <w:t>Les bénéficiaires d’une allocation aux personnes handicapées au titre de la loi sur l’aide sociale et les services sociaux, y compris les personnes non voyantes ;</w:t>
      </w:r>
    </w:p>
    <w:p w14:paraId="27E13B4E" w14:textId="77777777" w:rsidR="00B21A8D" w:rsidRPr="00820E13" w:rsidRDefault="00B21A8D" w:rsidP="006656AF">
      <w:pPr>
        <w:pStyle w:val="Bullet1G"/>
        <w:numPr>
          <w:ilvl w:val="0"/>
          <w:numId w:val="1"/>
        </w:numPr>
        <w:tabs>
          <w:tab w:val="clear" w:pos="1701"/>
          <w:tab w:val="left" w:pos="567"/>
        </w:tabs>
        <w:rPr>
          <w:lang w:val="fr-FR"/>
        </w:rPr>
      </w:pPr>
      <w:r>
        <w:rPr>
          <w:lang w:val="fr-FR"/>
        </w:rPr>
        <w:t>Les personnes prises en charge d’office dans un établissement de soins de santé mentale en application du droit relatif à la santé mentale ;</w:t>
      </w:r>
    </w:p>
    <w:p w14:paraId="06ACE0C1" w14:textId="77777777" w:rsidR="00B21A8D" w:rsidRPr="00820E13" w:rsidRDefault="00B21A8D" w:rsidP="006656AF">
      <w:pPr>
        <w:pStyle w:val="Bullet1G"/>
        <w:numPr>
          <w:ilvl w:val="0"/>
          <w:numId w:val="1"/>
        </w:numPr>
        <w:tabs>
          <w:tab w:val="clear" w:pos="1701"/>
          <w:tab w:val="left" w:pos="567"/>
        </w:tabs>
        <w:rPr>
          <w:lang w:val="fr-FR"/>
        </w:rPr>
      </w:pPr>
      <w:r>
        <w:rPr>
          <w:lang w:val="fr-FR"/>
        </w:rPr>
        <w:t>Les personnes prises en charge à titre volontaire dans un établissement de soins de santé mentale pour patients présentant un trouble grave de la santé mentale ;</w:t>
      </w:r>
    </w:p>
    <w:p w14:paraId="3136EF2E" w14:textId="77777777" w:rsidR="00B21A8D" w:rsidRPr="00820E13" w:rsidRDefault="00B21A8D" w:rsidP="006656AF">
      <w:pPr>
        <w:pStyle w:val="Bullet1G"/>
        <w:numPr>
          <w:ilvl w:val="0"/>
          <w:numId w:val="1"/>
        </w:numPr>
        <w:tabs>
          <w:tab w:val="clear" w:pos="1701"/>
          <w:tab w:val="left" w:pos="567"/>
        </w:tabs>
        <w:rPr>
          <w:lang w:val="fr-FR"/>
        </w:rPr>
      </w:pPr>
      <w:r>
        <w:rPr>
          <w:lang w:val="fr-FR"/>
        </w:rPr>
        <w:t>Les personnes faisant l’objet d’une demande de déclaration d’incapacité totale ou partielle, quel que soit le stade de la procédure ;</w:t>
      </w:r>
    </w:p>
    <w:p w14:paraId="238291DA" w14:textId="77777777" w:rsidR="00B21A8D" w:rsidRPr="00820E13" w:rsidRDefault="00B21A8D" w:rsidP="006656AF">
      <w:pPr>
        <w:pStyle w:val="Bullet1G"/>
        <w:numPr>
          <w:ilvl w:val="0"/>
          <w:numId w:val="1"/>
        </w:numPr>
        <w:tabs>
          <w:tab w:val="clear" w:pos="1701"/>
          <w:tab w:val="left" w:pos="567"/>
        </w:tabs>
        <w:rPr>
          <w:lang w:val="fr-FR"/>
        </w:rPr>
      </w:pPr>
      <w:r>
        <w:rPr>
          <w:lang w:val="fr-FR"/>
        </w:rPr>
        <w:t>Les personnes ayant été déclarées incapables totalement ou partiellement qui demandent l’ouverture d’une procédure contre leur tuteur légal en vue de recouvrer la capacité d’agir sans le consentement de leur tuteur légal ;</w:t>
      </w:r>
    </w:p>
    <w:p w14:paraId="63221F60" w14:textId="77777777" w:rsidR="00B21A8D" w:rsidRPr="00820E13" w:rsidRDefault="00B21A8D" w:rsidP="006656AF">
      <w:pPr>
        <w:pStyle w:val="Bullet1G"/>
        <w:numPr>
          <w:ilvl w:val="0"/>
          <w:numId w:val="1"/>
        </w:numPr>
        <w:tabs>
          <w:tab w:val="clear" w:pos="1701"/>
          <w:tab w:val="left" w:pos="567"/>
        </w:tabs>
        <w:rPr>
          <w:lang w:val="fr-FR"/>
        </w:rPr>
      </w:pPr>
      <w:r>
        <w:rPr>
          <w:lang w:val="fr-FR"/>
        </w:rPr>
        <w:t>Les bénéficiaires de programmes de protection sociale ;</w:t>
      </w:r>
    </w:p>
    <w:p w14:paraId="2F1A9525" w14:textId="77777777" w:rsidR="00B21A8D" w:rsidRPr="00820E13" w:rsidRDefault="00B21A8D" w:rsidP="006656AF">
      <w:pPr>
        <w:pStyle w:val="Bullet1G"/>
        <w:numPr>
          <w:ilvl w:val="0"/>
          <w:numId w:val="1"/>
        </w:numPr>
        <w:tabs>
          <w:tab w:val="clear" w:pos="1701"/>
          <w:tab w:val="left" w:pos="567"/>
        </w:tabs>
        <w:rPr>
          <w:lang w:val="fr-FR"/>
        </w:rPr>
      </w:pPr>
      <w:r>
        <w:rPr>
          <w:lang w:val="fr-FR"/>
        </w:rPr>
        <w:t>Les personnes dont les droits ont été violés par suite d’une action ou d’une omission à caractère discriminatoire, sur décision de l’organe compétent, conformément au droit relatif à la protection contre la discrimination.</w:t>
      </w:r>
    </w:p>
    <w:p w14:paraId="29D87C2B" w14:textId="2A1C44FF"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Ces </w:t>
      </w:r>
      <w:r w:rsidRPr="00EB135E">
        <w:rPr>
          <w:spacing w:val="-2"/>
          <w:lang w:val="fr-FR"/>
        </w:rPr>
        <w:t>données</w:t>
      </w:r>
      <w:r>
        <w:rPr>
          <w:lang w:val="fr-FR"/>
        </w:rPr>
        <w:t xml:space="preserve"> ont été traitées au cours de l’année</w:t>
      </w:r>
      <w:r w:rsidR="00337D74">
        <w:rPr>
          <w:lang w:val="fr-FR"/>
        </w:rPr>
        <w:t xml:space="preserve"> </w:t>
      </w:r>
      <w:r>
        <w:rPr>
          <w:lang w:val="fr-FR"/>
        </w:rPr>
        <w:t>2023.</w:t>
      </w:r>
    </w:p>
    <w:p w14:paraId="71203B49" w14:textId="7777777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B96E5D">
        <w:rPr>
          <w:lang w:val="fr-FR"/>
        </w:rPr>
        <w:t>En ce qui concerne les catégories concernées par l</w:t>
      </w:r>
      <w:r>
        <w:rPr>
          <w:lang w:val="fr-FR"/>
        </w:rPr>
        <w:t>’</w:t>
      </w:r>
      <w:r w:rsidRPr="00B96E5D">
        <w:rPr>
          <w:lang w:val="fr-FR"/>
        </w:rPr>
        <w:t>aide juridictionnelle secondaire gratuite, il apparaît que 43</w:t>
      </w:r>
      <w:r>
        <w:rPr>
          <w:lang w:val="fr-FR"/>
        </w:rPr>
        <w:t> </w:t>
      </w:r>
      <w:r w:rsidRPr="00B96E5D">
        <w:rPr>
          <w:lang w:val="fr-FR"/>
        </w:rPr>
        <w:t>% des bénéficiaires sont des personnes handicapées, bénéficiant d</w:t>
      </w:r>
      <w:r>
        <w:rPr>
          <w:lang w:val="fr-FR"/>
        </w:rPr>
        <w:t>’</w:t>
      </w:r>
      <w:r w:rsidRPr="00B96E5D">
        <w:rPr>
          <w:lang w:val="fr-FR"/>
        </w:rPr>
        <w:t>allocations sur critères de ressources et de patrimoine, que 44</w:t>
      </w:r>
      <w:r>
        <w:rPr>
          <w:lang w:val="fr-FR"/>
        </w:rPr>
        <w:t> </w:t>
      </w:r>
      <w:r w:rsidRPr="00B96E5D">
        <w:rPr>
          <w:lang w:val="fr-FR"/>
        </w:rPr>
        <w:t>% sont des victimes de violence, bénéficiaires de programmes sociaux ou personnes relevant d</w:t>
      </w:r>
      <w:r>
        <w:rPr>
          <w:lang w:val="fr-FR"/>
        </w:rPr>
        <w:t>’</w:t>
      </w:r>
      <w:r w:rsidRPr="00B96E5D">
        <w:rPr>
          <w:lang w:val="fr-FR"/>
        </w:rPr>
        <w:t>autres catégories juridiques similaires, et que 13</w:t>
      </w:r>
      <w:r>
        <w:rPr>
          <w:lang w:val="fr-FR"/>
        </w:rPr>
        <w:t> </w:t>
      </w:r>
      <w:r w:rsidRPr="00B96E5D">
        <w:rPr>
          <w:lang w:val="fr-FR"/>
        </w:rPr>
        <w:t>% sont des personnes relevant de catégories non définies.</w:t>
      </w:r>
      <w:r>
        <w:rPr>
          <w:lang w:val="fr-FR"/>
        </w:rPr>
        <w:t xml:space="preserve"> S’agissant du genre, 71 % des demandeurs sont des femmes et 29 % des hommes.</w:t>
      </w:r>
    </w:p>
    <w:p w14:paraId="7C8F4C2A" w14:textId="7777777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Concernant la nature des affaires judiciaires dans lesquelles des justiciables ont demandé une aide juridictionnelle secondaire, il apparaît qu’il s’agit principalement d’affaires civiles. Sur un total de 773 demandes d’aide juridictionnelle, 647 ont été déposées </w:t>
      </w:r>
      <w:r>
        <w:rPr>
          <w:lang w:val="fr-FR"/>
        </w:rPr>
        <w:lastRenderedPageBreak/>
        <w:t>dans le cadre d’affaires au civil, portant essentiellement sur des contrats de mariage, des prestations de retraite et des conflits de propriété. Parmi les autres demandes, 50 concernaient des affaires pénales et 71 des affaires administratives. Dans 5 cas, le type d’affaire n’a pas été déterminé.</w:t>
      </w:r>
    </w:p>
    <w:p w14:paraId="2069CFC9" w14:textId="36D10346" w:rsidR="00B21A8D" w:rsidRPr="0006789C"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06789C">
        <w:rPr>
          <w:lang w:val="fr-FR"/>
        </w:rPr>
        <w:t>Concernant le type d</w:t>
      </w:r>
      <w:r>
        <w:rPr>
          <w:lang w:val="fr-FR"/>
        </w:rPr>
        <w:t>’</w:t>
      </w:r>
      <w:r w:rsidRPr="0006789C">
        <w:rPr>
          <w:lang w:val="fr-FR"/>
        </w:rPr>
        <w:t>aide juridictionnelle secondaire gratuite demandée, sur un total de 773</w:t>
      </w:r>
      <w:r>
        <w:rPr>
          <w:lang w:val="fr-FR"/>
        </w:rPr>
        <w:t> </w:t>
      </w:r>
      <w:r w:rsidRPr="0006789C">
        <w:rPr>
          <w:lang w:val="fr-FR"/>
        </w:rPr>
        <w:t>décisions, 124 concernaient des demandes d</w:t>
      </w:r>
      <w:r>
        <w:rPr>
          <w:lang w:val="fr-FR"/>
        </w:rPr>
        <w:t>’</w:t>
      </w:r>
      <w:r w:rsidRPr="0006789C">
        <w:rPr>
          <w:lang w:val="fr-FR"/>
        </w:rPr>
        <w:t>assistance d</w:t>
      </w:r>
      <w:r>
        <w:rPr>
          <w:lang w:val="fr-FR"/>
        </w:rPr>
        <w:t>’</w:t>
      </w:r>
      <w:r w:rsidRPr="0006789C">
        <w:rPr>
          <w:lang w:val="fr-FR"/>
        </w:rPr>
        <w:t xml:space="preserve">un avocat, 79 des demandes de prise en </w:t>
      </w:r>
      <w:r w:rsidRPr="00EB135E">
        <w:rPr>
          <w:spacing w:val="-2"/>
          <w:lang w:val="fr-FR"/>
        </w:rPr>
        <w:t>charge</w:t>
      </w:r>
      <w:r w:rsidRPr="0006789C">
        <w:rPr>
          <w:lang w:val="fr-FR"/>
        </w:rPr>
        <w:t xml:space="preserve"> des frais de justice et 570 des demandes d</w:t>
      </w:r>
      <w:r>
        <w:rPr>
          <w:lang w:val="fr-FR"/>
        </w:rPr>
        <w:t>’</w:t>
      </w:r>
      <w:r w:rsidRPr="0006789C">
        <w:rPr>
          <w:lang w:val="fr-FR"/>
        </w:rPr>
        <w:t>assistance d</w:t>
      </w:r>
      <w:r>
        <w:rPr>
          <w:lang w:val="fr-FR"/>
        </w:rPr>
        <w:t>’</w:t>
      </w:r>
      <w:r w:rsidRPr="0006789C">
        <w:rPr>
          <w:lang w:val="fr-FR"/>
        </w:rPr>
        <w:t>un avocat et de prise en charge des frais de justice. Sur l</w:t>
      </w:r>
      <w:r>
        <w:rPr>
          <w:lang w:val="fr-FR"/>
        </w:rPr>
        <w:t>’</w:t>
      </w:r>
      <w:r w:rsidRPr="0006789C">
        <w:rPr>
          <w:lang w:val="fr-FR"/>
        </w:rPr>
        <w:t>ensemble des demandes, 31 ont été rejetées et 13</w:t>
      </w:r>
      <w:r w:rsidR="00337D74">
        <w:rPr>
          <w:lang w:val="fr-FR"/>
        </w:rPr>
        <w:t> </w:t>
      </w:r>
      <w:r w:rsidRPr="0006789C">
        <w:rPr>
          <w:lang w:val="fr-FR"/>
        </w:rPr>
        <w:t>ont fait l</w:t>
      </w:r>
      <w:r>
        <w:rPr>
          <w:lang w:val="fr-FR"/>
        </w:rPr>
        <w:t>’</w:t>
      </w:r>
      <w:r w:rsidRPr="0006789C">
        <w:rPr>
          <w:lang w:val="fr-FR"/>
        </w:rPr>
        <w:t>objet d</w:t>
      </w:r>
      <w:r>
        <w:rPr>
          <w:lang w:val="fr-FR"/>
        </w:rPr>
        <w:t>’</w:t>
      </w:r>
      <w:r w:rsidRPr="0006789C">
        <w:rPr>
          <w:lang w:val="fr-FR"/>
        </w:rPr>
        <w:t>un classement sans suite.</w:t>
      </w:r>
    </w:p>
    <w:p w14:paraId="1655147C" w14:textId="77777777" w:rsidR="00B21A8D" w:rsidRPr="00820E13" w:rsidRDefault="00B21A8D" w:rsidP="006656AF">
      <w:pPr>
        <w:pStyle w:val="H23G"/>
        <w:tabs>
          <w:tab w:val="clear" w:pos="851"/>
          <w:tab w:val="left" w:pos="567"/>
        </w:tabs>
        <w:rPr>
          <w:lang w:val="fr-FR"/>
        </w:rPr>
      </w:pPr>
      <w:r>
        <w:rPr>
          <w:lang w:val="fr-FR"/>
        </w:rPr>
        <w:tab/>
      </w:r>
      <w:r>
        <w:rPr>
          <w:lang w:val="fr-FR"/>
        </w:rPr>
        <w:tab/>
      </w:r>
      <w:r>
        <w:rPr>
          <w:bCs/>
          <w:lang w:val="fr-FR"/>
        </w:rPr>
        <w:t>Réponse au paragraphe 2 de la liste de points</w:t>
      </w:r>
    </w:p>
    <w:p w14:paraId="58FF90F1" w14:textId="77777777" w:rsidR="00B21A8D" w:rsidRPr="00887156"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887156">
        <w:rPr>
          <w:spacing w:val="-2"/>
          <w:lang w:val="fr-FR"/>
        </w:rPr>
        <w:t>Les recommandations de l’Avocat du peuple sont dûment prises en compte et énoncées dans les grands objectifs et les domaines de mise en œuvre des documents stratégiques et plans d’action nationaux relatifs à l’égalité des genres, aux enfants, à l’inclusion sociale des minorités rom et égyptienne, aux personnes LGBTI, aux personnes handicapées et aux personnes âgées, ainsi que dans la Stratégie nationale en matière de santé (2021-2030).</w:t>
      </w:r>
    </w:p>
    <w:p w14:paraId="5F685AB8" w14:textId="0E0827CE"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Le Ministère de l’éducation et des sports a pleinement appliqué les recommandations de l’Avocat du peuple et du Commissaire à la protection contre la discrimination. Les</w:t>
      </w:r>
      <w:r w:rsidR="00337D74">
        <w:rPr>
          <w:lang w:val="fr-FR"/>
        </w:rPr>
        <w:t> </w:t>
      </w:r>
      <w:r>
        <w:rPr>
          <w:lang w:val="fr-FR"/>
        </w:rPr>
        <w:t xml:space="preserve">réponses de l’Avocat du Peuple et du Commissaire à la </w:t>
      </w:r>
      <w:r w:rsidR="00337D74">
        <w:rPr>
          <w:lang w:val="fr-FR"/>
        </w:rPr>
        <w:t>p</w:t>
      </w:r>
      <w:r>
        <w:rPr>
          <w:lang w:val="fr-FR"/>
        </w:rPr>
        <w:t xml:space="preserve">rotection contre la </w:t>
      </w:r>
      <w:r w:rsidR="00337D74">
        <w:rPr>
          <w:lang w:val="fr-FR"/>
        </w:rPr>
        <w:t>d</w:t>
      </w:r>
      <w:r>
        <w:rPr>
          <w:lang w:val="fr-FR"/>
        </w:rPr>
        <w:t>iscrimination figurent en annexe du présent document.</w:t>
      </w:r>
    </w:p>
    <w:p w14:paraId="416D37A2" w14:textId="77777777" w:rsidR="00B21A8D" w:rsidRPr="00820E13" w:rsidRDefault="00B21A8D" w:rsidP="006656AF">
      <w:pPr>
        <w:pStyle w:val="H23G"/>
        <w:tabs>
          <w:tab w:val="clear" w:pos="851"/>
          <w:tab w:val="left" w:pos="567"/>
        </w:tabs>
        <w:rPr>
          <w:lang w:val="fr-FR"/>
        </w:rPr>
      </w:pPr>
      <w:r>
        <w:rPr>
          <w:lang w:val="fr-FR"/>
        </w:rPr>
        <w:tab/>
      </w:r>
      <w:r>
        <w:rPr>
          <w:lang w:val="fr-FR"/>
        </w:rPr>
        <w:tab/>
      </w:r>
      <w:r>
        <w:rPr>
          <w:bCs/>
          <w:lang w:val="fr-FR"/>
        </w:rPr>
        <w:t>Réponse au paragraphe 3 de la liste de points</w:t>
      </w:r>
    </w:p>
    <w:p w14:paraId="15FC262F" w14:textId="14EFAA8C"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Le Gouvernement albanais, qui a approuvé sa contribution déterminée au niveau national (CDN), entend ainsi réduire ses émissions de gaz à effet de serre de 20,9 % d’ici à</w:t>
      </w:r>
      <w:r w:rsidR="00337D74">
        <w:rPr>
          <w:lang w:val="fr-FR"/>
        </w:rPr>
        <w:t> </w:t>
      </w:r>
      <w:r>
        <w:rPr>
          <w:lang w:val="fr-FR"/>
        </w:rPr>
        <w:t xml:space="preserve">2030. Pour </w:t>
      </w:r>
      <w:r w:rsidRPr="00EB135E">
        <w:rPr>
          <w:spacing w:val="-2"/>
          <w:lang w:val="fr-FR"/>
        </w:rPr>
        <w:t>atteindre</w:t>
      </w:r>
      <w:r>
        <w:rPr>
          <w:lang w:val="fr-FR"/>
        </w:rPr>
        <w:t xml:space="preserve"> cet objectif, le Gouvernement s’est engagé à mettre en œuvre des mesures, essentiellement dans les secteurs de l’énergie, des transports, des forêts et des déchets, au moyen de divers projets financés par les pouvoirs publics, par des mécanismes de financement internationaux et par différents donateurs. Le rapport de suivi de la mise en œuvre de la CDN sera rédigé en 2024, puis fera l’objet d’une révision.</w:t>
      </w:r>
    </w:p>
    <w:p w14:paraId="055194DF" w14:textId="496E7189"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Nous nous efforçons de diversifier les sources d’énergie dans notre pays. En effet, nous disposons d’une stratégie à long terme et d’un plan d’action visant à augmenter la capacité de </w:t>
      </w:r>
      <w:r w:rsidRPr="00EB135E">
        <w:rPr>
          <w:spacing w:val="-2"/>
          <w:lang w:val="fr-FR"/>
        </w:rPr>
        <w:t>production</w:t>
      </w:r>
      <w:r>
        <w:rPr>
          <w:lang w:val="fr-FR"/>
        </w:rPr>
        <w:t xml:space="preserve"> des sources d’énergie renouvelable</w:t>
      </w:r>
      <w:r w:rsidR="00337D74">
        <w:rPr>
          <w:lang w:val="fr-FR"/>
        </w:rPr>
        <w:t>s</w:t>
      </w:r>
      <w:r>
        <w:rPr>
          <w:lang w:val="fr-FR"/>
        </w:rPr>
        <w:t xml:space="preserve"> grâce à l’installation de nouvelles centrales solaires et éoliennes. Il convient de mentionner ici l’initiative pilote du Ministère de l’infrastructure et de l’énergie prévoyant l’installation de panneaux solaires au bénéfice des familles. Dans le cadre de ce dispositif devant bénéficier à 2 000 utilisateurs, 1 040 unités ont déjà été installées. En 2023, le Gouvernement a alloué 8 millions d’euros de subventions à ce projet, l’objectif étant de couvrir 20 000 bénéficiaires.</w:t>
      </w:r>
    </w:p>
    <w:p w14:paraId="25C8E08B" w14:textId="7777777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Au cours de l’année écoulée, le Gouvernement a approuvé sept projets, d’une capacité totale de 300 </w:t>
      </w:r>
      <w:r w:rsidRPr="00EB135E">
        <w:rPr>
          <w:spacing w:val="-2"/>
          <w:lang w:val="fr-FR"/>
        </w:rPr>
        <w:t>MW</w:t>
      </w:r>
      <w:r>
        <w:rPr>
          <w:lang w:val="fr-FR"/>
        </w:rPr>
        <w:t xml:space="preserve"> et d’une valeur totale de 180 millions d’euros.</w:t>
      </w:r>
    </w:p>
    <w:p w14:paraId="265AEA72" w14:textId="77777777" w:rsidR="00B21A8D" w:rsidRPr="00EB2FB4"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Dans ce contexte, deux ventes par adjudication de parcs photovoltaïques ont été menées à bien, </w:t>
      </w:r>
      <w:r w:rsidRPr="00EB135E">
        <w:rPr>
          <w:spacing w:val="-2"/>
          <w:lang w:val="fr-FR"/>
        </w:rPr>
        <w:t>pour</w:t>
      </w:r>
      <w:r>
        <w:rPr>
          <w:lang w:val="fr-FR"/>
        </w:rPr>
        <w:t xml:space="preserve"> </w:t>
      </w:r>
      <w:r w:rsidRPr="00903633">
        <w:rPr>
          <w:lang w:val="fr-FR"/>
        </w:rPr>
        <w:t>un parc d</w:t>
      </w:r>
      <w:r>
        <w:rPr>
          <w:lang w:val="fr-FR"/>
        </w:rPr>
        <w:t>’</w:t>
      </w:r>
      <w:r w:rsidRPr="00903633">
        <w:rPr>
          <w:lang w:val="fr-FR"/>
        </w:rPr>
        <w:t xml:space="preserve">une puissance installée de 140 MW à </w:t>
      </w:r>
      <w:proofErr w:type="spellStart"/>
      <w:r w:rsidRPr="00903633">
        <w:rPr>
          <w:lang w:val="fr-FR"/>
        </w:rPr>
        <w:t>Karavasta</w:t>
      </w:r>
      <w:proofErr w:type="spellEnd"/>
      <w:r w:rsidRPr="00903633">
        <w:rPr>
          <w:lang w:val="fr-FR"/>
        </w:rPr>
        <w:t xml:space="preserve"> et un parc de 100 MW à </w:t>
      </w:r>
      <w:proofErr w:type="spellStart"/>
      <w:r w:rsidRPr="00903633">
        <w:rPr>
          <w:lang w:val="fr-FR"/>
        </w:rPr>
        <w:t>Spitallë</w:t>
      </w:r>
      <w:proofErr w:type="spellEnd"/>
      <w:r>
        <w:rPr>
          <w:lang w:val="fr-FR"/>
        </w:rPr>
        <w:t>. La production devrait commencer en 2024.</w:t>
      </w:r>
    </w:p>
    <w:p w14:paraId="08E0E8DD" w14:textId="6A5DCF9F"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En juillet 2023, la construction des premiers parcs éoliens d’Albanie a été mise en adjudication. </w:t>
      </w:r>
      <w:r w:rsidRPr="00EB135E">
        <w:rPr>
          <w:spacing w:val="-2"/>
          <w:lang w:val="fr-FR"/>
        </w:rPr>
        <w:t>Trois</w:t>
      </w:r>
      <w:r>
        <w:rPr>
          <w:lang w:val="fr-FR"/>
        </w:rPr>
        <w:t xml:space="preserve"> projets d’une puissance installée totale de 222,6 MW/h ont remporté le marché. Le parc éolien sera opérationnel en 2025. L’investissement dans la centrale </w:t>
      </w:r>
      <w:proofErr w:type="spellStart"/>
      <w:r>
        <w:rPr>
          <w:lang w:val="fr-FR"/>
        </w:rPr>
        <w:t>hydroélectrique</w:t>
      </w:r>
      <w:proofErr w:type="spellEnd"/>
      <w:r>
        <w:rPr>
          <w:lang w:val="fr-FR"/>
        </w:rPr>
        <w:t xml:space="preserve"> de </w:t>
      </w:r>
      <w:proofErr w:type="spellStart"/>
      <w:r>
        <w:rPr>
          <w:lang w:val="fr-FR"/>
        </w:rPr>
        <w:t>Skavica</w:t>
      </w:r>
      <w:proofErr w:type="spellEnd"/>
      <w:r>
        <w:rPr>
          <w:lang w:val="fr-FR"/>
        </w:rPr>
        <w:t xml:space="preserve">, à savoir l’un des investissements les plus importants ayant été faits dans le secteur de l’énergie, devrait fournir un approvisionnement supplémentaire en électricité, améliorer la gestion de la cascade de barrages sur le </w:t>
      </w:r>
      <w:proofErr w:type="spellStart"/>
      <w:r>
        <w:rPr>
          <w:lang w:val="fr-FR"/>
        </w:rPr>
        <w:t>Drin</w:t>
      </w:r>
      <w:proofErr w:type="spellEnd"/>
      <w:r>
        <w:rPr>
          <w:lang w:val="fr-FR"/>
        </w:rPr>
        <w:t xml:space="preserve"> et réduire les inondations en aval dues aux fortes précipitations saisonnières.</w:t>
      </w:r>
    </w:p>
    <w:p w14:paraId="37522AC5" w14:textId="7777777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L’Albanie a montré sa volonté de lutter contre les répercussions du changement climatique sur les </w:t>
      </w:r>
      <w:r w:rsidRPr="00EB135E">
        <w:rPr>
          <w:spacing w:val="-2"/>
          <w:lang w:val="fr-FR"/>
        </w:rPr>
        <w:t>droits</w:t>
      </w:r>
      <w:r>
        <w:rPr>
          <w:lang w:val="fr-FR"/>
        </w:rPr>
        <w:t xml:space="preserve"> économiques, sociaux et culturels, en particulier pour les populations vulnérables, en prenant une série de mesures, notamment les suivantes :</w:t>
      </w:r>
    </w:p>
    <w:p w14:paraId="663FA227" w14:textId="270FFCC7" w:rsidR="00B21A8D" w:rsidRPr="00887156" w:rsidRDefault="00B21A8D" w:rsidP="00887156">
      <w:pPr>
        <w:pStyle w:val="Bullet1G"/>
      </w:pPr>
      <w:r w:rsidRPr="00887156">
        <w:t xml:space="preserve">Programmes de résilience climatique : mise en œuvre d’initiatives visant à renforcer la résilience des communautés dans les zones sujettes aux catastrophes grâce à la </w:t>
      </w:r>
      <w:r w:rsidRPr="00887156">
        <w:lastRenderedPageBreak/>
        <w:t xml:space="preserve">création d’infrastructures, à des systèmes d’alerte précoce et à des projets d’adaptation au niveau local, par exemple le projet de la lagune de </w:t>
      </w:r>
      <w:proofErr w:type="spellStart"/>
      <w:r w:rsidRPr="00887156">
        <w:t>Kunë</w:t>
      </w:r>
      <w:proofErr w:type="spellEnd"/>
      <w:r w:rsidRPr="00887156">
        <w:t>-Vain, mis en œuvre par le Programme des Nations</w:t>
      </w:r>
      <w:r w:rsidR="00BC3819">
        <w:t> </w:t>
      </w:r>
      <w:r w:rsidRPr="00887156">
        <w:t>Unies pour l’environnement (PNUE) ;</w:t>
      </w:r>
    </w:p>
    <w:p w14:paraId="323CA329" w14:textId="77777777" w:rsidR="00B21A8D" w:rsidRPr="00820E13" w:rsidRDefault="00B21A8D" w:rsidP="00887156">
      <w:pPr>
        <w:pStyle w:val="Bullet1G"/>
        <w:rPr>
          <w:lang w:val="fr-FR"/>
        </w:rPr>
      </w:pPr>
      <w:r w:rsidRPr="00887156">
        <w:t>Dispositifs de sécurité sociale de l’Agence de protection civile : mise en place de dispositifs de protection</w:t>
      </w:r>
      <w:r>
        <w:rPr>
          <w:lang w:val="fr-FR"/>
        </w:rPr>
        <w:t xml:space="preserve"> sociale visant à soutenir les individus et les groupes touchés par les catastrophes liées au climat, l’objectif étant de garantir l’accès aux besoins et aux services de base ;</w:t>
      </w:r>
    </w:p>
    <w:p w14:paraId="5B4C326F" w14:textId="2B613609" w:rsidR="00B21A8D" w:rsidRPr="00887156" w:rsidRDefault="00B21A8D" w:rsidP="00887156">
      <w:pPr>
        <w:pStyle w:val="Bullet1G"/>
      </w:pPr>
      <w:r>
        <w:rPr>
          <w:lang w:val="fr-FR"/>
        </w:rPr>
        <w:t>Mobilisation de la population : dans le cadre de différents projets d’adaptation au climat</w:t>
      </w:r>
      <w:r w:rsidRPr="00887156">
        <w:t>, les communautés locales, en particulier les groupes marginalisés, ont été impliquées dans les processus de prise de décision</w:t>
      </w:r>
      <w:r w:rsidR="00BC3819">
        <w:t>s</w:t>
      </w:r>
      <w:r w:rsidRPr="00887156">
        <w:t xml:space="preserve"> et habilitées à participer aux pratiques de développement durable ;</w:t>
      </w:r>
    </w:p>
    <w:p w14:paraId="1537C4A9" w14:textId="77777777" w:rsidR="00B21A8D" w:rsidRPr="00887156" w:rsidRDefault="00B21A8D" w:rsidP="00887156">
      <w:pPr>
        <w:pStyle w:val="Bullet1G"/>
      </w:pPr>
      <w:r w:rsidRPr="00887156">
        <w:t>Éducation et sensibilisation : promotion de la sensibilisation et de l’éducation aux effets des changements climatiques, à l’adaptation à ces derniers et aux mesures d’atténuation, en particulier dans les zones vulnérables ;</w:t>
      </w:r>
    </w:p>
    <w:p w14:paraId="1780564C" w14:textId="77777777" w:rsidR="00B21A8D" w:rsidRPr="00887156" w:rsidRDefault="00B21A8D" w:rsidP="00887156">
      <w:pPr>
        <w:pStyle w:val="Bullet1G"/>
      </w:pPr>
      <w:r w:rsidRPr="00887156">
        <w:t>Accès aux soins de santé : accès garanti aux services de santé et lutte contre les problèmes sanitaires aggravés par les changements climatiques, tels que l’augmentation des vecteurs de maladies et les phénomènes météorologiques extrêmes ;</w:t>
      </w:r>
    </w:p>
    <w:p w14:paraId="317B5F5A" w14:textId="77777777" w:rsidR="00B21A8D" w:rsidRPr="00887156" w:rsidRDefault="00B21A8D" w:rsidP="00887156">
      <w:pPr>
        <w:pStyle w:val="Bullet1G"/>
      </w:pPr>
      <w:r w:rsidRPr="00887156">
        <w:t>Aménagement du territoire : service de vulgarisation proposé par les institutions publiques aux fins de la mise en œuvre d’un aménagement durable du territoire, l’objectif étant de réduire autant que possible la vulnérabilité aux risques liés au climat, notamment au moyen de réglementations relatives à la construction dans les zones à haut risque ;</w:t>
      </w:r>
    </w:p>
    <w:p w14:paraId="6505CCF2" w14:textId="77777777" w:rsidR="00B21A8D" w:rsidRPr="00820E13" w:rsidRDefault="00B21A8D" w:rsidP="00887156">
      <w:pPr>
        <w:pStyle w:val="Bullet1G"/>
        <w:rPr>
          <w:lang w:val="fr-FR"/>
        </w:rPr>
      </w:pPr>
      <w:proofErr w:type="spellStart"/>
      <w:r w:rsidRPr="00887156">
        <w:t>Collaboratio</w:t>
      </w:r>
      <w:proofErr w:type="spellEnd"/>
      <w:r>
        <w:rPr>
          <w:lang w:val="fr-FR"/>
        </w:rPr>
        <w:t>n internationale : participation à des collaborations et à des partenariats internationaux permettant d’accéder aux ressources, à la technologie et à l’expertise nécessaires pour mener une action climatique efficace.</w:t>
      </w:r>
    </w:p>
    <w:p w14:paraId="2A94442B" w14:textId="77777777" w:rsidR="00B21A8D" w:rsidRPr="00820E13" w:rsidRDefault="00B21A8D" w:rsidP="00740E54">
      <w:pPr>
        <w:pStyle w:val="H1G"/>
        <w:rPr>
          <w:lang w:val="fr-FR"/>
        </w:rPr>
      </w:pPr>
      <w:r>
        <w:rPr>
          <w:lang w:val="fr-FR"/>
        </w:rPr>
        <w:tab/>
        <w:t>B.</w:t>
      </w:r>
      <w:r>
        <w:rPr>
          <w:lang w:val="fr-FR"/>
        </w:rPr>
        <w:tab/>
        <w:t>Points relatifs aux dispositions générales du Pacte (art. 1</w:t>
      </w:r>
      <w:r>
        <w:rPr>
          <w:vertAlign w:val="superscript"/>
          <w:lang w:val="fr-FR"/>
        </w:rPr>
        <w:t>er</w:t>
      </w:r>
      <w:r>
        <w:rPr>
          <w:lang w:val="fr-FR"/>
        </w:rPr>
        <w:t xml:space="preserve"> à 5)</w:t>
      </w:r>
    </w:p>
    <w:p w14:paraId="150800D0" w14:textId="77777777" w:rsidR="00B21A8D" w:rsidRPr="00887156" w:rsidRDefault="00B21A8D" w:rsidP="00740E54">
      <w:pPr>
        <w:pStyle w:val="H1G"/>
        <w:rPr>
          <w:spacing w:val="-2"/>
          <w:lang w:val="fr-FR"/>
        </w:rPr>
      </w:pPr>
      <w:r>
        <w:rPr>
          <w:lang w:val="fr-FR"/>
        </w:rPr>
        <w:tab/>
      </w:r>
      <w:r>
        <w:rPr>
          <w:lang w:val="fr-FR"/>
        </w:rPr>
        <w:tab/>
      </w:r>
      <w:r w:rsidRPr="00887156">
        <w:rPr>
          <w:spacing w:val="-2"/>
          <w:lang w:val="fr-FR"/>
        </w:rPr>
        <w:t>Obligation d’agir au maximum des ressources disponibles (art. 2, par. 1)</w:t>
      </w:r>
    </w:p>
    <w:p w14:paraId="6F13E135" w14:textId="77777777" w:rsidR="00B21A8D" w:rsidRPr="00820E13" w:rsidRDefault="00B21A8D" w:rsidP="00740E54">
      <w:pPr>
        <w:pStyle w:val="H23G"/>
        <w:rPr>
          <w:lang w:val="fr-FR"/>
        </w:rPr>
      </w:pPr>
      <w:r>
        <w:rPr>
          <w:lang w:val="fr-FR"/>
        </w:rPr>
        <w:tab/>
      </w:r>
      <w:r>
        <w:rPr>
          <w:lang w:val="fr-FR"/>
        </w:rPr>
        <w:tab/>
        <w:t>Réponse au paragraphe 4 de la liste de points</w:t>
      </w:r>
    </w:p>
    <w:p w14:paraId="50890CA1" w14:textId="2686051E" w:rsidR="00B21A8D" w:rsidRPr="00820E13" w:rsidRDefault="00B21A8D" w:rsidP="00740E54">
      <w:pPr>
        <w:pStyle w:val="Titre1"/>
        <w:tabs>
          <w:tab w:val="clear" w:pos="1701"/>
          <w:tab w:val="clear" w:pos="2268"/>
          <w:tab w:val="clear" w:pos="2835"/>
          <w:tab w:val="left" w:pos="567"/>
        </w:tabs>
        <w:spacing w:after="120"/>
        <w:rPr>
          <w:lang w:val="fr-FR"/>
        </w:rPr>
      </w:pPr>
      <w:r>
        <w:rPr>
          <w:lang w:val="fr-FR"/>
        </w:rPr>
        <w:t>Tableau 1</w:t>
      </w:r>
      <w:r w:rsidR="00740E54">
        <w:rPr>
          <w:lang w:val="fr-FR"/>
        </w:rPr>
        <w:br/>
      </w:r>
      <w:r w:rsidRPr="00740E54">
        <w:rPr>
          <w:b/>
          <w:lang w:val="fr-FR"/>
        </w:rPr>
        <w:tab/>
        <w:t>Pourcentage de la population vivant sous le seuil national de pauvreté</w:t>
      </w:r>
    </w:p>
    <w:tbl>
      <w:tblPr>
        <w:tblW w:w="7370" w:type="dxa"/>
        <w:tblInd w:w="1134" w:type="dxa"/>
        <w:tblLayout w:type="fixed"/>
        <w:tblCellMar>
          <w:left w:w="0" w:type="dxa"/>
          <w:right w:w="0" w:type="dxa"/>
        </w:tblCellMar>
        <w:tblLook w:val="04A0" w:firstRow="1" w:lastRow="0" w:firstColumn="1" w:lastColumn="0" w:noHBand="0" w:noVBand="1"/>
      </w:tblPr>
      <w:tblGrid>
        <w:gridCol w:w="6054"/>
        <w:gridCol w:w="1316"/>
      </w:tblGrid>
      <w:tr w:rsidR="00B21A8D" w:rsidRPr="00740E54" w14:paraId="243AADC1" w14:textId="77777777" w:rsidTr="00740E54">
        <w:trPr>
          <w:tblHeader/>
        </w:trPr>
        <w:tc>
          <w:tcPr>
            <w:tcW w:w="6054" w:type="dxa"/>
            <w:tcBorders>
              <w:top w:val="single" w:sz="4" w:space="0" w:color="auto"/>
              <w:bottom w:val="single" w:sz="12" w:space="0" w:color="auto"/>
            </w:tcBorders>
            <w:shd w:val="clear" w:color="auto" w:fill="auto"/>
            <w:vAlign w:val="bottom"/>
          </w:tcPr>
          <w:p w14:paraId="34B65C8C" w14:textId="77777777" w:rsidR="00B21A8D" w:rsidRPr="00740E54" w:rsidRDefault="00B21A8D" w:rsidP="00740E54">
            <w:pPr>
              <w:suppressAutoHyphens w:val="0"/>
              <w:spacing w:before="80" w:after="80" w:line="200" w:lineRule="exact"/>
              <w:rPr>
                <w:i/>
                <w:sz w:val="16"/>
                <w:lang w:val="fr-FR"/>
              </w:rPr>
            </w:pPr>
          </w:p>
        </w:tc>
        <w:tc>
          <w:tcPr>
            <w:tcW w:w="1316" w:type="dxa"/>
            <w:tcBorders>
              <w:top w:val="single" w:sz="4" w:space="0" w:color="auto"/>
              <w:bottom w:val="single" w:sz="12" w:space="0" w:color="auto"/>
            </w:tcBorders>
            <w:shd w:val="clear" w:color="auto" w:fill="auto"/>
            <w:vAlign w:val="bottom"/>
          </w:tcPr>
          <w:p w14:paraId="53093B74" w14:textId="77777777" w:rsidR="00B21A8D" w:rsidRPr="00740E54" w:rsidRDefault="00B21A8D" w:rsidP="00740E54">
            <w:pPr>
              <w:suppressAutoHyphens w:val="0"/>
              <w:spacing w:before="80" w:after="80" w:line="200" w:lineRule="exact"/>
              <w:jc w:val="right"/>
              <w:rPr>
                <w:i/>
                <w:sz w:val="16"/>
              </w:rPr>
            </w:pPr>
            <w:r w:rsidRPr="00740E54">
              <w:rPr>
                <w:i/>
                <w:iCs/>
                <w:sz w:val="16"/>
                <w:lang w:val="fr-FR"/>
              </w:rPr>
              <w:t>2021</w:t>
            </w:r>
          </w:p>
        </w:tc>
      </w:tr>
      <w:tr w:rsidR="00B21A8D" w:rsidRPr="00740E54" w14:paraId="0B324D08" w14:textId="77777777" w:rsidTr="00740E54">
        <w:trPr>
          <w:tblHeader/>
        </w:trPr>
        <w:tc>
          <w:tcPr>
            <w:tcW w:w="6054" w:type="dxa"/>
            <w:tcBorders>
              <w:bottom w:val="single" w:sz="12" w:space="0" w:color="auto"/>
            </w:tcBorders>
            <w:shd w:val="clear" w:color="auto" w:fill="auto"/>
          </w:tcPr>
          <w:p w14:paraId="2929C303" w14:textId="6CB8ABA9" w:rsidR="00B21A8D" w:rsidRPr="00740E54" w:rsidRDefault="00B21A8D" w:rsidP="00740E54">
            <w:pPr>
              <w:suppressAutoHyphens w:val="0"/>
              <w:spacing w:before="40" w:after="40" w:line="220" w:lineRule="exact"/>
              <w:rPr>
                <w:sz w:val="18"/>
                <w:szCs w:val="18"/>
                <w:lang w:val="fr-FR"/>
              </w:rPr>
            </w:pPr>
            <w:r w:rsidRPr="00740E54">
              <w:rPr>
                <w:sz w:val="18"/>
                <w:szCs w:val="18"/>
                <w:lang w:val="fr-FR"/>
              </w:rPr>
              <w:t xml:space="preserve">Pourcentage de la population vivant sous le seuil national de pauvreté </w:t>
            </w:r>
            <w:r w:rsidR="00740E54">
              <w:rPr>
                <w:sz w:val="18"/>
                <w:szCs w:val="18"/>
                <w:lang w:val="fr-FR"/>
              </w:rPr>
              <w:br/>
            </w:r>
            <w:r w:rsidRPr="00740E54">
              <w:rPr>
                <w:sz w:val="18"/>
                <w:szCs w:val="18"/>
                <w:lang w:val="fr-FR"/>
              </w:rPr>
              <w:t>(60 % du revenu disponible médian équivalent)</w:t>
            </w:r>
          </w:p>
        </w:tc>
        <w:tc>
          <w:tcPr>
            <w:tcW w:w="1316" w:type="dxa"/>
            <w:tcBorders>
              <w:bottom w:val="single" w:sz="12" w:space="0" w:color="auto"/>
            </w:tcBorders>
            <w:shd w:val="clear" w:color="auto" w:fill="auto"/>
            <w:vAlign w:val="bottom"/>
          </w:tcPr>
          <w:p w14:paraId="422B1E32"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22,0 %</w:t>
            </w:r>
          </w:p>
        </w:tc>
      </w:tr>
    </w:tbl>
    <w:p w14:paraId="23C1D412" w14:textId="00DE630E" w:rsidR="00B21A8D" w:rsidRPr="006927FC" w:rsidRDefault="00B21A8D" w:rsidP="006656AF">
      <w:pPr>
        <w:tabs>
          <w:tab w:val="left" w:pos="567"/>
        </w:tabs>
        <w:spacing w:before="120" w:after="240"/>
        <w:ind w:left="1134" w:right="1134" w:firstLine="170"/>
        <w:rPr>
          <w:sz w:val="18"/>
          <w:szCs w:val="18"/>
          <w:lang w:val="fr-FR"/>
        </w:rPr>
      </w:pPr>
      <w:r w:rsidRPr="006927FC">
        <w:rPr>
          <w:i/>
          <w:iCs/>
          <w:sz w:val="18"/>
          <w:szCs w:val="18"/>
          <w:lang w:val="fr-FR"/>
        </w:rPr>
        <w:t>Source</w:t>
      </w:r>
      <w:r>
        <w:rPr>
          <w:i/>
          <w:iCs/>
          <w:sz w:val="18"/>
          <w:szCs w:val="18"/>
          <w:lang w:val="fr-FR"/>
        </w:rPr>
        <w:t> </w:t>
      </w:r>
      <w:r w:rsidRPr="00740E54">
        <w:rPr>
          <w:sz w:val="18"/>
          <w:szCs w:val="18"/>
          <w:lang w:val="fr-FR"/>
        </w:rPr>
        <w:t>:</w:t>
      </w:r>
      <w:r w:rsidRPr="006927FC">
        <w:rPr>
          <w:sz w:val="18"/>
          <w:szCs w:val="18"/>
          <w:lang w:val="fr-FR"/>
        </w:rPr>
        <w:t xml:space="preserve"> Enquête sur les revenus et les conditions de vie</w:t>
      </w:r>
      <w:r w:rsidR="00BC3819">
        <w:rPr>
          <w:sz w:val="18"/>
          <w:szCs w:val="18"/>
          <w:lang w:val="fr-FR"/>
        </w:rPr>
        <w:t>,</w:t>
      </w:r>
      <w:r w:rsidR="00740E54">
        <w:rPr>
          <w:sz w:val="18"/>
          <w:szCs w:val="18"/>
          <w:lang w:val="fr-FR"/>
        </w:rPr>
        <w:t xml:space="preserve"> </w:t>
      </w:r>
      <w:r w:rsidRPr="006927FC">
        <w:rPr>
          <w:sz w:val="18"/>
          <w:szCs w:val="18"/>
          <w:lang w:val="fr-FR"/>
        </w:rPr>
        <w:t>2021.</w:t>
      </w:r>
    </w:p>
    <w:p w14:paraId="138DD555" w14:textId="274524A2" w:rsidR="00B21A8D" w:rsidRPr="00740E54" w:rsidRDefault="00B21A8D" w:rsidP="00740E54">
      <w:pPr>
        <w:pStyle w:val="Titre1"/>
        <w:tabs>
          <w:tab w:val="clear" w:pos="1701"/>
          <w:tab w:val="clear" w:pos="2268"/>
          <w:tab w:val="clear" w:pos="2835"/>
          <w:tab w:val="left" w:pos="567"/>
        </w:tabs>
        <w:spacing w:after="120"/>
        <w:rPr>
          <w:b/>
          <w:lang w:val="fr-FR"/>
        </w:rPr>
      </w:pPr>
      <w:r>
        <w:rPr>
          <w:lang w:val="fr-FR"/>
        </w:rPr>
        <w:t>Tableau 2</w:t>
      </w:r>
      <w:r w:rsidR="00740E54">
        <w:rPr>
          <w:lang w:val="fr-FR"/>
        </w:rPr>
        <w:br/>
      </w:r>
      <w:r w:rsidRPr="00BC3819">
        <w:rPr>
          <w:b/>
          <w:spacing w:val="-2"/>
          <w:lang w:val="fr-FR"/>
        </w:rPr>
        <w:tab/>
        <w:t xml:space="preserve">Taux de croissance annuel de la part du revenu disponible équivalent chez les 40 % </w:t>
      </w:r>
      <w:r w:rsidR="00BC3819" w:rsidRPr="00BC3819">
        <w:rPr>
          <w:b/>
          <w:spacing w:val="-2"/>
          <w:lang w:val="fr-FR"/>
        </w:rPr>
        <w:br/>
      </w:r>
      <w:r w:rsidRPr="00BC3819">
        <w:rPr>
          <w:b/>
          <w:spacing w:val="-2"/>
          <w:lang w:val="fr-FR"/>
        </w:rPr>
        <w:t xml:space="preserve">de la population les plus pauvres et dans l’ensemble de la population, et pourcentage </w:t>
      </w:r>
      <w:r w:rsidR="00BC3819" w:rsidRPr="00BC3819">
        <w:rPr>
          <w:b/>
          <w:spacing w:val="-2"/>
          <w:lang w:val="fr-FR"/>
        </w:rPr>
        <w:br/>
      </w:r>
      <w:r w:rsidRPr="00BC3819">
        <w:rPr>
          <w:b/>
          <w:spacing w:val="-2"/>
          <w:lang w:val="fr-FR"/>
        </w:rPr>
        <w:t>de la population vivant avec moins de la moitié du revenu disponible médian équivalent</w:t>
      </w:r>
    </w:p>
    <w:tbl>
      <w:tblPr>
        <w:tblW w:w="7370" w:type="dxa"/>
        <w:tblInd w:w="1134" w:type="dxa"/>
        <w:tblLayout w:type="fixed"/>
        <w:tblCellMar>
          <w:left w:w="0" w:type="dxa"/>
          <w:right w:w="0" w:type="dxa"/>
        </w:tblCellMar>
        <w:tblLook w:val="04A0" w:firstRow="1" w:lastRow="0" w:firstColumn="1" w:lastColumn="0" w:noHBand="0" w:noVBand="1"/>
      </w:tblPr>
      <w:tblGrid>
        <w:gridCol w:w="6054"/>
        <w:gridCol w:w="1316"/>
      </w:tblGrid>
      <w:tr w:rsidR="00B21A8D" w:rsidRPr="00740E54" w14:paraId="5A2E43DB" w14:textId="77777777" w:rsidTr="00740E54">
        <w:trPr>
          <w:tblHeader/>
        </w:trPr>
        <w:tc>
          <w:tcPr>
            <w:tcW w:w="6054" w:type="dxa"/>
            <w:tcBorders>
              <w:top w:val="single" w:sz="4" w:space="0" w:color="auto"/>
              <w:bottom w:val="single" w:sz="12" w:space="0" w:color="auto"/>
            </w:tcBorders>
            <w:shd w:val="clear" w:color="auto" w:fill="auto"/>
            <w:vAlign w:val="bottom"/>
          </w:tcPr>
          <w:p w14:paraId="433DD9E6" w14:textId="77777777" w:rsidR="00B21A8D" w:rsidRPr="00740E54" w:rsidRDefault="00B21A8D" w:rsidP="00740E54">
            <w:pPr>
              <w:suppressAutoHyphens w:val="0"/>
              <w:spacing w:before="80" w:after="80" w:line="200" w:lineRule="exact"/>
              <w:rPr>
                <w:i/>
                <w:sz w:val="16"/>
                <w:lang w:val="fr-FR"/>
              </w:rPr>
            </w:pPr>
          </w:p>
        </w:tc>
        <w:tc>
          <w:tcPr>
            <w:tcW w:w="1316" w:type="dxa"/>
            <w:tcBorders>
              <w:top w:val="single" w:sz="4" w:space="0" w:color="auto"/>
              <w:bottom w:val="single" w:sz="12" w:space="0" w:color="auto"/>
            </w:tcBorders>
            <w:shd w:val="clear" w:color="auto" w:fill="auto"/>
            <w:vAlign w:val="bottom"/>
          </w:tcPr>
          <w:p w14:paraId="36DD12FD" w14:textId="77777777" w:rsidR="00B21A8D" w:rsidRPr="00740E54" w:rsidRDefault="00B21A8D" w:rsidP="00740E54">
            <w:pPr>
              <w:suppressAutoHyphens w:val="0"/>
              <w:spacing w:before="80" w:after="80" w:line="200" w:lineRule="exact"/>
              <w:jc w:val="right"/>
              <w:rPr>
                <w:i/>
                <w:sz w:val="16"/>
              </w:rPr>
            </w:pPr>
            <w:r w:rsidRPr="00740E54">
              <w:rPr>
                <w:i/>
                <w:iCs/>
                <w:sz w:val="16"/>
                <w:lang w:val="fr-FR"/>
              </w:rPr>
              <w:t>2021</w:t>
            </w:r>
          </w:p>
        </w:tc>
      </w:tr>
      <w:tr w:rsidR="00B21A8D" w:rsidRPr="00740E54" w14:paraId="07918B9C" w14:textId="77777777" w:rsidTr="00740E54">
        <w:trPr>
          <w:tblHeader/>
        </w:trPr>
        <w:tc>
          <w:tcPr>
            <w:tcW w:w="6054" w:type="dxa"/>
            <w:shd w:val="clear" w:color="auto" w:fill="auto"/>
          </w:tcPr>
          <w:p w14:paraId="0E7AFBBE" w14:textId="00596759" w:rsidR="00B21A8D" w:rsidRPr="00740E54" w:rsidRDefault="00B21A8D" w:rsidP="00740E54">
            <w:pPr>
              <w:suppressAutoHyphens w:val="0"/>
              <w:spacing w:before="40" w:after="40" w:line="220" w:lineRule="exact"/>
              <w:rPr>
                <w:sz w:val="18"/>
                <w:szCs w:val="18"/>
                <w:lang w:val="fr-FR"/>
              </w:rPr>
            </w:pPr>
            <w:r w:rsidRPr="00740E54">
              <w:rPr>
                <w:sz w:val="18"/>
                <w:szCs w:val="18"/>
                <w:lang w:val="fr-FR"/>
              </w:rPr>
              <w:t xml:space="preserve">Taux de croissance de la part du revenu disponible équivalent chez les 40 % </w:t>
            </w:r>
            <w:r w:rsidR="00BC3819">
              <w:rPr>
                <w:sz w:val="18"/>
                <w:szCs w:val="18"/>
                <w:lang w:val="fr-FR"/>
              </w:rPr>
              <w:br/>
            </w:r>
            <w:r w:rsidRPr="00740E54">
              <w:rPr>
                <w:sz w:val="18"/>
                <w:szCs w:val="18"/>
                <w:lang w:val="fr-FR"/>
              </w:rPr>
              <w:t>de la population les plus pauvres et dans l’ensemble de la population</w:t>
            </w:r>
          </w:p>
        </w:tc>
        <w:tc>
          <w:tcPr>
            <w:tcW w:w="1316" w:type="dxa"/>
            <w:shd w:val="clear" w:color="auto" w:fill="auto"/>
            <w:vAlign w:val="bottom"/>
          </w:tcPr>
          <w:p w14:paraId="1F18701B"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0,3 %</w:t>
            </w:r>
          </w:p>
        </w:tc>
      </w:tr>
      <w:tr w:rsidR="00B21A8D" w:rsidRPr="00740E54" w14:paraId="1ECEDCC0" w14:textId="77777777" w:rsidTr="00740E54">
        <w:tc>
          <w:tcPr>
            <w:tcW w:w="6054" w:type="dxa"/>
            <w:tcBorders>
              <w:bottom w:val="single" w:sz="12" w:space="0" w:color="auto"/>
            </w:tcBorders>
            <w:shd w:val="clear" w:color="auto" w:fill="auto"/>
          </w:tcPr>
          <w:p w14:paraId="75A5A44E" w14:textId="77777777" w:rsidR="00B21A8D" w:rsidRPr="00740E54" w:rsidRDefault="00B21A8D" w:rsidP="00740E54">
            <w:pPr>
              <w:suppressAutoHyphens w:val="0"/>
              <w:spacing w:before="40" w:after="40" w:line="220" w:lineRule="exact"/>
              <w:rPr>
                <w:sz w:val="18"/>
                <w:szCs w:val="18"/>
                <w:lang w:val="fr-FR"/>
              </w:rPr>
            </w:pPr>
            <w:r w:rsidRPr="00740E54">
              <w:rPr>
                <w:sz w:val="18"/>
                <w:szCs w:val="18"/>
                <w:lang w:val="fr-FR"/>
              </w:rPr>
              <w:t>Pourcentage de la population vivant avec moins de la moitié du revenu disponible médian équivalent</w:t>
            </w:r>
          </w:p>
        </w:tc>
        <w:tc>
          <w:tcPr>
            <w:tcW w:w="1316" w:type="dxa"/>
            <w:tcBorders>
              <w:bottom w:val="single" w:sz="12" w:space="0" w:color="auto"/>
            </w:tcBorders>
            <w:shd w:val="clear" w:color="auto" w:fill="auto"/>
            <w:vAlign w:val="bottom"/>
          </w:tcPr>
          <w:p w14:paraId="6E9D2CDC"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15,0 %</w:t>
            </w:r>
          </w:p>
        </w:tc>
      </w:tr>
    </w:tbl>
    <w:p w14:paraId="00F769BA" w14:textId="6E8AB985" w:rsidR="00B21A8D" w:rsidRPr="006927FC" w:rsidRDefault="00B21A8D" w:rsidP="006656AF">
      <w:pPr>
        <w:tabs>
          <w:tab w:val="left" w:pos="567"/>
        </w:tabs>
        <w:spacing w:before="120" w:after="240"/>
        <w:ind w:left="1134" w:right="1134" w:firstLine="170"/>
        <w:rPr>
          <w:sz w:val="18"/>
          <w:szCs w:val="18"/>
          <w:lang w:val="fr-FR"/>
        </w:rPr>
      </w:pPr>
      <w:r w:rsidRPr="006927FC">
        <w:rPr>
          <w:i/>
          <w:iCs/>
          <w:sz w:val="18"/>
          <w:szCs w:val="18"/>
          <w:lang w:val="fr-FR"/>
        </w:rPr>
        <w:t>Source</w:t>
      </w:r>
      <w:r>
        <w:rPr>
          <w:sz w:val="18"/>
          <w:szCs w:val="18"/>
          <w:lang w:val="fr-FR"/>
        </w:rPr>
        <w:t> </w:t>
      </w:r>
      <w:r w:rsidRPr="006927FC">
        <w:rPr>
          <w:sz w:val="18"/>
          <w:szCs w:val="18"/>
          <w:lang w:val="fr-FR"/>
        </w:rPr>
        <w:t>: Enquête sur les revenus et les conditions de vie</w:t>
      </w:r>
      <w:r w:rsidR="00BC3819">
        <w:rPr>
          <w:sz w:val="18"/>
          <w:szCs w:val="18"/>
          <w:lang w:val="fr-FR"/>
        </w:rPr>
        <w:t>,</w:t>
      </w:r>
      <w:r w:rsidR="00740E54">
        <w:rPr>
          <w:sz w:val="18"/>
          <w:szCs w:val="18"/>
          <w:lang w:val="fr-FR"/>
        </w:rPr>
        <w:t xml:space="preserve"> </w:t>
      </w:r>
      <w:r w:rsidRPr="006927FC">
        <w:rPr>
          <w:sz w:val="18"/>
          <w:szCs w:val="18"/>
          <w:lang w:val="fr-FR"/>
        </w:rPr>
        <w:t>2021.</w:t>
      </w:r>
    </w:p>
    <w:p w14:paraId="3E95AADB" w14:textId="71F7DDC8" w:rsidR="00B21A8D" w:rsidRPr="00740E54" w:rsidRDefault="00B21A8D" w:rsidP="00740E54">
      <w:pPr>
        <w:pStyle w:val="Titre1"/>
        <w:tabs>
          <w:tab w:val="clear" w:pos="1701"/>
          <w:tab w:val="clear" w:pos="2268"/>
          <w:tab w:val="clear" w:pos="2835"/>
          <w:tab w:val="left" w:pos="567"/>
        </w:tabs>
        <w:spacing w:after="120"/>
        <w:rPr>
          <w:b/>
          <w:lang w:val="fr-FR"/>
        </w:rPr>
      </w:pPr>
      <w:r>
        <w:rPr>
          <w:lang w:val="fr-FR"/>
        </w:rPr>
        <w:lastRenderedPageBreak/>
        <w:t>Tableau 3</w:t>
      </w:r>
      <w:r w:rsidR="00740E54">
        <w:rPr>
          <w:lang w:val="fr-FR"/>
        </w:rPr>
        <w:br/>
      </w:r>
      <w:r w:rsidRPr="00740E54">
        <w:rPr>
          <w:b/>
          <w:lang w:val="fr-FR"/>
        </w:rPr>
        <w:t>Taux de chômage de la population âgée de 15 ans et plus</w:t>
      </w:r>
    </w:p>
    <w:tbl>
      <w:tblPr>
        <w:tblW w:w="7370" w:type="dxa"/>
        <w:tblInd w:w="1134" w:type="dxa"/>
        <w:tblLayout w:type="fixed"/>
        <w:tblCellMar>
          <w:left w:w="0" w:type="dxa"/>
          <w:right w:w="0" w:type="dxa"/>
        </w:tblCellMar>
        <w:tblLook w:val="04A0" w:firstRow="1" w:lastRow="0" w:firstColumn="1" w:lastColumn="0" w:noHBand="0" w:noVBand="1"/>
      </w:tblPr>
      <w:tblGrid>
        <w:gridCol w:w="1840"/>
        <w:gridCol w:w="1826"/>
        <w:gridCol w:w="1874"/>
        <w:gridCol w:w="1830"/>
      </w:tblGrid>
      <w:tr w:rsidR="00B21A8D" w:rsidRPr="00740E54" w14:paraId="0F56005F" w14:textId="77777777" w:rsidTr="00740E54">
        <w:trPr>
          <w:tblHeader/>
        </w:trPr>
        <w:tc>
          <w:tcPr>
            <w:tcW w:w="1840" w:type="dxa"/>
            <w:tcBorders>
              <w:top w:val="single" w:sz="4" w:space="0" w:color="auto"/>
              <w:bottom w:val="single" w:sz="4" w:space="0" w:color="auto"/>
            </w:tcBorders>
            <w:shd w:val="clear" w:color="auto" w:fill="auto"/>
            <w:vAlign w:val="bottom"/>
          </w:tcPr>
          <w:p w14:paraId="0EC85D67" w14:textId="77777777" w:rsidR="00B21A8D" w:rsidRPr="00740E54" w:rsidRDefault="00B21A8D" w:rsidP="00740E54">
            <w:pPr>
              <w:suppressAutoHyphens w:val="0"/>
              <w:spacing w:before="80" w:after="80" w:line="200" w:lineRule="exact"/>
              <w:rPr>
                <w:i/>
                <w:sz w:val="16"/>
                <w:lang w:val="fr-FR"/>
              </w:rPr>
            </w:pPr>
          </w:p>
        </w:tc>
        <w:tc>
          <w:tcPr>
            <w:tcW w:w="5530" w:type="dxa"/>
            <w:gridSpan w:val="3"/>
            <w:tcBorders>
              <w:top w:val="single" w:sz="4" w:space="0" w:color="auto"/>
              <w:bottom w:val="single" w:sz="4" w:space="0" w:color="auto"/>
            </w:tcBorders>
            <w:shd w:val="clear" w:color="auto" w:fill="auto"/>
            <w:vAlign w:val="bottom"/>
          </w:tcPr>
          <w:p w14:paraId="37B3FF4D" w14:textId="77777777" w:rsidR="00B21A8D" w:rsidRPr="00740E54" w:rsidRDefault="00B21A8D" w:rsidP="00740E54">
            <w:pPr>
              <w:suppressAutoHyphens w:val="0"/>
              <w:spacing w:before="80" w:after="80" w:line="200" w:lineRule="exact"/>
              <w:jc w:val="right"/>
              <w:rPr>
                <w:i/>
                <w:sz w:val="16"/>
              </w:rPr>
            </w:pPr>
            <w:r w:rsidRPr="00740E54">
              <w:rPr>
                <w:i/>
                <w:iCs/>
                <w:sz w:val="16"/>
                <w:lang w:val="fr-FR"/>
              </w:rPr>
              <w:t>2022</w:t>
            </w:r>
          </w:p>
        </w:tc>
      </w:tr>
      <w:tr w:rsidR="00B21A8D" w:rsidRPr="00740E54" w14:paraId="4A4FD360" w14:textId="77777777" w:rsidTr="00740E54">
        <w:trPr>
          <w:tblHeader/>
        </w:trPr>
        <w:tc>
          <w:tcPr>
            <w:tcW w:w="1840" w:type="dxa"/>
            <w:tcBorders>
              <w:top w:val="single" w:sz="4" w:space="0" w:color="auto"/>
              <w:bottom w:val="single" w:sz="12" w:space="0" w:color="auto"/>
            </w:tcBorders>
            <w:shd w:val="clear" w:color="auto" w:fill="auto"/>
          </w:tcPr>
          <w:p w14:paraId="7158F65B" w14:textId="77777777" w:rsidR="00B21A8D" w:rsidRPr="00740E54" w:rsidRDefault="00B21A8D" w:rsidP="00740E54">
            <w:pPr>
              <w:suppressAutoHyphens w:val="0"/>
              <w:spacing w:before="40" w:after="40" w:line="220" w:lineRule="exact"/>
              <w:rPr>
                <w:i/>
                <w:sz w:val="16"/>
                <w:szCs w:val="16"/>
              </w:rPr>
            </w:pPr>
            <w:r w:rsidRPr="00740E54">
              <w:rPr>
                <w:i/>
                <w:sz w:val="16"/>
                <w:szCs w:val="16"/>
                <w:lang w:val="fr-FR"/>
              </w:rPr>
              <w:t>Groupe d’âge</w:t>
            </w:r>
          </w:p>
        </w:tc>
        <w:tc>
          <w:tcPr>
            <w:tcW w:w="1826" w:type="dxa"/>
            <w:tcBorders>
              <w:top w:val="single" w:sz="4" w:space="0" w:color="auto"/>
              <w:bottom w:val="single" w:sz="12" w:space="0" w:color="auto"/>
            </w:tcBorders>
            <w:shd w:val="clear" w:color="auto" w:fill="auto"/>
            <w:vAlign w:val="bottom"/>
          </w:tcPr>
          <w:p w14:paraId="7CEFE396" w14:textId="77777777" w:rsidR="00B21A8D" w:rsidRPr="00740E54" w:rsidRDefault="00B21A8D" w:rsidP="00740E54">
            <w:pPr>
              <w:suppressAutoHyphens w:val="0"/>
              <w:spacing w:before="40" w:after="40" w:line="220" w:lineRule="exact"/>
              <w:jc w:val="right"/>
              <w:rPr>
                <w:i/>
                <w:sz w:val="16"/>
                <w:szCs w:val="16"/>
              </w:rPr>
            </w:pPr>
            <w:r w:rsidRPr="00740E54">
              <w:rPr>
                <w:i/>
                <w:sz w:val="16"/>
                <w:szCs w:val="16"/>
                <w:lang w:val="fr-FR"/>
              </w:rPr>
              <w:t>Hommes</w:t>
            </w:r>
          </w:p>
        </w:tc>
        <w:tc>
          <w:tcPr>
            <w:tcW w:w="1874" w:type="dxa"/>
            <w:tcBorders>
              <w:top w:val="single" w:sz="4" w:space="0" w:color="auto"/>
              <w:bottom w:val="single" w:sz="12" w:space="0" w:color="auto"/>
            </w:tcBorders>
            <w:shd w:val="clear" w:color="auto" w:fill="auto"/>
            <w:vAlign w:val="bottom"/>
          </w:tcPr>
          <w:p w14:paraId="19FAEC4D" w14:textId="77777777" w:rsidR="00B21A8D" w:rsidRPr="00740E54" w:rsidRDefault="00B21A8D" w:rsidP="00740E54">
            <w:pPr>
              <w:suppressAutoHyphens w:val="0"/>
              <w:spacing w:before="40" w:after="40" w:line="220" w:lineRule="exact"/>
              <w:jc w:val="right"/>
              <w:rPr>
                <w:i/>
                <w:sz w:val="16"/>
                <w:szCs w:val="16"/>
              </w:rPr>
            </w:pPr>
            <w:r w:rsidRPr="00740E54">
              <w:rPr>
                <w:i/>
                <w:sz w:val="16"/>
                <w:szCs w:val="16"/>
                <w:lang w:val="fr-FR"/>
              </w:rPr>
              <w:t>Femmes</w:t>
            </w:r>
          </w:p>
        </w:tc>
        <w:tc>
          <w:tcPr>
            <w:tcW w:w="1830" w:type="dxa"/>
            <w:tcBorders>
              <w:top w:val="single" w:sz="4" w:space="0" w:color="auto"/>
              <w:bottom w:val="single" w:sz="12" w:space="0" w:color="auto"/>
            </w:tcBorders>
            <w:shd w:val="clear" w:color="auto" w:fill="auto"/>
            <w:vAlign w:val="bottom"/>
          </w:tcPr>
          <w:p w14:paraId="4A4814B9" w14:textId="77777777" w:rsidR="00B21A8D" w:rsidRPr="00740E54" w:rsidRDefault="00B21A8D" w:rsidP="00740E54">
            <w:pPr>
              <w:suppressAutoHyphens w:val="0"/>
              <w:spacing w:before="40" w:after="40" w:line="220" w:lineRule="exact"/>
              <w:jc w:val="right"/>
              <w:rPr>
                <w:i/>
                <w:sz w:val="16"/>
                <w:szCs w:val="16"/>
              </w:rPr>
            </w:pPr>
            <w:r w:rsidRPr="00740E54">
              <w:rPr>
                <w:i/>
                <w:sz w:val="16"/>
                <w:szCs w:val="16"/>
                <w:lang w:val="fr-FR"/>
              </w:rPr>
              <w:t>Total</w:t>
            </w:r>
          </w:p>
        </w:tc>
      </w:tr>
      <w:tr w:rsidR="00B21A8D" w:rsidRPr="00740E54" w14:paraId="25C80CB3" w14:textId="77777777" w:rsidTr="00740E54">
        <w:tc>
          <w:tcPr>
            <w:tcW w:w="1840" w:type="dxa"/>
            <w:tcBorders>
              <w:top w:val="single" w:sz="12" w:space="0" w:color="auto"/>
              <w:bottom w:val="single" w:sz="12" w:space="0" w:color="auto"/>
            </w:tcBorders>
            <w:shd w:val="clear" w:color="auto" w:fill="auto"/>
          </w:tcPr>
          <w:p w14:paraId="736CDF5E" w14:textId="77777777" w:rsidR="00B21A8D" w:rsidRPr="00740E54" w:rsidRDefault="00B21A8D" w:rsidP="00740E54">
            <w:pPr>
              <w:suppressAutoHyphens w:val="0"/>
              <w:spacing w:before="40" w:after="40" w:line="220" w:lineRule="exact"/>
              <w:rPr>
                <w:sz w:val="18"/>
                <w:szCs w:val="18"/>
              </w:rPr>
            </w:pPr>
            <w:r w:rsidRPr="00740E54">
              <w:rPr>
                <w:sz w:val="18"/>
                <w:szCs w:val="18"/>
                <w:lang w:val="fr-FR"/>
              </w:rPr>
              <w:t>15 ans et plus</w:t>
            </w:r>
          </w:p>
        </w:tc>
        <w:tc>
          <w:tcPr>
            <w:tcW w:w="1826" w:type="dxa"/>
            <w:tcBorders>
              <w:top w:val="single" w:sz="12" w:space="0" w:color="auto"/>
              <w:bottom w:val="single" w:sz="12" w:space="0" w:color="auto"/>
            </w:tcBorders>
            <w:shd w:val="clear" w:color="auto" w:fill="auto"/>
            <w:vAlign w:val="bottom"/>
          </w:tcPr>
          <w:p w14:paraId="32C1FCA8"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10,6</w:t>
            </w:r>
          </w:p>
        </w:tc>
        <w:tc>
          <w:tcPr>
            <w:tcW w:w="1874" w:type="dxa"/>
            <w:tcBorders>
              <w:top w:val="single" w:sz="12" w:space="0" w:color="auto"/>
              <w:bottom w:val="single" w:sz="12" w:space="0" w:color="auto"/>
            </w:tcBorders>
            <w:shd w:val="clear" w:color="auto" w:fill="auto"/>
            <w:vAlign w:val="bottom"/>
          </w:tcPr>
          <w:p w14:paraId="570674E6"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11,4</w:t>
            </w:r>
          </w:p>
        </w:tc>
        <w:tc>
          <w:tcPr>
            <w:tcW w:w="1830" w:type="dxa"/>
            <w:tcBorders>
              <w:top w:val="single" w:sz="12" w:space="0" w:color="auto"/>
              <w:bottom w:val="single" w:sz="12" w:space="0" w:color="auto"/>
            </w:tcBorders>
            <w:shd w:val="clear" w:color="auto" w:fill="auto"/>
            <w:vAlign w:val="bottom"/>
          </w:tcPr>
          <w:p w14:paraId="2DBF7A6A"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10,9</w:t>
            </w:r>
          </w:p>
        </w:tc>
      </w:tr>
    </w:tbl>
    <w:p w14:paraId="069C00DA" w14:textId="77777777" w:rsidR="00B21A8D" w:rsidRPr="00331D86" w:rsidRDefault="00B21A8D" w:rsidP="006656AF">
      <w:pPr>
        <w:tabs>
          <w:tab w:val="left" w:pos="567"/>
        </w:tabs>
        <w:spacing w:before="120" w:after="240"/>
        <w:ind w:left="1134" w:right="1134" w:firstLine="170"/>
        <w:rPr>
          <w:sz w:val="18"/>
          <w:szCs w:val="18"/>
          <w:lang w:val="fr-FR"/>
        </w:rPr>
      </w:pPr>
      <w:r w:rsidRPr="00331D86">
        <w:rPr>
          <w:i/>
          <w:iCs/>
          <w:sz w:val="18"/>
          <w:szCs w:val="18"/>
          <w:lang w:val="fr-FR"/>
        </w:rPr>
        <w:t>Source</w:t>
      </w:r>
      <w:r w:rsidRPr="00331D86">
        <w:rPr>
          <w:sz w:val="18"/>
          <w:szCs w:val="18"/>
          <w:lang w:val="fr-FR"/>
        </w:rPr>
        <w:t> : Enquête sur la population active, 2022.</w:t>
      </w:r>
    </w:p>
    <w:p w14:paraId="151726E1" w14:textId="24427035" w:rsidR="00B21A8D" w:rsidRPr="00740E54" w:rsidRDefault="00B21A8D" w:rsidP="00740E54">
      <w:pPr>
        <w:pStyle w:val="Titre1"/>
        <w:tabs>
          <w:tab w:val="clear" w:pos="1701"/>
          <w:tab w:val="clear" w:pos="2268"/>
          <w:tab w:val="clear" w:pos="2835"/>
          <w:tab w:val="left" w:pos="567"/>
        </w:tabs>
        <w:spacing w:after="120"/>
        <w:rPr>
          <w:b/>
          <w:lang w:val="fr-FR"/>
        </w:rPr>
      </w:pPr>
      <w:r>
        <w:rPr>
          <w:lang w:val="fr-FR"/>
        </w:rPr>
        <w:t>Tableau 4</w:t>
      </w:r>
      <w:r w:rsidR="00740E54">
        <w:rPr>
          <w:lang w:val="fr-FR"/>
        </w:rPr>
        <w:br/>
      </w:r>
      <w:r w:rsidRPr="00740E54">
        <w:rPr>
          <w:b/>
          <w:lang w:val="fr-FR"/>
        </w:rPr>
        <w:t>Jeunes sans</w:t>
      </w:r>
      <w:r w:rsidR="00646189">
        <w:rPr>
          <w:b/>
          <w:lang w:val="fr-FR"/>
        </w:rPr>
        <w:t>-</w:t>
      </w:r>
      <w:r w:rsidRPr="00740E54">
        <w:rPr>
          <w:b/>
          <w:lang w:val="fr-FR"/>
        </w:rPr>
        <w:t>emploi suivant des études ou une formation, par genre, âge et année</w:t>
      </w:r>
    </w:p>
    <w:tbl>
      <w:tblPr>
        <w:tblW w:w="7370" w:type="dxa"/>
        <w:tblInd w:w="1134" w:type="dxa"/>
        <w:tblLayout w:type="fixed"/>
        <w:tblCellMar>
          <w:left w:w="0" w:type="dxa"/>
          <w:right w:w="0" w:type="dxa"/>
        </w:tblCellMar>
        <w:tblLook w:val="04A0" w:firstRow="1" w:lastRow="0" w:firstColumn="1" w:lastColumn="0" w:noHBand="0" w:noVBand="1"/>
      </w:tblPr>
      <w:tblGrid>
        <w:gridCol w:w="1840"/>
        <w:gridCol w:w="1826"/>
        <w:gridCol w:w="1874"/>
        <w:gridCol w:w="1830"/>
      </w:tblGrid>
      <w:tr w:rsidR="00B21A8D" w:rsidRPr="00740E54" w14:paraId="34793B8A" w14:textId="77777777" w:rsidTr="00740E54">
        <w:trPr>
          <w:tblHeader/>
        </w:trPr>
        <w:tc>
          <w:tcPr>
            <w:tcW w:w="1840" w:type="dxa"/>
            <w:tcBorders>
              <w:top w:val="single" w:sz="4" w:space="0" w:color="auto"/>
              <w:bottom w:val="single" w:sz="4" w:space="0" w:color="auto"/>
            </w:tcBorders>
            <w:shd w:val="clear" w:color="auto" w:fill="auto"/>
            <w:vAlign w:val="bottom"/>
          </w:tcPr>
          <w:p w14:paraId="343B523E" w14:textId="77777777" w:rsidR="00B21A8D" w:rsidRPr="00740E54" w:rsidRDefault="00B21A8D" w:rsidP="00740E54">
            <w:pPr>
              <w:suppressAutoHyphens w:val="0"/>
              <w:spacing w:before="80" w:after="80" w:line="200" w:lineRule="exact"/>
              <w:rPr>
                <w:i/>
                <w:sz w:val="16"/>
                <w:lang w:val="fr-FR"/>
              </w:rPr>
            </w:pPr>
          </w:p>
        </w:tc>
        <w:tc>
          <w:tcPr>
            <w:tcW w:w="5530" w:type="dxa"/>
            <w:gridSpan w:val="3"/>
            <w:tcBorders>
              <w:top w:val="single" w:sz="4" w:space="0" w:color="auto"/>
              <w:bottom w:val="single" w:sz="4" w:space="0" w:color="auto"/>
            </w:tcBorders>
            <w:shd w:val="clear" w:color="auto" w:fill="auto"/>
            <w:vAlign w:val="bottom"/>
          </w:tcPr>
          <w:p w14:paraId="62CED975" w14:textId="77777777" w:rsidR="00B21A8D" w:rsidRPr="00740E54" w:rsidRDefault="00B21A8D" w:rsidP="00740E54">
            <w:pPr>
              <w:suppressAutoHyphens w:val="0"/>
              <w:spacing w:before="80" w:after="80" w:line="200" w:lineRule="exact"/>
              <w:jc w:val="right"/>
              <w:rPr>
                <w:i/>
                <w:sz w:val="16"/>
              </w:rPr>
            </w:pPr>
            <w:r w:rsidRPr="00740E54">
              <w:rPr>
                <w:i/>
                <w:iCs/>
                <w:sz w:val="16"/>
                <w:lang w:val="fr-FR"/>
              </w:rPr>
              <w:t>2022</w:t>
            </w:r>
          </w:p>
        </w:tc>
      </w:tr>
      <w:tr w:rsidR="00B21A8D" w:rsidRPr="00740E54" w14:paraId="4267743C" w14:textId="77777777" w:rsidTr="00740E54">
        <w:trPr>
          <w:tblHeader/>
        </w:trPr>
        <w:tc>
          <w:tcPr>
            <w:tcW w:w="1840" w:type="dxa"/>
            <w:tcBorders>
              <w:top w:val="single" w:sz="4" w:space="0" w:color="auto"/>
              <w:bottom w:val="single" w:sz="12" w:space="0" w:color="auto"/>
            </w:tcBorders>
            <w:shd w:val="clear" w:color="auto" w:fill="auto"/>
          </w:tcPr>
          <w:p w14:paraId="29EDF566" w14:textId="77777777" w:rsidR="00B21A8D" w:rsidRPr="00740E54" w:rsidRDefault="00B21A8D" w:rsidP="00740E54">
            <w:pPr>
              <w:suppressAutoHyphens w:val="0"/>
              <w:spacing w:before="40" w:after="40" w:line="220" w:lineRule="exact"/>
              <w:rPr>
                <w:i/>
                <w:sz w:val="16"/>
                <w:szCs w:val="16"/>
              </w:rPr>
            </w:pPr>
            <w:r w:rsidRPr="00740E54">
              <w:rPr>
                <w:i/>
                <w:sz w:val="16"/>
                <w:szCs w:val="16"/>
                <w:lang w:val="fr-FR"/>
              </w:rPr>
              <w:t>Groupe d’âge</w:t>
            </w:r>
          </w:p>
        </w:tc>
        <w:tc>
          <w:tcPr>
            <w:tcW w:w="1826" w:type="dxa"/>
            <w:tcBorders>
              <w:top w:val="single" w:sz="4" w:space="0" w:color="auto"/>
              <w:bottom w:val="single" w:sz="12" w:space="0" w:color="auto"/>
            </w:tcBorders>
            <w:shd w:val="clear" w:color="auto" w:fill="auto"/>
            <w:vAlign w:val="bottom"/>
          </w:tcPr>
          <w:p w14:paraId="28EC22D9" w14:textId="77777777" w:rsidR="00B21A8D" w:rsidRPr="00740E54" w:rsidRDefault="00B21A8D" w:rsidP="00740E54">
            <w:pPr>
              <w:suppressAutoHyphens w:val="0"/>
              <w:spacing w:before="40" w:after="40" w:line="220" w:lineRule="exact"/>
              <w:jc w:val="right"/>
              <w:rPr>
                <w:i/>
                <w:sz w:val="16"/>
                <w:szCs w:val="16"/>
              </w:rPr>
            </w:pPr>
            <w:r w:rsidRPr="00740E54">
              <w:rPr>
                <w:i/>
                <w:sz w:val="16"/>
                <w:szCs w:val="16"/>
                <w:lang w:val="fr-FR"/>
              </w:rPr>
              <w:t>Hommes</w:t>
            </w:r>
          </w:p>
        </w:tc>
        <w:tc>
          <w:tcPr>
            <w:tcW w:w="1874" w:type="dxa"/>
            <w:tcBorders>
              <w:top w:val="single" w:sz="4" w:space="0" w:color="auto"/>
              <w:bottom w:val="single" w:sz="12" w:space="0" w:color="auto"/>
            </w:tcBorders>
            <w:shd w:val="clear" w:color="auto" w:fill="auto"/>
            <w:vAlign w:val="bottom"/>
          </w:tcPr>
          <w:p w14:paraId="06019BAD" w14:textId="77777777" w:rsidR="00B21A8D" w:rsidRPr="00740E54" w:rsidRDefault="00B21A8D" w:rsidP="00740E54">
            <w:pPr>
              <w:suppressAutoHyphens w:val="0"/>
              <w:spacing w:before="40" w:after="40" w:line="220" w:lineRule="exact"/>
              <w:jc w:val="right"/>
              <w:rPr>
                <w:i/>
                <w:sz w:val="16"/>
                <w:szCs w:val="16"/>
              </w:rPr>
            </w:pPr>
            <w:r w:rsidRPr="00740E54">
              <w:rPr>
                <w:i/>
                <w:sz w:val="16"/>
                <w:szCs w:val="16"/>
                <w:lang w:val="fr-FR"/>
              </w:rPr>
              <w:t>Femmes</w:t>
            </w:r>
          </w:p>
        </w:tc>
        <w:tc>
          <w:tcPr>
            <w:tcW w:w="1830" w:type="dxa"/>
            <w:tcBorders>
              <w:top w:val="single" w:sz="4" w:space="0" w:color="auto"/>
              <w:bottom w:val="single" w:sz="12" w:space="0" w:color="auto"/>
            </w:tcBorders>
            <w:shd w:val="clear" w:color="auto" w:fill="auto"/>
            <w:vAlign w:val="bottom"/>
          </w:tcPr>
          <w:p w14:paraId="06BE0236" w14:textId="77777777" w:rsidR="00B21A8D" w:rsidRPr="00740E54" w:rsidRDefault="00B21A8D" w:rsidP="00740E54">
            <w:pPr>
              <w:suppressAutoHyphens w:val="0"/>
              <w:spacing w:before="40" w:after="40" w:line="220" w:lineRule="exact"/>
              <w:jc w:val="right"/>
              <w:rPr>
                <w:i/>
                <w:sz w:val="16"/>
                <w:szCs w:val="16"/>
              </w:rPr>
            </w:pPr>
            <w:r w:rsidRPr="00740E54">
              <w:rPr>
                <w:i/>
                <w:sz w:val="16"/>
                <w:szCs w:val="16"/>
                <w:lang w:val="fr-FR"/>
              </w:rPr>
              <w:t>Total</w:t>
            </w:r>
          </w:p>
        </w:tc>
      </w:tr>
      <w:tr w:rsidR="00B21A8D" w:rsidRPr="00740E54" w14:paraId="495EFE6D" w14:textId="77777777" w:rsidTr="00740E54">
        <w:tc>
          <w:tcPr>
            <w:tcW w:w="1840" w:type="dxa"/>
            <w:tcBorders>
              <w:top w:val="single" w:sz="12" w:space="0" w:color="auto"/>
            </w:tcBorders>
            <w:shd w:val="clear" w:color="auto" w:fill="auto"/>
          </w:tcPr>
          <w:p w14:paraId="15E2F87E" w14:textId="77777777" w:rsidR="00B21A8D" w:rsidRPr="00740E54" w:rsidRDefault="00B21A8D" w:rsidP="00740E54">
            <w:pPr>
              <w:suppressAutoHyphens w:val="0"/>
              <w:spacing w:before="40" w:after="40" w:line="220" w:lineRule="exact"/>
              <w:rPr>
                <w:sz w:val="18"/>
                <w:szCs w:val="18"/>
              </w:rPr>
            </w:pPr>
            <w:r w:rsidRPr="00740E54">
              <w:rPr>
                <w:sz w:val="18"/>
                <w:szCs w:val="18"/>
                <w:lang w:val="fr-FR"/>
              </w:rPr>
              <w:t>15-24 ans</w:t>
            </w:r>
          </w:p>
        </w:tc>
        <w:tc>
          <w:tcPr>
            <w:tcW w:w="1826" w:type="dxa"/>
            <w:tcBorders>
              <w:top w:val="single" w:sz="12" w:space="0" w:color="auto"/>
            </w:tcBorders>
            <w:shd w:val="clear" w:color="auto" w:fill="auto"/>
            <w:vAlign w:val="bottom"/>
          </w:tcPr>
          <w:p w14:paraId="3F63B352"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21,4</w:t>
            </w:r>
          </w:p>
        </w:tc>
        <w:tc>
          <w:tcPr>
            <w:tcW w:w="1874" w:type="dxa"/>
            <w:tcBorders>
              <w:top w:val="single" w:sz="12" w:space="0" w:color="auto"/>
            </w:tcBorders>
            <w:shd w:val="clear" w:color="auto" w:fill="auto"/>
            <w:vAlign w:val="bottom"/>
          </w:tcPr>
          <w:p w14:paraId="6EE31772"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25,2</w:t>
            </w:r>
          </w:p>
        </w:tc>
        <w:tc>
          <w:tcPr>
            <w:tcW w:w="1830" w:type="dxa"/>
            <w:tcBorders>
              <w:top w:val="single" w:sz="12" w:space="0" w:color="auto"/>
            </w:tcBorders>
            <w:shd w:val="clear" w:color="auto" w:fill="auto"/>
            <w:vAlign w:val="bottom"/>
          </w:tcPr>
          <w:p w14:paraId="19075545"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23,3</w:t>
            </w:r>
          </w:p>
        </w:tc>
      </w:tr>
      <w:tr w:rsidR="00B21A8D" w:rsidRPr="00740E54" w14:paraId="2759F51D" w14:textId="77777777" w:rsidTr="00740E54">
        <w:tc>
          <w:tcPr>
            <w:tcW w:w="1840" w:type="dxa"/>
            <w:tcBorders>
              <w:bottom w:val="single" w:sz="12" w:space="0" w:color="auto"/>
            </w:tcBorders>
            <w:shd w:val="clear" w:color="auto" w:fill="auto"/>
          </w:tcPr>
          <w:p w14:paraId="5C536494" w14:textId="77777777" w:rsidR="00B21A8D" w:rsidRPr="00740E54" w:rsidRDefault="00B21A8D" w:rsidP="00740E54">
            <w:pPr>
              <w:suppressAutoHyphens w:val="0"/>
              <w:spacing w:before="40" w:after="40" w:line="220" w:lineRule="exact"/>
              <w:rPr>
                <w:sz w:val="18"/>
                <w:szCs w:val="18"/>
              </w:rPr>
            </w:pPr>
            <w:r w:rsidRPr="00740E54">
              <w:rPr>
                <w:sz w:val="18"/>
                <w:szCs w:val="18"/>
                <w:lang w:val="fr-FR"/>
              </w:rPr>
              <w:t>15-29 ans</w:t>
            </w:r>
          </w:p>
        </w:tc>
        <w:tc>
          <w:tcPr>
            <w:tcW w:w="1826" w:type="dxa"/>
            <w:tcBorders>
              <w:bottom w:val="single" w:sz="12" w:space="0" w:color="auto"/>
            </w:tcBorders>
            <w:shd w:val="clear" w:color="auto" w:fill="auto"/>
            <w:vAlign w:val="bottom"/>
          </w:tcPr>
          <w:p w14:paraId="06465876"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22,6</w:t>
            </w:r>
          </w:p>
        </w:tc>
        <w:tc>
          <w:tcPr>
            <w:tcW w:w="1874" w:type="dxa"/>
            <w:tcBorders>
              <w:bottom w:val="single" w:sz="12" w:space="0" w:color="auto"/>
            </w:tcBorders>
            <w:shd w:val="clear" w:color="auto" w:fill="auto"/>
            <w:vAlign w:val="bottom"/>
          </w:tcPr>
          <w:p w14:paraId="53BC6069"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27,8</w:t>
            </w:r>
          </w:p>
        </w:tc>
        <w:tc>
          <w:tcPr>
            <w:tcW w:w="1830" w:type="dxa"/>
            <w:tcBorders>
              <w:bottom w:val="single" w:sz="12" w:space="0" w:color="auto"/>
            </w:tcBorders>
            <w:shd w:val="clear" w:color="auto" w:fill="auto"/>
            <w:vAlign w:val="bottom"/>
          </w:tcPr>
          <w:p w14:paraId="7CCB8929" w14:textId="77777777" w:rsidR="00B21A8D" w:rsidRPr="00740E54" w:rsidRDefault="00B21A8D" w:rsidP="00740E54">
            <w:pPr>
              <w:suppressAutoHyphens w:val="0"/>
              <w:spacing w:before="40" w:after="40" w:line="220" w:lineRule="exact"/>
              <w:jc w:val="right"/>
              <w:rPr>
                <w:sz w:val="18"/>
                <w:szCs w:val="18"/>
              </w:rPr>
            </w:pPr>
            <w:r w:rsidRPr="00740E54">
              <w:rPr>
                <w:sz w:val="18"/>
                <w:szCs w:val="18"/>
                <w:lang w:val="fr-FR"/>
              </w:rPr>
              <w:t>25,2</w:t>
            </w:r>
          </w:p>
        </w:tc>
      </w:tr>
    </w:tbl>
    <w:p w14:paraId="411D1FE5" w14:textId="77777777" w:rsidR="00B21A8D" w:rsidRPr="006927FC" w:rsidRDefault="00B21A8D" w:rsidP="006656AF">
      <w:pPr>
        <w:tabs>
          <w:tab w:val="left" w:pos="567"/>
        </w:tabs>
        <w:spacing w:before="120" w:after="240"/>
        <w:ind w:left="1134" w:right="1134" w:firstLine="170"/>
        <w:rPr>
          <w:sz w:val="18"/>
          <w:szCs w:val="18"/>
          <w:lang w:val="fr-FR"/>
        </w:rPr>
      </w:pPr>
      <w:r w:rsidRPr="006927FC">
        <w:rPr>
          <w:i/>
          <w:iCs/>
          <w:sz w:val="18"/>
          <w:szCs w:val="18"/>
          <w:lang w:val="fr-FR"/>
        </w:rPr>
        <w:t>Source</w:t>
      </w:r>
      <w:r>
        <w:rPr>
          <w:sz w:val="18"/>
          <w:szCs w:val="18"/>
          <w:lang w:val="fr-FR"/>
        </w:rPr>
        <w:t> </w:t>
      </w:r>
      <w:r w:rsidRPr="006927FC">
        <w:rPr>
          <w:sz w:val="18"/>
          <w:szCs w:val="18"/>
          <w:lang w:val="fr-FR"/>
        </w:rPr>
        <w:t>: Enquête sur la population active, 2022.</w:t>
      </w:r>
    </w:p>
    <w:p w14:paraId="155D5D2D" w14:textId="77777777" w:rsidR="00B21A8D" w:rsidRPr="00820E13" w:rsidRDefault="00B21A8D"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Ces dix dernières années, les taux d’imposition suivants ont été appliqués concernant l’impôt sur le revenu des personnes physiques et l’impôt sur les sociétés :</w:t>
      </w:r>
    </w:p>
    <w:p w14:paraId="39CC37AD" w14:textId="77777777" w:rsidR="00B21A8D" w:rsidRPr="00820E13" w:rsidRDefault="00B21A8D" w:rsidP="00740E54">
      <w:pPr>
        <w:pStyle w:val="H4G"/>
        <w:rPr>
          <w:lang w:val="fr-FR"/>
        </w:rPr>
      </w:pPr>
      <w:r>
        <w:rPr>
          <w:lang w:val="fr-FR"/>
        </w:rPr>
        <w:tab/>
      </w:r>
      <w:r>
        <w:rPr>
          <w:lang w:val="fr-FR"/>
        </w:rPr>
        <w:tab/>
      </w:r>
      <w:r>
        <w:rPr>
          <w:lang w:val="fr-FR"/>
        </w:rPr>
        <w:tab/>
        <w:t>Taux d’imposition sur le revenu des personnes physiques</w:t>
      </w:r>
    </w:p>
    <w:p w14:paraId="6A80C7C1" w14:textId="22FF4A2B" w:rsidR="00B21A8D" w:rsidRPr="00820E13" w:rsidRDefault="00B21A8D" w:rsidP="00887156">
      <w:pPr>
        <w:pStyle w:val="SingleTxtG"/>
        <w:ind w:left="1701" w:firstLine="567"/>
        <w:rPr>
          <w:lang w:val="fr-FR"/>
        </w:rPr>
      </w:pPr>
      <w:r>
        <w:rPr>
          <w:lang w:val="fr-FR"/>
        </w:rPr>
        <w:t>De 2014 à 2018, les revenus du travail ont été soumis à un régime d’imposition progressif :</w:t>
      </w:r>
    </w:p>
    <w:p w14:paraId="697C2422" w14:textId="77777777" w:rsidR="00B21A8D" w:rsidRPr="00887156" w:rsidRDefault="00B21A8D" w:rsidP="00887156">
      <w:pPr>
        <w:pStyle w:val="Bullet2G"/>
      </w:pPr>
      <w:r w:rsidRPr="00887156">
        <w:t>Taux d’imposition de 0 % sur les revenus jusqu’à 30 000 leks/mois ;</w:t>
      </w:r>
    </w:p>
    <w:p w14:paraId="5A831134" w14:textId="77777777" w:rsidR="00B21A8D" w:rsidRPr="00887156" w:rsidRDefault="00B21A8D" w:rsidP="00887156">
      <w:pPr>
        <w:pStyle w:val="Bullet2G"/>
      </w:pPr>
      <w:r w:rsidRPr="00887156">
        <w:t>Taux d’imposition de 13 % sur les revenus de 30 000 à 130 000 leks/mois ;</w:t>
      </w:r>
    </w:p>
    <w:p w14:paraId="7137E476" w14:textId="77777777" w:rsidR="00B21A8D" w:rsidRPr="00820E13" w:rsidRDefault="00B21A8D" w:rsidP="00887156">
      <w:pPr>
        <w:pStyle w:val="Bullet2G"/>
        <w:rPr>
          <w:lang w:val="fr-FR"/>
        </w:rPr>
      </w:pPr>
      <w:r w:rsidRPr="00887156">
        <w:t>Taux d’imposition</w:t>
      </w:r>
      <w:r>
        <w:rPr>
          <w:lang w:val="fr-FR"/>
        </w:rPr>
        <w:t xml:space="preserve"> de 23 % sur les revenus de plus de 130 000 leks/mois.</w:t>
      </w:r>
    </w:p>
    <w:p w14:paraId="08446447" w14:textId="4D3A4F78" w:rsidR="00B21A8D" w:rsidRPr="00820E13" w:rsidRDefault="00B21A8D" w:rsidP="00887156">
      <w:pPr>
        <w:pStyle w:val="SingleTxtG"/>
        <w:ind w:left="1701" w:firstLine="567"/>
        <w:rPr>
          <w:lang w:val="fr-FR"/>
        </w:rPr>
      </w:pPr>
      <w:r>
        <w:rPr>
          <w:lang w:val="fr-FR"/>
        </w:rPr>
        <w:t>De 2019 à 2021, les revenus du travail ont été soumis à un régime d’imposition progressif :</w:t>
      </w:r>
    </w:p>
    <w:p w14:paraId="42C7B05D" w14:textId="77777777" w:rsidR="00B21A8D" w:rsidRPr="00820E13" w:rsidRDefault="00B21A8D" w:rsidP="003A0909">
      <w:pPr>
        <w:pStyle w:val="Bullet2G"/>
        <w:rPr>
          <w:lang w:val="fr-FR"/>
        </w:rPr>
      </w:pPr>
      <w:r>
        <w:rPr>
          <w:lang w:val="fr-FR"/>
        </w:rPr>
        <w:t>Taux d’imposition de 0 % sur les revenus jusqu’à 30 000 leks/mois ;</w:t>
      </w:r>
    </w:p>
    <w:p w14:paraId="01C5BEF3" w14:textId="77777777" w:rsidR="00B21A8D" w:rsidRPr="00820E13" w:rsidRDefault="00B21A8D" w:rsidP="003A0909">
      <w:pPr>
        <w:pStyle w:val="Bullet2G"/>
        <w:rPr>
          <w:lang w:val="fr-FR"/>
        </w:rPr>
      </w:pPr>
      <w:r>
        <w:rPr>
          <w:lang w:val="fr-FR"/>
        </w:rPr>
        <w:t>Taux d’imposition de 13 % sur les revenus de 30 000 à 150 000 leks/mois ;</w:t>
      </w:r>
    </w:p>
    <w:p w14:paraId="1A3B179E" w14:textId="77777777" w:rsidR="00B21A8D" w:rsidRPr="00820E13" w:rsidRDefault="00B21A8D" w:rsidP="00887156">
      <w:pPr>
        <w:pStyle w:val="Bullet2G"/>
        <w:rPr>
          <w:lang w:val="fr-FR"/>
        </w:rPr>
      </w:pPr>
      <w:r w:rsidRPr="00887156">
        <w:t>Taux</w:t>
      </w:r>
      <w:r>
        <w:rPr>
          <w:lang w:val="fr-FR"/>
        </w:rPr>
        <w:t xml:space="preserve"> d’imposition de 23 % sur les revenus de plus de 150 000 leks/mois.</w:t>
      </w:r>
    </w:p>
    <w:p w14:paraId="6805C9BC" w14:textId="51079D44" w:rsidR="00B21A8D" w:rsidRPr="00820E13" w:rsidRDefault="00B21A8D" w:rsidP="00887156">
      <w:pPr>
        <w:pStyle w:val="SingleTxtG"/>
        <w:ind w:left="1701" w:firstLine="567"/>
        <w:rPr>
          <w:lang w:val="fr-FR"/>
        </w:rPr>
      </w:pPr>
      <w:r>
        <w:rPr>
          <w:lang w:val="fr-FR"/>
        </w:rPr>
        <w:t>De 2022 à 2023, les revenus du travail ont été soumis à un régime d’imposition progressif :</w:t>
      </w:r>
    </w:p>
    <w:p w14:paraId="41193120" w14:textId="77777777" w:rsidR="00B21A8D" w:rsidRPr="00887156" w:rsidRDefault="00B21A8D" w:rsidP="00887156">
      <w:pPr>
        <w:pStyle w:val="Bullet2G"/>
      </w:pPr>
      <w:r>
        <w:rPr>
          <w:lang w:val="fr-FR"/>
        </w:rPr>
        <w:t xml:space="preserve">Pour les revenus allant jusqu’à 40 000 leks/mois, un taux d’imposition de 0 % a été </w:t>
      </w:r>
      <w:r w:rsidRPr="00887156">
        <w:t>appliqué sur les revenus jusqu’à 40 000 leks/mois ;</w:t>
      </w:r>
    </w:p>
    <w:p w14:paraId="7E7E6DD1" w14:textId="77777777" w:rsidR="00B21A8D" w:rsidRPr="00887156" w:rsidRDefault="00B21A8D" w:rsidP="00887156">
      <w:pPr>
        <w:pStyle w:val="Bullet2G"/>
      </w:pPr>
      <w:r w:rsidRPr="00887156">
        <w:t>Pour les revenus de 40 000 à 50 000 leks/mois, le taux d’imposition progressif suivant a été appliqué : 0 % sur les revenus jusqu’à 30 000 leks/mois ; et 50 % sur les revenus supérieurs à 30 000 leks/mois ;</w:t>
      </w:r>
    </w:p>
    <w:p w14:paraId="5347D8EB" w14:textId="77777777" w:rsidR="00B21A8D" w:rsidRPr="00820E13" w:rsidRDefault="00B21A8D" w:rsidP="00887156">
      <w:pPr>
        <w:pStyle w:val="Bullet2G"/>
        <w:rPr>
          <w:lang w:val="fr-FR"/>
        </w:rPr>
      </w:pPr>
      <w:r w:rsidRPr="00887156">
        <w:t>Pour les revenus de plus de 50 000 leks/mois, le taux d’imposition progressif suivant a été appliqué</w:t>
      </w:r>
      <w:r>
        <w:rPr>
          <w:lang w:val="fr-FR"/>
        </w:rPr>
        <w:t> </w:t>
      </w:r>
      <w:r w:rsidRPr="0078084E">
        <w:rPr>
          <w:lang w:val="fr-FR"/>
        </w:rPr>
        <w:t>:</w:t>
      </w:r>
      <w:r>
        <w:rPr>
          <w:lang w:val="fr-FR"/>
        </w:rPr>
        <w:t xml:space="preserve"> 0 % sur les revenus jusqu’à 30 000 leks/mois ; 13 % sur les revenus de 30 000 à 200 000 leks/mois ; et 23 % sur les revenus supérieurs à 200 000 leks/mois.</w:t>
      </w:r>
    </w:p>
    <w:p w14:paraId="0659A217" w14:textId="2C290F0C" w:rsidR="00B21A8D" w:rsidRPr="00820E13" w:rsidRDefault="00B21A8D" w:rsidP="00887156">
      <w:pPr>
        <w:pStyle w:val="SingleTxtG"/>
        <w:ind w:left="1701" w:firstLine="567"/>
        <w:rPr>
          <w:lang w:val="fr-FR"/>
        </w:rPr>
      </w:pPr>
      <w:r>
        <w:rPr>
          <w:lang w:val="fr-FR"/>
        </w:rPr>
        <w:t>Depuis 2023, les revenus du travail sont soumis à un régime d’imposition progressif :</w:t>
      </w:r>
    </w:p>
    <w:p w14:paraId="37AC035B" w14:textId="77777777" w:rsidR="00B21A8D" w:rsidRPr="00887156" w:rsidRDefault="00B21A8D" w:rsidP="00887156">
      <w:pPr>
        <w:pStyle w:val="Bullet2G"/>
      </w:pPr>
      <w:r>
        <w:rPr>
          <w:lang w:val="fr-FR"/>
        </w:rPr>
        <w:t xml:space="preserve">Pour les revenus allant jusqu’à 50 000 leks/mois, un taux d’imposition de 0 % est </w:t>
      </w:r>
      <w:r w:rsidRPr="00887156">
        <w:t>appliqué sur les revenus jusqu’à 50 000 leks/mois ;</w:t>
      </w:r>
    </w:p>
    <w:p w14:paraId="5D0979F9" w14:textId="77777777" w:rsidR="00B21A8D" w:rsidRPr="00820E13" w:rsidRDefault="00B21A8D" w:rsidP="00887156">
      <w:pPr>
        <w:pStyle w:val="Bullet2G"/>
        <w:rPr>
          <w:lang w:val="fr-FR"/>
        </w:rPr>
      </w:pPr>
      <w:r w:rsidRPr="00887156">
        <w:t>Pour les revenus de 50 000 à 60 000 leks/mois, le taux d’imposition progressif suivant est appliqué : 0 % sur les revenus jusqu’à 35 000 leks/mois et 13 % sur les revenu</w:t>
      </w:r>
      <w:r>
        <w:rPr>
          <w:lang w:val="fr-FR"/>
        </w:rPr>
        <w:t>s de plus de 35 000 leks/mois ;</w:t>
      </w:r>
    </w:p>
    <w:p w14:paraId="4F991CF9" w14:textId="77777777" w:rsidR="00B21A8D" w:rsidRPr="00820E13" w:rsidRDefault="00B21A8D" w:rsidP="003A0909">
      <w:pPr>
        <w:pStyle w:val="Bullet2G"/>
        <w:rPr>
          <w:lang w:val="fr-FR"/>
        </w:rPr>
      </w:pPr>
      <w:r>
        <w:rPr>
          <w:lang w:val="fr-FR"/>
        </w:rPr>
        <w:lastRenderedPageBreak/>
        <w:t>Pour les revenus de plus de 50 000 leks/mois, le taux d’imposition progressif suivant est appliqué : 0 % sur les revenus jusqu’à 30 000 leks/mois ; 13 % sur les revenus de 30 000 à 200 000 leks/mois ; et 23 % sur les revenus supérieurs à 200 000 leks/mois.</w:t>
      </w:r>
    </w:p>
    <w:p w14:paraId="3FF95C4A" w14:textId="77777777" w:rsidR="00B21A8D" w:rsidRPr="00820E13" w:rsidRDefault="00B21A8D" w:rsidP="003A0909">
      <w:pPr>
        <w:pStyle w:val="H4G"/>
        <w:rPr>
          <w:lang w:val="fr-FR"/>
        </w:rPr>
      </w:pPr>
      <w:r>
        <w:rPr>
          <w:lang w:val="fr-FR"/>
        </w:rPr>
        <w:tab/>
      </w:r>
      <w:r>
        <w:rPr>
          <w:lang w:val="fr-FR"/>
        </w:rPr>
        <w:tab/>
        <w:t>Impôt sur les sociétés</w:t>
      </w:r>
    </w:p>
    <w:p w14:paraId="5C5668EF" w14:textId="2BEC1EEA" w:rsidR="00B21A8D" w:rsidRPr="00820E13" w:rsidRDefault="00B21A8D" w:rsidP="00887156">
      <w:pPr>
        <w:pStyle w:val="SingleTxtG"/>
        <w:ind w:left="1701" w:firstLine="567"/>
        <w:rPr>
          <w:lang w:val="fr-FR"/>
        </w:rPr>
      </w:pPr>
      <w:r>
        <w:rPr>
          <w:lang w:val="fr-FR"/>
        </w:rPr>
        <w:t>De 2014 à 2015, le taux d’imposition sur les bénéfices et les taux d’imposition simplifiés ont été appliqués comme suit :</w:t>
      </w:r>
    </w:p>
    <w:p w14:paraId="7A0481CC" w14:textId="77777777" w:rsidR="00B21A8D" w:rsidRPr="00887156" w:rsidRDefault="00B21A8D" w:rsidP="00887156">
      <w:pPr>
        <w:pStyle w:val="Bullet2G"/>
      </w:pPr>
      <w:r w:rsidRPr="00887156">
        <w:t>Taux fixe de 25 000 leks/an pour les contribuables dont le chiffre d’affaires est inférieur ou égal à 2 millions de leks ;</w:t>
      </w:r>
    </w:p>
    <w:p w14:paraId="19F45B4F" w14:textId="77777777" w:rsidR="00B21A8D" w:rsidRPr="00887156" w:rsidRDefault="00B21A8D" w:rsidP="00887156">
      <w:pPr>
        <w:pStyle w:val="Bullet2G"/>
      </w:pPr>
      <w:r w:rsidRPr="00887156">
        <w:t>Taux d’imposition de 7,5 % pour les contribuables dont le chiffre d’affaires est compris entre 2 et 8 millions de leks ;</w:t>
      </w:r>
    </w:p>
    <w:p w14:paraId="4E5FA444" w14:textId="77777777" w:rsidR="00B21A8D" w:rsidRPr="00820E13" w:rsidRDefault="00B21A8D" w:rsidP="00887156">
      <w:pPr>
        <w:pStyle w:val="Bullet2G"/>
        <w:rPr>
          <w:lang w:val="fr-FR"/>
        </w:rPr>
      </w:pPr>
      <w:r w:rsidRPr="00887156">
        <w:t>Taux d’imposition de 15 % pour les contribuables dont le chiffre d’affaires est supérieur</w:t>
      </w:r>
      <w:r>
        <w:rPr>
          <w:lang w:val="fr-FR"/>
        </w:rPr>
        <w:t xml:space="preserve"> à 8 millions de leks.</w:t>
      </w:r>
    </w:p>
    <w:p w14:paraId="462D91E1" w14:textId="1C6AC9BB" w:rsidR="00B21A8D" w:rsidRPr="00820E13" w:rsidRDefault="00B21A8D" w:rsidP="00887156">
      <w:pPr>
        <w:pStyle w:val="SingleTxtG"/>
        <w:ind w:left="1701" w:firstLine="567"/>
        <w:rPr>
          <w:lang w:val="fr-FR"/>
        </w:rPr>
      </w:pPr>
      <w:r>
        <w:rPr>
          <w:lang w:val="fr-FR"/>
        </w:rPr>
        <w:t>De 2016 à 2018, le taux d’imposition sur les bénéfices et les taux d’imposition simplifiés ont été appliqués comme suit :</w:t>
      </w:r>
    </w:p>
    <w:p w14:paraId="5D424206" w14:textId="77777777" w:rsidR="00B21A8D" w:rsidRPr="00887156" w:rsidRDefault="00B21A8D" w:rsidP="00887156">
      <w:pPr>
        <w:pStyle w:val="Bullet2G"/>
      </w:pPr>
      <w:r>
        <w:rPr>
          <w:lang w:val="fr-FR"/>
        </w:rPr>
        <w:t xml:space="preserve">Taux </w:t>
      </w:r>
      <w:r w:rsidRPr="00887156">
        <w:t>d’imposition de 0 % pour les contribuables dont le chiffre d’affaires est inférieur ou égal à 5 millions de leks ;</w:t>
      </w:r>
    </w:p>
    <w:p w14:paraId="51EBBF7D" w14:textId="77777777" w:rsidR="00B21A8D" w:rsidRPr="00887156" w:rsidRDefault="00B21A8D" w:rsidP="00887156">
      <w:pPr>
        <w:pStyle w:val="Bullet2G"/>
      </w:pPr>
      <w:r w:rsidRPr="00887156">
        <w:t>Taux d’imposition de 5 % pour les contribuables dont le chiffre d’affaires est compris entre 5 et 8 millions de leks ;</w:t>
      </w:r>
    </w:p>
    <w:p w14:paraId="5C1DFA0C" w14:textId="77777777" w:rsidR="00B21A8D" w:rsidRPr="00820E13" w:rsidRDefault="00B21A8D" w:rsidP="00887156">
      <w:pPr>
        <w:pStyle w:val="Bullet2G"/>
        <w:rPr>
          <w:lang w:val="fr-FR"/>
        </w:rPr>
      </w:pPr>
      <w:r w:rsidRPr="00887156">
        <w:t>Taux d’imposition de 15 % pour les contribuables dont le chiffre d’affaires est supérieur à</w:t>
      </w:r>
      <w:r>
        <w:rPr>
          <w:lang w:val="fr-FR"/>
        </w:rPr>
        <w:t xml:space="preserve"> 8 millions de leks.</w:t>
      </w:r>
    </w:p>
    <w:p w14:paraId="050E7DD2" w14:textId="47C9D2CA" w:rsidR="00B21A8D" w:rsidRPr="00820E13" w:rsidRDefault="00B21A8D" w:rsidP="00887156">
      <w:pPr>
        <w:pStyle w:val="SingleTxtG"/>
        <w:ind w:left="1701" w:firstLine="567"/>
        <w:rPr>
          <w:lang w:val="fr-FR"/>
        </w:rPr>
      </w:pPr>
      <w:r>
        <w:rPr>
          <w:lang w:val="fr-FR"/>
        </w:rPr>
        <w:t>De 2019 à 2020, le taux d’imposition sur les bénéfices et les taux d’imposition simplifiés ont été appliqués comme suit :</w:t>
      </w:r>
    </w:p>
    <w:p w14:paraId="17FDA481" w14:textId="77777777" w:rsidR="00B21A8D" w:rsidRPr="003A0909" w:rsidRDefault="00B21A8D" w:rsidP="003A0909">
      <w:pPr>
        <w:pStyle w:val="Bullet2G"/>
      </w:pPr>
      <w:r>
        <w:rPr>
          <w:lang w:val="fr-FR"/>
        </w:rPr>
        <w:t xml:space="preserve">Taux d’imposition de 0 % pour les contribuables dont le chiffre d’affaires est </w:t>
      </w:r>
      <w:r w:rsidRPr="003A0909">
        <w:t>inférieur ou égal à 5 millions de leks ;</w:t>
      </w:r>
    </w:p>
    <w:p w14:paraId="789C99B7" w14:textId="77777777" w:rsidR="00B21A8D" w:rsidRPr="003A0909" w:rsidRDefault="00B21A8D" w:rsidP="003A0909">
      <w:pPr>
        <w:pStyle w:val="Bullet2G"/>
      </w:pPr>
      <w:r w:rsidRPr="003A0909">
        <w:t>Taux d’imposition de 5 % pour les contribuables dont le chiffre d’affaires est compris entre 5 et 14 millions de leks ;</w:t>
      </w:r>
    </w:p>
    <w:p w14:paraId="2AC1EBCE" w14:textId="77777777" w:rsidR="00B21A8D" w:rsidRPr="00820E13" w:rsidRDefault="00B21A8D" w:rsidP="003A0909">
      <w:pPr>
        <w:pStyle w:val="Bullet2G"/>
        <w:rPr>
          <w:lang w:val="fr-FR"/>
        </w:rPr>
      </w:pPr>
      <w:r w:rsidRPr="003A0909">
        <w:t>Taux d’imposition</w:t>
      </w:r>
      <w:r>
        <w:rPr>
          <w:lang w:val="fr-FR"/>
        </w:rPr>
        <w:t xml:space="preserve"> de 15 % pour les contribuables dont le chiffre d’affaires est supérieur à 14 millions de leks.</w:t>
      </w:r>
    </w:p>
    <w:p w14:paraId="6C800E15" w14:textId="24A870A4" w:rsidR="00B21A8D" w:rsidRPr="00820E13" w:rsidRDefault="00B21A8D" w:rsidP="00887156">
      <w:pPr>
        <w:pStyle w:val="SingleTxtG"/>
        <w:ind w:left="1701" w:firstLine="567"/>
        <w:rPr>
          <w:lang w:val="fr-FR"/>
        </w:rPr>
      </w:pPr>
      <w:r>
        <w:rPr>
          <w:lang w:val="fr-FR"/>
        </w:rPr>
        <w:t>De 2021 à 2023, le taux d’imposition sur les bénéfices et les taux d’imposition simplifiés ont été appliqués comme suit :</w:t>
      </w:r>
    </w:p>
    <w:p w14:paraId="07A92A14" w14:textId="77777777" w:rsidR="00B21A8D" w:rsidRPr="00887156" w:rsidRDefault="00B21A8D" w:rsidP="00887156">
      <w:pPr>
        <w:pStyle w:val="Bullet2G"/>
      </w:pPr>
      <w:r>
        <w:rPr>
          <w:lang w:val="fr-FR"/>
        </w:rPr>
        <w:t xml:space="preserve">Taux d’imposition de 0 % pour les contribuables dont le chiffre d’affaires est </w:t>
      </w:r>
      <w:r w:rsidRPr="00887156">
        <w:t>inférieur ou égal à 14 millions de leks ;</w:t>
      </w:r>
    </w:p>
    <w:p w14:paraId="7FBFEAD9" w14:textId="77777777" w:rsidR="00B21A8D" w:rsidRPr="00820E13" w:rsidRDefault="00B21A8D" w:rsidP="00887156">
      <w:pPr>
        <w:pStyle w:val="Bullet2G"/>
        <w:rPr>
          <w:lang w:val="fr-FR"/>
        </w:rPr>
      </w:pPr>
      <w:r w:rsidRPr="00887156">
        <w:t>Taux</w:t>
      </w:r>
      <w:r w:rsidRPr="003A0909">
        <w:t xml:space="preserve"> d’i</w:t>
      </w:r>
      <w:proofErr w:type="spellStart"/>
      <w:r>
        <w:rPr>
          <w:lang w:val="fr-FR"/>
        </w:rPr>
        <w:t>mposition</w:t>
      </w:r>
      <w:proofErr w:type="spellEnd"/>
      <w:r>
        <w:rPr>
          <w:lang w:val="fr-FR"/>
        </w:rPr>
        <w:t xml:space="preserve"> de 15 % pour les contribuables dont le chiffre d’affaires est supérieur à 14 millions de leks.</w:t>
      </w:r>
    </w:p>
    <w:p w14:paraId="00A17FC5" w14:textId="77777777" w:rsidR="00B21A8D" w:rsidRPr="00820E13" w:rsidRDefault="00B21A8D" w:rsidP="003A0909">
      <w:pPr>
        <w:pStyle w:val="H4G"/>
        <w:rPr>
          <w:lang w:val="fr-FR"/>
        </w:rPr>
      </w:pPr>
      <w:r>
        <w:rPr>
          <w:lang w:val="fr-FR"/>
        </w:rPr>
        <w:tab/>
      </w:r>
      <w:r>
        <w:rPr>
          <w:lang w:val="fr-FR"/>
        </w:rPr>
        <w:tab/>
        <w:t>À partir du 1</w:t>
      </w:r>
      <w:r>
        <w:rPr>
          <w:vertAlign w:val="superscript"/>
          <w:lang w:val="fr-FR"/>
        </w:rPr>
        <w:t>er</w:t>
      </w:r>
      <w:r>
        <w:rPr>
          <w:lang w:val="fr-FR"/>
        </w:rPr>
        <w:t> janvier 2024</w:t>
      </w:r>
    </w:p>
    <w:p w14:paraId="4EAF62A3" w14:textId="41ED2CCC" w:rsidR="00B21A8D" w:rsidRPr="00820E13" w:rsidRDefault="00B21A8D" w:rsidP="00887156">
      <w:pPr>
        <w:pStyle w:val="SingleTxtG"/>
        <w:ind w:left="1701" w:firstLine="567"/>
        <w:rPr>
          <w:lang w:val="fr-FR"/>
        </w:rPr>
      </w:pPr>
      <w:r>
        <w:rPr>
          <w:lang w:val="fr-FR"/>
        </w:rPr>
        <w:t>Depuis le 1</w:t>
      </w:r>
      <w:r>
        <w:rPr>
          <w:vertAlign w:val="superscript"/>
          <w:lang w:val="fr-FR"/>
        </w:rPr>
        <w:t>er</w:t>
      </w:r>
      <w:r>
        <w:rPr>
          <w:lang w:val="fr-FR"/>
        </w:rPr>
        <w:t> janvier 2024, en application de la nouvelle loi n</w:t>
      </w:r>
      <w:r>
        <w:rPr>
          <w:vertAlign w:val="superscript"/>
          <w:lang w:val="fr-FR"/>
        </w:rPr>
        <w:t>o</w:t>
      </w:r>
      <w:r w:rsidR="000E3B16">
        <w:rPr>
          <w:lang w:val="fr-FR"/>
        </w:rPr>
        <w:t> </w:t>
      </w:r>
      <w:r>
        <w:rPr>
          <w:lang w:val="fr-FR"/>
        </w:rPr>
        <w:t>29/2023 relative à l’impôt sur le revenu, les assujettis sont imposés en fonction de leur forme juridique ou de leur enregistrement, et non plus de leur chiffre d’affaires :</w:t>
      </w:r>
    </w:p>
    <w:p w14:paraId="3967D84A" w14:textId="1C5EA905" w:rsidR="00B21A8D" w:rsidRPr="003A0909" w:rsidRDefault="00B21A8D" w:rsidP="00887156">
      <w:pPr>
        <w:pStyle w:val="Bullet2G"/>
      </w:pPr>
      <w:r>
        <w:rPr>
          <w:lang w:val="fr-FR"/>
        </w:rPr>
        <w:t>Le taux d’imposition des sociétés est de 15 %, mais, jusqu’à la fin de l’année</w:t>
      </w:r>
      <w:r w:rsidR="000E3B16">
        <w:rPr>
          <w:lang w:val="fr-FR"/>
        </w:rPr>
        <w:t xml:space="preserve"> </w:t>
      </w:r>
      <w:r>
        <w:rPr>
          <w:lang w:val="fr-FR"/>
        </w:rPr>
        <w:t xml:space="preserve">2029, </w:t>
      </w:r>
      <w:r w:rsidRPr="00887156">
        <w:t>un</w:t>
      </w:r>
      <w:r>
        <w:rPr>
          <w:lang w:val="fr-FR"/>
        </w:rPr>
        <w:t xml:space="preserve"> taux d’imposition réduit de 0 % est appliqué aux sociétés (sauf </w:t>
      </w:r>
      <w:r w:rsidRPr="003A0909">
        <w:t>celles proposant des services professionnels) dont le chiffre d’affaires est inférieur ou égal à 14 millions de leks</w:t>
      </w:r>
      <w:r w:rsidR="00887156">
        <w:t> ;</w:t>
      </w:r>
    </w:p>
    <w:p w14:paraId="5FE1625A" w14:textId="77777777" w:rsidR="00B21A8D" w:rsidRPr="00820E13" w:rsidRDefault="00B21A8D" w:rsidP="00887156">
      <w:pPr>
        <w:pStyle w:val="Bullet2G"/>
        <w:keepNext/>
        <w:keepLines/>
        <w:rPr>
          <w:lang w:val="fr-FR"/>
        </w:rPr>
      </w:pPr>
      <w:r w:rsidRPr="003A0909">
        <w:lastRenderedPageBreak/>
        <w:t>Un système</w:t>
      </w:r>
      <w:r>
        <w:rPr>
          <w:lang w:val="fr-FR"/>
        </w:rPr>
        <w:t xml:space="preserve"> d’impôt progressif est appliqué aux personnes physiques, comme suit :</w:t>
      </w:r>
    </w:p>
    <w:p w14:paraId="6486FDDF" w14:textId="77777777" w:rsidR="00B21A8D" w:rsidRPr="00820E13" w:rsidRDefault="00B21A8D" w:rsidP="00887156">
      <w:pPr>
        <w:pStyle w:val="Bullet2G"/>
        <w:keepNext/>
        <w:keepLines/>
        <w:numPr>
          <w:ilvl w:val="0"/>
          <w:numId w:val="2"/>
        </w:numPr>
        <w:tabs>
          <w:tab w:val="clear" w:pos="2268"/>
          <w:tab w:val="left" w:pos="567"/>
        </w:tabs>
        <w:ind w:left="2836" w:hanging="284"/>
        <w:rPr>
          <w:lang w:val="fr-FR"/>
        </w:rPr>
      </w:pPr>
      <w:r>
        <w:rPr>
          <w:lang w:val="fr-FR"/>
        </w:rPr>
        <w:t>15 % sur les bénéfices jusqu’à 14 millions de leks ;</w:t>
      </w:r>
    </w:p>
    <w:p w14:paraId="29C6326C" w14:textId="3235181A" w:rsidR="00B21A8D" w:rsidRPr="00820E13" w:rsidRDefault="00B21A8D" w:rsidP="00887156">
      <w:pPr>
        <w:pStyle w:val="Bullet2G"/>
        <w:keepNext/>
        <w:keepLines/>
        <w:numPr>
          <w:ilvl w:val="0"/>
          <w:numId w:val="2"/>
        </w:numPr>
        <w:tabs>
          <w:tab w:val="clear" w:pos="2268"/>
          <w:tab w:val="left" w:pos="567"/>
        </w:tabs>
        <w:ind w:left="2836" w:hanging="284"/>
        <w:rPr>
          <w:lang w:val="fr-FR"/>
        </w:rPr>
      </w:pPr>
      <w:r>
        <w:rPr>
          <w:lang w:val="fr-FR"/>
        </w:rPr>
        <w:t>23 % sur les bénéfices au-delà de 14 millions de leks, mais, jusqu’à la fin de l’année</w:t>
      </w:r>
      <w:r w:rsidR="000E3B16">
        <w:rPr>
          <w:lang w:val="fr-FR"/>
        </w:rPr>
        <w:t xml:space="preserve"> </w:t>
      </w:r>
      <w:r>
        <w:rPr>
          <w:lang w:val="fr-FR"/>
        </w:rPr>
        <w:t>2029, un taux d’imposition réduit de 0 % est appliqué aux personnes physiques (sauf celles proposant des services professionnels) dont le chiffre d’affaires est inférieur ou égal à 14 millions de leks.</w:t>
      </w:r>
    </w:p>
    <w:p w14:paraId="04767AAB" w14:textId="33892DFB" w:rsidR="00446FE5" w:rsidRDefault="00B21A8D" w:rsidP="00887156">
      <w:pPr>
        <w:pStyle w:val="H4G"/>
        <w:rPr>
          <w:lang w:val="fr-FR"/>
        </w:rPr>
      </w:pPr>
      <w:r>
        <w:rPr>
          <w:lang w:val="fr-FR"/>
        </w:rPr>
        <w:tab/>
      </w:r>
      <w:r>
        <w:rPr>
          <w:lang w:val="fr-FR"/>
        </w:rPr>
        <w:tab/>
      </w:r>
      <w:r w:rsidRPr="00B21A8D">
        <w:rPr>
          <w:lang w:val="fr-FR"/>
        </w:rPr>
        <w:t>Dépenses publiques</w:t>
      </w:r>
    </w:p>
    <w:p w14:paraId="2725FB13" w14:textId="77777777" w:rsidR="00FA1B22" w:rsidRDefault="00FA1B22" w:rsidP="006656AF">
      <w:pPr>
        <w:tabs>
          <w:tab w:val="left" w:pos="567"/>
        </w:tabs>
        <w:rPr>
          <w:i/>
        </w:rPr>
        <w:sectPr w:rsidR="00FA1B22" w:rsidSect="00B21A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4069EF85" w14:textId="77777777" w:rsidR="00780206" w:rsidRPr="00820E13" w:rsidRDefault="00780206" w:rsidP="003A0909">
      <w:pPr>
        <w:pStyle w:val="H23G"/>
        <w:spacing w:after="0"/>
        <w:rPr>
          <w:lang w:val="fr-FR"/>
        </w:rPr>
      </w:pPr>
      <w:r>
        <w:rPr>
          <w:lang w:val="fr-FR"/>
        </w:rPr>
        <w:lastRenderedPageBreak/>
        <w:t>Dépenses par fonction (2013-2024)</w:t>
      </w:r>
    </w:p>
    <w:p w14:paraId="3B16940A" w14:textId="0A09D33C" w:rsidR="00780206" w:rsidRPr="000E3B16" w:rsidRDefault="00780206" w:rsidP="003A0909">
      <w:pPr>
        <w:pStyle w:val="H23G"/>
        <w:tabs>
          <w:tab w:val="clear" w:pos="851"/>
          <w:tab w:val="left" w:pos="567"/>
        </w:tabs>
        <w:spacing w:before="0" w:after="0"/>
        <w:rPr>
          <w:b w:val="0"/>
          <w:sz w:val="18"/>
          <w:szCs w:val="18"/>
          <w:lang w:val="fr-FR"/>
        </w:rPr>
      </w:pPr>
      <w:r w:rsidRPr="000E3B16">
        <w:rPr>
          <w:b w:val="0"/>
          <w:sz w:val="18"/>
          <w:szCs w:val="18"/>
          <w:lang w:val="fr-FR"/>
        </w:rPr>
        <w:t>(</w:t>
      </w:r>
      <w:r w:rsidR="003A0909" w:rsidRPr="000E3B16">
        <w:rPr>
          <w:b w:val="0"/>
          <w:i/>
          <w:iCs/>
          <w:sz w:val="18"/>
          <w:szCs w:val="18"/>
          <w:lang w:val="fr-FR"/>
        </w:rPr>
        <w:t>E</w:t>
      </w:r>
      <w:r w:rsidRPr="000E3B16">
        <w:rPr>
          <w:b w:val="0"/>
          <w:i/>
          <w:iCs/>
          <w:sz w:val="18"/>
          <w:szCs w:val="18"/>
          <w:lang w:val="fr-FR"/>
        </w:rPr>
        <w:t>n millions de leks</w:t>
      </w:r>
      <w:r w:rsidRPr="000E3B16">
        <w:rPr>
          <w:b w:val="0"/>
          <w:sz w:val="18"/>
          <w:szCs w:val="18"/>
          <w:lang w:val="fr-FR"/>
        </w:rPr>
        <w:t>)</w:t>
      </w:r>
    </w:p>
    <w:p w14:paraId="6C3A227D" w14:textId="3B7793DD" w:rsidR="00780206" w:rsidRPr="00820E13" w:rsidRDefault="00780206" w:rsidP="003A0909">
      <w:pPr>
        <w:pStyle w:val="H23G"/>
        <w:tabs>
          <w:tab w:val="clear" w:pos="851"/>
          <w:tab w:val="left" w:pos="567"/>
        </w:tabs>
        <w:spacing w:before="120"/>
        <w:rPr>
          <w:lang w:val="fr-FR"/>
        </w:rPr>
      </w:pPr>
      <w:r>
        <w:rPr>
          <w:bCs/>
          <w:lang w:val="fr-FR"/>
        </w:rPr>
        <w:t>De 2013 à 2018</w:t>
      </w:r>
    </w:p>
    <w:tbl>
      <w:tblPr>
        <w:tblW w:w="12361" w:type="dxa"/>
        <w:tblInd w:w="284" w:type="dxa"/>
        <w:tblLayout w:type="fixed"/>
        <w:tblCellMar>
          <w:left w:w="0" w:type="dxa"/>
          <w:right w:w="0" w:type="dxa"/>
        </w:tblCellMar>
        <w:tblLook w:val="04A0" w:firstRow="1" w:lastRow="0" w:firstColumn="1" w:lastColumn="0" w:noHBand="0" w:noVBand="1"/>
      </w:tblPr>
      <w:tblGrid>
        <w:gridCol w:w="2268"/>
        <w:gridCol w:w="992"/>
        <w:gridCol w:w="768"/>
        <w:gridCol w:w="933"/>
        <w:gridCol w:w="760"/>
        <w:gridCol w:w="910"/>
        <w:gridCol w:w="700"/>
        <w:gridCol w:w="910"/>
        <w:gridCol w:w="742"/>
        <w:gridCol w:w="938"/>
        <w:gridCol w:w="756"/>
        <w:gridCol w:w="895"/>
        <w:gridCol w:w="789"/>
      </w:tblGrid>
      <w:tr w:rsidR="00114026" w:rsidRPr="003A0909" w14:paraId="443722F3" w14:textId="77777777" w:rsidTr="00114026">
        <w:trPr>
          <w:tblHeader/>
        </w:trPr>
        <w:tc>
          <w:tcPr>
            <w:tcW w:w="2268" w:type="dxa"/>
            <w:tcBorders>
              <w:top w:val="single" w:sz="4" w:space="0" w:color="auto"/>
              <w:bottom w:val="single" w:sz="12" w:space="0" w:color="auto"/>
            </w:tcBorders>
            <w:shd w:val="clear" w:color="auto" w:fill="auto"/>
            <w:noWrap/>
            <w:vAlign w:val="bottom"/>
            <w:hideMark/>
          </w:tcPr>
          <w:p w14:paraId="0D4A13F8" w14:textId="77777777" w:rsidR="00780206" w:rsidRPr="003A0909" w:rsidRDefault="00780206" w:rsidP="003A0909">
            <w:pPr>
              <w:suppressAutoHyphens w:val="0"/>
              <w:spacing w:before="80" w:after="80" w:line="200" w:lineRule="exact"/>
              <w:rPr>
                <w:i/>
                <w:sz w:val="16"/>
                <w:lang w:val="fr-FR"/>
              </w:rPr>
            </w:pPr>
            <w:r w:rsidRPr="003A0909">
              <w:rPr>
                <w:i/>
                <w:sz w:val="16"/>
                <w:lang w:val="fr-FR"/>
              </w:rPr>
              <w:t> </w:t>
            </w:r>
          </w:p>
        </w:tc>
        <w:tc>
          <w:tcPr>
            <w:tcW w:w="992" w:type="dxa"/>
            <w:tcBorders>
              <w:top w:val="single" w:sz="4" w:space="0" w:color="auto"/>
              <w:bottom w:val="single" w:sz="12" w:space="0" w:color="auto"/>
            </w:tcBorders>
            <w:shd w:val="clear" w:color="auto" w:fill="auto"/>
            <w:vAlign w:val="bottom"/>
            <w:hideMark/>
          </w:tcPr>
          <w:p w14:paraId="6DECBCA0"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xml:space="preserve">Budget réel </w:t>
            </w:r>
            <w:r w:rsidRPr="003A0909">
              <w:rPr>
                <w:i/>
                <w:iCs/>
                <w:sz w:val="16"/>
                <w:lang w:val="fr-FR"/>
              </w:rPr>
              <w:br/>
              <w:t>2013</w:t>
            </w:r>
          </w:p>
        </w:tc>
        <w:tc>
          <w:tcPr>
            <w:tcW w:w="768" w:type="dxa"/>
            <w:tcBorders>
              <w:top w:val="single" w:sz="4" w:space="0" w:color="auto"/>
              <w:bottom w:val="single" w:sz="12" w:space="0" w:color="auto"/>
            </w:tcBorders>
            <w:shd w:val="clear" w:color="auto" w:fill="auto"/>
            <w:vAlign w:val="bottom"/>
            <w:hideMark/>
          </w:tcPr>
          <w:p w14:paraId="2E0D346C"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du PIB</w:t>
            </w:r>
          </w:p>
        </w:tc>
        <w:tc>
          <w:tcPr>
            <w:tcW w:w="933" w:type="dxa"/>
            <w:tcBorders>
              <w:top w:val="single" w:sz="4" w:space="0" w:color="auto"/>
              <w:bottom w:val="single" w:sz="12" w:space="0" w:color="auto"/>
            </w:tcBorders>
            <w:shd w:val="clear" w:color="auto" w:fill="auto"/>
            <w:vAlign w:val="bottom"/>
            <w:hideMark/>
          </w:tcPr>
          <w:p w14:paraId="4BA0D519"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Budget réel 2014</w:t>
            </w:r>
          </w:p>
        </w:tc>
        <w:tc>
          <w:tcPr>
            <w:tcW w:w="760" w:type="dxa"/>
            <w:tcBorders>
              <w:top w:val="single" w:sz="4" w:space="0" w:color="auto"/>
              <w:bottom w:val="single" w:sz="12" w:space="0" w:color="auto"/>
            </w:tcBorders>
            <w:shd w:val="clear" w:color="auto" w:fill="auto"/>
            <w:vAlign w:val="bottom"/>
            <w:hideMark/>
          </w:tcPr>
          <w:p w14:paraId="741BECF5"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du PIB</w:t>
            </w:r>
          </w:p>
        </w:tc>
        <w:tc>
          <w:tcPr>
            <w:tcW w:w="910" w:type="dxa"/>
            <w:tcBorders>
              <w:top w:val="single" w:sz="4" w:space="0" w:color="auto"/>
              <w:bottom w:val="single" w:sz="12" w:space="0" w:color="auto"/>
            </w:tcBorders>
            <w:shd w:val="clear" w:color="auto" w:fill="auto"/>
            <w:vAlign w:val="bottom"/>
            <w:hideMark/>
          </w:tcPr>
          <w:p w14:paraId="6E5E5AC7"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Budget réel 2015</w:t>
            </w:r>
          </w:p>
        </w:tc>
        <w:tc>
          <w:tcPr>
            <w:tcW w:w="700" w:type="dxa"/>
            <w:tcBorders>
              <w:top w:val="single" w:sz="4" w:space="0" w:color="auto"/>
              <w:bottom w:val="single" w:sz="12" w:space="0" w:color="auto"/>
            </w:tcBorders>
            <w:shd w:val="clear" w:color="auto" w:fill="auto"/>
            <w:vAlign w:val="bottom"/>
            <w:hideMark/>
          </w:tcPr>
          <w:p w14:paraId="34CD7429"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du PIB</w:t>
            </w:r>
          </w:p>
        </w:tc>
        <w:tc>
          <w:tcPr>
            <w:tcW w:w="910" w:type="dxa"/>
            <w:tcBorders>
              <w:top w:val="single" w:sz="4" w:space="0" w:color="auto"/>
              <w:bottom w:val="single" w:sz="12" w:space="0" w:color="auto"/>
            </w:tcBorders>
            <w:shd w:val="clear" w:color="auto" w:fill="auto"/>
            <w:vAlign w:val="bottom"/>
            <w:hideMark/>
          </w:tcPr>
          <w:p w14:paraId="48EE2A14"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Budget réel 2016</w:t>
            </w:r>
          </w:p>
        </w:tc>
        <w:tc>
          <w:tcPr>
            <w:tcW w:w="742" w:type="dxa"/>
            <w:tcBorders>
              <w:top w:val="single" w:sz="4" w:space="0" w:color="auto"/>
              <w:bottom w:val="single" w:sz="12" w:space="0" w:color="auto"/>
            </w:tcBorders>
            <w:shd w:val="clear" w:color="auto" w:fill="auto"/>
            <w:vAlign w:val="bottom"/>
            <w:hideMark/>
          </w:tcPr>
          <w:p w14:paraId="73D10B4B"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du PIB</w:t>
            </w:r>
          </w:p>
        </w:tc>
        <w:tc>
          <w:tcPr>
            <w:tcW w:w="938" w:type="dxa"/>
            <w:tcBorders>
              <w:top w:val="single" w:sz="4" w:space="0" w:color="auto"/>
              <w:bottom w:val="single" w:sz="12" w:space="0" w:color="auto"/>
            </w:tcBorders>
            <w:shd w:val="clear" w:color="auto" w:fill="auto"/>
            <w:vAlign w:val="bottom"/>
            <w:hideMark/>
          </w:tcPr>
          <w:p w14:paraId="35AB27C5"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Budget réel 2017</w:t>
            </w:r>
          </w:p>
        </w:tc>
        <w:tc>
          <w:tcPr>
            <w:tcW w:w="756" w:type="dxa"/>
            <w:tcBorders>
              <w:top w:val="single" w:sz="4" w:space="0" w:color="auto"/>
              <w:bottom w:val="single" w:sz="12" w:space="0" w:color="auto"/>
            </w:tcBorders>
            <w:shd w:val="clear" w:color="auto" w:fill="auto"/>
            <w:vAlign w:val="bottom"/>
            <w:hideMark/>
          </w:tcPr>
          <w:p w14:paraId="02217D39"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du PIB</w:t>
            </w:r>
          </w:p>
        </w:tc>
        <w:tc>
          <w:tcPr>
            <w:tcW w:w="895" w:type="dxa"/>
            <w:tcBorders>
              <w:top w:val="single" w:sz="4" w:space="0" w:color="auto"/>
              <w:bottom w:val="single" w:sz="12" w:space="0" w:color="auto"/>
            </w:tcBorders>
            <w:shd w:val="clear" w:color="auto" w:fill="auto"/>
            <w:vAlign w:val="bottom"/>
            <w:hideMark/>
          </w:tcPr>
          <w:p w14:paraId="59CDA037" w14:textId="77777777" w:rsidR="00780206" w:rsidRPr="003A0909" w:rsidRDefault="00780206" w:rsidP="003A0909">
            <w:pPr>
              <w:suppressAutoHyphens w:val="0"/>
              <w:spacing w:before="80" w:after="80" w:line="200" w:lineRule="exact"/>
              <w:jc w:val="right"/>
              <w:rPr>
                <w:i/>
                <w:sz w:val="16"/>
              </w:rPr>
            </w:pPr>
            <w:r w:rsidRPr="003A0909">
              <w:rPr>
                <w:i/>
                <w:sz w:val="16"/>
                <w:lang w:val="fr-FR"/>
              </w:rPr>
              <w:t>Budget réel 2018</w:t>
            </w:r>
          </w:p>
        </w:tc>
        <w:tc>
          <w:tcPr>
            <w:tcW w:w="789" w:type="dxa"/>
            <w:tcBorders>
              <w:top w:val="single" w:sz="4" w:space="0" w:color="auto"/>
              <w:bottom w:val="single" w:sz="12" w:space="0" w:color="auto"/>
            </w:tcBorders>
            <w:shd w:val="clear" w:color="auto" w:fill="auto"/>
            <w:vAlign w:val="bottom"/>
            <w:hideMark/>
          </w:tcPr>
          <w:p w14:paraId="408833C7" w14:textId="77777777" w:rsidR="00780206" w:rsidRPr="003A0909" w:rsidRDefault="00780206" w:rsidP="003A0909">
            <w:pPr>
              <w:suppressAutoHyphens w:val="0"/>
              <w:spacing w:before="80" w:after="80" w:line="200" w:lineRule="exact"/>
              <w:jc w:val="right"/>
              <w:rPr>
                <w:i/>
                <w:sz w:val="16"/>
              </w:rPr>
            </w:pPr>
            <w:r w:rsidRPr="003A0909">
              <w:rPr>
                <w:i/>
                <w:iCs/>
                <w:sz w:val="16"/>
                <w:lang w:val="fr-FR"/>
              </w:rPr>
              <w:t>% du PIB</w:t>
            </w:r>
          </w:p>
        </w:tc>
      </w:tr>
      <w:tr w:rsidR="00114026" w:rsidRPr="00114026" w14:paraId="5ABCB7AB" w14:textId="77777777" w:rsidTr="00114026">
        <w:tc>
          <w:tcPr>
            <w:tcW w:w="2268" w:type="dxa"/>
            <w:tcBorders>
              <w:top w:val="single" w:sz="12" w:space="0" w:color="auto"/>
              <w:bottom w:val="single" w:sz="4" w:space="0" w:color="auto"/>
            </w:tcBorders>
            <w:shd w:val="clear" w:color="auto" w:fill="auto"/>
            <w:noWrap/>
            <w:hideMark/>
          </w:tcPr>
          <w:p w14:paraId="12448CF6" w14:textId="77777777" w:rsidR="00780206" w:rsidRPr="00114026" w:rsidRDefault="00780206" w:rsidP="00114026">
            <w:pPr>
              <w:suppressAutoHyphens w:val="0"/>
              <w:spacing w:before="80" w:after="80" w:line="220" w:lineRule="exact"/>
              <w:ind w:left="283"/>
              <w:rPr>
                <w:b/>
                <w:sz w:val="18"/>
                <w:szCs w:val="18"/>
              </w:rPr>
            </w:pPr>
            <w:r w:rsidRPr="00114026">
              <w:rPr>
                <w:b/>
                <w:sz w:val="18"/>
                <w:szCs w:val="18"/>
                <w:lang w:val="fr-FR"/>
              </w:rPr>
              <w:t>Total</w:t>
            </w:r>
          </w:p>
        </w:tc>
        <w:tc>
          <w:tcPr>
            <w:tcW w:w="992" w:type="dxa"/>
            <w:tcBorders>
              <w:top w:val="single" w:sz="12" w:space="0" w:color="auto"/>
              <w:bottom w:val="single" w:sz="4" w:space="0" w:color="auto"/>
            </w:tcBorders>
            <w:shd w:val="clear" w:color="auto" w:fill="auto"/>
            <w:noWrap/>
            <w:vAlign w:val="bottom"/>
            <w:hideMark/>
          </w:tcPr>
          <w:p w14:paraId="6AE0742F"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394 118</w:t>
            </w:r>
          </w:p>
        </w:tc>
        <w:tc>
          <w:tcPr>
            <w:tcW w:w="768" w:type="dxa"/>
            <w:tcBorders>
              <w:top w:val="single" w:sz="12" w:space="0" w:color="auto"/>
              <w:bottom w:val="single" w:sz="4" w:space="0" w:color="auto"/>
            </w:tcBorders>
            <w:shd w:val="clear" w:color="auto" w:fill="auto"/>
            <w:noWrap/>
            <w:vAlign w:val="bottom"/>
            <w:hideMark/>
          </w:tcPr>
          <w:p w14:paraId="3FD61F78"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29,2 %</w:t>
            </w:r>
          </w:p>
        </w:tc>
        <w:tc>
          <w:tcPr>
            <w:tcW w:w="933" w:type="dxa"/>
            <w:tcBorders>
              <w:top w:val="single" w:sz="12" w:space="0" w:color="auto"/>
              <w:bottom w:val="single" w:sz="4" w:space="0" w:color="auto"/>
            </w:tcBorders>
            <w:shd w:val="clear" w:color="auto" w:fill="auto"/>
            <w:noWrap/>
            <w:vAlign w:val="bottom"/>
            <w:hideMark/>
          </w:tcPr>
          <w:p w14:paraId="148203C1"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438 820</w:t>
            </w:r>
          </w:p>
        </w:tc>
        <w:tc>
          <w:tcPr>
            <w:tcW w:w="760" w:type="dxa"/>
            <w:tcBorders>
              <w:top w:val="single" w:sz="12" w:space="0" w:color="auto"/>
              <w:bottom w:val="single" w:sz="4" w:space="0" w:color="auto"/>
            </w:tcBorders>
            <w:shd w:val="clear" w:color="auto" w:fill="auto"/>
            <w:noWrap/>
            <w:vAlign w:val="bottom"/>
            <w:hideMark/>
          </w:tcPr>
          <w:p w14:paraId="5AD6CFB0"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31,4 %</w:t>
            </w:r>
          </w:p>
        </w:tc>
        <w:tc>
          <w:tcPr>
            <w:tcW w:w="910" w:type="dxa"/>
            <w:tcBorders>
              <w:top w:val="single" w:sz="12" w:space="0" w:color="auto"/>
              <w:bottom w:val="single" w:sz="4" w:space="0" w:color="auto"/>
            </w:tcBorders>
            <w:shd w:val="clear" w:color="auto" w:fill="auto"/>
            <w:noWrap/>
            <w:vAlign w:val="bottom"/>
            <w:hideMark/>
          </w:tcPr>
          <w:p w14:paraId="7DEA8533"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437 403</w:t>
            </w:r>
          </w:p>
        </w:tc>
        <w:tc>
          <w:tcPr>
            <w:tcW w:w="700" w:type="dxa"/>
            <w:tcBorders>
              <w:top w:val="single" w:sz="12" w:space="0" w:color="auto"/>
              <w:bottom w:val="single" w:sz="4" w:space="0" w:color="auto"/>
            </w:tcBorders>
            <w:shd w:val="clear" w:color="auto" w:fill="auto"/>
            <w:noWrap/>
            <w:vAlign w:val="bottom"/>
            <w:hideMark/>
          </w:tcPr>
          <w:p w14:paraId="2904F5CE"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30,5 %</w:t>
            </w:r>
          </w:p>
        </w:tc>
        <w:tc>
          <w:tcPr>
            <w:tcW w:w="910" w:type="dxa"/>
            <w:tcBorders>
              <w:top w:val="single" w:sz="12" w:space="0" w:color="auto"/>
              <w:bottom w:val="single" w:sz="4" w:space="0" w:color="auto"/>
            </w:tcBorders>
            <w:shd w:val="clear" w:color="auto" w:fill="auto"/>
            <w:noWrap/>
            <w:vAlign w:val="bottom"/>
            <w:hideMark/>
          </w:tcPr>
          <w:p w14:paraId="3E56B87A"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433 697</w:t>
            </w:r>
          </w:p>
        </w:tc>
        <w:tc>
          <w:tcPr>
            <w:tcW w:w="742" w:type="dxa"/>
            <w:tcBorders>
              <w:top w:val="single" w:sz="12" w:space="0" w:color="auto"/>
              <w:bottom w:val="single" w:sz="4" w:space="0" w:color="auto"/>
            </w:tcBorders>
            <w:shd w:val="clear" w:color="auto" w:fill="auto"/>
            <w:noWrap/>
            <w:vAlign w:val="bottom"/>
            <w:hideMark/>
          </w:tcPr>
          <w:p w14:paraId="1FEFF597"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29,5 %</w:t>
            </w:r>
          </w:p>
        </w:tc>
        <w:tc>
          <w:tcPr>
            <w:tcW w:w="938" w:type="dxa"/>
            <w:tcBorders>
              <w:top w:val="single" w:sz="12" w:space="0" w:color="auto"/>
              <w:bottom w:val="single" w:sz="4" w:space="0" w:color="auto"/>
            </w:tcBorders>
            <w:shd w:val="clear" w:color="auto" w:fill="auto"/>
            <w:noWrap/>
            <w:vAlign w:val="bottom"/>
            <w:hideMark/>
          </w:tcPr>
          <w:p w14:paraId="53AD7074"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461 411</w:t>
            </w:r>
          </w:p>
        </w:tc>
        <w:tc>
          <w:tcPr>
            <w:tcW w:w="756" w:type="dxa"/>
            <w:tcBorders>
              <w:top w:val="single" w:sz="12" w:space="0" w:color="auto"/>
              <w:bottom w:val="single" w:sz="4" w:space="0" w:color="auto"/>
            </w:tcBorders>
            <w:shd w:val="clear" w:color="auto" w:fill="auto"/>
            <w:noWrap/>
            <w:vAlign w:val="bottom"/>
            <w:hideMark/>
          </w:tcPr>
          <w:p w14:paraId="3FC000BC"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29,8 %</w:t>
            </w:r>
          </w:p>
        </w:tc>
        <w:tc>
          <w:tcPr>
            <w:tcW w:w="895" w:type="dxa"/>
            <w:tcBorders>
              <w:top w:val="single" w:sz="12" w:space="0" w:color="auto"/>
              <w:bottom w:val="single" w:sz="4" w:space="0" w:color="auto"/>
            </w:tcBorders>
            <w:shd w:val="clear" w:color="auto" w:fill="auto"/>
            <w:noWrap/>
            <w:vAlign w:val="bottom"/>
            <w:hideMark/>
          </w:tcPr>
          <w:p w14:paraId="43E90A08"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476 139</w:t>
            </w:r>
          </w:p>
        </w:tc>
        <w:tc>
          <w:tcPr>
            <w:tcW w:w="789" w:type="dxa"/>
            <w:tcBorders>
              <w:top w:val="single" w:sz="12" w:space="0" w:color="auto"/>
              <w:bottom w:val="single" w:sz="4" w:space="0" w:color="auto"/>
            </w:tcBorders>
            <w:shd w:val="clear" w:color="auto" w:fill="auto"/>
            <w:noWrap/>
            <w:vAlign w:val="bottom"/>
            <w:hideMark/>
          </w:tcPr>
          <w:p w14:paraId="5E32B7A9" w14:textId="77777777" w:rsidR="00780206" w:rsidRPr="00114026" w:rsidRDefault="00780206" w:rsidP="00114026">
            <w:pPr>
              <w:suppressAutoHyphens w:val="0"/>
              <w:spacing w:before="80" w:after="80" w:line="220" w:lineRule="exact"/>
              <w:jc w:val="right"/>
              <w:rPr>
                <w:b/>
                <w:sz w:val="18"/>
                <w:szCs w:val="18"/>
              </w:rPr>
            </w:pPr>
            <w:r w:rsidRPr="00114026">
              <w:rPr>
                <w:b/>
                <w:sz w:val="18"/>
                <w:szCs w:val="18"/>
                <w:lang w:val="fr-FR"/>
              </w:rPr>
              <w:t>29,1 %</w:t>
            </w:r>
          </w:p>
        </w:tc>
      </w:tr>
      <w:tr w:rsidR="00114026" w:rsidRPr="003A0909" w14:paraId="2AA328E4" w14:textId="77777777" w:rsidTr="00114026">
        <w:tc>
          <w:tcPr>
            <w:tcW w:w="2268" w:type="dxa"/>
            <w:tcBorders>
              <w:top w:val="single" w:sz="4" w:space="0" w:color="auto"/>
            </w:tcBorders>
            <w:shd w:val="clear" w:color="auto" w:fill="auto"/>
            <w:hideMark/>
          </w:tcPr>
          <w:p w14:paraId="14DEFCD5" w14:textId="77777777" w:rsidR="00780206" w:rsidRPr="003A0909" w:rsidRDefault="00780206" w:rsidP="003A0909">
            <w:pPr>
              <w:suppressAutoHyphens w:val="0"/>
              <w:spacing w:before="40" w:after="40" w:line="220" w:lineRule="exact"/>
              <w:rPr>
                <w:sz w:val="18"/>
                <w:szCs w:val="18"/>
                <w:lang w:val="fr-FR"/>
              </w:rPr>
            </w:pPr>
            <w:r w:rsidRPr="003A0909">
              <w:rPr>
                <w:sz w:val="18"/>
                <w:szCs w:val="18"/>
                <w:lang w:val="fr-FR"/>
              </w:rPr>
              <w:t>Services généraux des administrations publiques*</w:t>
            </w:r>
          </w:p>
        </w:tc>
        <w:tc>
          <w:tcPr>
            <w:tcW w:w="992" w:type="dxa"/>
            <w:tcBorders>
              <w:top w:val="single" w:sz="4" w:space="0" w:color="auto"/>
            </w:tcBorders>
            <w:shd w:val="clear" w:color="auto" w:fill="auto"/>
            <w:noWrap/>
            <w:vAlign w:val="bottom"/>
            <w:hideMark/>
          </w:tcPr>
          <w:p w14:paraId="49962576"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79 271</w:t>
            </w:r>
          </w:p>
        </w:tc>
        <w:tc>
          <w:tcPr>
            <w:tcW w:w="768" w:type="dxa"/>
            <w:tcBorders>
              <w:top w:val="single" w:sz="4" w:space="0" w:color="auto"/>
            </w:tcBorders>
            <w:shd w:val="clear" w:color="auto" w:fill="auto"/>
            <w:noWrap/>
            <w:vAlign w:val="bottom"/>
            <w:hideMark/>
          </w:tcPr>
          <w:p w14:paraId="2027EE8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5,9 %</w:t>
            </w:r>
          </w:p>
        </w:tc>
        <w:tc>
          <w:tcPr>
            <w:tcW w:w="933" w:type="dxa"/>
            <w:tcBorders>
              <w:top w:val="single" w:sz="4" w:space="0" w:color="auto"/>
            </w:tcBorders>
            <w:shd w:val="clear" w:color="auto" w:fill="auto"/>
            <w:noWrap/>
            <w:vAlign w:val="bottom"/>
            <w:hideMark/>
          </w:tcPr>
          <w:p w14:paraId="36F719B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93 889</w:t>
            </w:r>
          </w:p>
        </w:tc>
        <w:tc>
          <w:tcPr>
            <w:tcW w:w="760" w:type="dxa"/>
            <w:tcBorders>
              <w:top w:val="single" w:sz="4" w:space="0" w:color="auto"/>
            </w:tcBorders>
            <w:shd w:val="clear" w:color="auto" w:fill="auto"/>
            <w:noWrap/>
            <w:vAlign w:val="bottom"/>
            <w:hideMark/>
          </w:tcPr>
          <w:p w14:paraId="40A19B4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6,7 %</w:t>
            </w:r>
          </w:p>
        </w:tc>
        <w:tc>
          <w:tcPr>
            <w:tcW w:w="910" w:type="dxa"/>
            <w:tcBorders>
              <w:top w:val="single" w:sz="4" w:space="0" w:color="auto"/>
            </w:tcBorders>
            <w:shd w:val="clear" w:color="auto" w:fill="auto"/>
            <w:noWrap/>
            <w:vAlign w:val="bottom"/>
            <w:hideMark/>
          </w:tcPr>
          <w:p w14:paraId="12CED5E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91 141</w:t>
            </w:r>
          </w:p>
        </w:tc>
        <w:tc>
          <w:tcPr>
            <w:tcW w:w="700" w:type="dxa"/>
            <w:tcBorders>
              <w:top w:val="single" w:sz="4" w:space="0" w:color="auto"/>
            </w:tcBorders>
            <w:shd w:val="clear" w:color="auto" w:fill="auto"/>
            <w:noWrap/>
            <w:vAlign w:val="bottom"/>
            <w:hideMark/>
          </w:tcPr>
          <w:p w14:paraId="23F1A47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6,4 %</w:t>
            </w:r>
          </w:p>
        </w:tc>
        <w:tc>
          <w:tcPr>
            <w:tcW w:w="910" w:type="dxa"/>
            <w:tcBorders>
              <w:top w:val="single" w:sz="4" w:space="0" w:color="auto"/>
            </w:tcBorders>
            <w:shd w:val="clear" w:color="auto" w:fill="auto"/>
            <w:noWrap/>
            <w:vAlign w:val="bottom"/>
            <w:hideMark/>
          </w:tcPr>
          <w:p w14:paraId="08401C8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88 331</w:t>
            </w:r>
          </w:p>
        </w:tc>
        <w:tc>
          <w:tcPr>
            <w:tcW w:w="742" w:type="dxa"/>
            <w:tcBorders>
              <w:top w:val="single" w:sz="4" w:space="0" w:color="auto"/>
            </w:tcBorders>
            <w:shd w:val="clear" w:color="auto" w:fill="auto"/>
            <w:noWrap/>
            <w:vAlign w:val="bottom"/>
            <w:hideMark/>
          </w:tcPr>
          <w:p w14:paraId="1E92A3E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6,0 %</w:t>
            </w:r>
          </w:p>
        </w:tc>
        <w:tc>
          <w:tcPr>
            <w:tcW w:w="938" w:type="dxa"/>
            <w:tcBorders>
              <w:top w:val="single" w:sz="4" w:space="0" w:color="auto"/>
            </w:tcBorders>
            <w:shd w:val="clear" w:color="auto" w:fill="auto"/>
            <w:noWrap/>
            <w:vAlign w:val="bottom"/>
            <w:hideMark/>
          </w:tcPr>
          <w:p w14:paraId="7AA6DEB5"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85 237</w:t>
            </w:r>
          </w:p>
        </w:tc>
        <w:tc>
          <w:tcPr>
            <w:tcW w:w="756" w:type="dxa"/>
            <w:tcBorders>
              <w:top w:val="single" w:sz="4" w:space="0" w:color="auto"/>
            </w:tcBorders>
            <w:shd w:val="clear" w:color="auto" w:fill="auto"/>
            <w:noWrap/>
            <w:vAlign w:val="bottom"/>
            <w:hideMark/>
          </w:tcPr>
          <w:p w14:paraId="6EBAC76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5,5 %</w:t>
            </w:r>
          </w:p>
        </w:tc>
        <w:tc>
          <w:tcPr>
            <w:tcW w:w="895" w:type="dxa"/>
            <w:tcBorders>
              <w:top w:val="single" w:sz="4" w:space="0" w:color="auto"/>
            </w:tcBorders>
            <w:shd w:val="clear" w:color="auto" w:fill="auto"/>
            <w:noWrap/>
            <w:vAlign w:val="bottom"/>
            <w:hideMark/>
          </w:tcPr>
          <w:p w14:paraId="0E7FB75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86 126</w:t>
            </w:r>
          </w:p>
        </w:tc>
        <w:tc>
          <w:tcPr>
            <w:tcW w:w="789" w:type="dxa"/>
            <w:tcBorders>
              <w:top w:val="single" w:sz="4" w:space="0" w:color="auto"/>
            </w:tcBorders>
            <w:shd w:val="clear" w:color="auto" w:fill="auto"/>
            <w:noWrap/>
            <w:vAlign w:val="bottom"/>
            <w:hideMark/>
          </w:tcPr>
          <w:p w14:paraId="54AA76F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5,3 %</w:t>
            </w:r>
          </w:p>
        </w:tc>
      </w:tr>
      <w:tr w:rsidR="00114026" w:rsidRPr="003A0909" w14:paraId="7F569A89" w14:textId="77777777" w:rsidTr="00114026">
        <w:tc>
          <w:tcPr>
            <w:tcW w:w="2268" w:type="dxa"/>
            <w:shd w:val="clear" w:color="auto" w:fill="auto"/>
            <w:hideMark/>
          </w:tcPr>
          <w:p w14:paraId="50648506"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Défense</w:t>
            </w:r>
          </w:p>
        </w:tc>
        <w:tc>
          <w:tcPr>
            <w:tcW w:w="992" w:type="dxa"/>
            <w:shd w:val="clear" w:color="auto" w:fill="auto"/>
            <w:noWrap/>
            <w:vAlign w:val="bottom"/>
            <w:hideMark/>
          </w:tcPr>
          <w:p w14:paraId="3B501AF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12 302</w:t>
            </w:r>
          </w:p>
        </w:tc>
        <w:tc>
          <w:tcPr>
            <w:tcW w:w="768" w:type="dxa"/>
            <w:shd w:val="clear" w:color="auto" w:fill="auto"/>
            <w:noWrap/>
            <w:vAlign w:val="bottom"/>
            <w:hideMark/>
          </w:tcPr>
          <w:p w14:paraId="0B280D4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0,9 %</w:t>
            </w:r>
          </w:p>
        </w:tc>
        <w:tc>
          <w:tcPr>
            <w:tcW w:w="933" w:type="dxa"/>
            <w:shd w:val="clear" w:color="auto" w:fill="auto"/>
            <w:noWrap/>
            <w:vAlign w:val="bottom"/>
            <w:hideMark/>
          </w:tcPr>
          <w:p w14:paraId="1A929E43"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12 756</w:t>
            </w:r>
          </w:p>
        </w:tc>
        <w:tc>
          <w:tcPr>
            <w:tcW w:w="760" w:type="dxa"/>
            <w:shd w:val="clear" w:color="auto" w:fill="auto"/>
            <w:noWrap/>
            <w:vAlign w:val="bottom"/>
            <w:hideMark/>
          </w:tcPr>
          <w:p w14:paraId="05CE23A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0,9 %</w:t>
            </w:r>
          </w:p>
        </w:tc>
        <w:tc>
          <w:tcPr>
            <w:tcW w:w="910" w:type="dxa"/>
            <w:shd w:val="clear" w:color="auto" w:fill="auto"/>
            <w:noWrap/>
            <w:vAlign w:val="bottom"/>
            <w:hideMark/>
          </w:tcPr>
          <w:p w14:paraId="503B1AD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10 623</w:t>
            </w:r>
          </w:p>
        </w:tc>
        <w:tc>
          <w:tcPr>
            <w:tcW w:w="700" w:type="dxa"/>
            <w:shd w:val="clear" w:color="auto" w:fill="auto"/>
            <w:noWrap/>
            <w:vAlign w:val="bottom"/>
            <w:hideMark/>
          </w:tcPr>
          <w:p w14:paraId="0682253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0,7 %</w:t>
            </w:r>
          </w:p>
        </w:tc>
        <w:tc>
          <w:tcPr>
            <w:tcW w:w="910" w:type="dxa"/>
            <w:shd w:val="clear" w:color="auto" w:fill="auto"/>
            <w:noWrap/>
            <w:vAlign w:val="bottom"/>
            <w:hideMark/>
          </w:tcPr>
          <w:p w14:paraId="49D9964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10 338</w:t>
            </w:r>
          </w:p>
        </w:tc>
        <w:tc>
          <w:tcPr>
            <w:tcW w:w="742" w:type="dxa"/>
            <w:shd w:val="clear" w:color="auto" w:fill="auto"/>
            <w:noWrap/>
            <w:vAlign w:val="bottom"/>
            <w:hideMark/>
          </w:tcPr>
          <w:p w14:paraId="3B66F49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0,7 %</w:t>
            </w:r>
          </w:p>
        </w:tc>
        <w:tc>
          <w:tcPr>
            <w:tcW w:w="938" w:type="dxa"/>
            <w:shd w:val="clear" w:color="auto" w:fill="auto"/>
            <w:noWrap/>
            <w:vAlign w:val="bottom"/>
            <w:hideMark/>
          </w:tcPr>
          <w:p w14:paraId="77C213A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10 949</w:t>
            </w:r>
          </w:p>
        </w:tc>
        <w:tc>
          <w:tcPr>
            <w:tcW w:w="756" w:type="dxa"/>
            <w:shd w:val="clear" w:color="auto" w:fill="auto"/>
            <w:noWrap/>
            <w:vAlign w:val="bottom"/>
            <w:hideMark/>
          </w:tcPr>
          <w:p w14:paraId="6B79D75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0,7 %</w:t>
            </w:r>
          </w:p>
        </w:tc>
        <w:tc>
          <w:tcPr>
            <w:tcW w:w="895" w:type="dxa"/>
            <w:shd w:val="clear" w:color="auto" w:fill="auto"/>
            <w:noWrap/>
            <w:vAlign w:val="bottom"/>
            <w:hideMark/>
          </w:tcPr>
          <w:p w14:paraId="3C4742C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11 109</w:t>
            </w:r>
          </w:p>
        </w:tc>
        <w:tc>
          <w:tcPr>
            <w:tcW w:w="789" w:type="dxa"/>
            <w:shd w:val="clear" w:color="auto" w:fill="auto"/>
            <w:noWrap/>
            <w:vAlign w:val="bottom"/>
            <w:hideMark/>
          </w:tcPr>
          <w:p w14:paraId="14D9B73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0,7 %</w:t>
            </w:r>
          </w:p>
        </w:tc>
      </w:tr>
      <w:tr w:rsidR="00114026" w:rsidRPr="003A0909" w14:paraId="4BE29287" w14:textId="77777777" w:rsidTr="00114026">
        <w:tc>
          <w:tcPr>
            <w:tcW w:w="2268" w:type="dxa"/>
            <w:shd w:val="clear" w:color="auto" w:fill="auto"/>
            <w:hideMark/>
          </w:tcPr>
          <w:p w14:paraId="387366A4"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Ordre et sécurité publics</w:t>
            </w:r>
          </w:p>
        </w:tc>
        <w:tc>
          <w:tcPr>
            <w:tcW w:w="992" w:type="dxa"/>
            <w:shd w:val="clear" w:color="auto" w:fill="auto"/>
            <w:noWrap/>
            <w:vAlign w:val="bottom"/>
            <w:hideMark/>
          </w:tcPr>
          <w:p w14:paraId="3E35789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20 224</w:t>
            </w:r>
          </w:p>
        </w:tc>
        <w:tc>
          <w:tcPr>
            <w:tcW w:w="768" w:type="dxa"/>
            <w:shd w:val="clear" w:color="auto" w:fill="auto"/>
            <w:noWrap/>
            <w:vAlign w:val="bottom"/>
            <w:hideMark/>
          </w:tcPr>
          <w:p w14:paraId="245F4E76"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1,5 %</w:t>
            </w:r>
          </w:p>
        </w:tc>
        <w:tc>
          <w:tcPr>
            <w:tcW w:w="933" w:type="dxa"/>
            <w:shd w:val="clear" w:color="auto" w:fill="auto"/>
            <w:noWrap/>
            <w:vAlign w:val="bottom"/>
            <w:hideMark/>
          </w:tcPr>
          <w:p w14:paraId="7751BB0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24 199</w:t>
            </w:r>
          </w:p>
        </w:tc>
        <w:tc>
          <w:tcPr>
            <w:tcW w:w="760" w:type="dxa"/>
            <w:shd w:val="clear" w:color="auto" w:fill="auto"/>
            <w:noWrap/>
            <w:vAlign w:val="bottom"/>
            <w:hideMark/>
          </w:tcPr>
          <w:p w14:paraId="158154F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1,7 %</w:t>
            </w:r>
          </w:p>
        </w:tc>
        <w:tc>
          <w:tcPr>
            <w:tcW w:w="910" w:type="dxa"/>
            <w:shd w:val="clear" w:color="auto" w:fill="auto"/>
            <w:noWrap/>
            <w:vAlign w:val="bottom"/>
            <w:hideMark/>
          </w:tcPr>
          <w:p w14:paraId="1DA6262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25 159</w:t>
            </w:r>
          </w:p>
        </w:tc>
        <w:tc>
          <w:tcPr>
            <w:tcW w:w="700" w:type="dxa"/>
            <w:shd w:val="clear" w:color="auto" w:fill="auto"/>
            <w:noWrap/>
            <w:vAlign w:val="bottom"/>
            <w:hideMark/>
          </w:tcPr>
          <w:p w14:paraId="0A139C5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1,8 %</w:t>
            </w:r>
          </w:p>
        </w:tc>
        <w:tc>
          <w:tcPr>
            <w:tcW w:w="910" w:type="dxa"/>
            <w:shd w:val="clear" w:color="auto" w:fill="auto"/>
            <w:noWrap/>
            <w:vAlign w:val="bottom"/>
            <w:hideMark/>
          </w:tcPr>
          <w:p w14:paraId="2D62539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25 447</w:t>
            </w:r>
          </w:p>
        </w:tc>
        <w:tc>
          <w:tcPr>
            <w:tcW w:w="742" w:type="dxa"/>
            <w:shd w:val="clear" w:color="auto" w:fill="auto"/>
            <w:noWrap/>
            <w:vAlign w:val="bottom"/>
            <w:hideMark/>
          </w:tcPr>
          <w:p w14:paraId="302E4783"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1,7 %</w:t>
            </w:r>
          </w:p>
        </w:tc>
        <w:tc>
          <w:tcPr>
            <w:tcW w:w="938" w:type="dxa"/>
            <w:shd w:val="clear" w:color="auto" w:fill="auto"/>
            <w:noWrap/>
            <w:vAlign w:val="bottom"/>
            <w:hideMark/>
          </w:tcPr>
          <w:p w14:paraId="7A7A3D2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26 730</w:t>
            </w:r>
          </w:p>
        </w:tc>
        <w:tc>
          <w:tcPr>
            <w:tcW w:w="756" w:type="dxa"/>
            <w:shd w:val="clear" w:color="auto" w:fill="auto"/>
            <w:noWrap/>
            <w:vAlign w:val="bottom"/>
            <w:hideMark/>
          </w:tcPr>
          <w:p w14:paraId="3E884BA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1,7 %</w:t>
            </w:r>
          </w:p>
        </w:tc>
        <w:tc>
          <w:tcPr>
            <w:tcW w:w="895" w:type="dxa"/>
            <w:shd w:val="clear" w:color="auto" w:fill="auto"/>
            <w:noWrap/>
            <w:vAlign w:val="bottom"/>
            <w:hideMark/>
          </w:tcPr>
          <w:p w14:paraId="0DCBC4F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28 526</w:t>
            </w:r>
          </w:p>
        </w:tc>
        <w:tc>
          <w:tcPr>
            <w:tcW w:w="789" w:type="dxa"/>
            <w:shd w:val="clear" w:color="auto" w:fill="auto"/>
            <w:noWrap/>
            <w:vAlign w:val="bottom"/>
            <w:hideMark/>
          </w:tcPr>
          <w:p w14:paraId="5D4F725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1,7 %</w:t>
            </w:r>
          </w:p>
        </w:tc>
      </w:tr>
      <w:tr w:rsidR="00114026" w:rsidRPr="003A0909" w14:paraId="2779B98D" w14:textId="77777777" w:rsidTr="00114026">
        <w:tc>
          <w:tcPr>
            <w:tcW w:w="2268" w:type="dxa"/>
            <w:shd w:val="clear" w:color="auto" w:fill="auto"/>
            <w:hideMark/>
          </w:tcPr>
          <w:p w14:paraId="4E1C28D9"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Affaires économiques</w:t>
            </w:r>
          </w:p>
        </w:tc>
        <w:tc>
          <w:tcPr>
            <w:tcW w:w="992" w:type="dxa"/>
            <w:shd w:val="clear" w:color="auto" w:fill="auto"/>
            <w:noWrap/>
            <w:vAlign w:val="bottom"/>
            <w:hideMark/>
          </w:tcPr>
          <w:p w14:paraId="2957E493"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51 410</w:t>
            </w:r>
          </w:p>
        </w:tc>
        <w:tc>
          <w:tcPr>
            <w:tcW w:w="768" w:type="dxa"/>
            <w:shd w:val="clear" w:color="auto" w:fill="auto"/>
            <w:noWrap/>
            <w:vAlign w:val="bottom"/>
            <w:hideMark/>
          </w:tcPr>
          <w:p w14:paraId="2BE8A9C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3,8 %</w:t>
            </w:r>
          </w:p>
        </w:tc>
        <w:tc>
          <w:tcPr>
            <w:tcW w:w="933" w:type="dxa"/>
            <w:shd w:val="clear" w:color="auto" w:fill="auto"/>
            <w:noWrap/>
            <w:vAlign w:val="bottom"/>
            <w:hideMark/>
          </w:tcPr>
          <w:p w14:paraId="17C610F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50 873</w:t>
            </w:r>
          </w:p>
        </w:tc>
        <w:tc>
          <w:tcPr>
            <w:tcW w:w="760" w:type="dxa"/>
            <w:shd w:val="clear" w:color="auto" w:fill="auto"/>
            <w:noWrap/>
            <w:vAlign w:val="bottom"/>
            <w:hideMark/>
          </w:tcPr>
          <w:p w14:paraId="2486574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3,6 %</w:t>
            </w:r>
          </w:p>
        </w:tc>
        <w:tc>
          <w:tcPr>
            <w:tcW w:w="910" w:type="dxa"/>
            <w:shd w:val="clear" w:color="auto" w:fill="auto"/>
            <w:noWrap/>
            <w:vAlign w:val="bottom"/>
            <w:hideMark/>
          </w:tcPr>
          <w:p w14:paraId="50CF46C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58 376</w:t>
            </w:r>
          </w:p>
        </w:tc>
        <w:tc>
          <w:tcPr>
            <w:tcW w:w="700" w:type="dxa"/>
            <w:shd w:val="clear" w:color="auto" w:fill="auto"/>
            <w:noWrap/>
            <w:vAlign w:val="bottom"/>
            <w:hideMark/>
          </w:tcPr>
          <w:p w14:paraId="3ADB80D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4,1 %</w:t>
            </w:r>
          </w:p>
        </w:tc>
        <w:tc>
          <w:tcPr>
            <w:tcW w:w="910" w:type="dxa"/>
            <w:shd w:val="clear" w:color="auto" w:fill="auto"/>
            <w:noWrap/>
            <w:vAlign w:val="bottom"/>
            <w:hideMark/>
          </w:tcPr>
          <w:p w14:paraId="11EB4AB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45 483</w:t>
            </w:r>
          </w:p>
        </w:tc>
        <w:tc>
          <w:tcPr>
            <w:tcW w:w="742" w:type="dxa"/>
            <w:shd w:val="clear" w:color="auto" w:fill="auto"/>
            <w:noWrap/>
            <w:vAlign w:val="bottom"/>
            <w:hideMark/>
          </w:tcPr>
          <w:p w14:paraId="0A9E43A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3,1 %</w:t>
            </w:r>
          </w:p>
        </w:tc>
        <w:tc>
          <w:tcPr>
            <w:tcW w:w="938" w:type="dxa"/>
            <w:shd w:val="clear" w:color="auto" w:fill="auto"/>
            <w:noWrap/>
            <w:vAlign w:val="bottom"/>
            <w:hideMark/>
          </w:tcPr>
          <w:p w14:paraId="7496D44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53 616</w:t>
            </w:r>
          </w:p>
        </w:tc>
        <w:tc>
          <w:tcPr>
            <w:tcW w:w="756" w:type="dxa"/>
            <w:shd w:val="clear" w:color="auto" w:fill="auto"/>
            <w:noWrap/>
            <w:vAlign w:val="bottom"/>
            <w:hideMark/>
          </w:tcPr>
          <w:p w14:paraId="5959B95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3,5 %</w:t>
            </w:r>
          </w:p>
        </w:tc>
        <w:tc>
          <w:tcPr>
            <w:tcW w:w="895" w:type="dxa"/>
            <w:shd w:val="clear" w:color="auto" w:fill="auto"/>
            <w:noWrap/>
            <w:vAlign w:val="bottom"/>
            <w:hideMark/>
          </w:tcPr>
          <w:p w14:paraId="62286F5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50 577</w:t>
            </w:r>
          </w:p>
        </w:tc>
        <w:tc>
          <w:tcPr>
            <w:tcW w:w="789" w:type="dxa"/>
            <w:shd w:val="clear" w:color="auto" w:fill="auto"/>
            <w:noWrap/>
            <w:vAlign w:val="bottom"/>
            <w:hideMark/>
          </w:tcPr>
          <w:p w14:paraId="4445091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3,1 %</w:t>
            </w:r>
          </w:p>
        </w:tc>
      </w:tr>
      <w:tr w:rsidR="00114026" w:rsidRPr="003A0909" w14:paraId="5F1F341F" w14:textId="77777777" w:rsidTr="00114026">
        <w:tc>
          <w:tcPr>
            <w:tcW w:w="2268" w:type="dxa"/>
            <w:shd w:val="clear" w:color="auto" w:fill="auto"/>
            <w:hideMark/>
          </w:tcPr>
          <w:p w14:paraId="03D0310A"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Protection de l’environnement</w:t>
            </w:r>
          </w:p>
        </w:tc>
        <w:tc>
          <w:tcPr>
            <w:tcW w:w="992" w:type="dxa"/>
            <w:shd w:val="clear" w:color="auto" w:fill="auto"/>
            <w:noWrap/>
            <w:vAlign w:val="bottom"/>
            <w:hideMark/>
          </w:tcPr>
          <w:p w14:paraId="64F605C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624</w:t>
            </w:r>
          </w:p>
        </w:tc>
        <w:tc>
          <w:tcPr>
            <w:tcW w:w="768" w:type="dxa"/>
            <w:shd w:val="clear" w:color="auto" w:fill="auto"/>
            <w:noWrap/>
            <w:vAlign w:val="bottom"/>
            <w:hideMark/>
          </w:tcPr>
          <w:p w14:paraId="4D497A0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0,0 %</w:t>
            </w:r>
          </w:p>
        </w:tc>
        <w:tc>
          <w:tcPr>
            <w:tcW w:w="933" w:type="dxa"/>
            <w:shd w:val="clear" w:color="auto" w:fill="auto"/>
            <w:noWrap/>
            <w:vAlign w:val="bottom"/>
            <w:hideMark/>
          </w:tcPr>
          <w:p w14:paraId="16DABE8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917</w:t>
            </w:r>
          </w:p>
        </w:tc>
        <w:tc>
          <w:tcPr>
            <w:tcW w:w="760" w:type="dxa"/>
            <w:shd w:val="clear" w:color="auto" w:fill="auto"/>
            <w:noWrap/>
            <w:vAlign w:val="bottom"/>
            <w:hideMark/>
          </w:tcPr>
          <w:p w14:paraId="60CCEB8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0,1 %</w:t>
            </w:r>
          </w:p>
        </w:tc>
        <w:tc>
          <w:tcPr>
            <w:tcW w:w="910" w:type="dxa"/>
            <w:shd w:val="clear" w:color="auto" w:fill="auto"/>
            <w:noWrap/>
            <w:vAlign w:val="bottom"/>
            <w:hideMark/>
          </w:tcPr>
          <w:p w14:paraId="3075999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1 383</w:t>
            </w:r>
          </w:p>
        </w:tc>
        <w:tc>
          <w:tcPr>
            <w:tcW w:w="700" w:type="dxa"/>
            <w:shd w:val="clear" w:color="auto" w:fill="auto"/>
            <w:noWrap/>
            <w:vAlign w:val="bottom"/>
            <w:hideMark/>
          </w:tcPr>
          <w:p w14:paraId="2A927BD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0,1 %</w:t>
            </w:r>
          </w:p>
        </w:tc>
        <w:tc>
          <w:tcPr>
            <w:tcW w:w="910" w:type="dxa"/>
            <w:shd w:val="clear" w:color="auto" w:fill="auto"/>
            <w:noWrap/>
            <w:vAlign w:val="bottom"/>
            <w:hideMark/>
          </w:tcPr>
          <w:p w14:paraId="50A4D6B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2 729</w:t>
            </w:r>
          </w:p>
        </w:tc>
        <w:tc>
          <w:tcPr>
            <w:tcW w:w="742" w:type="dxa"/>
            <w:shd w:val="clear" w:color="auto" w:fill="auto"/>
            <w:noWrap/>
            <w:vAlign w:val="bottom"/>
            <w:hideMark/>
          </w:tcPr>
          <w:p w14:paraId="5ECE29D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0,2 %</w:t>
            </w:r>
          </w:p>
        </w:tc>
        <w:tc>
          <w:tcPr>
            <w:tcW w:w="938" w:type="dxa"/>
            <w:shd w:val="clear" w:color="auto" w:fill="auto"/>
            <w:noWrap/>
            <w:vAlign w:val="bottom"/>
            <w:hideMark/>
          </w:tcPr>
          <w:p w14:paraId="2628AEA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2 857</w:t>
            </w:r>
          </w:p>
        </w:tc>
        <w:tc>
          <w:tcPr>
            <w:tcW w:w="756" w:type="dxa"/>
            <w:shd w:val="clear" w:color="auto" w:fill="auto"/>
            <w:noWrap/>
            <w:vAlign w:val="bottom"/>
            <w:hideMark/>
          </w:tcPr>
          <w:p w14:paraId="01C1B67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0,2 %</w:t>
            </w:r>
          </w:p>
        </w:tc>
        <w:tc>
          <w:tcPr>
            <w:tcW w:w="895" w:type="dxa"/>
            <w:shd w:val="clear" w:color="auto" w:fill="auto"/>
            <w:noWrap/>
            <w:vAlign w:val="bottom"/>
            <w:hideMark/>
          </w:tcPr>
          <w:p w14:paraId="7F8256C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1 416</w:t>
            </w:r>
          </w:p>
        </w:tc>
        <w:tc>
          <w:tcPr>
            <w:tcW w:w="789" w:type="dxa"/>
            <w:shd w:val="clear" w:color="auto" w:fill="auto"/>
            <w:noWrap/>
            <w:vAlign w:val="bottom"/>
            <w:hideMark/>
          </w:tcPr>
          <w:p w14:paraId="46484F83"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0,1 %</w:t>
            </w:r>
          </w:p>
        </w:tc>
      </w:tr>
      <w:tr w:rsidR="00114026" w:rsidRPr="003A0909" w14:paraId="4312A457" w14:textId="77777777" w:rsidTr="00114026">
        <w:tc>
          <w:tcPr>
            <w:tcW w:w="2268" w:type="dxa"/>
            <w:shd w:val="clear" w:color="auto" w:fill="auto"/>
            <w:hideMark/>
          </w:tcPr>
          <w:p w14:paraId="4B1F79CE"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Logement et équipements collectifs</w:t>
            </w:r>
          </w:p>
        </w:tc>
        <w:tc>
          <w:tcPr>
            <w:tcW w:w="992" w:type="dxa"/>
            <w:shd w:val="clear" w:color="auto" w:fill="auto"/>
            <w:noWrap/>
            <w:vAlign w:val="bottom"/>
            <w:hideMark/>
          </w:tcPr>
          <w:p w14:paraId="1190A6E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23 856</w:t>
            </w:r>
          </w:p>
        </w:tc>
        <w:tc>
          <w:tcPr>
            <w:tcW w:w="768" w:type="dxa"/>
            <w:shd w:val="clear" w:color="auto" w:fill="auto"/>
            <w:noWrap/>
            <w:vAlign w:val="bottom"/>
            <w:hideMark/>
          </w:tcPr>
          <w:p w14:paraId="7560E32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1,8 %</w:t>
            </w:r>
          </w:p>
        </w:tc>
        <w:tc>
          <w:tcPr>
            <w:tcW w:w="933" w:type="dxa"/>
            <w:shd w:val="clear" w:color="auto" w:fill="auto"/>
            <w:noWrap/>
            <w:vAlign w:val="bottom"/>
            <w:hideMark/>
          </w:tcPr>
          <w:p w14:paraId="20F7688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30 607</w:t>
            </w:r>
          </w:p>
        </w:tc>
        <w:tc>
          <w:tcPr>
            <w:tcW w:w="760" w:type="dxa"/>
            <w:shd w:val="clear" w:color="auto" w:fill="auto"/>
            <w:noWrap/>
            <w:vAlign w:val="bottom"/>
            <w:hideMark/>
          </w:tcPr>
          <w:p w14:paraId="4E7295C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2,2 %</w:t>
            </w:r>
          </w:p>
        </w:tc>
        <w:tc>
          <w:tcPr>
            <w:tcW w:w="910" w:type="dxa"/>
            <w:shd w:val="clear" w:color="auto" w:fill="auto"/>
            <w:noWrap/>
            <w:vAlign w:val="bottom"/>
            <w:hideMark/>
          </w:tcPr>
          <w:p w14:paraId="1CE9DC9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28 226</w:t>
            </w:r>
          </w:p>
        </w:tc>
        <w:tc>
          <w:tcPr>
            <w:tcW w:w="700" w:type="dxa"/>
            <w:shd w:val="clear" w:color="auto" w:fill="auto"/>
            <w:noWrap/>
            <w:vAlign w:val="bottom"/>
            <w:hideMark/>
          </w:tcPr>
          <w:p w14:paraId="52C0AE7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2,0 %</w:t>
            </w:r>
          </w:p>
        </w:tc>
        <w:tc>
          <w:tcPr>
            <w:tcW w:w="910" w:type="dxa"/>
            <w:shd w:val="clear" w:color="auto" w:fill="auto"/>
            <w:noWrap/>
            <w:vAlign w:val="bottom"/>
            <w:hideMark/>
          </w:tcPr>
          <w:p w14:paraId="44F2507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27 902</w:t>
            </w:r>
          </w:p>
        </w:tc>
        <w:tc>
          <w:tcPr>
            <w:tcW w:w="742" w:type="dxa"/>
            <w:shd w:val="clear" w:color="auto" w:fill="auto"/>
            <w:noWrap/>
            <w:vAlign w:val="bottom"/>
            <w:hideMark/>
          </w:tcPr>
          <w:p w14:paraId="1F04DBE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1,9 %</w:t>
            </w:r>
          </w:p>
        </w:tc>
        <w:tc>
          <w:tcPr>
            <w:tcW w:w="938" w:type="dxa"/>
            <w:shd w:val="clear" w:color="auto" w:fill="auto"/>
            <w:noWrap/>
            <w:vAlign w:val="bottom"/>
            <w:hideMark/>
          </w:tcPr>
          <w:p w14:paraId="18746F5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38 250</w:t>
            </w:r>
          </w:p>
        </w:tc>
        <w:tc>
          <w:tcPr>
            <w:tcW w:w="756" w:type="dxa"/>
            <w:shd w:val="clear" w:color="auto" w:fill="auto"/>
            <w:noWrap/>
            <w:vAlign w:val="bottom"/>
            <w:hideMark/>
          </w:tcPr>
          <w:p w14:paraId="45DFB78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2,5 %</w:t>
            </w:r>
          </w:p>
        </w:tc>
        <w:tc>
          <w:tcPr>
            <w:tcW w:w="895" w:type="dxa"/>
            <w:shd w:val="clear" w:color="auto" w:fill="auto"/>
            <w:noWrap/>
            <w:vAlign w:val="bottom"/>
            <w:hideMark/>
          </w:tcPr>
          <w:p w14:paraId="3290202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39 249</w:t>
            </w:r>
          </w:p>
        </w:tc>
        <w:tc>
          <w:tcPr>
            <w:tcW w:w="789" w:type="dxa"/>
            <w:shd w:val="clear" w:color="auto" w:fill="auto"/>
            <w:noWrap/>
            <w:vAlign w:val="bottom"/>
            <w:hideMark/>
          </w:tcPr>
          <w:p w14:paraId="5E2EC39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2,4 %</w:t>
            </w:r>
          </w:p>
        </w:tc>
      </w:tr>
      <w:tr w:rsidR="00114026" w:rsidRPr="003A0909" w14:paraId="1D104479" w14:textId="77777777" w:rsidTr="00114026">
        <w:tc>
          <w:tcPr>
            <w:tcW w:w="2268" w:type="dxa"/>
            <w:shd w:val="clear" w:color="auto" w:fill="auto"/>
            <w:hideMark/>
          </w:tcPr>
          <w:p w14:paraId="3D377CB1"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Santé*</w:t>
            </w:r>
          </w:p>
        </w:tc>
        <w:tc>
          <w:tcPr>
            <w:tcW w:w="992" w:type="dxa"/>
            <w:shd w:val="clear" w:color="auto" w:fill="auto"/>
            <w:noWrap/>
            <w:vAlign w:val="bottom"/>
            <w:hideMark/>
          </w:tcPr>
          <w:p w14:paraId="14B7590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35 391</w:t>
            </w:r>
          </w:p>
        </w:tc>
        <w:tc>
          <w:tcPr>
            <w:tcW w:w="768" w:type="dxa"/>
            <w:shd w:val="clear" w:color="auto" w:fill="auto"/>
            <w:noWrap/>
            <w:vAlign w:val="bottom"/>
            <w:hideMark/>
          </w:tcPr>
          <w:p w14:paraId="58DF73B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2,6 %</w:t>
            </w:r>
          </w:p>
        </w:tc>
        <w:tc>
          <w:tcPr>
            <w:tcW w:w="933" w:type="dxa"/>
            <w:shd w:val="clear" w:color="auto" w:fill="auto"/>
            <w:noWrap/>
            <w:vAlign w:val="bottom"/>
            <w:hideMark/>
          </w:tcPr>
          <w:p w14:paraId="0F678F06"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41 881</w:t>
            </w:r>
          </w:p>
        </w:tc>
        <w:tc>
          <w:tcPr>
            <w:tcW w:w="760" w:type="dxa"/>
            <w:shd w:val="clear" w:color="auto" w:fill="auto"/>
            <w:noWrap/>
            <w:vAlign w:val="bottom"/>
            <w:hideMark/>
          </w:tcPr>
          <w:p w14:paraId="12E6949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3,0 %</w:t>
            </w:r>
          </w:p>
        </w:tc>
        <w:tc>
          <w:tcPr>
            <w:tcW w:w="910" w:type="dxa"/>
            <w:shd w:val="clear" w:color="auto" w:fill="auto"/>
            <w:noWrap/>
            <w:vAlign w:val="bottom"/>
            <w:hideMark/>
          </w:tcPr>
          <w:p w14:paraId="32DF8CF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39 475</w:t>
            </w:r>
          </w:p>
        </w:tc>
        <w:tc>
          <w:tcPr>
            <w:tcW w:w="700" w:type="dxa"/>
            <w:shd w:val="clear" w:color="auto" w:fill="auto"/>
            <w:noWrap/>
            <w:vAlign w:val="bottom"/>
            <w:hideMark/>
          </w:tcPr>
          <w:p w14:paraId="4530DD3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2,8 %</w:t>
            </w:r>
          </w:p>
        </w:tc>
        <w:tc>
          <w:tcPr>
            <w:tcW w:w="910" w:type="dxa"/>
            <w:shd w:val="clear" w:color="auto" w:fill="auto"/>
            <w:noWrap/>
            <w:vAlign w:val="bottom"/>
            <w:hideMark/>
          </w:tcPr>
          <w:p w14:paraId="7EA2705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41 802</w:t>
            </w:r>
          </w:p>
        </w:tc>
        <w:tc>
          <w:tcPr>
            <w:tcW w:w="742" w:type="dxa"/>
            <w:shd w:val="clear" w:color="auto" w:fill="auto"/>
            <w:noWrap/>
            <w:vAlign w:val="bottom"/>
            <w:hideMark/>
          </w:tcPr>
          <w:p w14:paraId="38BDE8F8"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2,8 %</w:t>
            </w:r>
          </w:p>
        </w:tc>
        <w:tc>
          <w:tcPr>
            <w:tcW w:w="938" w:type="dxa"/>
            <w:shd w:val="clear" w:color="auto" w:fill="auto"/>
            <w:noWrap/>
            <w:vAlign w:val="bottom"/>
            <w:hideMark/>
          </w:tcPr>
          <w:p w14:paraId="689F40B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45 352</w:t>
            </w:r>
          </w:p>
        </w:tc>
        <w:tc>
          <w:tcPr>
            <w:tcW w:w="756" w:type="dxa"/>
            <w:shd w:val="clear" w:color="auto" w:fill="auto"/>
            <w:noWrap/>
            <w:vAlign w:val="bottom"/>
            <w:hideMark/>
          </w:tcPr>
          <w:p w14:paraId="4081B4E5"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2,9 %</w:t>
            </w:r>
          </w:p>
        </w:tc>
        <w:tc>
          <w:tcPr>
            <w:tcW w:w="895" w:type="dxa"/>
            <w:shd w:val="clear" w:color="auto" w:fill="auto"/>
            <w:noWrap/>
            <w:vAlign w:val="bottom"/>
            <w:hideMark/>
          </w:tcPr>
          <w:p w14:paraId="4B0592E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49 004</w:t>
            </w:r>
          </w:p>
        </w:tc>
        <w:tc>
          <w:tcPr>
            <w:tcW w:w="789" w:type="dxa"/>
            <w:shd w:val="clear" w:color="auto" w:fill="auto"/>
            <w:noWrap/>
            <w:vAlign w:val="bottom"/>
            <w:hideMark/>
          </w:tcPr>
          <w:p w14:paraId="2FE270D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3,0 %</w:t>
            </w:r>
          </w:p>
        </w:tc>
      </w:tr>
      <w:tr w:rsidR="00114026" w:rsidRPr="003A0909" w14:paraId="3DC080B1" w14:textId="77777777" w:rsidTr="00114026">
        <w:tc>
          <w:tcPr>
            <w:tcW w:w="2268" w:type="dxa"/>
            <w:shd w:val="clear" w:color="auto" w:fill="auto"/>
            <w:hideMark/>
          </w:tcPr>
          <w:p w14:paraId="141F914E"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Loisirs, culture et culte</w:t>
            </w:r>
          </w:p>
        </w:tc>
        <w:tc>
          <w:tcPr>
            <w:tcW w:w="992" w:type="dxa"/>
            <w:shd w:val="clear" w:color="auto" w:fill="auto"/>
            <w:noWrap/>
            <w:vAlign w:val="bottom"/>
            <w:hideMark/>
          </w:tcPr>
          <w:p w14:paraId="1A160B6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4 018</w:t>
            </w:r>
          </w:p>
        </w:tc>
        <w:tc>
          <w:tcPr>
            <w:tcW w:w="768" w:type="dxa"/>
            <w:shd w:val="clear" w:color="auto" w:fill="auto"/>
            <w:noWrap/>
            <w:vAlign w:val="bottom"/>
            <w:hideMark/>
          </w:tcPr>
          <w:p w14:paraId="5AC0D68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0,3 %</w:t>
            </w:r>
          </w:p>
        </w:tc>
        <w:tc>
          <w:tcPr>
            <w:tcW w:w="933" w:type="dxa"/>
            <w:shd w:val="clear" w:color="auto" w:fill="auto"/>
            <w:noWrap/>
            <w:vAlign w:val="bottom"/>
            <w:hideMark/>
          </w:tcPr>
          <w:p w14:paraId="32F3880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6 031</w:t>
            </w:r>
          </w:p>
        </w:tc>
        <w:tc>
          <w:tcPr>
            <w:tcW w:w="760" w:type="dxa"/>
            <w:shd w:val="clear" w:color="auto" w:fill="auto"/>
            <w:noWrap/>
            <w:vAlign w:val="bottom"/>
            <w:hideMark/>
          </w:tcPr>
          <w:p w14:paraId="43B78110"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0,4 %</w:t>
            </w:r>
          </w:p>
        </w:tc>
        <w:tc>
          <w:tcPr>
            <w:tcW w:w="910" w:type="dxa"/>
            <w:shd w:val="clear" w:color="auto" w:fill="auto"/>
            <w:noWrap/>
            <w:vAlign w:val="bottom"/>
            <w:hideMark/>
          </w:tcPr>
          <w:p w14:paraId="71DF25F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6 517</w:t>
            </w:r>
          </w:p>
        </w:tc>
        <w:tc>
          <w:tcPr>
            <w:tcW w:w="700" w:type="dxa"/>
            <w:shd w:val="clear" w:color="auto" w:fill="auto"/>
            <w:noWrap/>
            <w:vAlign w:val="bottom"/>
            <w:hideMark/>
          </w:tcPr>
          <w:p w14:paraId="18BF744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0,5 %</w:t>
            </w:r>
          </w:p>
        </w:tc>
        <w:tc>
          <w:tcPr>
            <w:tcW w:w="910" w:type="dxa"/>
            <w:shd w:val="clear" w:color="auto" w:fill="auto"/>
            <w:noWrap/>
            <w:vAlign w:val="bottom"/>
            <w:hideMark/>
          </w:tcPr>
          <w:p w14:paraId="03DDA19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6 356</w:t>
            </w:r>
          </w:p>
        </w:tc>
        <w:tc>
          <w:tcPr>
            <w:tcW w:w="742" w:type="dxa"/>
            <w:shd w:val="clear" w:color="auto" w:fill="auto"/>
            <w:noWrap/>
            <w:vAlign w:val="bottom"/>
            <w:hideMark/>
          </w:tcPr>
          <w:p w14:paraId="688CDBB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0,4 %</w:t>
            </w:r>
          </w:p>
        </w:tc>
        <w:tc>
          <w:tcPr>
            <w:tcW w:w="938" w:type="dxa"/>
            <w:shd w:val="clear" w:color="auto" w:fill="auto"/>
            <w:noWrap/>
            <w:vAlign w:val="bottom"/>
            <w:hideMark/>
          </w:tcPr>
          <w:p w14:paraId="7ED7099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6 440</w:t>
            </w:r>
          </w:p>
        </w:tc>
        <w:tc>
          <w:tcPr>
            <w:tcW w:w="756" w:type="dxa"/>
            <w:shd w:val="clear" w:color="auto" w:fill="auto"/>
            <w:noWrap/>
            <w:vAlign w:val="bottom"/>
            <w:hideMark/>
          </w:tcPr>
          <w:p w14:paraId="1A97286B"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0,4 %</w:t>
            </w:r>
          </w:p>
        </w:tc>
        <w:tc>
          <w:tcPr>
            <w:tcW w:w="895" w:type="dxa"/>
            <w:shd w:val="clear" w:color="auto" w:fill="auto"/>
            <w:noWrap/>
            <w:vAlign w:val="bottom"/>
            <w:hideMark/>
          </w:tcPr>
          <w:p w14:paraId="33F6467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7 378</w:t>
            </w:r>
          </w:p>
        </w:tc>
        <w:tc>
          <w:tcPr>
            <w:tcW w:w="789" w:type="dxa"/>
            <w:shd w:val="clear" w:color="auto" w:fill="auto"/>
            <w:noWrap/>
            <w:vAlign w:val="bottom"/>
            <w:hideMark/>
          </w:tcPr>
          <w:p w14:paraId="09F95863"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0,5 %</w:t>
            </w:r>
          </w:p>
        </w:tc>
      </w:tr>
      <w:tr w:rsidR="00114026" w:rsidRPr="003A0909" w14:paraId="4249F30C" w14:textId="77777777" w:rsidTr="00114026">
        <w:tc>
          <w:tcPr>
            <w:tcW w:w="2268" w:type="dxa"/>
            <w:shd w:val="clear" w:color="auto" w:fill="auto"/>
            <w:hideMark/>
          </w:tcPr>
          <w:p w14:paraId="1D15DF05"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Éducation*</w:t>
            </w:r>
          </w:p>
        </w:tc>
        <w:tc>
          <w:tcPr>
            <w:tcW w:w="992" w:type="dxa"/>
            <w:shd w:val="clear" w:color="auto" w:fill="auto"/>
            <w:noWrap/>
            <w:vAlign w:val="bottom"/>
            <w:hideMark/>
          </w:tcPr>
          <w:p w14:paraId="6B1978B0"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44 131</w:t>
            </w:r>
          </w:p>
        </w:tc>
        <w:tc>
          <w:tcPr>
            <w:tcW w:w="768" w:type="dxa"/>
            <w:shd w:val="clear" w:color="auto" w:fill="auto"/>
            <w:noWrap/>
            <w:vAlign w:val="bottom"/>
            <w:hideMark/>
          </w:tcPr>
          <w:p w14:paraId="4B37E8C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3,3 %</w:t>
            </w:r>
          </w:p>
        </w:tc>
        <w:tc>
          <w:tcPr>
            <w:tcW w:w="933" w:type="dxa"/>
            <w:shd w:val="clear" w:color="auto" w:fill="auto"/>
            <w:noWrap/>
            <w:vAlign w:val="bottom"/>
            <w:hideMark/>
          </w:tcPr>
          <w:p w14:paraId="3AEA096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46 208</w:t>
            </w:r>
          </w:p>
        </w:tc>
        <w:tc>
          <w:tcPr>
            <w:tcW w:w="760" w:type="dxa"/>
            <w:shd w:val="clear" w:color="auto" w:fill="auto"/>
            <w:noWrap/>
            <w:vAlign w:val="bottom"/>
            <w:hideMark/>
          </w:tcPr>
          <w:p w14:paraId="3F77E94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3,3 %</w:t>
            </w:r>
          </w:p>
        </w:tc>
        <w:tc>
          <w:tcPr>
            <w:tcW w:w="910" w:type="dxa"/>
            <w:shd w:val="clear" w:color="auto" w:fill="auto"/>
            <w:noWrap/>
            <w:vAlign w:val="bottom"/>
            <w:hideMark/>
          </w:tcPr>
          <w:p w14:paraId="763DCE8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44 760</w:t>
            </w:r>
          </w:p>
        </w:tc>
        <w:tc>
          <w:tcPr>
            <w:tcW w:w="700" w:type="dxa"/>
            <w:shd w:val="clear" w:color="auto" w:fill="auto"/>
            <w:noWrap/>
            <w:vAlign w:val="bottom"/>
            <w:hideMark/>
          </w:tcPr>
          <w:p w14:paraId="3C2889D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3,1 %</w:t>
            </w:r>
          </w:p>
        </w:tc>
        <w:tc>
          <w:tcPr>
            <w:tcW w:w="910" w:type="dxa"/>
            <w:shd w:val="clear" w:color="auto" w:fill="auto"/>
            <w:noWrap/>
            <w:vAlign w:val="bottom"/>
            <w:hideMark/>
          </w:tcPr>
          <w:p w14:paraId="7A3D393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46 079</w:t>
            </w:r>
          </w:p>
        </w:tc>
        <w:tc>
          <w:tcPr>
            <w:tcW w:w="742" w:type="dxa"/>
            <w:shd w:val="clear" w:color="auto" w:fill="auto"/>
            <w:noWrap/>
            <w:vAlign w:val="bottom"/>
            <w:hideMark/>
          </w:tcPr>
          <w:p w14:paraId="19CA29E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3,1 %</w:t>
            </w:r>
          </w:p>
        </w:tc>
        <w:tc>
          <w:tcPr>
            <w:tcW w:w="938" w:type="dxa"/>
            <w:shd w:val="clear" w:color="auto" w:fill="auto"/>
            <w:noWrap/>
            <w:vAlign w:val="bottom"/>
            <w:hideMark/>
          </w:tcPr>
          <w:p w14:paraId="7BB6AB94"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47 914</w:t>
            </w:r>
          </w:p>
        </w:tc>
        <w:tc>
          <w:tcPr>
            <w:tcW w:w="756" w:type="dxa"/>
            <w:shd w:val="clear" w:color="auto" w:fill="auto"/>
            <w:noWrap/>
            <w:vAlign w:val="bottom"/>
            <w:hideMark/>
          </w:tcPr>
          <w:p w14:paraId="29E1481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3,1 %</w:t>
            </w:r>
          </w:p>
        </w:tc>
        <w:tc>
          <w:tcPr>
            <w:tcW w:w="895" w:type="dxa"/>
            <w:shd w:val="clear" w:color="auto" w:fill="auto"/>
            <w:noWrap/>
            <w:vAlign w:val="bottom"/>
            <w:hideMark/>
          </w:tcPr>
          <w:p w14:paraId="4297C05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51 605</w:t>
            </w:r>
          </w:p>
        </w:tc>
        <w:tc>
          <w:tcPr>
            <w:tcW w:w="789" w:type="dxa"/>
            <w:shd w:val="clear" w:color="auto" w:fill="auto"/>
            <w:noWrap/>
            <w:vAlign w:val="bottom"/>
            <w:hideMark/>
          </w:tcPr>
          <w:p w14:paraId="52B9F07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3,2 %</w:t>
            </w:r>
          </w:p>
        </w:tc>
      </w:tr>
      <w:tr w:rsidR="00114026" w:rsidRPr="003A0909" w14:paraId="4520862F" w14:textId="77777777" w:rsidTr="00114026">
        <w:tc>
          <w:tcPr>
            <w:tcW w:w="2268" w:type="dxa"/>
            <w:shd w:val="clear" w:color="auto" w:fill="auto"/>
            <w:hideMark/>
          </w:tcPr>
          <w:p w14:paraId="29FDDE97" w14:textId="77777777" w:rsidR="00780206" w:rsidRPr="003A0909" w:rsidRDefault="00780206" w:rsidP="003A0909">
            <w:pPr>
              <w:suppressAutoHyphens w:val="0"/>
              <w:spacing w:before="40" w:after="40" w:line="220" w:lineRule="exact"/>
              <w:rPr>
                <w:sz w:val="18"/>
                <w:szCs w:val="18"/>
              </w:rPr>
            </w:pPr>
            <w:r w:rsidRPr="003A0909">
              <w:rPr>
                <w:sz w:val="18"/>
                <w:szCs w:val="18"/>
                <w:lang w:val="fr-FR"/>
              </w:rPr>
              <w:t>Protection sociale</w:t>
            </w:r>
          </w:p>
        </w:tc>
        <w:tc>
          <w:tcPr>
            <w:tcW w:w="992" w:type="dxa"/>
            <w:shd w:val="clear" w:color="auto" w:fill="auto"/>
            <w:noWrap/>
            <w:vAlign w:val="bottom"/>
            <w:hideMark/>
          </w:tcPr>
          <w:p w14:paraId="0B51086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122 891</w:t>
            </w:r>
          </w:p>
        </w:tc>
        <w:tc>
          <w:tcPr>
            <w:tcW w:w="768" w:type="dxa"/>
            <w:shd w:val="clear" w:color="auto" w:fill="auto"/>
            <w:noWrap/>
            <w:vAlign w:val="bottom"/>
            <w:hideMark/>
          </w:tcPr>
          <w:p w14:paraId="3EBCC83D"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9,1 %</w:t>
            </w:r>
          </w:p>
        </w:tc>
        <w:tc>
          <w:tcPr>
            <w:tcW w:w="933" w:type="dxa"/>
            <w:shd w:val="clear" w:color="auto" w:fill="auto"/>
            <w:noWrap/>
            <w:vAlign w:val="bottom"/>
            <w:hideMark/>
          </w:tcPr>
          <w:p w14:paraId="6B5A9E0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131 356</w:t>
            </w:r>
          </w:p>
        </w:tc>
        <w:tc>
          <w:tcPr>
            <w:tcW w:w="760" w:type="dxa"/>
            <w:shd w:val="clear" w:color="auto" w:fill="auto"/>
            <w:noWrap/>
            <w:vAlign w:val="bottom"/>
            <w:hideMark/>
          </w:tcPr>
          <w:p w14:paraId="0E6E6D62"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9,4 %</w:t>
            </w:r>
          </w:p>
        </w:tc>
        <w:tc>
          <w:tcPr>
            <w:tcW w:w="910" w:type="dxa"/>
            <w:shd w:val="clear" w:color="auto" w:fill="auto"/>
            <w:noWrap/>
            <w:vAlign w:val="bottom"/>
            <w:hideMark/>
          </w:tcPr>
          <w:p w14:paraId="3D670A77"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131 743</w:t>
            </w:r>
          </w:p>
        </w:tc>
        <w:tc>
          <w:tcPr>
            <w:tcW w:w="700" w:type="dxa"/>
            <w:shd w:val="clear" w:color="auto" w:fill="auto"/>
            <w:noWrap/>
            <w:vAlign w:val="bottom"/>
            <w:hideMark/>
          </w:tcPr>
          <w:p w14:paraId="3509441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9,2 %</w:t>
            </w:r>
          </w:p>
        </w:tc>
        <w:tc>
          <w:tcPr>
            <w:tcW w:w="910" w:type="dxa"/>
            <w:shd w:val="clear" w:color="auto" w:fill="auto"/>
            <w:noWrap/>
            <w:vAlign w:val="bottom"/>
            <w:hideMark/>
          </w:tcPr>
          <w:p w14:paraId="3F86A796"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139 230</w:t>
            </w:r>
          </w:p>
        </w:tc>
        <w:tc>
          <w:tcPr>
            <w:tcW w:w="742" w:type="dxa"/>
            <w:shd w:val="clear" w:color="auto" w:fill="auto"/>
            <w:noWrap/>
            <w:vAlign w:val="bottom"/>
            <w:hideMark/>
          </w:tcPr>
          <w:p w14:paraId="2BD7EEE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9,5 %</w:t>
            </w:r>
          </w:p>
        </w:tc>
        <w:tc>
          <w:tcPr>
            <w:tcW w:w="938" w:type="dxa"/>
            <w:shd w:val="clear" w:color="auto" w:fill="auto"/>
            <w:noWrap/>
            <w:vAlign w:val="bottom"/>
            <w:hideMark/>
          </w:tcPr>
          <w:p w14:paraId="15F5ADE0"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144 066</w:t>
            </w:r>
          </w:p>
        </w:tc>
        <w:tc>
          <w:tcPr>
            <w:tcW w:w="756" w:type="dxa"/>
            <w:shd w:val="clear" w:color="auto" w:fill="auto"/>
            <w:noWrap/>
            <w:vAlign w:val="bottom"/>
            <w:hideMark/>
          </w:tcPr>
          <w:p w14:paraId="0D1C318F"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9,3 %</w:t>
            </w:r>
          </w:p>
        </w:tc>
        <w:tc>
          <w:tcPr>
            <w:tcW w:w="895" w:type="dxa"/>
            <w:shd w:val="clear" w:color="auto" w:fill="auto"/>
            <w:noWrap/>
            <w:vAlign w:val="bottom"/>
            <w:hideMark/>
          </w:tcPr>
          <w:p w14:paraId="0DA603D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151 149</w:t>
            </w:r>
          </w:p>
        </w:tc>
        <w:tc>
          <w:tcPr>
            <w:tcW w:w="789" w:type="dxa"/>
            <w:shd w:val="clear" w:color="auto" w:fill="auto"/>
            <w:noWrap/>
            <w:vAlign w:val="bottom"/>
            <w:hideMark/>
          </w:tcPr>
          <w:p w14:paraId="34EEB849"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9,2 %</w:t>
            </w:r>
          </w:p>
        </w:tc>
      </w:tr>
      <w:tr w:rsidR="00114026" w:rsidRPr="003A0909" w14:paraId="23834236" w14:textId="77777777" w:rsidTr="00114026">
        <w:tc>
          <w:tcPr>
            <w:tcW w:w="2268" w:type="dxa"/>
            <w:shd w:val="clear" w:color="auto" w:fill="auto"/>
            <w:hideMark/>
          </w:tcPr>
          <w:p w14:paraId="0BC8A5B9" w14:textId="21677C84" w:rsidR="00780206" w:rsidRPr="000E3B16" w:rsidRDefault="00780206" w:rsidP="003A0909">
            <w:pPr>
              <w:suppressAutoHyphens w:val="0"/>
              <w:spacing w:before="40" w:after="40" w:line="220" w:lineRule="exact"/>
              <w:rPr>
                <w:iCs/>
                <w:sz w:val="18"/>
                <w:szCs w:val="18"/>
                <w:lang w:val="fr-FR"/>
              </w:rPr>
            </w:pPr>
            <w:r w:rsidRPr="000E3B16">
              <w:rPr>
                <w:iCs/>
                <w:sz w:val="18"/>
                <w:szCs w:val="18"/>
                <w:lang w:val="fr-FR"/>
              </w:rPr>
              <w:t xml:space="preserve">Fonds de réserve, risque d’endettement et nouvelle politique de hausse </w:t>
            </w:r>
            <w:r w:rsidR="000E3B16" w:rsidRPr="000E3B16">
              <w:rPr>
                <w:iCs/>
                <w:sz w:val="18"/>
                <w:szCs w:val="18"/>
                <w:lang w:val="fr-FR"/>
              </w:rPr>
              <w:br/>
            </w:r>
            <w:r w:rsidRPr="000E3B16">
              <w:rPr>
                <w:iCs/>
                <w:sz w:val="18"/>
                <w:szCs w:val="18"/>
                <w:lang w:val="fr-FR"/>
              </w:rPr>
              <w:t>des salaires</w:t>
            </w:r>
          </w:p>
        </w:tc>
        <w:tc>
          <w:tcPr>
            <w:tcW w:w="992" w:type="dxa"/>
            <w:shd w:val="clear" w:color="auto" w:fill="auto"/>
            <w:noWrap/>
            <w:vAlign w:val="bottom"/>
            <w:hideMark/>
          </w:tcPr>
          <w:p w14:paraId="2B8A6C38" w14:textId="77777777" w:rsidR="00780206" w:rsidRPr="000E3B16" w:rsidRDefault="00780206" w:rsidP="003A0909">
            <w:pPr>
              <w:suppressAutoHyphens w:val="0"/>
              <w:spacing w:before="40" w:after="40" w:line="220" w:lineRule="exact"/>
              <w:jc w:val="right"/>
              <w:rPr>
                <w:i/>
                <w:sz w:val="18"/>
                <w:szCs w:val="18"/>
                <w:lang w:val="fr-FR"/>
              </w:rPr>
            </w:pPr>
            <w:r w:rsidRPr="000E3B16">
              <w:rPr>
                <w:i/>
                <w:sz w:val="18"/>
                <w:szCs w:val="18"/>
                <w:lang w:val="fr-FR"/>
              </w:rPr>
              <w:t> </w:t>
            </w:r>
          </w:p>
        </w:tc>
        <w:tc>
          <w:tcPr>
            <w:tcW w:w="768" w:type="dxa"/>
            <w:shd w:val="clear" w:color="auto" w:fill="auto"/>
            <w:noWrap/>
            <w:vAlign w:val="bottom"/>
            <w:hideMark/>
          </w:tcPr>
          <w:p w14:paraId="78667B27" w14:textId="77777777" w:rsidR="00780206" w:rsidRPr="003A0909" w:rsidRDefault="00780206" w:rsidP="003A0909">
            <w:pPr>
              <w:suppressAutoHyphens w:val="0"/>
              <w:spacing w:before="40" w:after="40" w:line="220" w:lineRule="exact"/>
              <w:jc w:val="right"/>
              <w:rPr>
                <w:sz w:val="18"/>
                <w:szCs w:val="18"/>
                <w:lang w:val="fr-FR"/>
              </w:rPr>
            </w:pPr>
            <w:r w:rsidRPr="003A0909">
              <w:rPr>
                <w:sz w:val="18"/>
                <w:szCs w:val="18"/>
                <w:lang w:val="fr-FR"/>
              </w:rPr>
              <w:t> </w:t>
            </w:r>
          </w:p>
        </w:tc>
        <w:tc>
          <w:tcPr>
            <w:tcW w:w="933" w:type="dxa"/>
            <w:shd w:val="clear" w:color="auto" w:fill="auto"/>
            <w:noWrap/>
            <w:vAlign w:val="bottom"/>
            <w:hideMark/>
          </w:tcPr>
          <w:p w14:paraId="0E8F8D1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103</w:t>
            </w:r>
          </w:p>
        </w:tc>
        <w:tc>
          <w:tcPr>
            <w:tcW w:w="760" w:type="dxa"/>
            <w:shd w:val="clear" w:color="auto" w:fill="auto"/>
            <w:noWrap/>
            <w:vAlign w:val="bottom"/>
            <w:hideMark/>
          </w:tcPr>
          <w:p w14:paraId="34238F6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0,0 %</w:t>
            </w:r>
          </w:p>
        </w:tc>
        <w:tc>
          <w:tcPr>
            <w:tcW w:w="910" w:type="dxa"/>
            <w:shd w:val="clear" w:color="auto" w:fill="auto"/>
            <w:noWrap/>
            <w:vAlign w:val="bottom"/>
            <w:hideMark/>
          </w:tcPr>
          <w:p w14:paraId="53424906" w14:textId="77777777" w:rsidR="00780206" w:rsidRPr="003A0909" w:rsidRDefault="00780206" w:rsidP="003A0909">
            <w:pPr>
              <w:suppressAutoHyphens w:val="0"/>
              <w:spacing w:before="40" w:after="40" w:line="220" w:lineRule="exact"/>
              <w:jc w:val="right"/>
              <w:rPr>
                <w:sz w:val="18"/>
                <w:szCs w:val="18"/>
              </w:rPr>
            </w:pPr>
            <w:r w:rsidRPr="003A0909">
              <w:rPr>
                <w:sz w:val="18"/>
                <w:szCs w:val="18"/>
              </w:rPr>
              <w:t> </w:t>
            </w:r>
          </w:p>
        </w:tc>
        <w:tc>
          <w:tcPr>
            <w:tcW w:w="700" w:type="dxa"/>
            <w:shd w:val="clear" w:color="auto" w:fill="auto"/>
            <w:noWrap/>
            <w:vAlign w:val="bottom"/>
            <w:hideMark/>
          </w:tcPr>
          <w:p w14:paraId="30F851C2" w14:textId="77777777" w:rsidR="00780206" w:rsidRPr="003A0909" w:rsidRDefault="00780206" w:rsidP="003A0909">
            <w:pPr>
              <w:suppressAutoHyphens w:val="0"/>
              <w:spacing w:before="40" w:after="40" w:line="220" w:lineRule="exact"/>
              <w:jc w:val="right"/>
              <w:rPr>
                <w:sz w:val="18"/>
                <w:szCs w:val="18"/>
              </w:rPr>
            </w:pPr>
            <w:r w:rsidRPr="003A0909">
              <w:rPr>
                <w:sz w:val="18"/>
                <w:szCs w:val="18"/>
              </w:rPr>
              <w:t> </w:t>
            </w:r>
          </w:p>
        </w:tc>
        <w:tc>
          <w:tcPr>
            <w:tcW w:w="910" w:type="dxa"/>
            <w:shd w:val="clear" w:color="auto" w:fill="auto"/>
            <w:noWrap/>
            <w:vAlign w:val="bottom"/>
            <w:hideMark/>
          </w:tcPr>
          <w:p w14:paraId="41654C81"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w:t>
            </w:r>
          </w:p>
        </w:tc>
        <w:tc>
          <w:tcPr>
            <w:tcW w:w="742" w:type="dxa"/>
            <w:shd w:val="clear" w:color="auto" w:fill="auto"/>
            <w:noWrap/>
            <w:vAlign w:val="bottom"/>
            <w:hideMark/>
          </w:tcPr>
          <w:p w14:paraId="6634C036"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0,0 %</w:t>
            </w:r>
          </w:p>
        </w:tc>
        <w:tc>
          <w:tcPr>
            <w:tcW w:w="938" w:type="dxa"/>
            <w:shd w:val="clear" w:color="auto" w:fill="auto"/>
            <w:noWrap/>
            <w:vAlign w:val="bottom"/>
            <w:hideMark/>
          </w:tcPr>
          <w:p w14:paraId="10BEBF2C"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w:t>
            </w:r>
          </w:p>
        </w:tc>
        <w:tc>
          <w:tcPr>
            <w:tcW w:w="756" w:type="dxa"/>
            <w:shd w:val="clear" w:color="auto" w:fill="auto"/>
            <w:noWrap/>
            <w:vAlign w:val="bottom"/>
            <w:hideMark/>
          </w:tcPr>
          <w:p w14:paraId="00B8AF83"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0,0 %</w:t>
            </w:r>
          </w:p>
        </w:tc>
        <w:tc>
          <w:tcPr>
            <w:tcW w:w="895" w:type="dxa"/>
            <w:shd w:val="clear" w:color="auto" w:fill="auto"/>
            <w:noWrap/>
            <w:vAlign w:val="bottom"/>
            <w:hideMark/>
          </w:tcPr>
          <w:p w14:paraId="4831F4BA"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w:t>
            </w:r>
          </w:p>
        </w:tc>
        <w:tc>
          <w:tcPr>
            <w:tcW w:w="789" w:type="dxa"/>
            <w:shd w:val="clear" w:color="auto" w:fill="auto"/>
            <w:noWrap/>
            <w:vAlign w:val="bottom"/>
            <w:hideMark/>
          </w:tcPr>
          <w:p w14:paraId="3F866FFE" w14:textId="77777777" w:rsidR="00780206" w:rsidRPr="003A0909" w:rsidRDefault="00780206" w:rsidP="003A0909">
            <w:pPr>
              <w:suppressAutoHyphens w:val="0"/>
              <w:spacing w:before="40" w:after="40" w:line="220" w:lineRule="exact"/>
              <w:jc w:val="right"/>
              <w:rPr>
                <w:sz w:val="18"/>
                <w:szCs w:val="18"/>
              </w:rPr>
            </w:pPr>
            <w:r w:rsidRPr="003A0909">
              <w:rPr>
                <w:sz w:val="18"/>
                <w:szCs w:val="18"/>
                <w:lang w:val="fr-FR"/>
              </w:rPr>
              <w:t>0,0 %</w:t>
            </w:r>
          </w:p>
        </w:tc>
      </w:tr>
      <w:tr w:rsidR="00114026" w:rsidRPr="003A0909" w14:paraId="4B010AF3" w14:textId="77777777" w:rsidTr="00114026">
        <w:tc>
          <w:tcPr>
            <w:tcW w:w="2268" w:type="dxa"/>
            <w:shd w:val="clear" w:color="auto" w:fill="auto"/>
            <w:hideMark/>
          </w:tcPr>
          <w:p w14:paraId="7D8FCA69" w14:textId="77777777" w:rsidR="00780206" w:rsidRPr="000E3B16" w:rsidRDefault="00780206" w:rsidP="003A0909">
            <w:pPr>
              <w:suppressAutoHyphens w:val="0"/>
              <w:spacing w:before="40" w:after="40" w:line="220" w:lineRule="exact"/>
              <w:rPr>
                <w:iCs/>
                <w:sz w:val="18"/>
                <w:szCs w:val="18"/>
              </w:rPr>
            </w:pPr>
            <w:r w:rsidRPr="000E3B16">
              <w:rPr>
                <w:iCs/>
                <w:sz w:val="18"/>
                <w:szCs w:val="18"/>
                <w:lang w:val="fr-FR"/>
              </w:rPr>
              <w:t>PIB nominal</w:t>
            </w:r>
          </w:p>
        </w:tc>
        <w:tc>
          <w:tcPr>
            <w:tcW w:w="992" w:type="dxa"/>
            <w:shd w:val="clear" w:color="auto" w:fill="auto"/>
            <w:noWrap/>
            <w:vAlign w:val="bottom"/>
            <w:hideMark/>
          </w:tcPr>
          <w:p w14:paraId="10551236"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1 350 053</w:t>
            </w:r>
          </w:p>
        </w:tc>
        <w:tc>
          <w:tcPr>
            <w:tcW w:w="768" w:type="dxa"/>
            <w:shd w:val="clear" w:color="auto" w:fill="auto"/>
            <w:noWrap/>
            <w:vAlign w:val="bottom"/>
            <w:hideMark/>
          </w:tcPr>
          <w:p w14:paraId="2AA86308"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3" w:type="dxa"/>
            <w:shd w:val="clear" w:color="auto" w:fill="auto"/>
            <w:noWrap/>
            <w:vAlign w:val="bottom"/>
            <w:hideMark/>
          </w:tcPr>
          <w:p w14:paraId="18EBF357"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1 395 305</w:t>
            </w:r>
          </w:p>
        </w:tc>
        <w:tc>
          <w:tcPr>
            <w:tcW w:w="760" w:type="dxa"/>
            <w:shd w:val="clear" w:color="auto" w:fill="auto"/>
            <w:noWrap/>
            <w:vAlign w:val="bottom"/>
            <w:hideMark/>
          </w:tcPr>
          <w:p w14:paraId="2EE30462"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shd w:val="clear" w:color="auto" w:fill="auto"/>
            <w:noWrap/>
            <w:vAlign w:val="bottom"/>
            <w:hideMark/>
          </w:tcPr>
          <w:p w14:paraId="562BEAC8"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1 434 307</w:t>
            </w:r>
          </w:p>
        </w:tc>
        <w:tc>
          <w:tcPr>
            <w:tcW w:w="700" w:type="dxa"/>
            <w:shd w:val="clear" w:color="auto" w:fill="auto"/>
            <w:noWrap/>
            <w:vAlign w:val="bottom"/>
            <w:hideMark/>
          </w:tcPr>
          <w:p w14:paraId="6DDAE9EC"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shd w:val="clear" w:color="auto" w:fill="auto"/>
            <w:noWrap/>
            <w:vAlign w:val="bottom"/>
            <w:hideMark/>
          </w:tcPr>
          <w:p w14:paraId="024CF8D3"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1 472 480</w:t>
            </w:r>
          </w:p>
        </w:tc>
        <w:tc>
          <w:tcPr>
            <w:tcW w:w="742" w:type="dxa"/>
            <w:shd w:val="clear" w:color="auto" w:fill="auto"/>
            <w:noWrap/>
            <w:vAlign w:val="bottom"/>
            <w:hideMark/>
          </w:tcPr>
          <w:p w14:paraId="5DF27451"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8" w:type="dxa"/>
            <w:shd w:val="clear" w:color="auto" w:fill="auto"/>
            <w:noWrap/>
            <w:vAlign w:val="bottom"/>
            <w:hideMark/>
          </w:tcPr>
          <w:p w14:paraId="39653413"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1 550 644</w:t>
            </w:r>
          </w:p>
        </w:tc>
        <w:tc>
          <w:tcPr>
            <w:tcW w:w="756" w:type="dxa"/>
            <w:shd w:val="clear" w:color="auto" w:fill="auto"/>
            <w:noWrap/>
            <w:vAlign w:val="bottom"/>
            <w:hideMark/>
          </w:tcPr>
          <w:p w14:paraId="7A8B95EA"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895" w:type="dxa"/>
            <w:shd w:val="clear" w:color="auto" w:fill="auto"/>
            <w:noWrap/>
            <w:vAlign w:val="bottom"/>
            <w:hideMark/>
          </w:tcPr>
          <w:p w14:paraId="58032A1E"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1 636 731</w:t>
            </w:r>
          </w:p>
        </w:tc>
        <w:tc>
          <w:tcPr>
            <w:tcW w:w="789" w:type="dxa"/>
            <w:shd w:val="clear" w:color="auto" w:fill="auto"/>
            <w:noWrap/>
            <w:vAlign w:val="bottom"/>
            <w:hideMark/>
          </w:tcPr>
          <w:p w14:paraId="0C73A156" w14:textId="77777777" w:rsidR="00780206" w:rsidRPr="00114026" w:rsidRDefault="00780206" w:rsidP="003A0909">
            <w:pPr>
              <w:suppressAutoHyphens w:val="0"/>
              <w:spacing w:before="40" w:after="40" w:line="220" w:lineRule="exact"/>
              <w:jc w:val="right"/>
              <w:rPr>
                <w:i/>
                <w:sz w:val="18"/>
                <w:szCs w:val="18"/>
              </w:rPr>
            </w:pPr>
            <w:r w:rsidRPr="00114026">
              <w:rPr>
                <w:i/>
                <w:sz w:val="18"/>
                <w:szCs w:val="18"/>
              </w:rPr>
              <w:t> </w:t>
            </w:r>
          </w:p>
        </w:tc>
      </w:tr>
      <w:tr w:rsidR="00114026" w:rsidRPr="003A0909" w14:paraId="561C338F" w14:textId="77777777" w:rsidTr="00114026">
        <w:tc>
          <w:tcPr>
            <w:tcW w:w="2268" w:type="dxa"/>
            <w:shd w:val="clear" w:color="auto" w:fill="auto"/>
          </w:tcPr>
          <w:p w14:paraId="721DAA8A" w14:textId="77777777" w:rsidR="00780206" w:rsidRPr="000E3B16" w:rsidRDefault="00780206" w:rsidP="003A0909">
            <w:pPr>
              <w:suppressAutoHyphens w:val="0"/>
              <w:spacing w:before="40" w:after="40" w:line="220" w:lineRule="exact"/>
              <w:rPr>
                <w:iCs/>
                <w:sz w:val="18"/>
                <w:szCs w:val="18"/>
              </w:rPr>
            </w:pPr>
            <w:r w:rsidRPr="000E3B16">
              <w:rPr>
                <w:iCs/>
                <w:sz w:val="18"/>
                <w:szCs w:val="18"/>
                <w:lang w:val="fr-FR"/>
              </w:rPr>
              <w:t>Santé (% des dépenses totales)</w:t>
            </w:r>
          </w:p>
        </w:tc>
        <w:tc>
          <w:tcPr>
            <w:tcW w:w="992" w:type="dxa"/>
            <w:shd w:val="clear" w:color="auto" w:fill="auto"/>
            <w:noWrap/>
            <w:vAlign w:val="bottom"/>
          </w:tcPr>
          <w:p w14:paraId="772476B3"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9,0 %</w:t>
            </w:r>
          </w:p>
        </w:tc>
        <w:tc>
          <w:tcPr>
            <w:tcW w:w="768" w:type="dxa"/>
            <w:shd w:val="clear" w:color="auto" w:fill="auto"/>
            <w:noWrap/>
            <w:vAlign w:val="bottom"/>
          </w:tcPr>
          <w:p w14:paraId="4CEAB9EC"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3" w:type="dxa"/>
            <w:shd w:val="clear" w:color="auto" w:fill="auto"/>
            <w:noWrap/>
            <w:vAlign w:val="bottom"/>
          </w:tcPr>
          <w:p w14:paraId="63EB672D"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9,5 %</w:t>
            </w:r>
          </w:p>
        </w:tc>
        <w:tc>
          <w:tcPr>
            <w:tcW w:w="760" w:type="dxa"/>
            <w:shd w:val="clear" w:color="auto" w:fill="auto"/>
            <w:noWrap/>
            <w:vAlign w:val="bottom"/>
          </w:tcPr>
          <w:p w14:paraId="58E21E62"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shd w:val="clear" w:color="auto" w:fill="auto"/>
            <w:noWrap/>
            <w:vAlign w:val="bottom"/>
          </w:tcPr>
          <w:p w14:paraId="75B48B29"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9,0 %</w:t>
            </w:r>
          </w:p>
        </w:tc>
        <w:tc>
          <w:tcPr>
            <w:tcW w:w="700" w:type="dxa"/>
            <w:shd w:val="clear" w:color="auto" w:fill="auto"/>
            <w:noWrap/>
            <w:vAlign w:val="bottom"/>
          </w:tcPr>
          <w:p w14:paraId="2A4BA3E0"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shd w:val="clear" w:color="auto" w:fill="auto"/>
            <w:noWrap/>
            <w:vAlign w:val="bottom"/>
          </w:tcPr>
          <w:p w14:paraId="32DA8525"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9,6 %</w:t>
            </w:r>
          </w:p>
        </w:tc>
        <w:tc>
          <w:tcPr>
            <w:tcW w:w="742" w:type="dxa"/>
            <w:shd w:val="clear" w:color="auto" w:fill="auto"/>
            <w:noWrap/>
            <w:vAlign w:val="bottom"/>
          </w:tcPr>
          <w:p w14:paraId="04329BD6"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8" w:type="dxa"/>
            <w:shd w:val="clear" w:color="auto" w:fill="auto"/>
            <w:noWrap/>
            <w:vAlign w:val="bottom"/>
          </w:tcPr>
          <w:p w14:paraId="2491077B"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9,8 %</w:t>
            </w:r>
          </w:p>
        </w:tc>
        <w:tc>
          <w:tcPr>
            <w:tcW w:w="756" w:type="dxa"/>
            <w:shd w:val="clear" w:color="auto" w:fill="auto"/>
            <w:noWrap/>
            <w:vAlign w:val="bottom"/>
          </w:tcPr>
          <w:p w14:paraId="6AD8D000"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895" w:type="dxa"/>
            <w:shd w:val="clear" w:color="auto" w:fill="auto"/>
            <w:noWrap/>
            <w:vAlign w:val="bottom"/>
          </w:tcPr>
          <w:p w14:paraId="1AB0736F"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10,3 %</w:t>
            </w:r>
          </w:p>
        </w:tc>
        <w:tc>
          <w:tcPr>
            <w:tcW w:w="789" w:type="dxa"/>
            <w:shd w:val="clear" w:color="auto" w:fill="auto"/>
            <w:noWrap/>
            <w:vAlign w:val="bottom"/>
          </w:tcPr>
          <w:p w14:paraId="7E491E4C" w14:textId="77777777" w:rsidR="00780206" w:rsidRPr="00114026" w:rsidRDefault="00780206" w:rsidP="003A0909">
            <w:pPr>
              <w:suppressAutoHyphens w:val="0"/>
              <w:spacing w:before="40" w:after="40" w:line="220" w:lineRule="exact"/>
              <w:jc w:val="right"/>
              <w:rPr>
                <w:i/>
                <w:sz w:val="18"/>
                <w:szCs w:val="18"/>
              </w:rPr>
            </w:pPr>
            <w:r w:rsidRPr="00114026">
              <w:rPr>
                <w:i/>
                <w:sz w:val="18"/>
                <w:szCs w:val="18"/>
              </w:rPr>
              <w:t> </w:t>
            </w:r>
          </w:p>
        </w:tc>
      </w:tr>
      <w:tr w:rsidR="00114026" w:rsidRPr="003A0909" w14:paraId="19F2CD5B" w14:textId="77777777" w:rsidTr="00114026">
        <w:tc>
          <w:tcPr>
            <w:tcW w:w="2268" w:type="dxa"/>
            <w:shd w:val="clear" w:color="auto" w:fill="auto"/>
          </w:tcPr>
          <w:p w14:paraId="12F2C8CC" w14:textId="77777777" w:rsidR="00780206" w:rsidRPr="000E3B16" w:rsidRDefault="00780206" w:rsidP="003A0909">
            <w:pPr>
              <w:suppressAutoHyphens w:val="0"/>
              <w:spacing w:before="40" w:after="40" w:line="220" w:lineRule="exact"/>
              <w:rPr>
                <w:iCs/>
                <w:sz w:val="18"/>
                <w:szCs w:val="18"/>
              </w:rPr>
            </w:pPr>
            <w:r w:rsidRPr="000E3B16">
              <w:rPr>
                <w:iCs/>
                <w:sz w:val="18"/>
                <w:szCs w:val="18"/>
                <w:lang w:val="fr-FR"/>
              </w:rPr>
              <w:t>Éducation (% des dépenses totales)</w:t>
            </w:r>
          </w:p>
        </w:tc>
        <w:tc>
          <w:tcPr>
            <w:tcW w:w="992" w:type="dxa"/>
            <w:shd w:val="clear" w:color="auto" w:fill="auto"/>
            <w:noWrap/>
            <w:vAlign w:val="bottom"/>
          </w:tcPr>
          <w:p w14:paraId="070DF768"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11,2 %</w:t>
            </w:r>
          </w:p>
        </w:tc>
        <w:tc>
          <w:tcPr>
            <w:tcW w:w="768" w:type="dxa"/>
            <w:shd w:val="clear" w:color="auto" w:fill="auto"/>
            <w:noWrap/>
            <w:vAlign w:val="bottom"/>
          </w:tcPr>
          <w:p w14:paraId="3DD8F439"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3" w:type="dxa"/>
            <w:shd w:val="clear" w:color="auto" w:fill="auto"/>
            <w:noWrap/>
            <w:vAlign w:val="bottom"/>
          </w:tcPr>
          <w:p w14:paraId="471E0553"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10,5 %</w:t>
            </w:r>
          </w:p>
        </w:tc>
        <w:tc>
          <w:tcPr>
            <w:tcW w:w="760" w:type="dxa"/>
            <w:shd w:val="clear" w:color="auto" w:fill="auto"/>
            <w:noWrap/>
            <w:vAlign w:val="bottom"/>
          </w:tcPr>
          <w:p w14:paraId="65BF1A17"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shd w:val="clear" w:color="auto" w:fill="auto"/>
            <w:noWrap/>
            <w:vAlign w:val="bottom"/>
          </w:tcPr>
          <w:p w14:paraId="6F58D57F"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10,2 %</w:t>
            </w:r>
          </w:p>
        </w:tc>
        <w:tc>
          <w:tcPr>
            <w:tcW w:w="700" w:type="dxa"/>
            <w:shd w:val="clear" w:color="auto" w:fill="auto"/>
            <w:noWrap/>
            <w:vAlign w:val="bottom"/>
          </w:tcPr>
          <w:p w14:paraId="3E034D9E"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shd w:val="clear" w:color="auto" w:fill="auto"/>
            <w:noWrap/>
            <w:vAlign w:val="bottom"/>
          </w:tcPr>
          <w:p w14:paraId="1FC57035"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10,6 %</w:t>
            </w:r>
          </w:p>
        </w:tc>
        <w:tc>
          <w:tcPr>
            <w:tcW w:w="742" w:type="dxa"/>
            <w:shd w:val="clear" w:color="auto" w:fill="auto"/>
            <w:noWrap/>
            <w:vAlign w:val="bottom"/>
          </w:tcPr>
          <w:p w14:paraId="746E5181"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8" w:type="dxa"/>
            <w:shd w:val="clear" w:color="auto" w:fill="auto"/>
            <w:noWrap/>
            <w:vAlign w:val="bottom"/>
          </w:tcPr>
          <w:p w14:paraId="4739C12B"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10,4 %</w:t>
            </w:r>
          </w:p>
        </w:tc>
        <w:tc>
          <w:tcPr>
            <w:tcW w:w="756" w:type="dxa"/>
            <w:shd w:val="clear" w:color="auto" w:fill="auto"/>
            <w:noWrap/>
            <w:vAlign w:val="bottom"/>
          </w:tcPr>
          <w:p w14:paraId="0DB4597A"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895" w:type="dxa"/>
            <w:shd w:val="clear" w:color="auto" w:fill="auto"/>
            <w:noWrap/>
            <w:vAlign w:val="bottom"/>
          </w:tcPr>
          <w:p w14:paraId="5AD96267"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10,8 %</w:t>
            </w:r>
          </w:p>
        </w:tc>
        <w:tc>
          <w:tcPr>
            <w:tcW w:w="789" w:type="dxa"/>
            <w:shd w:val="clear" w:color="auto" w:fill="auto"/>
            <w:noWrap/>
            <w:vAlign w:val="bottom"/>
          </w:tcPr>
          <w:p w14:paraId="60A0F563" w14:textId="77777777" w:rsidR="00780206" w:rsidRPr="00114026" w:rsidRDefault="00780206" w:rsidP="003A0909">
            <w:pPr>
              <w:suppressAutoHyphens w:val="0"/>
              <w:spacing w:before="40" w:after="40" w:line="220" w:lineRule="exact"/>
              <w:jc w:val="right"/>
              <w:rPr>
                <w:i/>
                <w:sz w:val="18"/>
                <w:szCs w:val="18"/>
              </w:rPr>
            </w:pPr>
            <w:r w:rsidRPr="00114026">
              <w:rPr>
                <w:i/>
                <w:sz w:val="18"/>
                <w:szCs w:val="18"/>
              </w:rPr>
              <w:t> </w:t>
            </w:r>
          </w:p>
        </w:tc>
      </w:tr>
      <w:tr w:rsidR="00114026" w:rsidRPr="003A0909" w14:paraId="32B3166B" w14:textId="77777777" w:rsidTr="00114026">
        <w:tc>
          <w:tcPr>
            <w:tcW w:w="2268" w:type="dxa"/>
            <w:tcBorders>
              <w:bottom w:val="single" w:sz="12" w:space="0" w:color="auto"/>
            </w:tcBorders>
            <w:shd w:val="clear" w:color="auto" w:fill="auto"/>
          </w:tcPr>
          <w:p w14:paraId="12BCCF3D" w14:textId="77777777" w:rsidR="00780206" w:rsidRPr="000E3B16" w:rsidRDefault="00780206" w:rsidP="003A0909">
            <w:pPr>
              <w:suppressAutoHyphens w:val="0"/>
              <w:spacing w:before="40" w:after="40" w:line="220" w:lineRule="exact"/>
              <w:rPr>
                <w:iCs/>
                <w:sz w:val="18"/>
                <w:szCs w:val="18"/>
                <w:lang w:val="fr-FR"/>
              </w:rPr>
            </w:pPr>
            <w:r w:rsidRPr="000E3B16">
              <w:rPr>
                <w:iCs/>
                <w:sz w:val="18"/>
                <w:szCs w:val="18"/>
                <w:lang w:val="fr-FR"/>
              </w:rPr>
              <w:t>Protection sociale (% des dépenses totales)</w:t>
            </w:r>
          </w:p>
        </w:tc>
        <w:tc>
          <w:tcPr>
            <w:tcW w:w="992" w:type="dxa"/>
            <w:tcBorders>
              <w:bottom w:val="single" w:sz="12" w:space="0" w:color="auto"/>
            </w:tcBorders>
            <w:shd w:val="clear" w:color="auto" w:fill="auto"/>
            <w:noWrap/>
            <w:vAlign w:val="bottom"/>
          </w:tcPr>
          <w:p w14:paraId="70670CF5"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31,2 %</w:t>
            </w:r>
          </w:p>
        </w:tc>
        <w:tc>
          <w:tcPr>
            <w:tcW w:w="768" w:type="dxa"/>
            <w:tcBorders>
              <w:bottom w:val="single" w:sz="12" w:space="0" w:color="auto"/>
            </w:tcBorders>
            <w:shd w:val="clear" w:color="auto" w:fill="auto"/>
            <w:noWrap/>
            <w:vAlign w:val="bottom"/>
          </w:tcPr>
          <w:p w14:paraId="3C68FCE1"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3" w:type="dxa"/>
            <w:tcBorders>
              <w:bottom w:val="single" w:sz="12" w:space="0" w:color="auto"/>
            </w:tcBorders>
            <w:shd w:val="clear" w:color="auto" w:fill="auto"/>
            <w:noWrap/>
            <w:vAlign w:val="bottom"/>
          </w:tcPr>
          <w:p w14:paraId="22BA108B"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29,9 %</w:t>
            </w:r>
          </w:p>
        </w:tc>
        <w:tc>
          <w:tcPr>
            <w:tcW w:w="760" w:type="dxa"/>
            <w:tcBorders>
              <w:bottom w:val="single" w:sz="12" w:space="0" w:color="auto"/>
            </w:tcBorders>
            <w:shd w:val="clear" w:color="auto" w:fill="auto"/>
            <w:noWrap/>
            <w:vAlign w:val="bottom"/>
          </w:tcPr>
          <w:p w14:paraId="57195EF0"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tcBorders>
              <w:bottom w:val="single" w:sz="12" w:space="0" w:color="auto"/>
            </w:tcBorders>
            <w:shd w:val="clear" w:color="auto" w:fill="auto"/>
            <w:noWrap/>
            <w:vAlign w:val="bottom"/>
          </w:tcPr>
          <w:p w14:paraId="035C111B"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30,1 %</w:t>
            </w:r>
          </w:p>
        </w:tc>
        <w:tc>
          <w:tcPr>
            <w:tcW w:w="700" w:type="dxa"/>
            <w:tcBorders>
              <w:bottom w:val="single" w:sz="12" w:space="0" w:color="auto"/>
            </w:tcBorders>
            <w:shd w:val="clear" w:color="auto" w:fill="auto"/>
            <w:noWrap/>
            <w:vAlign w:val="bottom"/>
          </w:tcPr>
          <w:p w14:paraId="7E08EC35"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10" w:type="dxa"/>
            <w:tcBorders>
              <w:bottom w:val="single" w:sz="12" w:space="0" w:color="auto"/>
            </w:tcBorders>
            <w:shd w:val="clear" w:color="auto" w:fill="auto"/>
            <w:noWrap/>
            <w:vAlign w:val="bottom"/>
          </w:tcPr>
          <w:p w14:paraId="375A9E52"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32,1 %</w:t>
            </w:r>
          </w:p>
        </w:tc>
        <w:tc>
          <w:tcPr>
            <w:tcW w:w="742" w:type="dxa"/>
            <w:tcBorders>
              <w:bottom w:val="single" w:sz="12" w:space="0" w:color="auto"/>
            </w:tcBorders>
            <w:shd w:val="clear" w:color="auto" w:fill="auto"/>
            <w:noWrap/>
            <w:vAlign w:val="bottom"/>
          </w:tcPr>
          <w:p w14:paraId="2A788D60"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938" w:type="dxa"/>
            <w:tcBorders>
              <w:bottom w:val="single" w:sz="12" w:space="0" w:color="auto"/>
            </w:tcBorders>
            <w:shd w:val="clear" w:color="auto" w:fill="auto"/>
            <w:noWrap/>
            <w:vAlign w:val="bottom"/>
          </w:tcPr>
          <w:p w14:paraId="6DD470B1"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31,2 %</w:t>
            </w:r>
          </w:p>
        </w:tc>
        <w:tc>
          <w:tcPr>
            <w:tcW w:w="756" w:type="dxa"/>
            <w:tcBorders>
              <w:bottom w:val="single" w:sz="12" w:space="0" w:color="auto"/>
            </w:tcBorders>
            <w:shd w:val="clear" w:color="auto" w:fill="auto"/>
            <w:noWrap/>
            <w:vAlign w:val="bottom"/>
          </w:tcPr>
          <w:p w14:paraId="09F427D2"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rPr>
              <w:t> </w:t>
            </w:r>
          </w:p>
        </w:tc>
        <w:tc>
          <w:tcPr>
            <w:tcW w:w="895" w:type="dxa"/>
            <w:tcBorders>
              <w:bottom w:val="single" w:sz="12" w:space="0" w:color="auto"/>
            </w:tcBorders>
            <w:shd w:val="clear" w:color="auto" w:fill="auto"/>
            <w:noWrap/>
            <w:vAlign w:val="bottom"/>
          </w:tcPr>
          <w:p w14:paraId="76A85DF4" w14:textId="77777777" w:rsidR="00780206" w:rsidRPr="000F67BF" w:rsidRDefault="00780206" w:rsidP="003A0909">
            <w:pPr>
              <w:suppressAutoHyphens w:val="0"/>
              <w:spacing w:before="40" w:after="40" w:line="220" w:lineRule="exact"/>
              <w:jc w:val="right"/>
              <w:rPr>
                <w:iCs/>
                <w:sz w:val="18"/>
                <w:szCs w:val="18"/>
              </w:rPr>
            </w:pPr>
            <w:r w:rsidRPr="000F67BF">
              <w:rPr>
                <w:iCs/>
                <w:sz w:val="18"/>
                <w:szCs w:val="18"/>
                <w:lang w:val="fr-FR"/>
              </w:rPr>
              <w:t>31,7 %</w:t>
            </w:r>
          </w:p>
        </w:tc>
        <w:tc>
          <w:tcPr>
            <w:tcW w:w="789" w:type="dxa"/>
            <w:tcBorders>
              <w:bottom w:val="single" w:sz="12" w:space="0" w:color="auto"/>
            </w:tcBorders>
            <w:shd w:val="clear" w:color="auto" w:fill="auto"/>
            <w:noWrap/>
            <w:vAlign w:val="bottom"/>
          </w:tcPr>
          <w:p w14:paraId="34296276" w14:textId="77777777" w:rsidR="00780206" w:rsidRPr="00114026" w:rsidRDefault="00780206" w:rsidP="003A0909">
            <w:pPr>
              <w:suppressAutoHyphens w:val="0"/>
              <w:spacing w:before="40" w:after="40" w:line="220" w:lineRule="exact"/>
              <w:jc w:val="right"/>
              <w:rPr>
                <w:i/>
                <w:sz w:val="18"/>
                <w:szCs w:val="18"/>
              </w:rPr>
            </w:pPr>
            <w:r w:rsidRPr="00114026">
              <w:rPr>
                <w:i/>
                <w:sz w:val="18"/>
                <w:szCs w:val="18"/>
              </w:rPr>
              <w:t> </w:t>
            </w:r>
          </w:p>
        </w:tc>
      </w:tr>
    </w:tbl>
    <w:p w14:paraId="1B6FE0A3" w14:textId="77777777" w:rsidR="00780206" w:rsidRDefault="00780206" w:rsidP="006656AF">
      <w:pPr>
        <w:tabs>
          <w:tab w:val="left" w:pos="567"/>
        </w:tabs>
        <w:suppressAutoHyphens w:val="0"/>
        <w:spacing w:after="200" w:line="276" w:lineRule="auto"/>
        <w:rPr>
          <w:rFonts w:eastAsia="SimSun"/>
          <w:lang w:val="en-US" w:eastAsia="zh-CN"/>
        </w:rPr>
      </w:pPr>
      <w:r>
        <w:rPr>
          <w:lang w:val="en-US"/>
        </w:rPr>
        <w:br w:type="page"/>
      </w:r>
    </w:p>
    <w:p w14:paraId="2E0997EB" w14:textId="06C2A38E" w:rsidR="00780206" w:rsidRPr="005C3471" w:rsidRDefault="00780206" w:rsidP="00114026">
      <w:pPr>
        <w:pStyle w:val="H23G"/>
      </w:pPr>
      <w:r>
        <w:rPr>
          <w:lang w:val="fr-FR"/>
        </w:rPr>
        <w:lastRenderedPageBreak/>
        <w:tab/>
        <w:t>Suite (de 2019 à 2023)</w:t>
      </w:r>
    </w:p>
    <w:tbl>
      <w:tblPr>
        <w:tblW w:w="12361"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1"/>
        <w:gridCol w:w="1064"/>
        <w:gridCol w:w="910"/>
        <w:gridCol w:w="1064"/>
        <w:gridCol w:w="1091"/>
        <w:gridCol w:w="988"/>
        <w:gridCol w:w="1070"/>
        <w:gridCol w:w="1078"/>
        <w:gridCol w:w="1036"/>
        <w:gridCol w:w="1081"/>
        <w:gridCol w:w="1008"/>
      </w:tblGrid>
      <w:tr w:rsidR="007F326F" w:rsidRPr="006927FC" w14:paraId="1FEE2072" w14:textId="77777777" w:rsidTr="007F326F">
        <w:trPr>
          <w:tblHeader/>
        </w:trPr>
        <w:tc>
          <w:tcPr>
            <w:tcW w:w="1971" w:type="dxa"/>
            <w:tcBorders>
              <w:top w:val="single" w:sz="4" w:space="0" w:color="auto"/>
              <w:bottom w:val="single" w:sz="12" w:space="0" w:color="auto"/>
            </w:tcBorders>
            <w:shd w:val="clear" w:color="auto" w:fill="auto"/>
            <w:vAlign w:val="bottom"/>
          </w:tcPr>
          <w:p w14:paraId="4115EFE2" w14:textId="77777777" w:rsidR="00780206" w:rsidRPr="006927FC" w:rsidRDefault="00780206" w:rsidP="00114026">
            <w:pPr>
              <w:tabs>
                <w:tab w:val="left" w:pos="567"/>
              </w:tabs>
              <w:suppressAutoHyphens w:val="0"/>
              <w:spacing w:before="80" w:after="80" w:line="200" w:lineRule="exact"/>
              <w:rPr>
                <w:i/>
                <w:sz w:val="16"/>
                <w:szCs w:val="16"/>
              </w:rPr>
            </w:pPr>
          </w:p>
        </w:tc>
        <w:tc>
          <w:tcPr>
            <w:tcW w:w="1064" w:type="dxa"/>
            <w:tcBorders>
              <w:top w:val="single" w:sz="4" w:space="0" w:color="auto"/>
              <w:bottom w:val="single" w:sz="12" w:space="0" w:color="auto"/>
            </w:tcBorders>
            <w:shd w:val="clear" w:color="auto" w:fill="auto"/>
            <w:vAlign w:val="bottom"/>
            <w:hideMark/>
          </w:tcPr>
          <w:p w14:paraId="01A07EF5"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Budget réel 2019</w:t>
            </w:r>
          </w:p>
        </w:tc>
        <w:tc>
          <w:tcPr>
            <w:tcW w:w="910" w:type="dxa"/>
            <w:tcBorders>
              <w:top w:val="single" w:sz="4" w:space="0" w:color="auto"/>
              <w:bottom w:val="single" w:sz="12" w:space="0" w:color="auto"/>
            </w:tcBorders>
            <w:shd w:val="clear" w:color="auto" w:fill="auto"/>
            <w:vAlign w:val="bottom"/>
            <w:hideMark/>
          </w:tcPr>
          <w:p w14:paraId="053325EB"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 du PIB</w:t>
            </w:r>
          </w:p>
        </w:tc>
        <w:tc>
          <w:tcPr>
            <w:tcW w:w="1064" w:type="dxa"/>
            <w:tcBorders>
              <w:top w:val="single" w:sz="4" w:space="0" w:color="auto"/>
              <w:bottom w:val="single" w:sz="12" w:space="0" w:color="auto"/>
            </w:tcBorders>
            <w:shd w:val="clear" w:color="auto" w:fill="auto"/>
            <w:vAlign w:val="bottom"/>
            <w:hideMark/>
          </w:tcPr>
          <w:p w14:paraId="16426298"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Budget réel 2020</w:t>
            </w:r>
          </w:p>
        </w:tc>
        <w:tc>
          <w:tcPr>
            <w:tcW w:w="1091" w:type="dxa"/>
            <w:tcBorders>
              <w:top w:val="single" w:sz="4" w:space="0" w:color="auto"/>
              <w:bottom w:val="single" w:sz="12" w:space="0" w:color="auto"/>
            </w:tcBorders>
            <w:shd w:val="clear" w:color="auto" w:fill="auto"/>
            <w:vAlign w:val="bottom"/>
            <w:hideMark/>
          </w:tcPr>
          <w:p w14:paraId="0BCD255D"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 du PIB</w:t>
            </w:r>
          </w:p>
        </w:tc>
        <w:tc>
          <w:tcPr>
            <w:tcW w:w="988" w:type="dxa"/>
            <w:tcBorders>
              <w:top w:val="single" w:sz="4" w:space="0" w:color="auto"/>
              <w:bottom w:val="single" w:sz="12" w:space="0" w:color="auto"/>
            </w:tcBorders>
            <w:shd w:val="clear" w:color="auto" w:fill="auto"/>
            <w:vAlign w:val="bottom"/>
            <w:hideMark/>
          </w:tcPr>
          <w:p w14:paraId="581F2793"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Budget réel 2021</w:t>
            </w:r>
          </w:p>
        </w:tc>
        <w:tc>
          <w:tcPr>
            <w:tcW w:w="1070" w:type="dxa"/>
            <w:tcBorders>
              <w:top w:val="single" w:sz="4" w:space="0" w:color="auto"/>
              <w:bottom w:val="single" w:sz="12" w:space="0" w:color="auto"/>
            </w:tcBorders>
            <w:shd w:val="clear" w:color="auto" w:fill="auto"/>
            <w:vAlign w:val="bottom"/>
            <w:hideMark/>
          </w:tcPr>
          <w:p w14:paraId="3E3E06AE"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 du PIB</w:t>
            </w:r>
          </w:p>
        </w:tc>
        <w:tc>
          <w:tcPr>
            <w:tcW w:w="1078" w:type="dxa"/>
            <w:tcBorders>
              <w:top w:val="single" w:sz="4" w:space="0" w:color="auto"/>
              <w:bottom w:val="single" w:sz="12" w:space="0" w:color="auto"/>
            </w:tcBorders>
            <w:shd w:val="clear" w:color="auto" w:fill="auto"/>
            <w:vAlign w:val="bottom"/>
            <w:hideMark/>
          </w:tcPr>
          <w:p w14:paraId="6C9309D0"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Budget réel 2022</w:t>
            </w:r>
          </w:p>
        </w:tc>
        <w:tc>
          <w:tcPr>
            <w:tcW w:w="1036" w:type="dxa"/>
            <w:tcBorders>
              <w:top w:val="single" w:sz="4" w:space="0" w:color="auto"/>
              <w:bottom w:val="single" w:sz="12" w:space="0" w:color="auto"/>
            </w:tcBorders>
            <w:shd w:val="clear" w:color="auto" w:fill="auto"/>
            <w:vAlign w:val="bottom"/>
            <w:hideMark/>
          </w:tcPr>
          <w:p w14:paraId="5FEC7123"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 du PIB</w:t>
            </w:r>
          </w:p>
        </w:tc>
        <w:tc>
          <w:tcPr>
            <w:tcW w:w="1081" w:type="dxa"/>
            <w:tcBorders>
              <w:top w:val="single" w:sz="4" w:space="0" w:color="auto"/>
              <w:bottom w:val="single" w:sz="12" w:space="0" w:color="auto"/>
            </w:tcBorders>
            <w:shd w:val="clear" w:color="auto" w:fill="auto"/>
            <w:vAlign w:val="bottom"/>
            <w:hideMark/>
          </w:tcPr>
          <w:p w14:paraId="0CBD403B"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Budget 2023</w:t>
            </w:r>
          </w:p>
        </w:tc>
        <w:tc>
          <w:tcPr>
            <w:tcW w:w="1008" w:type="dxa"/>
            <w:tcBorders>
              <w:top w:val="single" w:sz="4" w:space="0" w:color="auto"/>
              <w:bottom w:val="single" w:sz="12" w:space="0" w:color="auto"/>
            </w:tcBorders>
            <w:shd w:val="clear" w:color="auto" w:fill="auto"/>
            <w:vAlign w:val="bottom"/>
            <w:hideMark/>
          </w:tcPr>
          <w:p w14:paraId="5355DC38" w14:textId="77777777" w:rsidR="00780206" w:rsidRPr="006927FC" w:rsidRDefault="00780206" w:rsidP="00114026">
            <w:pPr>
              <w:tabs>
                <w:tab w:val="left" w:pos="567"/>
              </w:tabs>
              <w:suppressAutoHyphens w:val="0"/>
              <w:spacing w:before="80" w:after="80" w:line="200" w:lineRule="exact"/>
              <w:jc w:val="right"/>
              <w:rPr>
                <w:i/>
                <w:sz w:val="16"/>
                <w:szCs w:val="16"/>
              </w:rPr>
            </w:pPr>
            <w:r w:rsidRPr="006927FC">
              <w:rPr>
                <w:i/>
                <w:iCs/>
                <w:sz w:val="16"/>
                <w:szCs w:val="16"/>
                <w:lang w:val="fr-FR"/>
              </w:rPr>
              <w:t>% du PIB</w:t>
            </w:r>
          </w:p>
        </w:tc>
      </w:tr>
      <w:tr w:rsidR="007F326F" w:rsidRPr="006927FC" w14:paraId="0DA1E7A3" w14:textId="77777777" w:rsidTr="007F326F">
        <w:tc>
          <w:tcPr>
            <w:tcW w:w="1971" w:type="dxa"/>
            <w:tcBorders>
              <w:top w:val="single" w:sz="12" w:space="0" w:color="auto"/>
              <w:bottom w:val="single" w:sz="4" w:space="0" w:color="auto"/>
            </w:tcBorders>
            <w:shd w:val="clear" w:color="auto" w:fill="auto"/>
          </w:tcPr>
          <w:p w14:paraId="0D5F6F90" w14:textId="77777777" w:rsidR="00780206" w:rsidRPr="006927FC" w:rsidRDefault="00780206" w:rsidP="00114026">
            <w:pPr>
              <w:tabs>
                <w:tab w:val="left" w:pos="567"/>
              </w:tabs>
              <w:suppressAutoHyphens w:val="0"/>
              <w:spacing w:before="80" w:after="80" w:line="220" w:lineRule="exact"/>
              <w:jc w:val="center"/>
              <w:rPr>
                <w:b/>
                <w:sz w:val="18"/>
                <w:szCs w:val="18"/>
              </w:rPr>
            </w:pPr>
            <w:r w:rsidRPr="006927FC">
              <w:rPr>
                <w:b/>
                <w:bCs/>
                <w:sz w:val="18"/>
                <w:szCs w:val="18"/>
                <w:lang w:val="fr-FR"/>
              </w:rPr>
              <w:t>Total</w:t>
            </w:r>
          </w:p>
        </w:tc>
        <w:tc>
          <w:tcPr>
            <w:tcW w:w="1064" w:type="dxa"/>
            <w:tcBorders>
              <w:top w:val="single" w:sz="12" w:space="0" w:color="auto"/>
              <w:bottom w:val="single" w:sz="4" w:space="0" w:color="auto"/>
            </w:tcBorders>
            <w:shd w:val="clear" w:color="auto" w:fill="auto"/>
            <w:noWrap/>
            <w:vAlign w:val="bottom"/>
            <w:hideMark/>
          </w:tcPr>
          <w:p w14:paraId="214798FE"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491 897</w:t>
            </w:r>
          </w:p>
        </w:tc>
        <w:tc>
          <w:tcPr>
            <w:tcW w:w="910" w:type="dxa"/>
            <w:tcBorders>
              <w:top w:val="single" w:sz="12" w:space="0" w:color="auto"/>
              <w:bottom w:val="single" w:sz="4" w:space="0" w:color="auto"/>
            </w:tcBorders>
            <w:shd w:val="clear" w:color="auto" w:fill="auto"/>
            <w:noWrap/>
            <w:vAlign w:val="bottom"/>
            <w:hideMark/>
          </w:tcPr>
          <w:p w14:paraId="52C50C28"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29,1</w:t>
            </w:r>
            <w:r>
              <w:rPr>
                <w:b/>
                <w:bCs/>
                <w:sz w:val="18"/>
                <w:szCs w:val="18"/>
                <w:lang w:val="fr-FR"/>
              </w:rPr>
              <w:t> </w:t>
            </w:r>
            <w:r w:rsidRPr="006927FC">
              <w:rPr>
                <w:b/>
                <w:bCs/>
                <w:sz w:val="18"/>
                <w:szCs w:val="18"/>
                <w:lang w:val="fr-FR"/>
              </w:rPr>
              <w:t>%</w:t>
            </w:r>
          </w:p>
        </w:tc>
        <w:tc>
          <w:tcPr>
            <w:tcW w:w="1064" w:type="dxa"/>
            <w:tcBorders>
              <w:top w:val="single" w:sz="12" w:space="0" w:color="auto"/>
              <w:bottom w:val="single" w:sz="4" w:space="0" w:color="auto"/>
            </w:tcBorders>
            <w:shd w:val="clear" w:color="auto" w:fill="auto"/>
            <w:noWrap/>
            <w:vAlign w:val="bottom"/>
            <w:hideMark/>
          </w:tcPr>
          <w:p w14:paraId="6C704A19"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536 278</w:t>
            </w:r>
          </w:p>
        </w:tc>
        <w:tc>
          <w:tcPr>
            <w:tcW w:w="1091" w:type="dxa"/>
            <w:tcBorders>
              <w:top w:val="single" w:sz="12" w:space="0" w:color="auto"/>
              <w:bottom w:val="single" w:sz="4" w:space="0" w:color="auto"/>
            </w:tcBorders>
            <w:shd w:val="clear" w:color="auto" w:fill="auto"/>
            <w:noWrap/>
            <w:vAlign w:val="bottom"/>
            <w:hideMark/>
          </w:tcPr>
          <w:p w14:paraId="2AD78CAE"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32,6</w:t>
            </w:r>
            <w:r>
              <w:rPr>
                <w:b/>
                <w:bCs/>
                <w:sz w:val="18"/>
                <w:szCs w:val="18"/>
                <w:lang w:val="fr-FR"/>
              </w:rPr>
              <w:t> </w:t>
            </w:r>
            <w:r w:rsidRPr="006927FC">
              <w:rPr>
                <w:b/>
                <w:bCs/>
                <w:sz w:val="18"/>
                <w:szCs w:val="18"/>
                <w:lang w:val="fr-FR"/>
              </w:rPr>
              <w:t>%</w:t>
            </w:r>
          </w:p>
        </w:tc>
        <w:tc>
          <w:tcPr>
            <w:tcW w:w="988" w:type="dxa"/>
            <w:tcBorders>
              <w:top w:val="single" w:sz="12" w:space="0" w:color="auto"/>
              <w:bottom w:val="single" w:sz="4" w:space="0" w:color="auto"/>
            </w:tcBorders>
            <w:shd w:val="clear" w:color="auto" w:fill="auto"/>
            <w:noWrap/>
            <w:vAlign w:val="bottom"/>
            <w:hideMark/>
          </w:tcPr>
          <w:p w14:paraId="2A3CC2C2"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595 969</w:t>
            </w:r>
          </w:p>
        </w:tc>
        <w:tc>
          <w:tcPr>
            <w:tcW w:w="1070" w:type="dxa"/>
            <w:tcBorders>
              <w:top w:val="single" w:sz="12" w:space="0" w:color="auto"/>
              <w:bottom w:val="single" w:sz="4" w:space="0" w:color="auto"/>
            </w:tcBorders>
            <w:shd w:val="clear" w:color="auto" w:fill="auto"/>
            <w:noWrap/>
            <w:vAlign w:val="bottom"/>
            <w:hideMark/>
          </w:tcPr>
          <w:p w14:paraId="78085441"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32,1</w:t>
            </w:r>
            <w:r>
              <w:rPr>
                <w:b/>
                <w:bCs/>
                <w:sz w:val="18"/>
                <w:szCs w:val="18"/>
                <w:lang w:val="fr-FR"/>
              </w:rPr>
              <w:t> </w:t>
            </w:r>
            <w:r w:rsidRPr="006927FC">
              <w:rPr>
                <w:b/>
                <w:bCs/>
                <w:sz w:val="18"/>
                <w:szCs w:val="18"/>
                <w:lang w:val="fr-FR"/>
              </w:rPr>
              <w:t>%</w:t>
            </w:r>
          </w:p>
        </w:tc>
        <w:tc>
          <w:tcPr>
            <w:tcW w:w="1078" w:type="dxa"/>
            <w:tcBorders>
              <w:top w:val="single" w:sz="12" w:space="0" w:color="auto"/>
              <w:bottom w:val="single" w:sz="4" w:space="0" w:color="auto"/>
            </w:tcBorders>
            <w:shd w:val="clear" w:color="auto" w:fill="auto"/>
            <w:noWrap/>
            <w:vAlign w:val="bottom"/>
            <w:hideMark/>
          </w:tcPr>
          <w:p w14:paraId="72954243"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651 015</w:t>
            </w:r>
          </w:p>
        </w:tc>
        <w:tc>
          <w:tcPr>
            <w:tcW w:w="1036" w:type="dxa"/>
            <w:tcBorders>
              <w:top w:val="single" w:sz="12" w:space="0" w:color="auto"/>
              <w:bottom w:val="single" w:sz="4" w:space="0" w:color="auto"/>
            </w:tcBorders>
            <w:shd w:val="clear" w:color="auto" w:fill="auto"/>
            <w:noWrap/>
            <w:vAlign w:val="bottom"/>
            <w:hideMark/>
          </w:tcPr>
          <w:p w14:paraId="631BFFE5"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30,4</w:t>
            </w:r>
            <w:r>
              <w:rPr>
                <w:b/>
                <w:bCs/>
                <w:sz w:val="18"/>
                <w:szCs w:val="18"/>
                <w:lang w:val="fr-FR"/>
              </w:rPr>
              <w:t> </w:t>
            </w:r>
            <w:r w:rsidRPr="006927FC">
              <w:rPr>
                <w:b/>
                <w:bCs/>
                <w:sz w:val="18"/>
                <w:szCs w:val="18"/>
                <w:lang w:val="fr-FR"/>
              </w:rPr>
              <w:t>%</w:t>
            </w:r>
          </w:p>
        </w:tc>
        <w:tc>
          <w:tcPr>
            <w:tcW w:w="1081" w:type="dxa"/>
            <w:tcBorders>
              <w:top w:val="single" w:sz="12" w:space="0" w:color="auto"/>
              <w:bottom w:val="single" w:sz="4" w:space="0" w:color="auto"/>
            </w:tcBorders>
            <w:shd w:val="clear" w:color="auto" w:fill="auto"/>
            <w:noWrap/>
            <w:vAlign w:val="bottom"/>
            <w:hideMark/>
          </w:tcPr>
          <w:p w14:paraId="4434E243"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698 117</w:t>
            </w:r>
          </w:p>
        </w:tc>
        <w:tc>
          <w:tcPr>
            <w:tcW w:w="1008" w:type="dxa"/>
            <w:tcBorders>
              <w:top w:val="single" w:sz="12" w:space="0" w:color="auto"/>
              <w:bottom w:val="single" w:sz="4" w:space="0" w:color="auto"/>
            </w:tcBorders>
            <w:shd w:val="clear" w:color="auto" w:fill="auto"/>
            <w:noWrap/>
            <w:vAlign w:val="bottom"/>
            <w:hideMark/>
          </w:tcPr>
          <w:p w14:paraId="3BD8F7A9" w14:textId="77777777" w:rsidR="00780206" w:rsidRPr="006927FC" w:rsidRDefault="00780206" w:rsidP="00114026">
            <w:pPr>
              <w:tabs>
                <w:tab w:val="left" w:pos="567"/>
              </w:tabs>
              <w:suppressAutoHyphens w:val="0"/>
              <w:spacing w:before="80" w:after="80" w:line="220" w:lineRule="exact"/>
              <w:jc w:val="right"/>
              <w:rPr>
                <w:b/>
                <w:sz w:val="18"/>
                <w:szCs w:val="18"/>
              </w:rPr>
            </w:pPr>
            <w:r w:rsidRPr="006927FC">
              <w:rPr>
                <w:b/>
                <w:bCs/>
                <w:sz w:val="18"/>
                <w:szCs w:val="18"/>
                <w:lang w:val="fr-FR"/>
              </w:rPr>
              <w:t>30,2</w:t>
            </w:r>
            <w:r>
              <w:rPr>
                <w:b/>
                <w:bCs/>
                <w:sz w:val="18"/>
                <w:szCs w:val="18"/>
                <w:lang w:val="fr-FR"/>
              </w:rPr>
              <w:t> </w:t>
            </w:r>
            <w:r w:rsidRPr="006927FC">
              <w:rPr>
                <w:b/>
                <w:bCs/>
                <w:sz w:val="18"/>
                <w:szCs w:val="18"/>
                <w:lang w:val="fr-FR"/>
              </w:rPr>
              <w:t>%</w:t>
            </w:r>
          </w:p>
        </w:tc>
      </w:tr>
      <w:tr w:rsidR="007F326F" w:rsidRPr="006927FC" w14:paraId="411B287F" w14:textId="77777777" w:rsidTr="007F326F">
        <w:tc>
          <w:tcPr>
            <w:tcW w:w="1971" w:type="dxa"/>
            <w:tcBorders>
              <w:top w:val="single" w:sz="4" w:space="0" w:color="auto"/>
            </w:tcBorders>
            <w:shd w:val="clear" w:color="auto" w:fill="auto"/>
          </w:tcPr>
          <w:p w14:paraId="17401882" w14:textId="77777777" w:rsidR="00780206" w:rsidRPr="006927FC" w:rsidRDefault="00780206" w:rsidP="00114026">
            <w:pPr>
              <w:tabs>
                <w:tab w:val="left" w:pos="567"/>
              </w:tabs>
              <w:suppressAutoHyphens w:val="0"/>
              <w:spacing w:before="40" w:after="40" w:line="220" w:lineRule="exact"/>
              <w:rPr>
                <w:sz w:val="18"/>
                <w:szCs w:val="18"/>
                <w:lang w:val="fr-FR"/>
              </w:rPr>
            </w:pPr>
            <w:r w:rsidRPr="006927FC">
              <w:rPr>
                <w:sz w:val="18"/>
                <w:szCs w:val="18"/>
                <w:lang w:val="fr-FR"/>
              </w:rPr>
              <w:t>Services généraux des administrations publiques*</w:t>
            </w:r>
          </w:p>
        </w:tc>
        <w:tc>
          <w:tcPr>
            <w:tcW w:w="1064" w:type="dxa"/>
            <w:tcBorders>
              <w:top w:val="single" w:sz="4" w:space="0" w:color="auto"/>
            </w:tcBorders>
            <w:shd w:val="clear" w:color="auto" w:fill="auto"/>
            <w:noWrap/>
            <w:vAlign w:val="bottom"/>
            <w:hideMark/>
          </w:tcPr>
          <w:p w14:paraId="10F8E0D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84 438</w:t>
            </w:r>
          </w:p>
        </w:tc>
        <w:tc>
          <w:tcPr>
            <w:tcW w:w="910" w:type="dxa"/>
            <w:tcBorders>
              <w:top w:val="single" w:sz="4" w:space="0" w:color="auto"/>
            </w:tcBorders>
            <w:shd w:val="clear" w:color="auto" w:fill="auto"/>
            <w:noWrap/>
            <w:vAlign w:val="bottom"/>
            <w:hideMark/>
          </w:tcPr>
          <w:p w14:paraId="36D7232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5,0</w:t>
            </w:r>
            <w:r>
              <w:rPr>
                <w:sz w:val="18"/>
                <w:szCs w:val="18"/>
                <w:lang w:val="fr-FR"/>
              </w:rPr>
              <w:t> </w:t>
            </w:r>
            <w:r w:rsidRPr="006927FC">
              <w:rPr>
                <w:sz w:val="18"/>
                <w:szCs w:val="18"/>
                <w:lang w:val="fr-FR"/>
              </w:rPr>
              <w:t>%</w:t>
            </w:r>
          </w:p>
        </w:tc>
        <w:tc>
          <w:tcPr>
            <w:tcW w:w="1064" w:type="dxa"/>
            <w:tcBorders>
              <w:top w:val="single" w:sz="4" w:space="0" w:color="auto"/>
            </w:tcBorders>
            <w:shd w:val="clear" w:color="auto" w:fill="auto"/>
            <w:noWrap/>
            <w:vAlign w:val="bottom"/>
            <w:hideMark/>
          </w:tcPr>
          <w:p w14:paraId="766C50B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83 742</w:t>
            </w:r>
          </w:p>
        </w:tc>
        <w:tc>
          <w:tcPr>
            <w:tcW w:w="1091" w:type="dxa"/>
            <w:tcBorders>
              <w:top w:val="single" w:sz="4" w:space="0" w:color="auto"/>
            </w:tcBorders>
            <w:shd w:val="clear" w:color="auto" w:fill="auto"/>
            <w:noWrap/>
            <w:vAlign w:val="bottom"/>
            <w:hideMark/>
          </w:tcPr>
          <w:p w14:paraId="3461ED4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5,1</w:t>
            </w:r>
            <w:r>
              <w:rPr>
                <w:sz w:val="18"/>
                <w:szCs w:val="18"/>
                <w:lang w:val="fr-FR"/>
              </w:rPr>
              <w:t> </w:t>
            </w:r>
            <w:r w:rsidRPr="006927FC">
              <w:rPr>
                <w:sz w:val="18"/>
                <w:szCs w:val="18"/>
                <w:lang w:val="fr-FR"/>
              </w:rPr>
              <w:t>%</w:t>
            </w:r>
          </w:p>
        </w:tc>
        <w:tc>
          <w:tcPr>
            <w:tcW w:w="988" w:type="dxa"/>
            <w:tcBorders>
              <w:top w:val="single" w:sz="4" w:space="0" w:color="auto"/>
            </w:tcBorders>
            <w:shd w:val="clear" w:color="auto" w:fill="auto"/>
            <w:noWrap/>
            <w:vAlign w:val="bottom"/>
            <w:hideMark/>
          </w:tcPr>
          <w:p w14:paraId="2BD9750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91 318</w:t>
            </w:r>
          </w:p>
        </w:tc>
        <w:tc>
          <w:tcPr>
            <w:tcW w:w="1070" w:type="dxa"/>
            <w:tcBorders>
              <w:top w:val="single" w:sz="4" w:space="0" w:color="auto"/>
            </w:tcBorders>
            <w:shd w:val="clear" w:color="auto" w:fill="auto"/>
            <w:noWrap/>
            <w:vAlign w:val="bottom"/>
            <w:hideMark/>
          </w:tcPr>
          <w:p w14:paraId="506B16A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4,9</w:t>
            </w:r>
            <w:r>
              <w:rPr>
                <w:sz w:val="18"/>
                <w:szCs w:val="18"/>
                <w:lang w:val="fr-FR"/>
              </w:rPr>
              <w:t> </w:t>
            </w:r>
            <w:r w:rsidRPr="006927FC">
              <w:rPr>
                <w:sz w:val="18"/>
                <w:szCs w:val="18"/>
                <w:lang w:val="fr-FR"/>
              </w:rPr>
              <w:t>%</w:t>
            </w:r>
          </w:p>
        </w:tc>
        <w:tc>
          <w:tcPr>
            <w:tcW w:w="1078" w:type="dxa"/>
            <w:tcBorders>
              <w:top w:val="single" w:sz="4" w:space="0" w:color="auto"/>
            </w:tcBorders>
            <w:shd w:val="clear" w:color="auto" w:fill="auto"/>
            <w:noWrap/>
            <w:vAlign w:val="bottom"/>
            <w:hideMark/>
          </w:tcPr>
          <w:p w14:paraId="3752178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93 489</w:t>
            </w:r>
          </w:p>
        </w:tc>
        <w:tc>
          <w:tcPr>
            <w:tcW w:w="1036" w:type="dxa"/>
            <w:tcBorders>
              <w:top w:val="single" w:sz="4" w:space="0" w:color="auto"/>
            </w:tcBorders>
            <w:shd w:val="clear" w:color="auto" w:fill="auto"/>
            <w:noWrap/>
            <w:vAlign w:val="bottom"/>
            <w:hideMark/>
          </w:tcPr>
          <w:p w14:paraId="635E969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4,4</w:t>
            </w:r>
            <w:r>
              <w:rPr>
                <w:sz w:val="18"/>
                <w:szCs w:val="18"/>
                <w:lang w:val="fr-FR"/>
              </w:rPr>
              <w:t> </w:t>
            </w:r>
            <w:r w:rsidRPr="006927FC">
              <w:rPr>
                <w:sz w:val="18"/>
                <w:szCs w:val="18"/>
                <w:lang w:val="fr-FR"/>
              </w:rPr>
              <w:t>%</w:t>
            </w:r>
          </w:p>
        </w:tc>
        <w:tc>
          <w:tcPr>
            <w:tcW w:w="1081" w:type="dxa"/>
            <w:tcBorders>
              <w:top w:val="single" w:sz="4" w:space="0" w:color="auto"/>
            </w:tcBorders>
            <w:shd w:val="clear" w:color="auto" w:fill="auto"/>
            <w:noWrap/>
            <w:vAlign w:val="bottom"/>
            <w:hideMark/>
          </w:tcPr>
          <w:p w14:paraId="3EC3662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118 753</w:t>
            </w:r>
          </w:p>
        </w:tc>
        <w:tc>
          <w:tcPr>
            <w:tcW w:w="1008" w:type="dxa"/>
            <w:tcBorders>
              <w:top w:val="single" w:sz="4" w:space="0" w:color="auto"/>
            </w:tcBorders>
            <w:shd w:val="clear" w:color="auto" w:fill="auto"/>
            <w:noWrap/>
            <w:vAlign w:val="bottom"/>
            <w:hideMark/>
          </w:tcPr>
          <w:p w14:paraId="6932134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5,1</w:t>
            </w:r>
            <w:r>
              <w:rPr>
                <w:sz w:val="18"/>
                <w:szCs w:val="18"/>
                <w:lang w:val="fr-FR"/>
              </w:rPr>
              <w:t> </w:t>
            </w:r>
            <w:r w:rsidRPr="006927FC">
              <w:rPr>
                <w:sz w:val="18"/>
                <w:szCs w:val="18"/>
                <w:lang w:val="fr-FR"/>
              </w:rPr>
              <w:t>%</w:t>
            </w:r>
          </w:p>
        </w:tc>
      </w:tr>
      <w:tr w:rsidR="007F326F" w:rsidRPr="006927FC" w14:paraId="7D5CDF22" w14:textId="77777777" w:rsidTr="007F326F">
        <w:tc>
          <w:tcPr>
            <w:tcW w:w="1971" w:type="dxa"/>
            <w:shd w:val="clear" w:color="auto" w:fill="auto"/>
          </w:tcPr>
          <w:p w14:paraId="49ED5A77"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Défense</w:t>
            </w:r>
          </w:p>
        </w:tc>
        <w:tc>
          <w:tcPr>
            <w:tcW w:w="1064" w:type="dxa"/>
            <w:shd w:val="clear" w:color="auto" w:fill="auto"/>
            <w:noWrap/>
            <w:vAlign w:val="bottom"/>
            <w:hideMark/>
          </w:tcPr>
          <w:p w14:paraId="31B4684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13 337</w:t>
            </w:r>
          </w:p>
        </w:tc>
        <w:tc>
          <w:tcPr>
            <w:tcW w:w="910" w:type="dxa"/>
            <w:shd w:val="clear" w:color="auto" w:fill="auto"/>
            <w:noWrap/>
            <w:vAlign w:val="bottom"/>
            <w:hideMark/>
          </w:tcPr>
          <w:p w14:paraId="7110B4C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0,8</w:t>
            </w:r>
            <w:r>
              <w:rPr>
                <w:sz w:val="18"/>
                <w:szCs w:val="18"/>
                <w:lang w:val="fr-FR"/>
              </w:rPr>
              <w:t> </w:t>
            </w:r>
            <w:r w:rsidRPr="006927FC">
              <w:rPr>
                <w:sz w:val="18"/>
                <w:szCs w:val="18"/>
                <w:lang w:val="fr-FR"/>
              </w:rPr>
              <w:t>%</w:t>
            </w:r>
          </w:p>
        </w:tc>
        <w:tc>
          <w:tcPr>
            <w:tcW w:w="1064" w:type="dxa"/>
            <w:shd w:val="clear" w:color="auto" w:fill="auto"/>
            <w:noWrap/>
            <w:vAlign w:val="bottom"/>
            <w:hideMark/>
          </w:tcPr>
          <w:p w14:paraId="28F4C38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12 610</w:t>
            </w:r>
          </w:p>
        </w:tc>
        <w:tc>
          <w:tcPr>
            <w:tcW w:w="1091" w:type="dxa"/>
            <w:shd w:val="clear" w:color="auto" w:fill="auto"/>
            <w:noWrap/>
            <w:vAlign w:val="bottom"/>
            <w:hideMark/>
          </w:tcPr>
          <w:p w14:paraId="50FD447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0,8</w:t>
            </w:r>
            <w:r>
              <w:rPr>
                <w:sz w:val="18"/>
                <w:szCs w:val="18"/>
                <w:lang w:val="fr-FR"/>
              </w:rPr>
              <w:t> </w:t>
            </w:r>
            <w:r w:rsidRPr="006927FC">
              <w:rPr>
                <w:sz w:val="18"/>
                <w:szCs w:val="18"/>
                <w:lang w:val="fr-FR"/>
              </w:rPr>
              <w:t>%</w:t>
            </w:r>
          </w:p>
        </w:tc>
        <w:tc>
          <w:tcPr>
            <w:tcW w:w="988" w:type="dxa"/>
            <w:shd w:val="clear" w:color="auto" w:fill="auto"/>
            <w:noWrap/>
            <w:vAlign w:val="bottom"/>
            <w:hideMark/>
          </w:tcPr>
          <w:p w14:paraId="1F396FB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14 034</w:t>
            </w:r>
          </w:p>
        </w:tc>
        <w:tc>
          <w:tcPr>
            <w:tcW w:w="1070" w:type="dxa"/>
            <w:shd w:val="clear" w:color="auto" w:fill="auto"/>
            <w:noWrap/>
            <w:vAlign w:val="bottom"/>
            <w:hideMark/>
          </w:tcPr>
          <w:p w14:paraId="797E8B9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0,8</w:t>
            </w:r>
            <w:r>
              <w:rPr>
                <w:sz w:val="18"/>
                <w:szCs w:val="18"/>
                <w:lang w:val="fr-FR"/>
              </w:rPr>
              <w:t> </w:t>
            </w:r>
            <w:r w:rsidRPr="006927FC">
              <w:rPr>
                <w:sz w:val="18"/>
                <w:szCs w:val="18"/>
                <w:lang w:val="fr-FR"/>
              </w:rPr>
              <w:t>%</w:t>
            </w:r>
          </w:p>
        </w:tc>
        <w:tc>
          <w:tcPr>
            <w:tcW w:w="1078" w:type="dxa"/>
            <w:shd w:val="clear" w:color="auto" w:fill="auto"/>
            <w:noWrap/>
            <w:vAlign w:val="bottom"/>
            <w:hideMark/>
          </w:tcPr>
          <w:p w14:paraId="06BD820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15 531</w:t>
            </w:r>
          </w:p>
        </w:tc>
        <w:tc>
          <w:tcPr>
            <w:tcW w:w="1036" w:type="dxa"/>
            <w:shd w:val="clear" w:color="auto" w:fill="auto"/>
            <w:noWrap/>
            <w:vAlign w:val="bottom"/>
            <w:hideMark/>
          </w:tcPr>
          <w:p w14:paraId="2F32620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0,7</w:t>
            </w:r>
            <w:r>
              <w:rPr>
                <w:sz w:val="18"/>
                <w:szCs w:val="18"/>
                <w:lang w:val="fr-FR"/>
              </w:rPr>
              <w:t> </w:t>
            </w:r>
            <w:r w:rsidRPr="006927FC">
              <w:rPr>
                <w:sz w:val="18"/>
                <w:szCs w:val="18"/>
                <w:lang w:val="fr-FR"/>
              </w:rPr>
              <w:t>%</w:t>
            </w:r>
          </w:p>
        </w:tc>
        <w:tc>
          <w:tcPr>
            <w:tcW w:w="1081" w:type="dxa"/>
            <w:shd w:val="clear" w:color="auto" w:fill="auto"/>
            <w:noWrap/>
            <w:vAlign w:val="bottom"/>
            <w:hideMark/>
          </w:tcPr>
          <w:p w14:paraId="3AE72FF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25 920</w:t>
            </w:r>
          </w:p>
        </w:tc>
        <w:tc>
          <w:tcPr>
            <w:tcW w:w="1008" w:type="dxa"/>
            <w:shd w:val="clear" w:color="auto" w:fill="auto"/>
            <w:noWrap/>
            <w:vAlign w:val="bottom"/>
            <w:hideMark/>
          </w:tcPr>
          <w:p w14:paraId="5228AC0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1,1</w:t>
            </w:r>
            <w:r>
              <w:rPr>
                <w:sz w:val="18"/>
                <w:szCs w:val="18"/>
                <w:lang w:val="fr-FR"/>
              </w:rPr>
              <w:t> </w:t>
            </w:r>
            <w:r w:rsidRPr="006927FC">
              <w:rPr>
                <w:sz w:val="18"/>
                <w:szCs w:val="18"/>
                <w:lang w:val="fr-FR"/>
              </w:rPr>
              <w:t>%</w:t>
            </w:r>
          </w:p>
        </w:tc>
      </w:tr>
      <w:tr w:rsidR="007F326F" w:rsidRPr="006927FC" w14:paraId="58F02B8E" w14:textId="77777777" w:rsidTr="007F326F">
        <w:tc>
          <w:tcPr>
            <w:tcW w:w="1971" w:type="dxa"/>
            <w:shd w:val="clear" w:color="auto" w:fill="auto"/>
          </w:tcPr>
          <w:p w14:paraId="6EE923F1"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Ordre et sécurité publics</w:t>
            </w:r>
          </w:p>
        </w:tc>
        <w:tc>
          <w:tcPr>
            <w:tcW w:w="1064" w:type="dxa"/>
            <w:shd w:val="clear" w:color="auto" w:fill="auto"/>
            <w:noWrap/>
            <w:vAlign w:val="bottom"/>
            <w:hideMark/>
          </w:tcPr>
          <w:p w14:paraId="0114D9D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30 908</w:t>
            </w:r>
          </w:p>
        </w:tc>
        <w:tc>
          <w:tcPr>
            <w:tcW w:w="910" w:type="dxa"/>
            <w:shd w:val="clear" w:color="auto" w:fill="auto"/>
            <w:noWrap/>
            <w:vAlign w:val="bottom"/>
            <w:hideMark/>
          </w:tcPr>
          <w:p w14:paraId="17F6391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1,8</w:t>
            </w:r>
            <w:r>
              <w:rPr>
                <w:sz w:val="18"/>
                <w:szCs w:val="18"/>
                <w:lang w:val="fr-FR"/>
              </w:rPr>
              <w:t> </w:t>
            </w:r>
            <w:r w:rsidRPr="006927FC">
              <w:rPr>
                <w:sz w:val="18"/>
                <w:szCs w:val="18"/>
                <w:lang w:val="fr-FR"/>
              </w:rPr>
              <w:t>%</w:t>
            </w:r>
          </w:p>
        </w:tc>
        <w:tc>
          <w:tcPr>
            <w:tcW w:w="1064" w:type="dxa"/>
            <w:shd w:val="clear" w:color="auto" w:fill="auto"/>
            <w:noWrap/>
            <w:vAlign w:val="bottom"/>
            <w:hideMark/>
          </w:tcPr>
          <w:p w14:paraId="5BF815D8"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32 336</w:t>
            </w:r>
          </w:p>
        </w:tc>
        <w:tc>
          <w:tcPr>
            <w:tcW w:w="1091" w:type="dxa"/>
            <w:shd w:val="clear" w:color="auto" w:fill="auto"/>
            <w:noWrap/>
            <w:vAlign w:val="bottom"/>
            <w:hideMark/>
          </w:tcPr>
          <w:p w14:paraId="576AEE8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2,0</w:t>
            </w:r>
            <w:r>
              <w:rPr>
                <w:sz w:val="18"/>
                <w:szCs w:val="18"/>
                <w:lang w:val="fr-FR"/>
              </w:rPr>
              <w:t> </w:t>
            </w:r>
            <w:r w:rsidRPr="006927FC">
              <w:rPr>
                <w:sz w:val="18"/>
                <w:szCs w:val="18"/>
                <w:lang w:val="fr-FR"/>
              </w:rPr>
              <w:t>%</w:t>
            </w:r>
          </w:p>
        </w:tc>
        <w:tc>
          <w:tcPr>
            <w:tcW w:w="988" w:type="dxa"/>
            <w:shd w:val="clear" w:color="auto" w:fill="auto"/>
            <w:noWrap/>
            <w:vAlign w:val="bottom"/>
            <w:hideMark/>
          </w:tcPr>
          <w:p w14:paraId="3C4E68B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34 652</w:t>
            </w:r>
          </w:p>
        </w:tc>
        <w:tc>
          <w:tcPr>
            <w:tcW w:w="1070" w:type="dxa"/>
            <w:shd w:val="clear" w:color="auto" w:fill="auto"/>
            <w:noWrap/>
            <w:vAlign w:val="bottom"/>
            <w:hideMark/>
          </w:tcPr>
          <w:p w14:paraId="271532D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1,9</w:t>
            </w:r>
            <w:r>
              <w:rPr>
                <w:sz w:val="18"/>
                <w:szCs w:val="18"/>
                <w:lang w:val="fr-FR"/>
              </w:rPr>
              <w:t> </w:t>
            </w:r>
            <w:r w:rsidRPr="006927FC">
              <w:rPr>
                <w:sz w:val="18"/>
                <w:szCs w:val="18"/>
                <w:lang w:val="fr-FR"/>
              </w:rPr>
              <w:t>%</w:t>
            </w:r>
          </w:p>
        </w:tc>
        <w:tc>
          <w:tcPr>
            <w:tcW w:w="1078" w:type="dxa"/>
            <w:shd w:val="clear" w:color="auto" w:fill="auto"/>
            <w:noWrap/>
            <w:vAlign w:val="bottom"/>
            <w:hideMark/>
          </w:tcPr>
          <w:p w14:paraId="734C389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36 531</w:t>
            </w:r>
          </w:p>
        </w:tc>
        <w:tc>
          <w:tcPr>
            <w:tcW w:w="1036" w:type="dxa"/>
            <w:shd w:val="clear" w:color="auto" w:fill="auto"/>
            <w:noWrap/>
            <w:vAlign w:val="bottom"/>
            <w:hideMark/>
          </w:tcPr>
          <w:p w14:paraId="4E232A68"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w:t>
            </w:r>
            <w:r>
              <w:rPr>
                <w:sz w:val="18"/>
                <w:szCs w:val="18"/>
                <w:lang w:val="fr-FR"/>
              </w:rPr>
              <w:t> </w:t>
            </w:r>
            <w:r w:rsidRPr="006927FC">
              <w:rPr>
                <w:sz w:val="18"/>
                <w:szCs w:val="18"/>
                <w:lang w:val="fr-FR"/>
              </w:rPr>
              <w:t>%</w:t>
            </w:r>
          </w:p>
        </w:tc>
        <w:tc>
          <w:tcPr>
            <w:tcW w:w="1081" w:type="dxa"/>
            <w:shd w:val="clear" w:color="auto" w:fill="auto"/>
            <w:noWrap/>
            <w:vAlign w:val="bottom"/>
            <w:hideMark/>
          </w:tcPr>
          <w:p w14:paraId="361EAAE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39 314</w:t>
            </w:r>
          </w:p>
        </w:tc>
        <w:tc>
          <w:tcPr>
            <w:tcW w:w="1008" w:type="dxa"/>
            <w:shd w:val="clear" w:color="auto" w:fill="auto"/>
            <w:noWrap/>
            <w:vAlign w:val="bottom"/>
            <w:hideMark/>
          </w:tcPr>
          <w:p w14:paraId="518E3E1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w:t>
            </w:r>
            <w:r>
              <w:rPr>
                <w:sz w:val="18"/>
                <w:szCs w:val="18"/>
                <w:lang w:val="fr-FR"/>
              </w:rPr>
              <w:t> </w:t>
            </w:r>
            <w:r w:rsidRPr="006927FC">
              <w:rPr>
                <w:sz w:val="18"/>
                <w:szCs w:val="18"/>
                <w:lang w:val="fr-FR"/>
              </w:rPr>
              <w:t>%</w:t>
            </w:r>
          </w:p>
        </w:tc>
      </w:tr>
      <w:tr w:rsidR="007F326F" w:rsidRPr="006927FC" w14:paraId="379F6FE1" w14:textId="77777777" w:rsidTr="007F326F">
        <w:tc>
          <w:tcPr>
            <w:tcW w:w="1971" w:type="dxa"/>
            <w:shd w:val="clear" w:color="auto" w:fill="auto"/>
          </w:tcPr>
          <w:p w14:paraId="10C3B976"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Affaires économiques</w:t>
            </w:r>
          </w:p>
        </w:tc>
        <w:tc>
          <w:tcPr>
            <w:tcW w:w="1064" w:type="dxa"/>
            <w:shd w:val="clear" w:color="auto" w:fill="auto"/>
            <w:noWrap/>
            <w:vAlign w:val="bottom"/>
            <w:hideMark/>
          </w:tcPr>
          <w:p w14:paraId="3FAE934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50 333</w:t>
            </w:r>
          </w:p>
        </w:tc>
        <w:tc>
          <w:tcPr>
            <w:tcW w:w="910" w:type="dxa"/>
            <w:shd w:val="clear" w:color="auto" w:fill="auto"/>
            <w:noWrap/>
            <w:vAlign w:val="bottom"/>
            <w:hideMark/>
          </w:tcPr>
          <w:p w14:paraId="2755A3A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w:t>
            </w:r>
            <w:r>
              <w:rPr>
                <w:sz w:val="18"/>
                <w:szCs w:val="18"/>
                <w:lang w:val="fr-FR"/>
              </w:rPr>
              <w:t> </w:t>
            </w:r>
            <w:r w:rsidRPr="006927FC">
              <w:rPr>
                <w:sz w:val="18"/>
                <w:szCs w:val="18"/>
                <w:lang w:val="fr-FR"/>
              </w:rPr>
              <w:t>%</w:t>
            </w:r>
          </w:p>
        </w:tc>
        <w:tc>
          <w:tcPr>
            <w:tcW w:w="1064" w:type="dxa"/>
            <w:shd w:val="clear" w:color="auto" w:fill="auto"/>
            <w:noWrap/>
            <w:vAlign w:val="bottom"/>
            <w:hideMark/>
          </w:tcPr>
          <w:p w14:paraId="1B7302E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60 194</w:t>
            </w:r>
          </w:p>
        </w:tc>
        <w:tc>
          <w:tcPr>
            <w:tcW w:w="1091" w:type="dxa"/>
            <w:shd w:val="clear" w:color="auto" w:fill="auto"/>
            <w:noWrap/>
            <w:vAlign w:val="bottom"/>
            <w:hideMark/>
          </w:tcPr>
          <w:p w14:paraId="2642055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3,7</w:t>
            </w:r>
            <w:r>
              <w:rPr>
                <w:sz w:val="18"/>
                <w:szCs w:val="18"/>
                <w:lang w:val="fr-FR"/>
              </w:rPr>
              <w:t> </w:t>
            </w:r>
            <w:r w:rsidRPr="006927FC">
              <w:rPr>
                <w:sz w:val="18"/>
                <w:szCs w:val="18"/>
                <w:lang w:val="fr-FR"/>
              </w:rPr>
              <w:t>%</w:t>
            </w:r>
          </w:p>
        </w:tc>
        <w:tc>
          <w:tcPr>
            <w:tcW w:w="988" w:type="dxa"/>
            <w:shd w:val="clear" w:color="auto" w:fill="auto"/>
            <w:noWrap/>
            <w:vAlign w:val="bottom"/>
            <w:hideMark/>
          </w:tcPr>
          <w:p w14:paraId="4DD4D79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72 376</w:t>
            </w:r>
          </w:p>
        </w:tc>
        <w:tc>
          <w:tcPr>
            <w:tcW w:w="1070" w:type="dxa"/>
            <w:shd w:val="clear" w:color="auto" w:fill="auto"/>
            <w:noWrap/>
            <w:vAlign w:val="bottom"/>
            <w:hideMark/>
          </w:tcPr>
          <w:p w14:paraId="7960948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3,9</w:t>
            </w:r>
            <w:r>
              <w:rPr>
                <w:sz w:val="18"/>
                <w:szCs w:val="18"/>
                <w:lang w:val="fr-FR"/>
              </w:rPr>
              <w:t> </w:t>
            </w:r>
            <w:r w:rsidRPr="006927FC">
              <w:rPr>
                <w:sz w:val="18"/>
                <w:szCs w:val="18"/>
                <w:lang w:val="fr-FR"/>
              </w:rPr>
              <w:t>%</w:t>
            </w:r>
          </w:p>
        </w:tc>
        <w:tc>
          <w:tcPr>
            <w:tcW w:w="1078" w:type="dxa"/>
            <w:shd w:val="clear" w:color="auto" w:fill="auto"/>
            <w:noWrap/>
            <w:vAlign w:val="bottom"/>
            <w:hideMark/>
          </w:tcPr>
          <w:p w14:paraId="092EC78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106 171</w:t>
            </w:r>
          </w:p>
        </w:tc>
        <w:tc>
          <w:tcPr>
            <w:tcW w:w="1036" w:type="dxa"/>
            <w:shd w:val="clear" w:color="auto" w:fill="auto"/>
            <w:noWrap/>
            <w:vAlign w:val="bottom"/>
            <w:hideMark/>
          </w:tcPr>
          <w:p w14:paraId="62A845D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5,0</w:t>
            </w:r>
            <w:r>
              <w:rPr>
                <w:sz w:val="18"/>
                <w:szCs w:val="18"/>
                <w:lang w:val="fr-FR"/>
              </w:rPr>
              <w:t> </w:t>
            </w:r>
            <w:r w:rsidRPr="006927FC">
              <w:rPr>
                <w:sz w:val="18"/>
                <w:szCs w:val="18"/>
                <w:lang w:val="fr-FR"/>
              </w:rPr>
              <w:t>%</w:t>
            </w:r>
          </w:p>
        </w:tc>
        <w:tc>
          <w:tcPr>
            <w:tcW w:w="1081" w:type="dxa"/>
            <w:shd w:val="clear" w:color="auto" w:fill="auto"/>
            <w:noWrap/>
            <w:vAlign w:val="bottom"/>
            <w:hideMark/>
          </w:tcPr>
          <w:p w14:paraId="6C8C998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90 466</w:t>
            </w:r>
          </w:p>
        </w:tc>
        <w:tc>
          <w:tcPr>
            <w:tcW w:w="1008" w:type="dxa"/>
            <w:shd w:val="clear" w:color="auto" w:fill="auto"/>
            <w:noWrap/>
            <w:vAlign w:val="bottom"/>
            <w:hideMark/>
          </w:tcPr>
          <w:p w14:paraId="68EBC2D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3,9</w:t>
            </w:r>
            <w:r>
              <w:rPr>
                <w:sz w:val="18"/>
                <w:szCs w:val="18"/>
                <w:lang w:val="fr-FR"/>
              </w:rPr>
              <w:t> </w:t>
            </w:r>
            <w:r w:rsidRPr="006927FC">
              <w:rPr>
                <w:sz w:val="18"/>
                <w:szCs w:val="18"/>
                <w:lang w:val="fr-FR"/>
              </w:rPr>
              <w:t>%</w:t>
            </w:r>
          </w:p>
        </w:tc>
      </w:tr>
      <w:tr w:rsidR="007F326F" w:rsidRPr="006927FC" w14:paraId="722B608D" w14:textId="77777777" w:rsidTr="007F326F">
        <w:tc>
          <w:tcPr>
            <w:tcW w:w="1971" w:type="dxa"/>
            <w:shd w:val="clear" w:color="auto" w:fill="auto"/>
          </w:tcPr>
          <w:p w14:paraId="7A93CB2C"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Protection de l</w:t>
            </w:r>
            <w:r>
              <w:rPr>
                <w:sz w:val="18"/>
                <w:szCs w:val="18"/>
                <w:lang w:val="fr-FR"/>
              </w:rPr>
              <w:t>’</w:t>
            </w:r>
            <w:r w:rsidRPr="006927FC">
              <w:rPr>
                <w:sz w:val="18"/>
                <w:szCs w:val="18"/>
                <w:lang w:val="fr-FR"/>
              </w:rPr>
              <w:t>environnement</w:t>
            </w:r>
          </w:p>
        </w:tc>
        <w:tc>
          <w:tcPr>
            <w:tcW w:w="1064" w:type="dxa"/>
            <w:shd w:val="clear" w:color="auto" w:fill="auto"/>
            <w:noWrap/>
            <w:vAlign w:val="bottom"/>
            <w:hideMark/>
          </w:tcPr>
          <w:p w14:paraId="12E65F48"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2 997</w:t>
            </w:r>
          </w:p>
        </w:tc>
        <w:tc>
          <w:tcPr>
            <w:tcW w:w="910" w:type="dxa"/>
            <w:shd w:val="clear" w:color="auto" w:fill="auto"/>
            <w:noWrap/>
            <w:vAlign w:val="bottom"/>
            <w:hideMark/>
          </w:tcPr>
          <w:p w14:paraId="2AE21038"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0,2</w:t>
            </w:r>
            <w:r>
              <w:rPr>
                <w:sz w:val="18"/>
                <w:szCs w:val="18"/>
                <w:lang w:val="fr-FR"/>
              </w:rPr>
              <w:t> </w:t>
            </w:r>
            <w:r w:rsidRPr="006927FC">
              <w:rPr>
                <w:sz w:val="18"/>
                <w:szCs w:val="18"/>
                <w:lang w:val="fr-FR"/>
              </w:rPr>
              <w:t>%</w:t>
            </w:r>
          </w:p>
        </w:tc>
        <w:tc>
          <w:tcPr>
            <w:tcW w:w="1064" w:type="dxa"/>
            <w:shd w:val="clear" w:color="auto" w:fill="auto"/>
            <w:noWrap/>
            <w:vAlign w:val="bottom"/>
            <w:hideMark/>
          </w:tcPr>
          <w:p w14:paraId="3D94FDA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5 298</w:t>
            </w:r>
          </w:p>
        </w:tc>
        <w:tc>
          <w:tcPr>
            <w:tcW w:w="1091" w:type="dxa"/>
            <w:shd w:val="clear" w:color="auto" w:fill="auto"/>
            <w:noWrap/>
            <w:vAlign w:val="bottom"/>
            <w:hideMark/>
          </w:tcPr>
          <w:p w14:paraId="17D2AF5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c>
          <w:tcPr>
            <w:tcW w:w="988" w:type="dxa"/>
            <w:shd w:val="clear" w:color="auto" w:fill="auto"/>
            <w:noWrap/>
            <w:vAlign w:val="bottom"/>
            <w:hideMark/>
          </w:tcPr>
          <w:p w14:paraId="089CF8F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5 532</w:t>
            </w:r>
          </w:p>
        </w:tc>
        <w:tc>
          <w:tcPr>
            <w:tcW w:w="1070" w:type="dxa"/>
            <w:shd w:val="clear" w:color="auto" w:fill="auto"/>
            <w:noWrap/>
            <w:vAlign w:val="bottom"/>
            <w:hideMark/>
          </w:tcPr>
          <w:p w14:paraId="0906FDB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c>
          <w:tcPr>
            <w:tcW w:w="1078" w:type="dxa"/>
            <w:shd w:val="clear" w:color="auto" w:fill="auto"/>
            <w:noWrap/>
            <w:vAlign w:val="bottom"/>
            <w:hideMark/>
          </w:tcPr>
          <w:p w14:paraId="6C3FDF8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7 035</w:t>
            </w:r>
          </w:p>
        </w:tc>
        <w:tc>
          <w:tcPr>
            <w:tcW w:w="1036" w:type="dxa"/>
            <w:shd w:val="clear" w:color="auto" w:fill="auto"/>
            <w:noWrap/>
            <w:vAlign w:val="bottom"/>
            <w:hideMark/>
          </w:tcPr>
          <w:p w14:paraId="696ED83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c>
          <w:tcPr>
            <w:tcW w:w="1081" w:type="dxa"/>
            <w:shd w:val="clear" w:color="auto" w:fill="auto"/>
            <w:noWrap/>
            <w:vAlign w:val="bottom"/>
            <w:hideMark/>
          </w:tcPr>
          <w:p w14:paraId="5C68B8C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6 034</w:t>
            </w:r>
          </w:p>
        </w:tc>
        <w:tc>
          <w:tcPr>
            <w:tcW w:w="1008" w:type="dxa"/>
            <w:shd w:val="clear" w:color="auto" w:fill="auto"/>
            <w:noWrap/>
            <w:vAlign w:val="bottom"/>
            <w:hideMark/>
          </w:tcPr>
          <w:p w14:paraId="3885702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r>
      <w:tr w:rsidR="007F326F" w:rsidRPr="006927FC" w14:paraId="7F6D9504" w14:textId="77777777" w:rsidTr="007F326F">
        <w:tc>
          <w:tcPr>
            <w:tcW w:w="1971" w:type="dxa"/>
            <w:shd w:val="clear" w:color="auto" w:fill="auto"/>
          </w:tcPr>
          <w:p w14:paraId="0523F4C4"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Logement et équipements collectifs</w:t>
            </w:r>
          </w:p>
        </w:tc>
        <w:tc>
          <w:tcPr>
            <w:tcW w:w="1064" w:type="dxa"/>
            <w:shd w:val="clear" w:color="auto" w:fill="auto"/>
            <w:noWrap/>
            <w:vAlign w:val="bottom"/>
            <w:hideMark/>
          </w:tcPr>
          <w:p w14:paraId="4F71BA4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36 754</w:t>
            </w:r>
          </w:p>
        </w:tc>
        <w:tc>
          <w:tcPr>
            <w:tcW w:w="910" w:type="dxa"/>
            <w:shd w:val="clear" w:color="auto" w:fill="auto"/>
            <w:noWrap/>
            <w:vAlign w:val="bottom"/>
            <w:hideMark/>
          </w:tcPr>
          <w:p w14:paraId="5903FCA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2,2</w:t>
            </w:r>
            <w:r>
              <w:rPr>
                <w:sz w:val="18"/>
                <w:szCs w:val="18"/>
                <w:lang w:val="fr-FR"/>
              </w:rPr>
              <w:t> </w:t>
            </w:r>
            <w:r w:rsidRPr="006927FC">
              <w:rPr>
                <w:sz w:val="18"/>
                <w:szCs w:val="18"/>
                <w:lang w:val="fr-FR"/>
              </w:rPr>
              <w:t>%</w:t>
            </w:r>
          </w:p>
        </w:tc>
        <w:tc>
          <w:tcPr>
            <w:tcW w:w="1064" w:type="dxa"/>
            <w:shd w:val="clear" w:color="auto" w:fill="auto"/>
            <w:noWrap/>
            <w:vAlign w:val="bottom"/>
            <w:hideMark/>
          </w:tcPr>
          <w:p w14:paraId="09014C3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51 755</w:t>
            </w:r>
          </w:p>
        </w:tc>
        <w:tc>
          <w:tcPr>
            <w:tcW w:w="1091" w:type="dxa"/>
            <w:shd w:val="clear" w:color="auto" w:fill="auto"/>
            <w:noWrap/>
            <w:vAlign w:val="bottom"/>
            <w:hideMark/>
          </w:tcPr>
          <w:p w14:paraId="11D6C6B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3,1</w:t>
            </w:r>
            <w:r>
              <w:rPr>
                <w:sz w:val="18"/>
                <w:szCs w:val="18"/>
                <w:lang w:val="fr-FR"/>
              </w:rPr>
              <w:t> </w:t>
            </w:r>
            <w:r w:rsidRPr="006927FC">
              <w:rPr>
                <w:sz w:val="18"/>
                <w:szCs w:val="18"/>
                <w:lang w:val="fr-FR"/>
              </w:rPr>
              <w:t>%</w:t>
            </w:r>
          </w:p>
        </w:tc>
        <w:tc>
          <w:tcPr>
            <w:tcW w:w="988" w:type="dxa"/>
            <w:shd w:val="clear" w:color="auto" w:fill="auto"/>
            <w:noWrap/>
            <w:vAlign w:val="bottom"/>
            <w:hideMark/>
          </w:tcPr>
          <w:p w14:paraId="7792D67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67 823</w:t>
            </w:r>
          </w:p>
        </w:tc>
        <w:tc>
          <w:tcPr>
            <w:tcW w:w="1070" w:type="dxa"/>
            <w:shd w:val="clear" w:color="auto" w:fill="auto"/>
            <w:noWrap/>
            <w:vAlign w:val="bottom"/>
            <w:hideMark/>
          </w:tcPr>
          <w:p w14:paraId="573A679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3,7</w:t>
            </w:r>
            <w:r>
              <w:rPr>
                <w:sz w:val="18"/>
                <w:szCs w:val="18"/>
                <w:lang w:val="fr-FR"/>
              </w:rPr>
              <w:t> </w:t>
            </w:r>
            <w:r w:rsidRPr="006927FC">
              <w:rPr>
                <w:sz w:val="18"/>
                <w:szCs w:val="18"/>
                <w:lang w:val="fr-FR"/>
              </w:rPr>
              <w:t>%</w:t>
            </w:r>
          </w:p>
        </w:tc>
        <w:tc>
          <w:tcPr>
            <w:tcW w:w="1078" w:type="dxa"/>
            <w:shd w:val="clear" w:color="auto" w:fill="auto"/>
            <w:noWrap/>
            <w:vAlign w:val="bottom"/>
            <w:hideMark/>
          </w:tcPr>
          <w:p w14:paraId="76A546C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56 743</w:t>
            </w:r>
          </w:p>
        </w:tc>
        <w:tc>
          <w:tcPr>
            <w:tcW w:w="1036" w:type="dxa"/>
            <w:shd w:val="clear" w:color="auto" w:fill="auto"/>
            <w:noWrap/>
            <w:vAlign w:val="bottom"/>
            <w:hideMark/>
          </w:tcPr>
          <w:p w14:paraId="3D9A07B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2,7</w:t>
            </w:r>
            <w:r>
              <w:rPr>
                <w:sz w:val="18"/>
                <w:szCs w:val="18"/>
                <w:lang w:val="fr-FR"/>
              </w:rPr>
              <w:t> </w:t>
            </w:r>
            <w:r w:rsidRPr="006927FC">
              <w:rPr>
                <w:sz w:val="18"/>
                <w:szCs w:val="18"/>
                <w:lang w:val="fr-FR"/>
              </w:rPr>
              <w:t>%</w:t>
            </w:r>
          </w:p>
        </w:tc>
        <w:tc>
          <w:tcPr>
            <w:tcW w:w="1081" w:type="dxa"/>
            <w:shd w:val="clear" w:color="auto" w:fill="auto"/>
            <w:noWrap/>
            <w:vAlign w:val="bottom"/>
            <w:hideMark/>
          </w:tcPr>
          <w:p w14:paraId="5927621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55 790</w:t>
            </w:r>
          </w:p>
        </w:tc>
        <w:tc>
          <w:tcPr>
            <w:tcW w:w="1008" w:type="dxa"/>
            <w:shd w:val="clear" w:color="auto" w:fill="auto"/>
            <w:noWrap/>
            <w:vAlign w:val="bottom"/>
            <w:hideMark/>
          </w:tcPr>
          <w:p w14:paraId="56EA8E9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2,4</w:t>
            </w:r>
            <w:r>
              <w:rPr>
                <w:sz w:val="18"/>
                <w:szCs w:val="18"/>
                <w:lang w:val="fr-FR"/>
              </w:rPr>
              <w:t> </w:t>
            </w:r>
            <w:r w:rsidRPr="006927FC">
              <w:rPr>
                <w:sz w:val="18"/>
                <w:szCs w:val="18"/>
                <w:lang w:val="fr-FR"/>
              </w:rPr>
              <w:t>%</w:t>
            </w:r>
          </w:p>
        </w:tc>
      </w:tr>
      <w:tr w:rsidR="007F326F" w:rsidRPr="006927FC" w14:paraId="54B62FE1" w14:textId="77777777" w:rsidTr="007F326F">
        <w:tc>
          <w:tcPr>
            <w:tcW w:w="1971" w:type="dxa"/>
            <w:shd w:val="clear" w:color="auto" w:fill="auto"/>
          </w:tcPr>
          <w:p w14:paraId="29FAA9F3"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Santé*</w:t>
            </w:r>
          </w:p>
        </w:tc>
        <w:tc>
          <w:tcPr>
            <w:tcW w:w="1064" w:type="dxa"/>
            <w:shd w:val="clear" w:color="auto" w:fill="auto"/>
            <w:noWrap/>
            <w:vAlign w:val="bottom"/>
            <w:hideMark/>
          </w:tcPr>
          <w:p w14:paraId="10568D8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51 182</w:t>
            </w:r>
          </w:p>
        </w:tc>
        <w:tc>
          <w:tcPr>
            <w:tcW w:w="910" w:type="dxa"/>
            <w:shd w:val="clear" w:color="auto" w:fill="auto"/>
            <w:noWrap/>
            <w:vAlign w:val="bottom"/>
            <w:hideMark/>
          </w:tcPr>
          <w:p w14:paraId="6380E52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w:t>
            </w:r>
            <w:r>
              <w:rPr>
                <w:sz w:val="18"/>
                <w:szCs w:val="18"/>
                <w:lang w:val="fr-FR"/>
              </w:rPr>
              <w:t> </w:t>
            </w:r>
            <w:r w:rsidRPr="006927FC">
              <w:rPr>
                <w:sz w:val="18"/>
                <w:szCs w:val="18"/>
                <w:lang w:val="fr-FR"/>
              </w:rPr>
              <w:t>%</w:t>
            </w:r>
          </w:p>
        </w:tc>
        <w:tc>
          <w:tcPr>
            <w:tcW w:w="1064" w:type="dxa"/>
            <w:shd w:val="clear" w:color="auto" w:fill="auto"/>
            <w:noWrap/>
            <w:vAlign w:val="bottom"/>
            <w:hideMark/>
          </w:tcPr>
          <w:p w14:paraId="62E443A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51 590</w:t>
            </w:r>
          </w:p>
        </w:tc>
        <w:tc>
          <w:tcPr>
            <w:tcW w:w="1091" w:type="dxa"/>
            <w:shd w:val="clear" w:color="auto" w:fill="auto"/>
            <w:noWrap/>
            <w:vAlign w:val="bottom"/>
            <w:hideMark/>
          </w:tcPr>
          <w:p w14:paraId="6A04AE9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3,1</w:t>
            </w:r>
            <w:r>
              <w:rPr>
                <w:sz w:val="18"/>
                <w:szCs w:val="18"/>
                <w:lang w:val="fr-FR"/>
              </w:rPr>
              <w:t> </w:t>
            </w:r>
            <w:r w:rsidRPr="006927FC">
              <w:rPr>
                <w:sz w:val="18"/>
                <w:szCs w:val="18"/>
                <w:lang w:val="fr-FR"/>
              </w:rPr>
              <w:t>%</w:t>
            </w:r>
          </w:p>
        </w:tc>
        <w:tc>
          <w:tcPr>
            <w:tcW w:w="988" w:type="dxa"/>
            <w:shd w:val="clear" w:color="auto" w:fill="auto"/>
            <w:noWrap/>
            <w:vAlign w:val="bottom"/>
            <w:hideMark/>
          </w:tcPr>
          <w:p w14:paraId="50A9DA6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63 570</w:t>
            </w:r>
          </w:p>
        </w:tc>
        <w:tc>
          <w:tcPr>
            <w:tcW w:w="1070" w:type="dxa"/>
            <w:shd w:val="clear" w:color="auto" w:fill="auto"/>
            <w:noWrap/>
            <w:vAlign w:val="bottom"/>
            <w:hideMark/>
          </w:tcPr>
          <w:p w14:paraId="1F2C603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3,4</w:t>
            </w:r>
            <w:r>
              <w:rPr>
                <w:sz w:val="18"/>
                <w:szCs w:val="18"/>
                <w:lang w:val="fr-FR"/>
              </w:rPr>
              <w:t> </w:t>
            </w:r>
            <w:r w:rsidRPr="006927FC">
              <w:rPr>
                <w:sz w:val="18"/>
                <w:szCs w:val="18"/>
                <w:lang w:val="fr-FR"/>
              </w:rPr>
              <w:t>%</w:t>
            </w:r>
          </w:p>
        </w:tc>
        <w:tc>
          <w:tcPr>
            <w:tcW w:w="1078" w:type="dxa"/>
            <w:shd w:val="clear" w:color="auto" w:fill="auto"/>
            <w:noWrap/>
            <w:vAlign w:val="bottom"/>
            <w:hideMark/>
          </w:tcPr>
          <w:p w14:paraId="0473B35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63 792</w:t>
            </w:r>
          </w:p>
        </w:tc>
        <w:tc>
          <w:tcPr>
            <w:tcW w:w="1036" w:type="dxa"/>
            <w:shd w:val="clear" w:color="auto" w:fill="auto"/>
            <w:noWrap/>
            <w:vAlign w:val="bottom"/>
            <w:hideMark/>
          </w:tcPr>
          <w:p w14:paraId="65B3BB2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w:t>
            </w:r>
            <w:r>
              <w:rPr>
                <w:sz w:val="18"/>
                <w:szCs w:val="18"/>
                <w:lang w:val="fr-FR"/>
              </w:rPr>
              <w:t> </w:t>
            </w:r>
            <w:r w:rsidRPr="006927FC">
              <w:rPr>
                <w:sz w:val="18"/>
                <w:szCs w:val="18"/>
                <w:lang w:val="fr-FR"/>
              </w:rPr>
              <w:t>%</w:t>
            </w:r>
          </w:p>
        </w:tc>
        <w:tc>
          <w:tcPr>
            <w:tcW w:w="1081" w:type="dxa"/>
            <w:shd w:val="clear" w:color="auto" w:fill="auto"/>
            <w:noWrap/>
            <w:vAlign w:val="bottom"/>
            <w:hideMark/>
          </w:tcPr>
          <w:p w14:paraId="3B201AB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67 291</w:t>
            </w:r>
          </w:p>
        </w:tc>
        <w:tc>
          <w:tcPr>
            <w:tcW w:w="1008" w:type="dxa"/>
            <w:shd w:val="clear" w:color="auto" w:fill="auto"/>
            <w:noWrap/>
            <w:vAlign w:val="bottom"/>
            <w:hideMark/>
          </w:tcPr>
          <w:p w14:paraId="59ACC95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2,9</w:t>
            </w:r>
            <w:r>
              <w:rPr>
                <w:sz w:val="18"/>
                <w:szCs w:val="18"/>
                <w:lang w:val="fr-FR"/>
              </w:rPr>
              <w:t> </w:t>
            </w:r>
            <w:r w:rsidRPr="006927FC">
              <w:rPr>
                <w:sz w:val="18"/>
                <w:szCs w:val="18"/>
                <w:lang w:val="fr-FR"/>
              </w:rPr>
              <w:t>%</w:t>
            </w:r>
          </w:p>
        </w:tc>
      </w:tr>
      <w:tr w:rsidR="007F326F" w:rsidRPr="006927FC" w14:paraId="382B22A4" w14:textId="77777777" w:rsidTr="007F326F">
        <w:tc>
          <w:tcPr>
            <w:tcW w:w="1971" w:type="dxa"/>
            <w:shd w:val="clear" w:color="auto" w:fill="auto"/>
          </w:tcPr>
          <w:p w14:paraId="6C57B9EE"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Loisirs, culture et culte</w:t>
            </w:r>
          </w:p>
        </w:tc>
        <w:tc>
          <w:tcPr>
            <w:tcW w:w="1064" w:type="dxa"/>
            <w:shd w:val="clear" w:color="auto" w:fill="auto"/>
            <w:noWrap/>
            <w:vAlign w:val="bottom"/>
            <w:hideMark/>
          </w:tcPr>
          <w:p w14:paraId="7C84CE9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7 310</w:t>
            </w:r>
          </w:p>
        </w:tc>
        <w:tc>
          <w:tcPr>
            <w:tcW w:w="910" w:type="dxa"/>
            <w:shd w:val="clear" w:color="auto" w:fill="auto"/>
            <w:noWrap/>
            <w:vAlign w:val="bottom"/>
            <w:hideMark/>
          </w:tcPr>
          <w:p w14:paraId="0DF5EBF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c>
          <w:tcPr>
            <w:tcW w:w="1064" w:type="dxa"/>
            <w:shd w:val="clear" w:color="auto" w:fill="auto"/>
            <w:noWrap/>
            <w:vAlign w:val="bottom"/>
            <w:hideMark/>
          </w:tcPr>
          <w:p w14:paraId="2E6B3C3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6 842</w:t>
            </w:r>
          </w:p>
        </w:tc>
        <w:tc>
          <w:tcPr>
            <w:tcW w:w="1091" w:type="dxa"/>
            <w:shd w:val="clear" w:color="auto" w:fill="auto"/>
            <w:noWrap/>
            <w:vAlign w:val="bottom"/>
            <w:hideMark/>
          </w:tcPr>
          <w:p w14:paraId="62F2457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c>
          <w:tcPr>
            <w:tcW w:w="988" w:type="dxa"/>
            <w:shd w:val="clear" w:color="auto" w:fill="auto"/>
            <w:noWrap/>
            <w:vAlign w:val="bottom"/>
            <w:hideMark/>
          </w:tcPr>
          <w:p w14:paraId="035F387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7 542</w:t>
            </w:r>
          </w:p>
        </w:tc>
        <w:tc>
          <w:tcPr>
            <w:tcW w:w="1070" w:type="dxa"/>
            <w:shd w:val="clear" w:color="auto" w:fill="auto"/>
            <w:noWrap/>
            <w:vAlign w:val="bottom"/>
            <w:hideMark/>
          </w:tcPr>
          <w:p w14:paraId="77056E4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c>
          <w:tcPr>
            <w:tcW w:w="1078" w:type="dxa"/>
            <w:shd w:val="clear" w:color="auto" w:fill="auto"/>
            <w:noWrap/>
            <w:vAlign w:val="bottom"/>
            <w:hideMark/>
          </w:tcPr>
          <w:p w14:paraId="2664F6E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10 673</w:t>
            </w:r>
          </w:p>
        </w:tc>
        <w:tc>
          <w:tcPr>
            <w:tcW w:w="1036" w:type="dxa"/>
            <w:shd w:val="clear" w:color="auto" w:fill="auto"/>
            <w:noWrap/>
            <w:vAlign w:val="bottom"/>
            <w:hideMark/>
          </w:tcPr>
          <w:p w14:paraId="0A60FD0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0,5</w:t>
            </w:r>
            <w:r>
              <w:rPr>
                <w:sz w:val="18"/>
                <w:szCs w:val="18"/>
                <w:lang w:val="fr-FR"/>
              </w:rPr>
              <w:t> </w:t>
            </w:r>
            <w:r w:rsidRPr="006927FC">
              <w:rPr>
                <w:sz w:val="18"/>
                <w:szCs w:val="18"/>
                <w:lang w:val="fr-FR"/>
              </w:rPr>
              <w:t>%</w:t>
            </w:r>
          </w:p>
        </w:tc>
        <w:tc>
          <w:tcPr>
            <w:tcW w:w="1081" w:type="dxa"/>
            <w:shd w:val="clear" w:color="auto" w:fill="auto"/>
            <w:noWrap/>
            <w:vAlign w:val="bottom"/>
            <w:hideMark/>
          </w:tcPr>
          <w:p w14:paraId="45D7816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8 150</w:t>
            </w:r>
          </w:p>
        </w:tc>
        <w:tc>
          <w:tcPr>
            <w:tcW w:w="1008" w:type="dxa"/>
            <w:shd w:val="clear" w:color="auto" w:fill="auto"/>
            <w:noWrap/>
            <w:vAlign w:val="bottom"/>
            <w:hideMark/>
          </w:tcPr>
          <w:p w14:paraId="778B5AE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r>
      <w:tr w:rsidR="007F326F" w:rsidRPr="006927FC" w14:paraId="1D67AAAC" w14:textId="77777777" w:rsidTr="007F326F">
        <w:tc>
          <w:tcPr>
            <w:tcW w:w="1971" w:type="dxa"/>
            <w:shd w:val="clear" w:color="auto" w:fill="auto"/>
          </w:tcPr>
          <w:p w14:paraId="69DCB56F"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Éducation*</w:t>
            </w:r>
          </w:p>
        </w:tc>
        <w:tc>
          <w:tcPr>
            <w:tcW w:w="1064" w:type="dxa"/>
            <w:shd w:val="clear" w:color="auto" w:fill="auto"/>
            <w:noWrap/>
            <w:vAlign w:val="bottom"/>
            <w:hideMark/>
          </w:tcPr>
          <w:p w14:paraId="5329449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55 684</w:t>
            </w:r>
          </w:p>
        </w:tc>
        <w:tc>
          <w:tcPr>
            <w:tcW w:w="910" w:type="dxa"/>
            <w:shd w:val="clear" w:color="auto" w:fill="auto"/>
            <w:noWrap/>
            <w:vAlign w:val="bottom"/>
            <w:hideMark/>
          </w:tcPr>
          <w:p w14:paraId="7138D92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3,3</w:t>
            </w:r>
            <w:r>
              <w:rPr>
                <w:sz w:val="18"/>
                <w:szCs w:val="18"/>
                <w:lang w:val="fr-FR"/>
              </w:rPr>
              <w:t> </w:t>
            </w:r>
            <w:r w:rsidRPr="006927FC">
              <w:rPr>
                <w:sz w:val="18"/>
                <w:szCs w:val="18"/>
                <w:lang w:val="fr-FR"/>
              </w:rPr>
              <w:t>%</w:t>
            </w:r>
          </w:p>
        </w:tc>
        <w:tc>
          <w:tcPr>
            <w:tcW w:w="1064" w:type="dxa"/>
            <w:shd w:val="clear" w:color="auto" w:fill="auto"/>
            <w:noWrap/>
            <w:vAlign w:val="bottom"/>
            <w:hideMark/>
          </w:tcPr>
          <w:p w14:paraId="2CEE880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54 150</w:t>
            </w:r>
          </w:p>
        </w:tc>
        <w:tc>
          <w:tcPr>
            <w:tcW w:w="1091" w:type="dxa"/>
            <w:shd w:val="clear" w:color="auto" w:fill="auto"/>
            <w:noWrap/>
            <w:vAlign w:val="bottom"/>
            <w:hideMark/>
          </w:tcPr>
          <w:p w14:paraId="55E5417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3,3</w:t>
            </w:r>
            <w:r>
              <w:rPr>
                <w:sz w:val="18"/>
                <w:szCs w:val="18"/>
                <w:lang w:val="fr-FR"/>
              </w:rPr>
              <w:t> </w:t>
            </w:r>
            <w:r w:rsidRPr="006927FC">
              <w:rPr>
                <w:sz w:val="18"/>
                <w:szCs w:val="18"/>
                <w:lang w:val="fr-FR"/>
              </w:rPr>
              <w:t>%</w:t>
            </w:r>
          </w:p>
        </w:tc>
        <w:tc>
          <w:tcPr>
            <w:tcW w:w="988" w:type="dxa"/>
            <w:shd w:val="clear" w:color="auto" w:fill="auto"/>
            <w:noWrap/>
            <w:vAlign w:val="bottom"/>
            <w:hideMark/>
          </w:tcPr>
          <w:p w14:paraId="570E6D8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58 402</w:t>
            </w:r>
          </w:p>
        </w:tc>
        <w:tc>
          <w:tcPr>
            <w:tcW w:w="1070" w:type="dxa"/>
            <w:shd w:val="clear" w:color="auto" w:fill="auto"/>
            <w:noWrap/>
            <w:vAlign w:val="bottom"/>
            <w:hideMark/>
          </w:tcPr>
          <w:p w14:paraId="5F8C4CA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3,1</w:t>
            </w:r>
            <w:r>
              <w:rPr>
                <w:sz w:val="18"/>
                <w:szCs w:val="18"/>
                <w:lang w:val="fr-FR"/>
              </w:rPr>
              <w:t> </w:t>
            </w:r>
            <w:r w:rsidRPr="006927FC">
              <w:rPr>
                <w:sz w:val="18"/>
                <w:szCs w:val="18"/>
                <w:lang w:val="fr-FR"/>
              </w:rPr>
              <w:t>%</w:t>
            </w:r>
          </w:p>
        </w:tc>
        <w:tc>
          <w:tcPr>
            <w:tcW w:w="1078" w:type="dxa"/>
            <w:shd w:val="clear" w:color="auto" w:fill="auto"/>
            <w:noWrap/>
            <w:vAlign w:val="bottom"/>
            <w:hideMark/>
          </w:tcPr>
          <w:p w14:paraId="246470A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62 966</w:t>
            </w:r>
          </w:p>
        </w:tc>
        <w:tc>
          <w:tcPr>
            <w:tcW w:w="1036" w:type="dxa"/>
            <w:shd w:val="clear" w:color="auto" w:fill="auto"/>
            <w:noWrap/>
            <w:vAlign w:val="bottom"/>
            <w:hideMark/>
          </w:tcPr>
          <w:p w14:paraId="3C42073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2,9</w:t>
            </w:r>
            <w:r>
              <w:rPr>
                <w:sz w:val="18"/>
                <w:szCs w:val="18"/>
                <w:lang w:val="fr-FR"/>
              </w:rPr>
              <w:t> </w:t>
            </w:r>
            <w:r w:rsidRPr="006927FC">
              <w:rPr>
                <w:sz w:val="18"/>
                <w:szCs w:val="18"/>
                <w:lang w:val="fr-FR"/>
              </w:rPr>
              <w:t>%</w:t>
            </w:r>
          </w:p>
        </w:tc>
        <w:tc>
          <w:tcPr>
            <w:tcW w:w="1081" w:type="dxa"/>
            <w:shd w:val="clear" w:color="auto" w:fill="auto"/>
            <w:noWrap/>
            <w:vAlign w:val="bottom"/>
            <w:hideMark/>
          </w:tcPr>
          <w:p w14:paraId="4C1C89D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69 016</w:t>
            </w:r>
          </w:p>
        </w:tc>
        <w:tc>
          <w:tcPr>
            <w:tcW w:w="1008" w:type="dxa"/>
            <w:shd w:val="clear" w:color="auto" w:fill="auto"/>
            <w:noWrap/>
            <w:vAlign w:val="bottom"/>
            <w:hideMark/>
          </w:tcPr>
          <w:p w14:paraId="7DE0353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w:t>
            </w:r>
            <w:r>
              <w:rPr>
                <w:sz w:val="18"/>
                <w:szCs w:val="18"/>
                <w:lang w:val="fr-FR"/>
              </w:rPr>
              <w:t> </w:t>
            </w:r>
            <w:r w:rsidRPr="006927FC">
              <w:rPr>
                <w:sz w:val="18"/>
                <w:szCs w:val="18"/>
                <w:lang w:val="fr-FR"/>
              </w:rPr>
              <w:t>%</w:t>
            </w:r>
          </w:p>
        </w:tc>
      </w:tr>
      <w:tr w:rsidR="007F326F" w:rsidRPr="006927FC" w14:paraId="58E56821" w14:textId="77777777" w:rsidTr="007F326F">
        <w:tc>
          <w:tcPr>
            <w:tcW w:w="1971" w:type="dxa"/>
            <w:shd w:val="clear" w:color="auto" w:fill="auto"/>
          </w:tcPr>
          <w:p w14:paraId="2D0B5AD5"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Protection sociale</w:t>
            </w:r>
          </w:p>
        </w:tc>
        <w:tc>
          <w:tcPr>
            <w:tcW w:w="1064" w:type="dxa"/>
            <w:shd w:val="clear" w:color="auto" w:fill="auto"/>
            <w:noWrap/>
            <w:vAlign w:val="bottom"/>
            <w:hideMark/>
          </w:tcPr>
          <w:p w14:paraId="27A868C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158 954</w:t>
            </w:r>
          </w:p>
        </w:tc>
        <w:tc>
          <w:tcPr>
            <w:tcW w:w="910" w:type="dxa"/>
            <w:shd w:val="clear" w:color="auto" w:fill="auto"/>
            <w:noWrap/>
            <w:vAlign w:val="bottom"/>
            <w:hideMark/>
          </w:tcPr>
          <w:p w14:paraId="02C7A9F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9,4</w:t>
            </w:r>
            <w:r>
              <w:rPr>
                <w:sz w:val="18"/>
                <w:szCs w:val="18"/>
                <w:lang w:val="fr-FR"/>
              </w:rPr>
              <w:t> </w:t>
            </w:r>
            <w:r w:rsidRPr="006927FC">
              <w:rPr>
                <w:sz w:val="18"/>
                <w:szCs w:val="18"/>
                <w:lang w:val="fr-FR"/>
              </w:rPr>
              <w:t>%</w:t>
            </w:r>
          </w:p>
        </w:tc>
        <w:tc>
          <w:tcPr>
            <w:tcW w:w="1064" w:type="dxa"/>
            <w:shd w:val="clear" w:color="auto" w:fill="auto"/>
            <w:noWrap/>
            <w:vAlign w:val="bottom"/>
            <w:hideMark/>
          </w:tcPr>
          <w:p w14:paraId="40D0AAF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177 760</w:t>
            </w:r>
          </w:p>
        </w:tc>
        <w:tc>
          <w:tcPr>
            <w:tcW w:w="1091" w:type="dxa"/>
            <w:shd w:val="clear" w:color="auto" w:fill="auto"/>
            <w:noWrap/>
            <w:vAlign w:val="bottom"/>
            <w:hideMark/>
          </w:tcPr>
          <w:p w14:paraId="203AD89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10,8</w:t>
            </w:r>
            <w:r>
              <w:rPr>
                <w:sz w:val="18"/>
                <w:szCs w:val="18"/>
                <w:lang w:val="fr-FR"/>
              </w:rPr>
              <w:t> </w:t>
            </w:r>
            <w:r w:rsidRPr="006927FC">
              <w:rPr>
                <w:sz w:val="18"/>
                <w:szCs w:val="18"/>
                <w:lang w:val="fr-FR"/>
              </w:rPr>
              <w:t>%</w:t>
            </w:r>
          </w:p>
        </w:tc>
        <w:tc>
          <w:tcPr>
            <w:tcW w:w="988" w:type="dxa"/>
            <w:shd w:val="clear" w:color="auto" w:fill="auto"/>
            <w:noWrap/>
            <w:vAlign w:val="bottom"/>
            <w:hideMark/>
          </w:tcPr>
          <w:p w14:paraId="0C92E43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180 724</w:t>
            </w:r>
          </w:p>
        </w:tc>
        <w:tc>
          <w:tcPr>
            <w:tcW w:w="1070" w:type="dxa"/>
            <w:shd w:val="clear" w:color="auto" w:fill="auto"/>
            <w:noWrap/>
            <w:vAlign w:val="bottom"/>
            <w:hideMark/>
          </w:tcPr>
          <w:p w14:paraId="7A497B3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9,7</w:t>
            </w:r>
            <w:r>
              <w:rPr>
                <w:sz w:val="18"/>
                <w:szCs w:val="18"/>
                <w:lang w:val="fr-FR"/>
              </w:rPr>
              <w:t> </w:t>
            </w:r>
            <w:r w:rsidRPr="006927FC">
              <w:rPr>
                <w:sz w:val="18"/>
                <w:szCs w:val="18"/>
                <w:lang w:val="fr-FR"/>
              </w:rPr>
              <w:t>%</w:t>
            </w:r>
          </w:p>
        </w:tc>
        <w:tc>
          <w:tcPr>
            <w:tcW w:w="1078" w:type="dxa"/>
            <w:shd w:val="clear" w:color="auto" w:fill="auto"/>
            <w:noWrap/>
            <w:vAlign w:val="bottom"/>
            <w:hideMark/>
          </w:tcPr>
          <w:p w14:paraId="70084B5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198 087</w:t>
            </w:r>
          </w:p>
        </w:tc>
        <w:tc>
          <w:tcPr>
            <w:tcW w:w="1036" w:type="dxa"/>
            <w:shd w:val="clear" w:color="auto" w:fill="auto"/>
            <w:noWrap/>
            <w:vAlign w:val="bottom"/>
            <w:hideMark/>
          </w:tcPr>
          <w:p w14:paraId="093F0D2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9,3</w:t>
            </w:r>
            <w:r>
              <w:rPr>
                <w:sz w:val="18"/>
                <w:szCs w:val="18"/>
                <w:lang w:val="fr-FR"/>
              </w:rPr>
              <w:t> </w:t>
            </w:r>
            <w:r w:rsidRPr="006927FC">
              <w:rPr>
                <w:sz w:val="18"/>
                <w:szCs w:val="18"/>
                <w:lang w:val="fr-FR"/>
              </w:rPr>
              <w:t>%</w:t>
            </w:r>
          </w:p>
        </w:tc>
        <w:tc>
          <w:tcPr>
            <w:tcW w:w="1081" w:type="dxa"/>
            <w:shd w:val="clear" w:color="auto" w:fill="auto"/>
            <w:noWrap/>
            <w:vAlign w:val="bottom"/>
            <w:hideMark/>
          </w:tcPr>
          <w:p w14:paraId="52E8E5E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205 884</w:t>
            </w:r>
          </w:p>
        </w:tc>
        <w:tc>
          <w:tcPr>
            <w:tcW w:w="1008" w:type="dxa"/>
            <w:shd w:val="clear" w:color="auto" w:fill="auto"/>
            <w:noWrap/>
            <w:vAlign w:val="bottom"/>
            <w:hideMark/>
          </w:tcPr>
          <w:p w14:paraId="4BC8294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8,9</w:t>
            </w:r>
            <w:r>
              <w:rPr>
                <w:sz w:val="18"/>
                <w:szCs w:val="18"/>
                <w:lang w:val="fr-FR"/>
              </w:rPr>
              <w:t> </w:t>
            </w:r>
            <w:r w:rsidRPr="006927FC">
              <w:rPr>
                <w:sz w:val="18"/>
                <w:szCs w:val="18"/>
                <w:lang w:val="fr-FR"/>
              </w:rPr>
              <w:t>%</w:t>
            </w:r>
          </w:p>
        </w:tc>
      </w:tr>
      <w:tr w:rsidR="007F326F" w:rsidRPr="006927FC" w14:paraId="14AFAA46" w14:textId="77777777" w:rsidTr="007F326F">
        <w:tc>
          <w:tcPr>
            <w:tcW w:w="1971" w:type="dxa"/>
            <w:shd w:val="clear" w:color="auto" w:fill="auto"/>
          </w:tcPr>
          <w:p w14:paraId="73D8AF2C" w14:textId="2EA0204B" w:rsidR="00780206" w:rsidRPr="006927FC" w:rsidRDefault="00780206" w:rsidP="00114026">
            <w:pPr>
              <w:tabs>
                <w:tab w:val="left" w:pos="567"/>
              </w:tabs>
              <w:suppressAutoHyphens w:val="0"/>
              <w:spacing w:before="40" w:after="40" w:line="220" w:lineRule="exact"/>
              <w:rPr>
                <w:sz w:val="18"/>
                <w:szCs w:val="18"/>
                <w:lang w:val="fr-FR"/>
              </w:rPr>
            </w:pPr>
            <w:r w:rsidRPr="006927FC">
              <w:rPr>
                <w:sz w:val="18"/>
                <w:szCs w:val="18"/>
                <w:lang w:val="fr-FR"/>
              </w:rPr>
              <w:t>Fonds de réserve, risque d</w:t>
            </w:r>
            <w:r>
              <w:rPr>
                <w:sz w:val="18"/>
                <w:szCs w:val="18"/>
                <w:lang w:val="fr-FR"/>
              </w:rPr>
              <w:t>’</w:t>
            </w:r>
            <w:r w:rsidRPr="006927FC">
              <w:rPr>
                <w:sz w:val="18"/>
                <w:szCs w:val="18"/>
                <w:lang w:val="fr-FR"/>
              </w:rPr>
              <w:t xml:space="preserve">endettement et nouvelle politique de hausse </w:t>
            </w:r>
            <w:r w:rsidR="007F326F">
              <w:rPr>
                <w:sz w:val="18"/>
                <w:szCs w:val="18"/>
                <w:lang w:val="fr-FR"/>
              </w:rPr>
              <w:br/>
            </w:r>
            <w:r w:rsidRPr="006927FC">
              <w:rPr>
                <w:sz w:val="18"/>
                <w:szCs w:val="18"/>
                <w:lang w:val="fr-FR"/>
              </w:rPr>
              <w:t>des salaires</w:t>
            </w:r>
          </w:p>
        </w:tc>
        <w:tc>
          <w:tcPr>
            <w:tcW w:w="1064" w:type="dxa"/>
            <w:shd w:val="clear" w:color="auto" w:fill="auto"/>
            <w:noWrap/>
            <w:vAlign w:val="bottom"/>
            <w:hideMark/>
          </w:tcPr>
          <w:p w14:paraId="5AC52E7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w:t>
            </w:r>
          </w:p>
        </w:tc>
        <w:tc>
          <w:tcPr>
            <w:tcW w:w="910" w:type="dxa"/>
            <w:shd w:val="clear" w:color="auto" w:fill="auto"/>
            <w:noWrap/>
            <w:vAlign w:val="bottom"/>
            <w:hideMark/>
          </w:tcPr>
          <w:p w14:paraId="59951C7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0,0</w:t>
            </w:r>
            <w:r>
              <w:rPr>
                <w:sz w:val="18"/>
                <w:szCs w:val="18"/>
                <w:lang w:val="fr-FR"/>
              </w:rPr>
              <w:t> </w:t>
            </w:r>
            <w:r w:rsidRPr="006927FC">
              <w:rPr>
                <w:sz w:val="18"/>
                <w:szCs w:val="18"/>
                <w:lang w:val="fr-FR"/>
              </w:rPr>
              <w:t>%</w:t>
            </w:r>
          </w:p>
        </w:tc>
        <w:tc>
          <w:tcPr>
            <w:tcW w:w="1064" w:type="dxa"/>
            <w:shd w:val="clear" w:color="auto" w:fill="auto"/>
            <w:noWrap/>
            <w:vAlign w:val="bottom"/>
            <w:hideMark/>
          </w:tcPr>
          <w:p w14:paraId="4872F89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rPr>
              <w:t> </w:t>
            </w:r>
          </w:p>
        </w:tc>
        <w:tc>
          <w:tcPr>
            <w:tcW w:w="1091" w:type="dxa"/>
            <w:shd w:val="clear" w:color="auto" w:fill="auto"/>
            <w:noWrap/>
            <w:vAlign w:val="bottom"/>
            <w:hideMark/>
          </w:tcPr>
          <w:p w14:paraId="7DB8C65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0,0</w:t>
            </w:r>
            <w:r>
              <w:rPr>
                <w:sz w:val="18"/>
                <w:szCs w:val="18"/>
                <w:lang w:val="fr-FR"/>
              </w:rPr>
              <w:t> </w:t>
            </w:r>
            <w:r w:rsidRPr="006927FC">
              <w:rPr>
                <w:sz w:val="18"/>
                <w:szCs w:val="18"/>
                <w:lang w:val="fr-FR"/>
              </w:rPr>
              <w:t>%</w:t>
            </w:r>
          </w:p>
        </w:tc>
        <w:tc>
          <w:tcPr>
            <w:tcW w:w="988" w:type="dxa"/>
            <w:shd w:val="clear" w:color="auto" w:fill="auto"/>
            <w:noWrap/>
            <w:vAlign w:val="bottom"/>
            <w:hideMark/>
          </w:tcPr>
          <w:p w14:paraId="349E355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w:t>
            </w:r>
          </w:p>
        </w:tc>
        <w:tc>
          <w:tcPr>
            <w:tcW w:w="1070" w:type="dxa"/>
            <w:shd w:val="clear" w:color="auto" w:fill="auto"/>
            <w:noWrap/>
            <w:vAlign w:val="bottom"/>
            <w:hideMark/>
          </w:tcPr>
          <w:p w14:paraId="347087B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0,0</w:t>
            </w:r>
            <w:r>
              <w:rPr>
                <w:sz w:val="18"/>
                <w:szCs w:val="18"/>
                <w:lang w:val="fr-FR"/>
              </w:rPr>
              <w:t> </w:t>
            </w:r>
            <w:r w:rsidRPr="006927FC">
              <w:rPr>
                <w:sz w:val="18"/>
                <w:szCs w:val="18"/>
                <w:lang w:val="fr-FR"/>
              </w:rPr>
              <w:t>%</w:t>
            </w:r>
          </w:p>
        </w:tc>
        <w:tc>
          <w:tcPr>
            <w:tcW w:w="1078" w:type="dxa"/>
            <w:shd w:val="clear" w:color="auto" w:fill="auto"/>
            <w:noWrap/>
            <w:vAlign w:val="bottom"/>
            <w:hideMark/>
          </w:tcPr>
          <w:p w14:paraId="5C1289A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w:t>
            </w:r>
          </w:p>
        </w:tc>
        <w:tc>
          <w:tcPr>
            <w:tcW w:w="1036" w:type="dxa"/>
            <w:shd w:val="clear" w:color="auto" w:fill="auto"/>
            <w:noWrap/>
            <w:vAlign w:val="bottom"/>
            <w:hideMark/>
          </w:tcPr>
          <w:p w14:paraId="4E37011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0,0</w:t>
            </w:r>
            <w:r>
              <w:rPr>
                <w:sz w:val="18"/>
                <w:szCs w:val="18"/>
                <w:lang w:val="fr-FR"/>
              </w:rPr>
              <w:t> </w:t>
            </w:r>
            <w:r w:rsidRPr="006927FC">
              <w:rPr>
                <w:sz w:val="18"/>
                <w:szCs w:val="18"/>
                <w:lang w:val="fr-FR"/>
              </w:rPr>
              <w:t>%</w:t>
            </w:r>
          </w:p>
        </w:tc>
        <w:tc>
          <w:tcPr>
            <w:tcW w:w="1081" w:type="dxa"/>
            <w:shd w:val="clear" w:color="auto" w:fill="auto"/>
            <w:noWrap/>
            <w:vAlign w:val="bottom"/>
            <w:hideMark/>
          </w:tcPr>
          <w:p w14:paraId="2F3299A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11 500</w:t>
            </w:r>
          </w:p>
        </w:tc>
        <w:tc>
          <w:tcPr>
            <w:tcW w:w="1008" w:type="dxa"/>
            <w:shd w:val="clear" w:color="auto" w:fill="auto"/>
            <w:noWrap/>
            <w:vAlign w:val="bottom"/>
            <w:hideMark/>
          </w:tcPr>
          <w:p w14:paraId="433CF5D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0,5</w:t>
            </w:r>
            <w:r>
              <w:rPr>
                <w:sz w:val="18"/>
                <w:szCs w:val="18"/>
                <w:lang w:val="fr-FR"/>
              </w:rPr>
              <w:t> </w:t>
            </w:r>
            <w:r w:rsidRPr="006927FC">
              <w:rPr>
                <w:sz w:val="18"/>
                <w:szCs w:val="18"/>
                <w:lang w:val="fr-FR"/>
              </w:rPr>
              <w:t>%</w:t>
            </w:r>
          </w:p>
        </w:tc>
      </w:tr>
      <w:tr w:rsidR="007F326F" w:rsidRPr="006927FC" w14:paraId="4C0BFBA5" w14:textId="77777777" w:rsidTr="007F326F">
        <w:tc>
          <w:tcPr>
            <w:tcW w:w="1971" w:type="dxa"/>
            <w:shd w:val="clear" w:color="auto" w:fill="auto"/>
          </w:tcPr>
          <w:p w14:paraId="3223F441" w14:textId="77777777" w:rsidR="00780206" w:rsidRPr="006927FC" w:rsidRDefault="00780206" w:rsidP="00114026">
            <w:pPr>
              <w:tabs>
                <w:tab w:val="left" w:pos="567"/>
              </w:tabs>
              <w:suppressAutoHyphens w:val="0"/>
              <w:spacing w:before="40" w:after="40" w:line="220" w:lineRule="exact"/>
              <w:rPr>
                <w:iCs/>
                <w:sz w:val="18"/>
                <w:szCs w:val="18"/>
              </w:rPr>
            </w:pPr>
            <w:r w:rsidRPr="006927FC">
              <w:rPr>
                <w:sz w:val="18"/>
                <w:szCs w:val="18"/>
                <w:lang w:val="fr-FR"/>
              </w:rPr>
              <w:t>PIB nominal</w:t>
            </w:r>
          </w:p>
        </w:tc>
        <w:tc>
          <w:tcPr>
            <w:tcW w:w="1064" w:type="dxa"/>
            <w:shd w:val="clear" w:color="auto" w:fill="auto"/>
            <w:noWrap/>
            <w:vAlign w:val="bottom"/>
            <w:hideMark/>
          </w:tcPr>
          <w:p w14:paraId="285E3DA1"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1 691 903</w:t>
            </w:r>
          </w:p>
        </w:tc>
        <w:tc>
          <w:tcPr>
            <w:tcW w:w="910" w:type="dxa"/>
            <w:shd w:val="clear" w:color="auto" w:fill="auto"/>
            <w:noWrap/>
            <w:vAlign w:val="bottom"/>
            <w:hideMark/>
          </w:tcPr>
          <w:p w14:paraId="426EFF10"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iCs/>
                <w:sz w:val="18"/>
                <w:szCs w:val="18"/>
              </w:rPr>
              <w:t> </w:t>
            </w:r>
          </w:p>
        </w:tc>
        <w:tc>
          <w:tcPr>
            <w:tcW w:w="1064" w:type="dxa"/>
            <w:shd w:val="clear" w:color="auto" w:fill="auto"/>
            <w:noWrap/>
            <w:vAlign w:val="bottom"/>
            <w:hideMark/>
          </w:tcPr>
          <w:p w14:paraId="373BDDC8"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1 647 431</w:t>
            </w:r>
          </w:p>
        </w:tc>
        <w:tc>
          <w:tcPr>
            <w:tcW w:w="1091" w:type="dxa"/>
            <w:shd w:val="clear" w:color="auto" w:fill="auto"/>
            <w:noWrap/>
            <w:vAlign w:val="bottom"/>
            <w:hideMark/>
          </w:tcPr>
          <w:p w14:paraId="0EB81AC0"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iCs/>
                <w:sz w:val="18"/>
                <w:szCs w:val="18"/>
              </w:rPr>
              <w:t> </w:t>
            </w:r>
          </w:p>
        </w:tc>
        <w:tc>
          <w:tcPr>
            <w:tcW w:w="988" w:type="dxa"/>
            <w:shd w:val="clear" w:color="auto" w:fill="auto"/>
            <w:noWrap/>
            <w:vAlign w:val="bottom"/>
            <w:hideMark/>
          </w:tcPr>
          <w:p w14:paraId="47E6EA1A"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1 856 172</w:t>
            </w:r>
          </w:p>
        </w:tc>
        <w:tc>
          <w:tcPr>
            <w:tcW w:w="1070" w:type="dxa"/>
            <w:shd w:val="clear" w:color="auto" w:fill="auto"/>
            <w:noWrap/>
            <w:vAlign w:val="bottom"/>
            <w:hideMark/>
          </w:tcPr>
          <w:p w14:paraId="00AFC3B0"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iCs/>
                <w:sz w:val="18"/>
                <w:szCs w:val="18"/>
              </w:rPr>
              <w:t> </w:t>
            </w:r>
          </w:p>
        </w:tc>
        <w:tc>
          <w:tcPr>
            <w:tcW w:w="1078" w:type="dxa"/>
            <w:shd w:val="clear" w:color="auto" w:fill="auto"/>
            <w:noWrap/>
            <w:vAlign w:val="bottom"/>
            <w:hideMark/>
          </w:tcPr>
          <w:p w14:paraId="71F2DB0D"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2 138 339</w:t>
            </w:r>
          </w:p>
        </w:tc>
        <w:tc>
          <w:tcPr>
            <w:tcW w:w="1036" w:type="dxa"/>
            <w:shd w:val="clear" w:color="auto" w:fill="auto"/>
            <w:noWrap/>
            <w:vAlign w:val="bottom"/>
            <w:hideMark/>
          </w:tcPr>
          <w:p w14:paraId="0CCA70B2"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iCs/>
                <w:sz w:val="18"/>
                <w:szCs w:val="18"/>
              </w:rPr>
              <w:t> </w:t>
            </w:r>
          </w:p>
        </w:tc>
        <w:tc>
          <w:tcPr>
            <w:tcW w:w="1081" w:type="dxa"/>
            <w:shd w:val="clear" w:color="auto" w:fill="auto"/>
            <w:noWrap/>
            <w:vAlign w:val="bottom"/>
            <w:hideMark/>
          </w:tcPr>
          <w:p w14:paraId="4D521C21"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2 311 673</w:t>
            </w:r>
          </w:p>
        </w:tc>
        <w:tc>
          <w:tcPr>
            <w:tcW w:w="1008" w:type="dxa"/>
            <w:shd w:val="clear" w:color="auto" w:fill="auto"/>
            <w:noWrap/>
            <w:vAlign w:val="bottom"/>
            <w:hideMark/>
          </w:tcPr>
          <w:p w14:paraId="620DF20E"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iCs/>
                <w:sz w:val="18"/>
                <w:szCs w:val="18"/>
              </w:rPr>
              <w:t> </w:t>
            </w:r>
          </w:p>
        </w:tc>
      </w:tr>
      <w:tr w:rsidR="007F326F" w:rsidRPr="006927FC" w14:paraId="40586563" w14:textId="77777777" w:rsidTr="007F326F">
        <w:tc>
          <w:tcPr>
            <w:tcW w:w="1971" w:type="dxa"/>
            <w:shd w:val="clear" w:color="auto" w:fill="auto"/>
          </w:tcPr>
          <w:p w14:paraId="02C1CCC0" w14:textId="77777777" w:rsidR="00780206" w:rsidRPr="006927FC" w:rsidRDefault="00780206" w:rsidP="00114026">
            <w:pPr>
              <w:tabs>
                <w:tab w:val="left" w:pos="567"/>
              </w:tabs>
              <w:suppressAutoHyphens w:val="0"/>
              <w:spacing w:before="40" w:after="40" w:line="220" w:lineRule="exact"/>
              <w:rPr>
                <w:b/>
                <w:sz w:val="18"/>
                <w:szCs w:val="18"/>
              </w:rPr>
            </w:pPr>
            <w:r w:rsidRPr="006927FC">
              <w:rPr>
                <w:sz w:val="18"/>
                <w:szCs w:val="18"/>
                <w:lang w:val="fr-FR"/>
              </w:rPr>
              <w:t>Santé (% des dépenses totales)</w:t>
            </w:r>
          </w:p>
        </w:tc>
        <w:tc>
          <w:tcPr>
            <w:tcW w:w="1064" w:type="dxa"/>
            <w:shd w:val="clear" w:color="auto" w:fill="auto"/>
            <w:noWrap/>
            <w:vAlign w:val="bottom"/>
          </w:tcPr>
          <w:p w14:paraId="5FD89320"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10,4</w:t>
            </w:r>
            <w:r>
              <w:rPr>
                <w:sz w:val="18"/>
                <w:szCs w:val="18"/>
                <w:lang w:val="fr-FR"/>
              </w:rPr>
              <w:t> </w:t>
            </w:r>
            <w:r w:rsidRPr="006927FC">
              <w:rPr>
                <w:sz w:val="18"/>
                <w:szCs w:val="18"/>
                <w:lang w:val="fr-FR"/>
              </w:rPr>
              <w:t>%</w:t>
            </w:r>
          </w:p>
        </w:tc>
        <w:tc>
          <w:tcPr>
            <w:tcW w:w="910" w:type="dxa"/>
            <w:shd w:val="clear" w:color="auto" w:fill="auto"/>
            <w:noWrap/>
            <w:vAlign w:val="bottom"/>
          </w:tcPr>
          <w:p w14:paraId="1291275E"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64" w:type="dxa"/>
            <w:shd w:val="clear" w:color="auto" w:fill="auto"/>
            <w:noWrap/>
            <w:vAlign w:val="bottom"/>
          </w:tcPr>
          <w:p w14:paraId="65A00B7A"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9,6</w:t>
            </w:r>
            <w:r>
              <w:rPr>
                <w:sz w:val="18"/>
                <w:szCs w:val="18"/>
                <w:lang w:val="fr-FR"/>
              </w:rPr>
              <w:t> </w:t>
            </w:r>
            <w:r w:rsidRPr="006927FC">
              <w:rPr>
                <w:sz w:val="18"/>
                <w:szCs w:val="18"/>
                <w:lang w:val="fr-FR"/>
              </w:rPr>
              <w:t>%</w:t>
            </w:r>
          </w:p>
        </w:tc>
        <w:tc>
          <w:tcPr>
            <w:tcW w:w="1091" w:type="dxa"/>
            <w:shd w:val="clear" w:color="auto" w:fill="auto"/>
            <w:noWrap/>
            <w:vAlign w:val="bottom"/>
          </w:tcPr>
          <w:p w14:paraId="47E5285A"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988" w:type="dxa"/>
            <w:shd w:val="clear" w:color="auto" w:fill="auto"/>
            <w:noWrap/>
            <w:vAlign w:val="bottom"/>
          </w:tcPr>
          <w:p w14:paraId="3D49E727"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10,7</w:t>
            </w:r>
            <w:r>
              <w:rPr>
                <w:sz w:val="18"/>
                <w:szCs w:val="18"/>
                <w:lang w:val="fr-FR"/>
              </w:rPr>
              <w:t> </w:t>
            </w:r>
            <w:r w:rsidRPr="006927FC">
              <w:rPr>
                <w:sz w:val="18"/>
                <w:szCs w:val="18"/>
                <w:lang w:val="fr-FR"/>
              </w:rPr>
              <w:t>%</w:t>
            </w:r>
          </w:p>
        </w:tc>
        <w:tc>
          <w:tcPr>
            <w:tcW w:w="1070" w:type="dxa"/>
            <w:shd w:val="clear" w:color="auto" w:fill="auto"/>
            <w:noWrap/>
            <w:vAlign w:val="bottom"/>
          </w:tcPr>
          <w:p w14:paraId="57359091"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78" w:type="dxa"/>
            <w:shd w:val="clear" w:color="auto" w:fill="auto"/>
            <w:noWrap/>
            <w:vAlign w:val="bottom"/>
          </w:tcPr>
          <w:p w14:paraId="3CF7FCDE"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9,8</w:t>
            </w:r>
            <w:r>
              <w:rPr>
                <w:sz w:val="18"/>
                <w:szCs w:val="18"/>
                <w:lang w:val="fr-FR"/>
              </w:rPr>
              <w:t> </w:t>
            </w:r>
            <w:r w:rsidRPr="006927FC">
              <w:rPr>
                <w:sz w:val="18"/>
                <w:szCs w:val="18"/>
                <w:lang w:val="fr-FR"/>
              </w:rPr>
              <w:t>%</w:t>
            </w:r>
          </w:p>
        </w:tc>
        <w:tc>
          <w:tcPr>
            <w:tcW w:w="1036" w:type="dxa"/>
            <w:shd w:val="clear" w:color="auto" w:fill="auto"/>
            <w:noWrap/>
            <w:vAlign w:val="bottom"/>
          </w:tcPr>
          <w:p w14:paraId="10ACA399"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81" w:type="dxa"/>
            <w:shd w:val="clear" w:color="auto" w:fill="auto"/>
            <w:noWrap/>
            <w:vAlign w:val="bottom"/>
          </w:tcPr>
          <w:p w14:paraId="4A0CDAFB"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9,6</w:t>
            </w:r>
            <w:r>
              <w:rPr>
                <w:sz w:val="18"/>
                <w:szCs w:val="18"/>
                <w:lang w:val="fr-FR"/>
              </w:rPr>
              <w:t> </w:t>
            </w:r>
            <w:r w:rsidRPr="006927FC">
              <w:rPr>
                <w:sz w:val="18"/>
                <w:szCs w:val="18"/>
                <w:lang w:val="fr-FR"/>
              </w:rPr>
              <w:t>%</w:t>
            </w:r>
          </w:p>
        </w:tc>
        <w:tc>
          <w:tcPr>
            <w:tcW w:w="1008" w:type="dxa"/>
            <w:shd w:val="clear" w:color="auto" w:fill="auto"/>
            <w:noWrap/>
            <w:vAlign w:val="bottom"/>
          </w:tcPr>
          <w:p w14:paraId="6A39A413" w14:textId="77777777" w:rsidR="00780206" w:rsidRPr="006927FC" w:rsidRDefault="00780206" w:rsidP="00114026">
            <w:pPr>
              <w:tabs>
                <w:tab w:val="left" w:pos="567"/>
              </w:tabs>
              <w:suppressAutoHyphens w:val="0"/>
              <w:spacing w:before="40" w:after="40" w:line="220" w:lineRule="exact"/>
              <w:jc w:val="right"/>
              <w:rPr>
                <w:iCs/>
                <w:sz w:val="18"/>
                <w:szCs w:val="18"/>
              </w:rPr>
            </w:pPr>
          </w:p>
        </w:tc>
      </w:tr>
      <w:tr w:rsidR="007F326F" w:rsidRPr="006927FC" w14:paraId="58F4C755" w14:textId="77777777" w:rsidTr="007F326F">
        <w:tc>
          <w:tcPr>
            <w:tcW w:w="1971" w:type="dxa"/>
            <w:shd w:val="clear" w:color="auto" w:fill="auto"/>
          </w:tcPr>
          <w:p w14:paraId="1A3663CE" w14:textId="77777777" w:rsidR="00780206" w:rsidRPr="006927FC" w:rsidRDefault="00780206" w:rsidP="00114026">
            <w:pPr>
              <w:tabs>
                <w:tab w:val="left" w:pos="567"/>
              </w:tabs>
              <w:suppressAutoHyphens w:val="0"/>
              <w:spacing w:before="40" w:after="40" w:line="220" w:lineRule="exact"/>
              <w:rPr>
                <w:b/>
                <w:sz w:val="18"/>
                <w:szCs w:val="18"/>
              </w:rPr>
            </w:pPr>
            <w:r w:rsidRPr="006927FC">
              <w:rPr>
                <w:sz w:val="18"/>
                <w:szCs w:val="18"/>
                <w:lang w:val="fr-FR"/>
              </w:rPr>
              <w:t>Éducation (% des dépenses totales)</w:t>
            </w:r>
          </w:p>
        </w:tc>
        <w:tc>
          <w:tcPr>
            <w:tcW w:w="1064" w:type="dxa"/>
            <w:shd w:val="clear" w:color="auto" w:fill="auto"/>
            <w:noWrap/>
            <w:vAlign w:val="bottom"/>
          </w:tcPr>
          <w:p w14:paraId="339F8B56"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11,3</w:t>
            </w:r>
            <w:r>
              <w:rPr>
                <w:sz w:val="18"/>
                <w:szCs w:val="18"/>
                <w:lang w:val="fr-FR"/>
              </w:rPr>
              <w:t> </w:t>
            </w:r>
            <w:r w:rsidRPr="006927FC">
              <w:rPr>
                <w:sz w:val="18"/>
                <w:szCs w:val="18"/>
                <w:lang w:val="fr-FR"/>
              </w:rPr>
              <w:t>%</w:t>
            </w:r>
          </w:p>
        </w:tc>
        <w:tc>
          <w:tcPr>
            <w:tcW w:w="910" w:type="dxa"/>
            <w:shd w:val="clear" w:color="auto" w:fill="auto"/>
            <w:noWrap/>
            <w:vAlign w:val="bottom"/>
          </w:tcPr>
          <w:p w14:paraId="0AB1303F"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64" w:type="dxa"/>
            <w:shd w:val="clear" w:color="auto" w:fill="auto"/>
            <w:noWrap/>
            <w:vAlign w:val="bottom"/>
          </w:tcPr>
          <w:p w14:paraId="4A9497BC"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10,1</w:t>
            </w:r>
            <w:r>
              <w:rPr>
                <w:sz w:val="18"/>
                <w:szCs w:val="18"/>
                <w:lang w:val="fr-FR"/>
              </w:rPr>
              <w:t> </w:t>
            </w:r>
            <w:r w:rsidRPr="006927FC">
              <w:rPr>
                <w:sz w:val="18"/>
                <w:szCs w:val="18"/>
                <w:lang w:val="fr-FR"/>
              </w:rPr>
              <w:t>%</w:t>
            </w:r>
          </w:p>
        </w:tc>
        <w:tc>
          <w:tcPr>
            <w:tcW w:w="1091" w:type="dxa"/>
            <w:shd w:val="clear" w:color="auto" w:fill="auto"/>
            <w:noWrap/>
            <w:vAlign w:val="bottom"/>
          </w:tcPr>
          <w:p w14:paraId="418DDFA3"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988" w:type="dxa"/>
            <w:shd w:val="clear" w:color="auto" w:fill="auto"/>
            <w:noWrap/>
            <w:vAlign w:val="bottom"/>
          </w:tcPr>
          <w:p w14:paraId="7AC94FF8"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9,8</w:t>
            </w:r>
            <w:r>
              <w:rPr>
                <w:sz w:val="18"/>
                <w:szCs w:val="18"/>
                <w:lang w:val="fr-FR"/>
              </w:rPr>
              <w:t> </w:t>
            </w:r>
            <w:r w:rsidRPr="006927FC">
              <w:rPr>
                <w:sz w:val="18"/>
                <w:szCs w:val="18"/>
                <w:lang w:val="fr-FR"/>
              </w:rPr>
              <w:t>%</w:t>
            </w:r>
          </w:p>
        </w:tc>
        <w:tc>
          <w:tcPr>
            <w:tcW w:w="1070" w:type="dxa"/>
            <w:shd w:val="clear" w:color="auto" w:fill="auto"/>
            <w:noWrap/>
            <w:vAlign w:val="bottom"/>
          </w:tcPr>
          <w:p w14:paraId="180DE28B"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78" w:type="dxa"/>
            <w:shd w:val="clear" w:color="auto" w:fill="auto"/>
            <w:noWrap/>
            <w:vAlign w:val="bottom"/>
          </w:tcPr>
          <w:p w14:paraId="67B8B54D"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9,7</w:t>
            </w:r>
            <w:r>
              <w:rPr>
                <w:sz w:val="18"/>
                <w:szCs w:val="18"/>
                <w:lang w:val="fr-FR"/>
              </w:rPr>
              <w:t> </w:t>
            </w:r>
            <w:r w:rsidRPr="006927FC">
              <w:rPr>
                <w:sz w:val="18"/>
                <w:szCs w:val="18"/>
                <w:lang w:val="fr-FR"/>
              </w:rPr>
              <w:t>%</w:t>
            </w:r>
          </w:p>
        </w:tc>
        <w:tc>
          <w:tcPr>
            <w:tcW w:w="1036" w:type="dxa"/>
            <w:shd w:val="clear" w:color="auto" w:fill="auto"/>
            <w:noWrap/>
            <w:vAlign w:val="bottom"/>
          </w:tcPr>
          <w:p w14:paraId="34103DC4"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81" w:type="dxa"/>
            <w:shd w:val="clear" w:color="auto" w:fill="auto"/>
            <w:noWrap/>
            <w:vAlign w:val="bottom"/>
          </w:tcPr>
          <w:p w14:paraId="6E1E462B"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9,9</w:t>
            </w:r>
            <w:r>
              <w:rPr>
                <w:sz w:val="18"/>
                <w:szCs w:val="18"/>
                <w:lang w:val="fr-FR"/>
              </w:rPr>
              <w:t> </w:t>
            </w:r>
            <w:r w:rsidRPr="006927FC">
              <w:rPr>
                <w:sz w:val="18"/>
                <w:szCs w:val="18"/>
                <w:lang w:val="fr-FR"/>
              </w:rPr>
              <w:t>%</w:t>
            </w:r>
          </w:p>
        </w:tc>
        <w:tc>
          <w:tcPr>
            <w:tcW w:w="1008" w:type="dxa"/>
            <w:shd w:val="clear" w:color="auto" w:fill="auto"/>
            <w:noWrap/>
            <w:vAlign w:val="bottom"/>
          </w:tcPr>
          <w:p w14:paraId="1A76C1C8" w14:textId="77777777" w:rsidR="00780206" w:rsidRPr="006927FC" w:rsidRDefault="00780206" w:rsidP="00114026">
            <w:pPr>
              <w:tabs>
                <w:tab w:val="left" w:pos="567"/>
              </w:tabs>
              <w:suppressAutoHyphens w:val="0"/>
              <w:spacing w:before="40" w:after="40" w:line="220" w:lineRule="exact"/>
              <w:jc w:val="right"/>
              <w:rPr>
                <w:iCs/>
                <w:sz w:val="18"/>
                <w:szCs w:val="18"/>
              </w:rPr>
            </w:pPr>
          </w:p>
        </w:tc>
      </w:tr>
      <w:tr w:rsidR="007F326F" w:rsidRPr="006927FC" w14:paraId="63800E93" w14:textId="77777777" w:rsidTr="007F326F">
        <w:tc>
          <w:tcPr>
            <w:tcW w:w="1971" w:type="dxa"/>
            <w:shd w:val="clear" w:color="auto" w:fill="auto"/>
          </w:tcPr>
          <w:p w14:paraId="418FF221" w14:textId="70E8C459" w:rsidR="000E3B16" w:rsidRPr="000E3B16" w:rsidRDefault="00780206" w:rsidP="000E3B16">
            <w:pPr>
              <w:tabs>
                <w:tab w:val="left" w:pos="567"/>
              </w:tabs>
              <w:suppressAutoHyphens w:val="0"/>
              <w:spacing w:before="40" w:after="40" w:line="220" w:lineRule="exact"/>
              <w:rPr>
                <w:sz w:val="18"/>
                <w:szCs w:val="18"/>
                <w:lang w:val="fr-FR"/>
              </w:rPr>
            </w:pPr>
            <w:r w:rsidRPr="006927FC">
              <w:rPr>
                <w:sz w:val="18"/>
                <w:szCs w:val="18"/>
                <w:lang w:val="fr-FR"/>
              </w:rPr>
              <w:t>Protection sociale (% des dépenses totales)</w:t>
            </w:r>
          </w:p>
        </w:tc>
        <w:tc>
          <w:tcPr>
            <w:tcW w:w="1064" w:type="dxa"/>
            <w:shd w:val="clear" w:color="auto" w:fill="auto"/>
            <w:noWrap/>
            <w:vAlign w:val="bottom"/>
          </w:tcPr>
          <w:p w14:paraId="4A48A531"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32,3</w:t>
            </w:r>
            <w:r>
              <w:rPr>
                <w:sz w:val="18"/>
                <w:szCs w:val="18"/>
                <w:lang w:val="fr-FR"/>
              </w:rPr>
              <w:t> </w:t>
            </w:r>
            <w:r w:rsidRPr="006927FC">
              <w:rPr>
                <w:sz w:val="18"/>
                <w:szCs w:val="18"/>
                <w:lang w:val="fr-FR"/>
              </w:rPr>
              <w:t>%</w:t>
            </w:r>
          </w:p>
        </w:tc>
        <w:tc>
          <w:tcPr>
            <w:tcW w:w="910" w:type="dxa"/>
            <w:shd w:val="clear" w:color="auto" w:fill="auto"/>
            <w:noWrap/>
            <w:vAlign w:val="bottom"/>
          </w:tcPr>
          <w:p w14:paraId="5FF63465"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64" w:type="dxa"/>
            <w:shd w:val="clear" w:color="auto" w:fill="auto"/>
            <w:noWrap/>
            <w:vAlign w:val="bottom"/>
          </w:tcPr>
          <w:p w14:paraId="0345009B"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33,1</w:t>
            </w:r>
            <w:r>
              <w:rPr>
                <w:sz w:val="18"/>
                <w:szCs w:val="18"/>
                <w:lang w:val="fr-FR"/>
              </w:rPr>
              <w:t> </w:t>
            </w:r>
            <w:r w:rsidRPr="006927FC">
              <w:rPr>
                <w:sz w:val="18"/>
                <w:szCs w:val="18"/>
                <w:lang w:val="fr-FR"/>
              </w:rPr>
              <w:t>%</w:t>
            </w:r>
          </w:p>
        </w:tc>
        <w:tc>
          <w:tcPr>
            <w:tcW w:w="1091" w:type="dxa"/>
            <w:shd w:val="clear" w:color="auto" w:fill="auto"/>
            <w:noWrap/>
            <w:vAlign w:val="bottom"/>
          </w:tcPr>
          <w:p w14:paraId="0934DBBB"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988" w:type="dxa"/>
            <w:shd w:val="clear" w:color="auto" w:fill="auto"/>
            <w:noWrap/>
            <w:vAlign w:val="bottom"/>
          </w:tcPr>
          <w:p w14:paraId="4BDE48DC"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30,3</w:t>
            </w:r>
            <w:r>
              <w:rPr>
                <w:sz w:val="18"/>
                <w:szCs w:val="18"/>
                <w:lang w:val="fr-FR"/>
              </w:rPr>
              <w:t> </w:t>
            </w:r>
            <w:r w:rsidRPr="006927FC">
              <w:rPr>
                <w:sz w:val="18"/>
                <w:szCs w:val="18"/>
                <w:lang w:val="fr-FR"/>
              </w:rPr>
              <w:t>%</w:t>
            </w:r>
          </w:p>
        </w:tc>
        <w:tc>
          <w:tcPr>
            <w:tcW w:w="1070" w:type="dxa"/>
            <w:shd w:val="clear" w:color="auto" w:fill="auto"/>
            <w:noWrap/>
            <w:vAlign w:val="bottom"/>
          </w:tcPr>
          <w:p w14:paraId="299E0C09"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78" w:type="dxa"/>
            <w:shd w:val="clear" w:color="auto" w:fill="auto"/>
            <w:noWrap/>
            <w:vAlign w:val="bottom"/>
          </w:tcPr>
          <w:p w14:paraId="2F4083F2"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30,4</w:t>
            </w:r>
            <w:r>
              <w:rPr>
                <w:sz w:val="18"/>
                <w:szCs w:val="18"/>
                <w:lang w:val="fr-FR"/>
              </w:rPr>
              <w:t> </w:t>
            </w:r>
            <w:r w:rsidRPr="006927FC">
              <w:rPr>
                <w:sz w:val="18"/>
                <w:szCs w:val="18"/>
                <w:lang w:val="fr-FR"/>
              </w:rPr>
              <w:t>%</w:t>
            </w:r>
          </w:p>
        </w:tc>
        <w:tc>
          <w:tcPr>
            <w:tcW w:w="1036" w:type="dxa"/>
            <w:shd w:val="clear" w:color="auto" w:fill="auto"/>
            <w:noWrap/>
            <w:vAlign w:val="bottom"/>
          </w:tcPr>
          <w:p w14:paraId="5912AA1D" w14:textId="77777777" w:rsidR="00780206" w:rsidRPr="006927FC" w:rsidRDefault="00780206" w:rsidP="00114026">
            <w:pPr>
              <w:tabs>
                <w:tab w:val="left" w:pos="567"/>
              </w:tabs>
              <w:suppressAutoHyphens w:val="0"/>
              <w:spacing w:before="40" w:after="40" w:line="220" w:lineRule="exact"/>
              <w:jc w:val="right"/>
              <w:rPr>
                <w:bCs/>
                <w:iCs/>
                <w:sz w:val="18"/>
                <w:szCs w:val="18"/>
              </w:rPr>
            </w:pPr>
          </w:p>
        </w:tc>
        <w:tc>
          <w:tcPr>
            <w:tcW w:w="1081" w:type="dxa"/>
            <w:shd w:val="clear" w:color="auto" w:fill="auto"/>
            <w:noWrap/>
            <w:vAlign w:val="bottom"/>
          </w:tcPr>
          <w:p w14:paraId="3C14F426" w14:textId="77777777" w:rsidR="00780206" w:rsidRPr="006927FC" w:rsidRDefault="00780206" w:rsidP="00114026">
            <w:pPr>
              <w:tabs>
                <w:tab w:val="left" w:pos="567"/>
              </w:tabs>
              <w:suppressAutoHyphens w:val="0"/>
              <w:spacing w:before="40" w:after="40" w:line="220" w:lineRule="exact"/>
              <w:jc w:val="right"/>
              <w:rPr>
                <w:bCs/>
                <w:iCs/>
                <w:sz w:val="18"/>
                <w:szCs w:val="18"/>
              </w:rPr>
            </w:pPr>
            <w:r w:rsidRPr="006927FC">
              <w:rPr>
                <w:sz w:val="18"/>
                <w:szCs w:val="18"/>
                <w:lang w:val="fr-FR"/>
              </w:rPr>
              <w:t>29,5</w:t>
            </w:r>
            <w:r>
              <w:rPr>
                <w:sz w:val="18"/>
                <w:szCs w:val="18"/>
                <w:lang w:val="fr-FR"/>
              </w:rPr>
              <w:t> </w:t>
            </w:r>
            <w:r w:rsidRPr="006927FC">
              <w:rPr>
                <w:sz w:val="18"/>
                <w:szCs w:val="18"/>
                <w:lang w:val="fr-FR"/>
              </w:rPr>
              <w:t>%</w:t>
            </w:r>
          </w:p>
        </w:tc>
        <w:tc>
          <w:tcPr>
            <w:tcW w:w="1008" w:type="dxa"/>
            <w:shd w:val="clear" w:color="auto" w:fill="auto"/>
            <w:noWrap/>
            <w:vAlign w:val="bottom"/>
          </w:tcPr>
          <w:p w14:paraId="0AE738F0" w14:textId="77777777" w:rsidR="00780206" w:rsidRPr="006927FC" w:rsidRDefault="00780206" w:rsidP="00114026">
            <w:pPr>
              <w:tabs>
                <w:tab w:val="left" w:pos="567"/>
              </w:tabs>
              <w:suppressAutoHyphens w:val="0"/>
              <w:spacing w:before="40" w:after="40" w:line="220" w:lineRule="exact"/>
              <w:jc w:val="right"/>
              <w:rPr>
                <w:iCs/>
                <w:sz w:val="18"/>
                <w:szCs w:val="18"/>
              </w:rPr>
            </w:pPr>
          </w:p>
        </w:tc>
      </w:tr>
    </w:tbl>
    <w:p w14:paraId="42BC10DE" w14:textId="52CE4E3D" w:rsidR="00780206" w:rsidRPr="005C3471" w:rsidRDefault="00780206" w:rsidP="007F326F">
      <w:pPr>
        <w:pStyle w:val="H23G"/>
      </w:pPr>
      <w:r>
        <w:rPr>
          <w:lang w:val="fr-FR"/>
        </w:rPr>
        <w:lastRenderedPageBreak/>
        <w:t>Suite (de 2024 à 2026)</w:t>
      </w:r>
    </w:p>
    <w:tbl>
      <w:tblPr>
        <w:tblW w:w="12361"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9"/>
        <w:gridCol w:w="1494"/>
        <w:gridCol w:w="1602"/>
        <w:gridCol w:w="1889"/>
        <w:gridCol w:w="1604"/>
        <w:gridCol w:w="1889"/>
        <w:gridCol w:w="1604"/>
      </w:tblGrid>
      <w:tr w:rsidR="00780206" w:rsidRPr="006927FC" w14:paraId="63C7A884" w14:textId="77777777" w:rsidTr="00887156">
        <w:trPr>
          <w:tblHeader/>
        </w:trPr>
        <w:tc>
          <w:tcPr>
            <w:tcW w:w="2279" w:type="dxa"/>
            <w:tcBorders>
              <w:top w:val="single" w:sz="4" w:space="0" w:color="auto"/>
              <w:bottom w:val="single" w:sz="12" w:space="0" w:color="auto"/>
            </w:tcBorders>
            <w:shd w:val="clear" w:color="auto" w:fill="auto"/>
            <w:vAlign w:val="bottom"/>
          </w:tcPr>
          <w:p w14:paraId="43DFEAF7" w14:textId="77777777" w:rsidR="00780206" w:rsidRPr="006927FC" w:rsidRDefault="00780206" w:rsidP="007F326F">
            <w:pPr>
              <w:keepNext/>
              <w:keepLines/>
              <w:tabs>
                <w:tab w:val="left" w:pos="567"/>
              </w:tabs>
              <w:suppressAutoHyphens w:val="0"/>
              <w:spacing w:before="80" w:after="80" w:line="200" w:lineRule="exact"/>
              <w:rPr>
                <w:i/>
                <w:sz w:val="16"/>
                <w:szCs w:val="16"/>
                <w:lang w:val="en-US"/>
              </w:rPr>
            </w:pPr>
          </w:p>
        </w:tc>
        <w:tc>
          <w:tcPr>
            <w:tcW w:w="1494" w:type="dxa"/>
            <w:tcBorders>
              <w:top w:val="single" w:sz="4" w:space="0" w:color="auto"/>
              <w:bottom w:val="single" w:sz="12" w:space="0" w:color="auto"/>
            </w:tcBorders>
            <w:shd w:val="clear" w:color="auto" w:fill="auto"/>
            <w:vAlign w:val="bottom"/>
            <w:hideMark/>
          </w:tcPr>
          <w:p w14:paraId="0045E92A" w14:textId="77777777" w:rsidR="00780206" w:rsidRPr="006927FC" w:rsidRDefault="00780206" w:rsidP="007F326F">
            <w:pPr>
              <w:keepNext/>
              <w:keepLines/>
              <w:tabs>
                <w:tab w:val="left" w:pos="567"/>
              </w:tabs>
              <w:suppressAutoHyphens w:val="0"/>
              <w:spacing w:before="80" w:after="80" w:line="200" w:lineRule="exact"/>
              <w:jc w:val="right"/>
              <w:rPr>
                <w:i/>
                <w:sz w:val="16"/>
                <w:szCs w:val="16"/>
              </w:rPr>
            </w:pPr>
            <w:r w:rsidRPr="006927FC">
              <w:rPr>
                <w:i/>
                <w:iCs/>
                <w:sz w:val="16"/>
                <w:szCs w:val="16"/>
                <w:lang w:val="fr-FR"/>
              </w:rPr>
              <w:t>Budget 2024</w:t>
            </w:r>
          </w:p>
        </w:tc>
        <w:tc>
          <w:tcPr>
            <w:tcW w:w="1602" w:type="dxa"/>
            <w:tcBorders>
              <w:top w:val="single" w:sz="4" w:space="0" w:color="auto"/>
              <w:bottom w:val="single" w:sz="12" w:space="0" w:color="auto"/>
            </w:tcBorders>
            <w:shd w:val="clear" w:color="auto" w:fill="auto"/>
            <w:vAlign w:val="bottom"/>
            <w:hideMark/>
          </w:tcPr>
          <w:p w14:paraId="150EA529" w14:textId="77777777" w:rsidR="00780206" w:rsidRPr="006927FC" w:rsidRDefault="00780206" w:rsidP="007F326F">
            <w:pPr>
              <w:keepNext/>
              <w:keepLines/>
              <w:tabs>
                <w:tab w:val="left" w:pos="567"/>
              </w:tabs>
              <w:suppressAutoHyphens w:val="0"/>
              <w:spacing w:before="80" w:after="80" w:line="200" w:lineRule="exact"/>
              <w:jc w:val="right"/>
              <w:rPr>
                <w:i/>
                <w:sz w:val="16"/>
                <w:szCs w:val="16"/>
              </w:rPr>
            </w:pPr>
            <w:r w:rsidRPr="006927FC">
              <w:rPr>
                <w:i/>
                <w:iCs/>
                <w:sz w:val="16"/>
                <w:szCs w:val="16"/>
                <w:lang w:val="fr-FR"/>
              </w:rPr>
              <w:t>% du PIB</w:t>
            </w:r>
          </w:p>
        </w:tc>
        <w:tc>
          <w:tcPr>
            <w:tcW w:w="1889" w:type="dxa"/>
            <w:tcBorders>
              <w:top w:val="single" w:sz="4" w:space="0" w:color="auto"/>
              <w:bottom w:val="single" w:sz="12" w:space="0" w:color="auto"/>
            </w:tcBorders>
            <w:shd w:val="clear" w:color="auto" w:fill="auto"/>
            <w:vAlign w:val="bottom"/>
            <w:hideMark/>
          </w:tcPr>
          <w:p w14:paraId="6DE2D283" w14:textId="77777777" w:rsidR="00780206" w:rsidRPr="006927FC" w:rsidRDefault="00780206" w:rsidP="007F326F">
            <w:pPr>
              <w:keepNext/>
              <w:keepLines/>
              <w:tabs>
                <w:tab w:val="left" w:pos="567"/>
              </w:tabs>
              <w:suppressAutoHyphens w:val="0"/>
              <w:spacing w:before="80" w:after="80" w:line="200" w:lineRule="exact"/>
              <w:jc w:val="right"/>
              <w:rPr>
                <w:i/>
                <w:sz w:val="16"/>
                <w:szCs w:val="16"/>
              </w:rPr>
            </w:pPr>
            <w:r w:rsidRPr="006927FC">
              <w:rPr>
                <w:i/>
                <w:iCs/>
                <w:sz w:val="16"/>
                <w:szCs w:val="16"/>
                <w:lang w:val="fr-FR"/>
              </w:rPr>
              <w:t>Budget 2025</w:t>
            </w:r>
          </w:p>
        </w:tc>
        <w:tc>
          <w:tcPr>
            <w:tcW w:w="1604" w:type="dxa"/>
            <w:tcBorders>
              <w:top w:val="single" w:sz="4" w:space="0" w:color="auto"/>
              <w:bottom w:val="single" w:sz="12" w:space="0" w:color="auto"/>
            </w:tcBorders>
            <w:shd w:val="clear" w:color="auto" w:fill="auto"/>
            <w:vAlign w:val="bottom"/>
            <w:hideMark/>
          </w:tcPr>
          <w:p w14:paraId="31B2D1C6" w14:textId="77777777" w:rsidR="00780206" w:rsidRPr="006927FC" w:rsidRDefault="00780206" w:rsidP="007F326F">
            <w:pPr>
              <w:keepNext/>
              <w:keepLines/>
              <w:tabs>
                <w:tab w:val="left" w:pos="567"/>
              </w:tabs>
              <w:suppressAutoHyphens w:val="0"/>
              <w:spacing w:before="80" w:after="80" w:line="200" w:lineRule="exact"/>
              <w:jc w:val="right"/>
              <w:rPr>
                <w:i/>
                <w:sz w:val="16"/>
                <w:szCs w:val="16"/>
              </w:rPr>
            </w:pPr>
            <w:r w:rsidRPr="006927FC">
              <w:rPr>
                <w:i/>
                <w:iCs/>
                <w:sz w:val="16"/>
                <w:szCs w:val="16"/>
                <w:lang w:val="fr-FR"/>
              </w:rPr>
              <w:t>% du PIB</w:t>
            </w:r>
          </w:p>
        </w:tc>
        <w:tc>
          <w:tcPr>
            <w:tcW w:w="1889" w:type="dxa"/>
            <w:tcBorders>
              <w:top w:val="single" w:sz="4" w:space="0" w:color="auto"/>
              <w:bottom w:val="single" w:sz="12" w:space="0" w:color="auto"/>
            </w:tcBorders>
            <w:shd w:val="clear" w:color="auto" w:fill="auto"/>
            <w:vAlign w:val="bottom"/>
            <w:hideMark/>
          </w:tcPr>
          <w:p w14:paraId="3426716C" w14:textId="77777777" w:rsidR="00780206" w:rsidRPr="006927FC" w:rsidRDefault="00780206" w:rsidP="007F326F">
            <w:pPr>
              <w:keepNext/>
              <w:keepLines/>
              <w:tabs>
                <w:tab w:val="left" w:pos="567"/>
              </w:tabs>
              <w:suppressAutoHyphens w:val="0"/>
              <w:spacing w:before="80" w:after="80" w:line="200" w:lineRule="exact"/>
              <w:jc w:val="right"/>
              <w:rPr>
                <w:i/>
                <w:sz w:val="16"/>
                <w:szCs w:val="16"/>
              </w:rPr>
            </w:pPr>
            <w:r w:rsidRPr="006927FC">
              <w:rPr>
                <w:i/>
                <w:iCs/>
                <w:sz w:val="16"/>
                <w:szCs w:val="16"/>
                <w:lang w:val="fr-FR"/>
              </w:rPr>
              <w:t>Budget 2026</w:t>
            </w:r>
          </w:p>
        </w:tc>
        <w:tc>
          <w:tcPr>
            <w:tcW w:w="1604" w:type="dxa"/>
            <w:tcBorders>
              <w:top w:val="single" w:sz="4" w:space="0" w:color="auto"/>
              <w:bottom w:val="single" w:sz="12" w:space="0" w:color="auto"/>
            </w:tcBorders>
            <w:shd w:val="clear" w:color="auto" w:fill="auto"/>
            <w:vAlign w:val="bottom"/>
            <w:hideMark/>
          </w:tcPr>
          <w:p w14:paraId="41DA0391" w14:textId="77777777" w:rsidR="00780206" w:rsidRPr="006927FC" w:rsidRDefault="00780206" w:rsidP="007F326F">
            <w:pPr>
              <w:keepNext/>
              <w:keepLines/>
              <w:tabs>
                <w:tab w:val="left" w:pos="567"/>
              </w:tabs>
              <w:suppressAutoHyphens w:val="0"/>
              <w:spacing w:before="80" w:after="80" w:line="200" w:lineRule="exact"/>
              <w:jc w:val="right"/>
              <w:rPr>
                <w:i/>
                <w:sz w:val="16"/>
                <w:szCs w:val="16"/>
              </w:rPr>
            </w:pPr>
            <w:r w:rsidRPr="006927FC">
              <w:rPr>
                <w:i/>
                <w:iCs/>
                <w:sz w:val="16"/>
                <w:szCs w:val="16"/>
                <w:lang w:val="fr-FR"/>
              </w:rPr>
              <w:t>% du PIB</w:t>
            </w:r>
          </w:p>
        </w:tc>
      </w:tr>
      <w:tr w:rsidR="00780206" w:rsidRPr="006927FC" w14:paraId="2C61C753" w14:textId="77777777" w:rsidTr="00887156">
        <w:tc>
          <w:tcPr>
            <w:tcW w:w="2279" w:type="dxa"/>
            <w:tcBorders>
              <w:top w:val="single" w:sz="12" w:space="0" w:color="auto"/>
              <w:bottom w:val="single" w:sz="4" w:space="0" w:color="auto"/>
            </w:tcBorders>
            <w:shd w:val="clear" w:color="auto" w:fill="auto"/>
          </w:tcPr>
          <w:p w14:paraId="7D98BDCB" w14:textId="77777777" w:rsidR="00780206" w:rsidRPr="006927FC" w:rsidRDefault="00780206" w:rsidP="007F326F">
            <w:pPr>
              <w:keepNext/>
              <w:keepLines/>
              <w:tabs>
                <w:tab w:val="left" w:pos="567"/>
              </w:tabs>
              <w:suppressAutoHyphens w:val="0"/>
              <w:spacing w:before="80" w:after="80" w:line="220" w:lineRule="exact"/>
              <w:jc w:val="center"/>
              <w:rPr>
                <w:b/>
                <w:sz w:val="18"/>
                <w:szCs w:val="18"/>
              </w:rPr>
            </w:pPr>
            <w:r w:rsidRPr="006927FC">
              <w:rPr>
                <w:b/>
                <w:bCs/>
                <w:sz w:val="18"/>
                <w:szCs w:val="18"/>
                <w:lang w:val="fr-FR"/>
              </w:rPr>
              <w:t>Total</w:t>
            </w:r>
          </w:p>
        </w:tc>
        <w:tc>
          <w:tcPr>
            <w:tcW w:w="1494" w:type="dxa"/>
            <w:tcBorders>
              <w:top w:val="single" w:sz="12" w:space="0" w:color="auto"/>
              <w:bottom w:val="single" w:sz="4" w:space="0" w:color="auto"/>
            </w:tcBorders>
            <w:shd w:val="clear" w:color="auto" w:fill="auto"/>
            <w:noWrap/>
            <w:vAlign w:val="bottom"/>
            <w:hideMark/>
          </w:tcPr>
          <w:p w14:paraId="67B61FE3" w14:textId="77777777" w:rsidR="00780206" w:rsidRPr="006927FC" w:rsidRDefault="00780206" w:rsidP="007F326F">
            <w:pPr>
              <w:keepNext/>
              <w:keepLines/>
              <w:tabs>
                <w:tab w:val="left" w:pos="567"/>
              </w:tabs>
              <w:suppressAutoHyphens w:val="0"/>
              <w:spacing w:before="80" w:after="80" w:line="220" w:lineRule="exact"/>
              <w:jc w:val="right"/>
              <w:rPr>
                <w:b/>
                <w:sz w:val="18"/>
                <w:szCs w:val="18"/>
              </w:rPr>
            </w:pPr>
            <w:r w:rsidRPr="006927FC">
              <w:rPr>
                <w:b/>
                <w:bCs/>
                <w:sz w:val="18"/>
                <w:szCs w:val="18"/>
                <w:lang w:val="fr-FR"/>
              </w:rPr>
              <w:t>737 378</w:t>
            </w:r>
          </w:p>
        </w:tc>
        <w:tc>
          <w:tcPr>
            <w:tcW w:w="1602" w:type="dxa"/>
            <w:tcBorders>
              <w:top w:val="single" w:sz="12" w:space="0" w:color="auto"/>
              <w:bottom w:val="single" w:sz="4" w:space="0" w:color="auto"/>
            </w:tcBorders>
            <w:shd w:val="clear" w:color="auto" w:fill="auto"/>
            <w:noWrap/>
            <w:vAlign w:val="bottom"/>
            <w:hideMark/>
          </w:tcPr>
          <w:p w14:paraId="50F22D24" w14:textId="77777777" w:rsidR="00780206" w:rsidRPr="006927FC" w:rsidRDefault="00780206" w:rsidP="007F326F">
            <w:pPr>
              <w:keepNext/>
              <w:keepLines/>
              <w:tabs>
                <w:tab w:val="left" w:pos="567"/>
              </w:tabs>
              <w:suppressAutoHyphens w:val="0"/>
              <w:spacing w:before="80" w:after="80" w:line="220" w:lineRule="exact"/>
              <w:jc w:val="right"/>
              <w:rPr>
                <w:b/>
                <w:sz w:val="18"/>
                <w:szCs w:val="18"/>
              </w:rPr>
            </w:pPr>
            <w:r w:rsidRPr="006927FC">
              <w:rPr>
                <w:b/>
                <w:bCs/>
                <w:sz w:val="18"/>
                <w:szCs w:val="18"/>
                <w:lang w:val="fr-FR"/>
              </w:rPr>
              <w:t>30,3</w:t>
            </w:r>
            <w:r>
              <w:rPr>
                <w:b/>
                <w:bCs/>
                <w:sz w:val="18"/>
                <w:szCs w:val="18"/>
                <w:lang w:val="fr-FR"/>
              </w:rPr>
              <w:t> </w:t>
            </w:r>
            <w:r w:rsidRPr="006927FC">
              <w:rPr>
                <w:b/>
                <w:bCs/>
                <w:sz w:val="18"/>
                <w:szCs w:val="18"/>
                <w:lang w:val="fr-FR"/>
              </w:rPr>
              <w:t>%</w:t>
            </w:r>
          </w:p>
        </w:tc>
        <w:tc>
          <w:tcPr>
            <w:tcW w:w="1889" w:type="dxa"/>
            <w:tcBorders>
              <w:top w:val="single" w:sz="12" w:space="0" w:color="auto"/>
              <w:bottom w:val="single" w:sz="4" w:space="0" w:color="auto"/>
            </w:tcBorders>
            <w:shd w:val="clear" w:color="auto" w:fill="auto"/>
            <w:noWrap/>
            <w:vAlign w:val="bottom"/>
            <w:hideMark/>
          </w:tcPr>
          <w:p w14:paraId="75BAAA92" w14:textId="77777777" w:rsidR="00780206" w:rsidRPr="006927FC" w:rsidRDefault="00780206" w:rsidP="007F326F">
            <w:pPr>
              <w:keepNext/>
              <w:keepLines/>
              <w:tabs>
                <w:tab w:val="left" w:pos="567"/>
              </w:tabs>
              <w:suppressAutoHyphens w:val="0"/>
              <w:spacing w:before="80" w:after="80" w:line="220" w:lineRule="exact"/>
              <w:jc w:val="right"/>
              <w:rPr>
                <w:b/>
                <w:sz w:val="18"/>
                <w:szCs w:val="18"/>
              </w:rPr>
            </w:pPr>
            <w:r w:rsidRPr="006927FC">
              <w:rPr>
                <w:b/>
                <w:bCs/>
                <w:sz w:val="18"/>
                <w:szCs w:val="18"/>
                <w:lang w:val="fr-FR"/>
              </w:rPr>
              <w:t>762 434</w:t>
            </w:r>
          </w:p>
        </w:tc>
        <w:tc>
          <w:tcPr>
            <w:tcW w:w="1604" w:type="dxa"/>
            <w:tcBorders>
              <w:top w:val="single" w:sz="12" w:space="0" w:color="auto"/>
              <w:bottom w:val="single" w:sz="4" w:space="0" w:color="auto"/>
            </w:tcBorders>
            <w:shd w:val="clear" w:color="auto" w:fill="auto"/>
            <w:noWrap/>
            <w:vAlign w:val="bottom"/>
            <w:hideMark/>
          </w:tcPr>
          <w:p w14:paraId="152EA3D8" w14:textId="77777777" w:rsidR="00780206" w:rsidRPr="006927FC" w:rsidRDefault="00780206" w:rsidP="007F326F">
            <w:pPr>
              <w:keepNext/>
              <w:keepLines/>
              <w:tabs>
                <w:tab w:val="left" w:pos="567"/>
              </w:tabs>
              <w:suppressAutoHyphens w:val="0"/>
              <w:spacing w:before="80" w:after="80" w:line="220" w:lineRule="exact"/>
              <w:jc w:val="right"/>
              <w:rPr>
                <w:b/>
                <w:sz w:val="18"/>
                <w:szCs w:val="18"/>
              </w:rPr>
            </w:pPr>
            <w:r w:rsidRPr="006927FC">
              <w:rPr>
                <w:b/>
                <w:bCs/>
                <w:sz w:val="18"/>
                <w:szCs w:val="18"/>
                <w:lang w:val="fr-FR"/>
              </w:rPr>
              <w:t>29,8</w:t>
            </w:r>
            <w:r>
              <w:rPr>
                <w:b/>
                <w:bCs/>
                <w:sz w:val="18"/>
                <w:szCs w:val="18"/>
                <w:lang w:val="fr-FR"/>
              </w:rPr>
              <w:t> </w:t>
            </w:r>
            <w:r w:rsidRPr="006927FC">
              <w:rPr>
                <w:b/>
                <w:bCs/>
                <w:sz w:val="18"/>
                <w:szCs w:val="18"/>
                <w:lang w:val="fr-FR"/>
              </w:rPr>
              <w:t>%</w:t>
            </w:r>
          </w:p>
        </w:tc>
        <w:tc>
          <w:tcPr>
            <w:tcW w:w="1889" w:type="dxa"/>
            <w:tcBorders>
              <w:top w:val="single" w:sz="12" w:space="0" w:color="auto"/>
              <w:bottom w:val="single" w:sz="4" w:space="0" w:color="auto"/>
            </w:tcBorders>
            <w:shd w:val="clear" w:color="auto" w:fill="auto"/>
            <w:noWrap/>
            <w:vAlign w:val="bottom"/>
            <w:hideMark/>
          </w:tcPr>
          <w:p w14:paraId="3950523D" w14:textId="77777777" w:rsidR="00780206" w:rsidRPr="006927FC" w:rsidRDefault="00780206" w:rsidP="007F326F">
            <w:pPr>
              <w:keepNext/>
              <w:keepLines/>
              <w:tabs>
                <w:tab w:val="left" w:pos="567"/>
              </w:tabs>
              <w:suppressAutoHyphens w:val="0"/>
              <w:spacing w:before="80" w:after="80" w:line="220" w:lineRule="exact"/>
              <w:jc w:val="right"/>
              <w:rPr>
                <w:b/>
                <w:sz w:val="18"/>
                <w:szCs w:val="18"/>
              </w:rPr>
            </w:pPr>
            <w:r w:rsidRPr="006927FC">
              <w:rPr>
                <w:b/>
                <w:bCs/>
                <w:sz w:val="18"/>
                <w:szCs w:val="18"/>
                <w:lang w:val="fr-FR"/>
              </w:rPr>
              <w:t>805 606</w:t>
            </w:r>
          </w:p>
        </w:tc>
        <w:tc>
          <w:tcPr>
            <w:tcW w:w="1604" w:type="dxa"/>
            <w:tcBorders>
              <w:top w:val="single" w:sz="12" w:space="0" w:color="auto"/>
              <w:bottom w:val="single" w:sz="4" w:space="0" w:color="auto"/>
            </w:tcBorders>
            <w:shd w:val="clear" w:color="auto" w:fill="auto"/>
            <w:noWrap/>
            <w:vAlign w:val="bottom"/>
            <w:hideMark/>
          </w:tcPr>
          <w:p w14:paraId="596FAD8C" w14:textId="77777777" w:rsidR="00780206" w:rsidRPr="006927FC" w:rsidRDefault="00780206" w:rsidP="007F326F">
            <w:pPr>
              <w:keepNext/>
              <w:keepLines/>
              <w:tabs>
                <w:tab w:val="left" w:pos="567"/>
              </w:tabs>
              <w:suppressAutoHyphens w:val="0"/>
              <w:spacing w:before="80" w:after="80" w:line="220" w:lineRule="exact"/>
              <w:jc w:val="right"/>
              <w:rPr>
                <w:b/>
                <w:sz w:val="18"/>
                <w:szCs w:val="18"/>
              </w:rPr>
            </w:pPr>
            <w:r w:rsidRPr="006927FC">
              <w:rPr>
                <w:b/>
                <w:bCs/>
                <w:sz w:val="18"/>
                <w:szCs w:val="18"/>
                <w:lang w:val="fr-FR"/>
              </w:rPr>
              <w:t>29,9</w:t>
            </w:r>
            <w:r>
              <w:rPr>
                <w:b/>
                <w:bCs/>
                <w:sz w:val="18"/>
                <w:szCs w:val="18"/>
                <w:lang w:val="fr-FR"/>
              </w:rPr>
              <w:t> </w:t>
            </w:r>
            <w:r w:rsidRPr="006927FC">
              <w:rPr>
                <w:b/>
                <w:bCs/>
                <w:sz w:val="18"/>
                <w:szCs w:val="18"/>
                <w:lang w:val="fr-FR"/>
              </w:rPr>
              <w:t>%</w:t>
            </w:r>
          </w:p>
        </w:tc>
      </w:tr>
      <w:tr w:rsidR="00780206" w:rsidRPr="006927FC" w14:paraId="61AA590F" w14:textId="77777777" w:rsidTr="00887156">
        <w:tc>
          <w:tcPr>
            <w:tcW w:w="2279" w:type="dxa"/>
            <w:tcBorders>
              <w:top w:val="single" w:sz="4" w:space="0" w:color="auto"/>
            </w:tcBorders>
            <w:shd w:val="clear" w:color="auto" w:fill="auto"/>
          </w:tcPr>
          <w:p w14:paraId="3E289178" w14:textId="77777777" w:rsidR="00780206" w:rsidRPr="006927FC" w:rsidRDefault="00780206" w:rsidP="007F326F">
            <w:pPr>
              <w:keepNext/>
              <w:keepLines/>
              <w:tabs>
                <w:tab w:val="left" w:pos="567"/>
              </w:tabs>
              <w:suppressAutoHyphens w:val="0"/>
              <w:spacing w:before="40" w:after="40" w:line="220" w:lineRule="exact"/>
              <w:rPr>
                <w:sz w:val="18"/>
                <w:szCs w:val="18"/>
                <w:lang w:val="fr-FR"/>
              </w:rPr>
            </w:pPr>
            <w:r w:rsidRPr="006927FC">
              <w:rPr>
                <w:sz w:val="18"/>
                <w:szCs w:val="18"/>
                <w:lang w:val="fr-FR"/>
              </w:rPr>
              <w:t>Services généraux des administrations publiques*</w:t>
            </w:r>
          </w:p>
        </w:tc>
        <w:tc>
          <w:tcPr>
            <w:tcW w:w="1494" w:type="dxa"/>
            <w:tcBorders>
              <w:top w:val="single" w:sz="4" w:space="0" w:color="auto"/>
            </w:tcBorders>
            <w:shd w:val="clear" w:color="auto" w:fill="auto"/>
            <w:noWrap/>
            <w:vAlign w:val="bottom"/>
            <w:hideMark/>
          </w:tcPr>
          <w:p w14:paraId="35618C06" w14:textId="77777777" w:rsidR="00780206" w:rsidRPr="006927FC" w:rsidRDefault="00780206" w:rsidP="007F326F">
            <w:pPr>
              <w:keepNext/>
              <w:keepLines/>
              <w:tabs>
                <w:tab w:val="left" w:pos="567"/>
              </w:tabs>
              <w:suppressAutoHyphens w:val="0"/>
              <w:spacing w:before="40" w:after="40" w:line="220" w:lineRule="exact"/>
              <w:jc w:val="right"/>
              <w:rPr>
                <w:sz w:val="18"/>
                <w:szCs w:val="18"/>
              </w:rPr>
            </w:pPr>
            <w:r w:rsidRPr="006927FC">
              <w:rPr>
                <w:sz w:val="18"/>
                <w:szCs w:val="18"/>
                <w:lang w:val="fr-FR"/>
              </w:rPr>
              <w:t>124 916</w:t>
            </w:r>
          </w:p>
        </w:tc>
        <w:tc>
          <w:tcPr>
            <w:tcW w:w="1602" w:type="dxa"/>
            <w:tcBorders>
              <w:top w:val="single" w:sz="4" w:space="0" w:color="auto"/>
            </w:tcBorders>
            <w:shd w:val="clear" w:color="auto" w:fill="auto"/>
            <w:noWrap/>
            <w:vAlign w:val="bottom"/>
            <w:hideMark/>
          </w:tcPr>
          <w:p w14:paraId="7A459D70" w14:textId="77777777" w:rsidR="00780206" w:rsidRPr="006927FC" w:rsidRDefault="00780206" w:rsidP="007F326F">
            <w:pPr>
              <w:keepNext/>
              <w:keepLines/>
              <w:tabs>
                <w:tab w:val="left" w:pos="567"/>
              </w:tabs>
              <w:suppressAutoHyphens w:val="0"/>
              <w:spacing w:before="40" w:after="40" w:line="220" w:lineRule="exact"/>
              <w:jc w:val="right"/>
              <w:rPr>
                <w:sz w:val="18"/>
                <w:szCs w:val="18"/>
              </w:rPr>
            </w:pPr>
            <w:r w:rsidRPr="006927FC">
              <w:rPr>
                <w:sz w:val="18"/>
                <w:szCs w:val="18"/>
                <w:lang w:val="fr-FR"/>
              </w:rPr>
              <w:t>5,1</w:t>
            </w:r>
            <w:r>
              <w:rPr>
                <w:sz w:val="18"/>
                <w:szCs w:val="18"/>
                <w:lang w:val="fr-FR"/>
              </w:rPr>
              <w:t> </w:t>
            </w:r>
            <w:r w:rsidRPr="006927FC">
              <w:rPr>
                <w:sz w:val="18"/>
                <w:szCs w:val="18"/>
                <w:lang w:val="fr-FR"/>
              </w:rPr>
              <w:t>%</w:t>
            </w:r>
          </w:p>
        </w:tc>
        <w:tc>
          <w:tcPr>
            <w:tcW w:w="1889" w:type="dxa"/>
            <w:tcBorders>
              <w:top w:val="single" w:sz="4" w:space="0" w:color="auto"/>
            </w:tcBorders>
            <w:shd w:val="clear" w:color="auto" w:fill="auto"/>
            <w:noWrap/>
            <w:vAlign w:val="bottom"/>
            <w:hideMark/>
          </w:tcPr>
          <w:p w14:paraId="5BB5DB08" w14:textId="77777777" w:rsidR="00780206" w:rsidRPr="006927FC" w:rsidRDefault="00780206" w:rsidP="007F326F">
            <w:pPr>
              <w:keepNext/>
              <w:keepLines/>
              <w:tabs>
                <w:tab w:val="left" w:pos="567"/>
              </w:tabs>
              <w:suppressAutoHyphens w:val="0"/>
              <w:spacing w:before="40" w:after="40" w:line="220" w:lineRule="exact"/>
              <w:jc w:val="right"/>
              <w:rPr>
                <w:sz w:val="18"/>
                <w:szCs w:val="18"/>
              </w:rPr>
            </w:pPr>
            <w:r w:rsidRPr="006927FC">
              <w:rPr>
                <w:sz w:val="18"/>
                <w:szCs w:val="18"/>
                <w:lang w:val="fr-FR"/>
              </w:rPr>
              <w:t>122 753</w:t>
            </w:r>
          </w:p>
        </w:tc>
        <w:tc>
          <w:tcPr>
            <w:tcW w:w="1604" w:type="dxa"/>
            <w:tcBorders>
              <w:top w:val="single" w:sz="4" w:space="0" w:color="auto"/>
            </w:tcBorders>
            <w:shd w:val="clear" w:color="auto" w:fill="auto"/>
            <w:noWrap/>
            <w:vAlign w:val="bottom"/>
            <w:hideMark/>
          </w:tcPr>
          <w:p w14:paraId="6AA099CB" w14:textId="77777777" w:rsidR="00780206" w:rsidRPr="006927FC" w:rsidRDefault="00780206" w:rsidP="007F326F">
            <w:pPr>
              <w:keepNext/>
              <w:keepLines/>
              <w:tabs>
                <w:tab w:val="left" w:pos="567"/>
              </w:tabs>
              <w:suppressAutoHyphens w:val="0"/>
              <w:spacing w:before="40" w:after="40" w:line="220" w:lineRule="exact"/>
              <w:jc w:val="right"/>
              <w:rPr>
                <w:sz w:val="18"/>
                <w:szCs w:val="18"/>
              </w:rPr>
            </w:pPr>
            <w:r w:rsidRPr="006927FC">
              <w:rPr>
                <w:sz w:val="18"/>
                <w:szCs w:val="18"/>
                <w:lang w:val="fr-FR"/>
              </w:rPr>
              <w:t>4,8</w:t>
            </w:r>
            <w:r>
              <w:rPr>
                <w:sz w:val="18"/>
                <w:szCs w:val="18"/>
                <w:lang w:val="fr-FR"/>
              </w:rPr>
              <w:t> </w:t>
            </w:r>
            <w:r w:rsidRPr="006927FC">
              <w:rPr>
                <w:sz w:val="18"/>
                <w:szCs w:val="18"/>
                <w:lang w:val="fr-FR"/>
              </w:rPr>
              <w:t>%</w:t>
            </w:r>
          </w:p>
        </w:tc>
        <w:tc>
          <w:tcPr>
            <w:tcW w:w="1889" w:type="dxa"/>
            <w:tcBorders>
              <w:top w:val="single" w:sz="4" w:space="0" w:color="auto"/>
            </w:tcBorders>
            <w:shd w:val="clear" w:color="auto" w:fill="auto"/>
            <w:noWrap/>
            <w:vAlign w:val="bottom"/>
            <w:hideMark/>
          </w:tcPr>
          <w:p w14:paraId="2E39036C" w14:textId="77777777" w:rsidR="00780206" w:rsidRPr="006927FC" w:rsidRDefault="00780206" w:rsidP="007F326F">
            <w:pPr>
              <w:keepNext/>
              <w:keepLines/>
              <w:tabs>
                <w:tab w:val="left" w:pos="567"/>
              </w:tabs>
              <w:suppressAutoHyphens w:val="0"/>
              <w:spacing w:before="40" w:after="40" w:line="220" w:lineRule="exact"/>
              <w:jc w:val="right"/>
              <w:rPr>
                <w:sz w:val="18"/>
                <w:szCs w:val="18"/>
              </w:rPr>
            </w:pPr>
            <w:r w:rsidRPr="006927FC">
              <w:rPr>
                <w:sz w:val="18"/>
                <w:szCs w:val="18"/>
                <w:lang w:val="fr-FR"/>
              </w:rPr>
              <w:t>125 250</w:t>
            </w:r>
          </w:p>
        </w:tc>
        <w:tc>
          <w:tcPr>
            <w:tcW w:w="1604" w:type="dxa"/>
            <w:tcBorders>
              <w:top w:val="single" w:sz="4" w:space="0" w:color="auto"/>
            </w:tcBorders>
            <w:shd w:val="clear" w:color="auto" w:fill="auto"/>
            <w:noWrap/>
            <w:vAlign w:val="bottom"/>
            <w:hideMark/>
          </w:tcPr>
          <w:p w14:paraId="5C4517AE" w14:textId="77777777" w:rsidR="00780206" w:rsidRPr="006927FC" w:rsidRDefault="00780206" w:rsidP="007F326F">
            <w:pPr>
              <w:keepNext/>
              <w:keepLines/>
              <w:tabs>
                <w:tab w:val="left" w:pos="567"/>
              </w:tabs>
              <w:suppressAutoHyphens w:val="0"/>
              <w:spacing w:before="40" w:after="40" w:line="220" w:lineRule="exact"/>
              <w:jc w:val="right"/>
              <w:rPr>
                <w:sz w:val="18"/>
                <w:szCs w:val="18"/>
              </w:rPr>
            </w:pPr>
            <w:r w:rsidRPr="006927FC">
              <w:rPr>
                <w:sz w:val="18"/>
                <w:szCs w:val="18"/>
                <w:lang w:val="fr-FR"/>
              </w:rPr>
              <w:t>4,7</w:t>
            </w:r>
            <w:r>
              <w:rPr>
                <w:sz w:val="18"/>
                <w:szCs w:val="18"/>
                <w:lang w:val="fr-FR"/>
              </w:rPr>
              <w:t> </w:t>
            </w:r>
            <w:r w:rsidRPr="006927FC">
              <w:rPr>
                <w:sz w:val="18"/>
                <w:szCs w:val="18"/>
                <w:lang w:val="fr-FR"/>
              </w:rPr>
              <w:t>%</w:t>
            </w:r>
          </w:p>
        </w:tc>
      </w:tr>
      <w:tr w:rsidR="00780206" w:rsidRPr="006927FC" w14:paraId="42DCF93F" w14:textId="77777777" w:rsidTr="00887156">
        <w:tc>
          <w:tcPr>
            <w:tcW w:w="2279" w:type="dxa"/>
            <w:shd w:val="clear" w:color="auto" w:fill="auto"/>
          </w:tcPr>
          <w:p w14:paraId="5F276F09"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Défense</w:t>
            </w:r>
          </w:p>
        </w:tc>
        <w:tc>
          <w:tcPr>
            <w:tcW w:w="1494" w:type="dxa"/>
            <w:shd w:val="clear" w:color="auto" w:fill="auto"/>
            <w:noWrap/>
            <w:vAlign w:val="bottom"/>
            <w:hideMark/>
          </w:tcPr>
          <w:p w14:paraId="06DB9D4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33 487</w:t>
            </w:r>
          </w:p>
        </w:tc>
        <w:tc>
          <w:tcPr>
            <w:tcW w:w="1602" w:type="dxa"/>
            <w:shd w:val="clear" w:color="auto" w:fill="auto"/>
            <w:noWrap/>
            <w:vAlign w:val="bottom"/>
            <w:hideMark/>
          </w:tcPr>
          <w:p w14:paraId="322CE9E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1,4</w:t>
            </w:r>
            <w:r>
              <w:rPr>
                <w:sz w:val="18"/>
                <w:szCs w:val="18"/>
                <w:lang w:val="fr-FR"/>
              </w:rPr>
              <w:t> </w:t>
            </w:r>
            <w:r w:rsidRPr="006927FC">
              <w:rPr>
                <w:sz w:val="18"/>
                <w:szCs w:val="18"/>
                <w:lang w:val="fr-FR"/>
              </w:rPr>
              <w:t>%</w:t>
            </w:r>
          </w:p>
        </w:tc>
        <w:tc>
          <w:tcPr>
            <w:tcW w:w="1889" w:type="dxa"/>
            <w:shd w:val="clear" w:color="auto" w:fill="auto"/>
            <w:noWrap/>
            <w:vAlign w:val="bottom"/>
            <w:hideMark/>
          </w:tcPr>
          <w:p w14:paraId="0015551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37 000</w:t>
            </w:r>
          </w:p>
        </w:tc>
        <w:tc>
          <w:tcPr>
            <w:tcW w:w="1604" w:type="dxa"/>
            <w:shd w:val="clear" w:color="auto" w:fill="auto"/>
            <w:noWrap/>
            <w:vAlign w:val="bottom"/>
            <w:hideMark/>
          </w:tcPr>
          <w:p w14:paraId="4D6D88C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1,4</w:t>
            </w:r>
            <w:r>
              <w:rPr>
                <w:sz w:val="18"/>
                <w:szCs w:val="18"/>
                <w:lang w:val="fr-FR"/>
              </w:rPr>
              <w:t> </w:t>
            </w:r>
            <w:r w:rsidRPr="006927FC">
              <w:rPr>
                <w:sz w:val="18"/>
                <w:szCs w:val="18"/>
                <w:lang w:val="fr-FR"/>
              </w:rPr>
              <w:t>%</w:t>
            </w:r>
          </w:p>
        </w:tc>
        <w:tc>
          <w:tcPr>
            <w:tcW w:w="1889" w:type="dxa"/>
            <w:shd w:val="clear" w:color="auto" w:fill="auto"/>
            <w:noWrap/>
            <w:vAlign w:val="bottom"/>
            <w:hideMark/>
          </w:tcPr>
          <w:p w14:paraId="7E26049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39 500</w:t>
            </w:r>
          </w:p>
        </w:tc>
        <w:tc>
          <w:tcPr>
            <w:tcW w:w="1604" w:type="dxa"/>
            <w:shd w:val="clear" w:color="auto" w:fill="auto"/>
            <w:noWrap/>
            <w:vAlign w:val="bottom"/>
            <w:hideMark/>
          </w:tcPr>
          <w:p w14:paraId="138A7CA8"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1,5</w:t>
            </w:r>
            <w:r>
              <w:rPr>
                <w:sz w:val="18"/>
                <w:szCs w:val="18"/>
                <w:lang w:val="fr-FR"/>
              </w:rPr>
              <w:t> </w:t>
            </w:r>
            <w:r w:rsidRPr="006927FC">
              <w:rPr>
                <w:sz w:val="18"/>
                <w:szCs w:val="18"/>
                <w:lang w:val="fr-FR"/>
              </w:rPr>
              <w:t>%</w:t>
            </w:r>
          </w:p>
        </w:tc>
      </w:tr>
      <w:tr w:rsidR="00780206" w:rsidRPr="006927FC" w14:paraId="0E2A9451" w14:textId="77777777" w:rsidTr="00887156">
        <w:tc>
          <w:tcPr>
            <w:tcW w:w="2279" w:type="dxa"/>
            <w:shd w:val="clear" w:color="auto" w:fill="auto"/>
          </w:tcPr>
          <w:p w14:paraId="3252B2EA"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Ordre et sécurité publics</w:t>
            </w:r>
          </w:p>
        </w:tc>
        <w:tc>
          <w:tcPr>
            <w:tcW w:w="1494" w:type="dxa"/>
            <w:shd w:val="clear" w:color="auto" w:fill="auto"/>
            <w:noWrap/>
            <w:vAlign w:val="bottom"/>
            <w:hideMark/>
          </w:tcPr>
          <w:p w14:paraId="29A68A5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42 027</w:t>
            </w:r>
          </w:p>
        </w:tc>
        <w:tc>
          <w:tcPr>
            <w:tcW w:w="1602" w:type="dxa"/>
            <w:shd w:val="clear" w:color="auto" w:fill="auto"/>
            <w:noWrap/>
            <w:vAlign w:val="bottom"/>
            <w:hideMark/>
          </w:tcPr>
          <w:p w14:paraId="7516AC9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w:t>
            </w:r>
            <w:r>
              <w:rPr>
                <w:sz w:val="18"/>
                <w:szCs w:val="18"/>
                <w:lang w:val="fr-FR"/>
              </w:rPr>
              <w:t> </w:t>
            </w:r>
            <w:r w:rsidRPr="006927FC">
              <w:rPr>
                <w:sz w:val="18"/>
                <w:szCs w:val="18"/>
                <w:lang w:val="fr-FR"/>
              </w:rPr>
              <w:t>%</w:t>
            </w:r>
          </w:p>
        </w:tc>
        <w:tc>
          <w:tcPr>
            <w:tcW w:w="1889" w:type="dxa"/>
            <w:shd w:val="clear" w:color="auto" w:fill="auto"/>
            <w:noWrap/>
            <w:vAlign w:val="bottom"/>
            <w:hideMark/>
          </w:tcPr>
          <w:p w14:paraId="01E8B79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42 514</w:t>
            </w:r>
          </w:p>
        </w:tc>
        <w:tc>
          <w:tcPr>
            <w:tcW w:w="1604" w:type="dxa"/>
            <w:shd w:val="clear" w:color="auto" w:fill="auto"/>
            <w:noWrap/>
            <w:vAlign w:val="bottom"/>
            <w:hideMark/>
          </w:tcPr>
          <w:p w14:paraId="57D6CF8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w:t>
            </w:r>
            <w:r>
              <w:rPr>
                <w:sz w:val="18"/>
                <w:szCs w:val="18"/>
                <w:lang w:val="fr-FR"/>
              </w:rPr>
              <w:t> </w:t>
            </w:r>
            <w:r w:rsidRPr="006927FC">
              <w:rPr>
                <w:sz w:val="18"/>
                <w:szCs w:val="18"/>
                <w:lang w:val="fr-FR"/>
              </w:rPr>
              <w:t>%</w:t>
            </w:r>
          </w:p>
        </w:tc>
        <w:tc>
          <w:tcPr>
            <w:tcW w:w="1889" w:type="dxa"/>
            <w:shd w:val="clear" w:color="auto" w:fill="auto"/>
            <w:noWrap/>
            <w:vAlign w:val="bottom"/>
            <w:hideMark/>
          </w:tcPr>
          <w:p w14:paraId="66E43B1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44 450</w:t>
            </w:r>
          </w:p>
        </w:tc>
        <w:tc>
          <w:tcPr>
            <w:tcW w:w="1604" w:type="dxa"/>
            <w:shd w:val="clear" w:color="auto" w:fill="auto"/>
            <w:noWrap/>
            <w:vAlign w:val="bottom"/>
            <w:hideMark/>
          </w:tcPr>
          <w:p w14:paraId="5CBB07E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w:t>
            </w:r>
            <w:r>
              <w:rPr>
                <w:sz w:val="18"/>
                <w:szCs w:val="18"/>
                <w:lang w:val="fr-FR"/>
              </w:rPr>
              <w:t> </w:t>
            </w:r>
            <w:r w:rsidRPr="006927FC">
              <w:rPr>
                <w:sz w:val="18"/>
                <w:szCs w:val="18"/>
                <w:lang w:val="fr-FR"/>
              </w:rPr>
              <w:t>%</w:t>
            </w:r>
          </w:p>
        </w:tc>
      </w:tr>
      <w:tr w:rsidR="00780206" w:rsidRPr="006927FC" w14:paraId="4DFA0E6F" w14:textId="77777777" w:rsidTr="00887156">
        <w:tc>
          <w:tcPr>
            <w:tcW w:w="2279" w:type="dxa"/>
            <w:shd w:val="clear" w:color="auto" w:fill="auto"/>
          </w:tcPr>
          <w:p w14:paraId="12889CC7"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Affaires économiques</w:t>
            </w:r>
          </w:p>
        </w:tc>
        <w:tc>
          <w:tcPr>
            <w:tcW w:w="1494" w:type="dxa"/>
            <w:shd w:val="clear" w:color="auto" w:fill="auto"/>
            <w:noWrap/>
            <w:vAlign w:val="bottom"/>
            <w:hideMark/>
          </w:tcPr>
          <w:p w14:paraId="1DF33E5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75 770</w:t>
            </w:r>
          </w:p>
        </w:tc>
        <w:tc>
          <w:tcPr>
            <w:tcW w:w="1602" w:type="dxa"/>
            <w:shd w:val="clear" w:color="auto" w:fill="auto"/>
            <w:noWrap/>
            <w:vAlign w:val="bottom"/>
            <w:hideMark/>
          </w:tcPr>
          <w:p w14:paraId="17AC0E8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3,1</w:t>
            </w:r>
            <w:r>
              <w:rPr>
                <w:sz w:val="18"/>
                <w:szCs w:val="18"/>
                <w:lang w:val="fr-FR"/>
              </w:rPr>
              <w:t> </w:t>
            </w:r>
            <w:r w:rsidRPr="006927FC">
              <w:rPr>
                <w:sz w:val="18"/>
                <w:szCs w:val="18"/>
                <w:lang w:val="fr-FR"/>
              </w:rPr>
              <w:t>%</w:t>
            </w:r>
          </w:p>
        </w:tc>
        <w:tc>
          <w:tcPr>
            <w:tcW w:w="1889" w:type="dxa"/>
            <w:shd w:val="clear" w:color="auto" w:fill="auto"/>
            <w:noWrap/>
            <w:vAlign w:val="bottom"/>
            <w:hideMark/>
          </w:tcPr>
          <w:p w14:paraId="3EB58F2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87 466</w:t>
            </w:r>
          </w:p>
        </w:tc>
        <w:tc>
          <w:tcPr>
            <w:tcW w:w="1604" w:type="dxa"/>
            <w:shd w:val="clear" w:color="auto" w:fill="auto"/>
            <w:noWrap/>
            <w:vAlign w:val="bottom"/>
            <w:hideMark/>
          </w:tcPr>
          <w:p w14:paraId="5642BE8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3,4</w:t>
            </w:r>
            <w:r>
              <w:rPr>
                <w:sz w:val="18"/>
                <w:szCs w:val="18"/>
                <w:lang w:val="fr-FR"/>
              </w:rPr>
              <w:t> </w:t>
            </w:r>
            <w:r w:rsidRPr="006927FC">
              <w:rPr>
                <w:sz w:val="18"/>
                <w:szCs w:val="18"/>
                <w:lang w:val="fr-FR"/>
              </w:rPr>
              <w:t>%</w:t>
            </w:r>
          </w:p>
        </w:tc>
        <w:tc>
          <w:tcPr>
            <w:tcW w:w="1889" w:type="dxa"/>
            <w:shd w:val="clear" w:color="auto" w:fill="auto"/>
            <w:noWrap/>
            <w:vAlign w:val="bottom"/>
            <w:hideMark/>
          </w:tcPr>
          <w:p w14:paraId="5993898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97 622</w:t>
            </w:r>
          </w:p>
        </w:tc>
        <w:tc>
          <w:tcPr>
            <w:tcW w:w="1604" w:type="dxa"/>
            <w:shd w:val="clear" w:color="auto" w:fill="auto"/>
            <w:noWrap/>
            <w:vAlign w:val="bottom"/>
            <w:hideMark/>
          </w:tcPr>
          <w:p w14:paraId="0C0F9CA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3,6</w:t>
            </w:r>
            <w:r>
              <w:rPr>
                <w:sz w:val="18"/>
                <w:szCs w:val="18"/>
                <w:lang w:val="fr-FR"/>
              </w:rPr>
              <w:t> </w:t>
            </w:r>
            <w:r w:rsidRPr="006927FC">
              <w:rPr>
                <w:sz w:val="18"/>
                <w:szCs w:val="18"/>
                <w:lang w:val="fr-FR"/>
              </w:rPr>
              <w:t>%</w:t>
            </w:r>
          </w:p>
        </w:tc>
      </w:tr>
      <w:tr w:rsidR="00780206" w:rsidRPr="006927FC" w14:paraId="22F8579E" w14:textId="77777777" w:rsidTr="00887156">
        <w:tc>
          <w:tcPr>
            <w:tcW w:w="2279" w:type="dxa"/>
            <w:shd w:val="clear" w:color="auto" w:fill="auto"/>
          </w:tcPr>
          <w:p w14:paraId="0D0888A7"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Protection de l</w:t>
            </w:r>
            <w:r>
              <w:rPr>
                <w:sz w:val="18"/>
                <w:szCs w:val="18"/>
                <w:lang w:val="fr-FR"/>
              </w:rPr>
              <w:t>’</w:t>
            </w:r>
            <w:r w:rsidRPr="006927FC">
              <w:rPr>
                <w:sz w:val="18"/>
                <w:szCs w:val="18"/>
                <w:lang w:val="fr-FR"/>
              </w:rPr>
              <w:t>environnement</w:t>
            </w:r>
          </w:p>
        </w:tc>
        <w:tc>
          <w:tcPr>
            <w:tcW w:w="1494" w:type="dxa"/>
            <w:shd w:val="clear" w:color="auto" w:fill="auto"/>
            <w:noWrap/>
            <w:vAlign w:val="bottom"/>
            <w:hideMark/>
          </w:tcPr>
          <w:p w14:paraId="1B6F175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6 841</w:t>
            </w:r>
          </w:p>
        </w:tc>
        <w:tc>
          <w:tcPr>
            <w:tcW w:w="1602" w:type="dxa"/>
            <w:shd w:val="clear" w:color="auto" w:fill="auto"/>
            <w:noWrap/>
            <w:vAlign w:val="bottom"/>
            <w:hideMark/>
          </w:tcPr>
          <w:p w14:paraId="0FDFC9B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c>
          <w:tcPr>
            <w:tcW w:w="1889" w:type="dxa"/>
            <w:shd w:val="clear" w:color="auto" w:fill="auto"/>
            <w:noWrap/>
            <w:vAlign w:val="bottom"/>
            <w:hideMark/>
          </w:tcPr>
          <w:p w14:paraId="174B1CA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6 184</w:t>
            </w:r>
          </w:p>
        </w:tc>
        <w:tc>
          <w:tcPr>
            <w:tcW w:w="1604" w:type="dxa"/>
            <w:shd w:val="clear" w:color="auto" w:fill="auto"/>
            <w:noWrap/>
            <w:vAlign w:val="bottom"/>
            <w:hideMark/>
          </w:tcPr>
          <w:p w14:paraId="3797B120"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0,2</w:t>
            </w:r>
            <w:r>
              <w:rPr>
                <w:sz w:val="18"/>
                <w:szCs w:val="18"/>
                <w:lang w:val="fr-FR"/>
              </w:rPr>
              <w:t> </w:t>
            </w:r>
            <w:r w:rsidRPr="006927FC">
              <w:rPr>
                <w:sz w:val="18"/>
                <w:szCs w:val="18"/>
                <w:lang w:val="fr-FR"/>
              </w:rPr>
              <w:t>%</w:t>
            </w:r>
          </w:p>
        </w:tc>
        <w:tc>
          <w:tcPr>
            <w:tcW w:w="1889" w:type="dxa"/>
            <w:shd w:val="clear" w:color="auto" w:fill="auto"/>
            <w:noWrap/>
            <w:vAlign w:val="bottom"/>
            <w:hideMark/>
          </w:tcPr>
          <w:p w14:paraId="5172ECC5"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7 120</w:t>
            </w:r>
          </w:p>
        </w:tc>
        <w:tc>
          <w:tcPr>
            <w:tcW w:w="1604" w:type="dxa"/>
            <w:shd w:val="clear" w:color="auto" w:fill="auto"/>
            <w:noWrap/>
            <w:vAlign w:val="bottom"/>
            <w:hideMark/>
          </w:tcPr>
          <w:p w14:paraId="40F21AB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r>
      <w:tr w:rsidR="00780206" w:rsidRPr="006927FC" w14:paraId="45595D2E" w14:textId="77777777" w:rsidTr="00887156">
        <w:tc>
          <w:tcPr>
            <w:tcW w:w="2279" w:type="dxa"/>
            <w:shd w:val="clear" w:color="auto" w:fill="auto"/>
          </w:tcPr>
          <w:p w14:paraId="2C462084"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Logement et équipements collectifs</w:t>
            </w:r>
          </w:p>
        </w:tc>
        <w:tc>
          <w:tcPr>
            <w:tcW w:w="1494" w:type="dxa"/>
            <w:shd w:val="clear" w:color="auto" w:fill="auto"/>
            <w:noWrap/>
            <w:vAlign w:val="bottom"/>
            <w:hideMark/>
          </w:tcPr>
          <w:p w14:paraId="195A32C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41 968</w:t>
            </w:r>
          </w:p>
        </w:tc>
        <w:tc>
          <w:tcPr>
            <w:tcW w:w="1602" w:type="dxa"/>
            <w:shd w:val="clear" w:color="auto" w:fill="auto"/>
            <w:noWrap/>
            <w:vAlign w:val="bottom"/>
            <w:hideMark/>
          </w:tcPr>
          <w:p w14:paraId="345BF44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1,7</w:t>
            </w:r>
            <w:r>
              <w:rPr>
                <w:sz w:val="18"/>
                <w:szCs w:val="18"/>
                <w:lang w:val="fr-FR"/>
              </w:rPr>
              <w:t> </w:t>
            </w:r>
            <w:r w:rsidRPr="006927FC">
              <w:rPr>
                <w:sz w:val="18"/>
                <w:szCs w:val="18"/>
                <w:lang w:val="fr-FR"/>
              </w:rPr>
              <w:t>%</w:t>
            </w:r>
          </w:p>
        </w:tc>
        <w:tc>
          <w:tcPr>
            <w:tcW w:w="1889" w:type="dxa"/>
            <w:shd w:val="clear" w:color="auto" w:fill="auto"/>
            <w:noWrap/>
            <w:vAlign w:val="bottom"/>
            <w:hideMark/>
          </w:tcPr>
          <w:p w14:paraId="46B75A2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40 790</w:t>
            </w:r>
          </w:p>
        </w:tc>
        <w:tc>
          <w:tcPr>
            <w:tcW w:w="1604" w:type="dxa"/>
            <w:shd w:val="clear" w:color="auto" w:fill="auto"/>
            <w:noWrap/>
            <w:vAlign w:val="bottom"/>
            <w:hideMark/>
          </w:tcPr>
          <w:p w14:paraId="0309740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1,6</w:t>
            </w:r>
            <w:r>
              <w:rPr>
                <w:sz w:val="18"/>
                <w:szCs w:val="18"/>
                <w:lang w:val="fr-FR"/>
              </w:rPr>
              <w:t> </w:t>
            </w:r>
            <w:r w:rsidRPr="006927FC">
              <w:rPr>
                <w:sz w:val="18"/>
                <w:szCs w:val="18"/>
                <w:lang w:val="fr-FR"/>
              </w:rPr>
              <w:t>%</w:t>
            </w:r>
          </w:p>
        </w:tc>
        <w:tc>
          <w:tcPr>
            <w:tcW w:w="1889" w:type="dxa"/>
            <w:shd w:val="clear" w:color="auto" w:fill="auto"/>
            <w:noWrap/>
            <w:vAlign w:val="bottom"/>
            <w:hideMark/>
          </w:tcPr>
          <w:p w14:paraId="1CB470A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43 180</w:t>
            </w:r>
          </w:p>
        </w:tc>
        <w:tc>
          <w:tcPr>
            <w:tcW w:w="1604" w:type="dxa"/>
            <w:shd w:val="clear" w:color="auto" w:fill="auto"/>
            <w:noWrap/>
            <w:vAlign w:val="bottom"/>
            <w:hideMark/>
          </w:tcPr>
          <w:p w14:paraId="5151ACA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1,6</w:t>
            </w:r>
            <w:r>
              <w:rPr>
                <w:sz w:val="18"/>
                <w:szCs w:val="18"/>
                <w:lang w:val="fr-FR"/>
              </w:rPr>
              <w:t> </w:t>
            </w:r>
            <w:r w:rsidRPr="006927FC">
              <w:rPr>
                <w:sz w:val="18"/>
                <w:szCs w:val="18"/>
                <w:lang w:val="fr-FR"/>
              </w:rPr>
              <w:t>%</w:t>
            </w:r>
          </w:p>
        </w:tc>
      </w:tr>
      <w:tr w:rsidR="00780206" w:rsidRPr="006927FC" w14:paraId="22082041" w14:textId="77777777" w:rsidTr="00887156">
        <w:tc>
          <w:tcPr>
            <w:tcW w:w="2279" w:type="dxa"/>
            <w:shd w:val="clear" w:color="auto" w:fill="auto"/>
          </w:tcPr>
          <w:p w14:paraId="105897BD"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Santé*</w:t>
            </w:r>
          </w:p>
        </w:tc>
        <w:tc>
          <w:tcPr>
            <w:tcW w:w="1494" w:type="dxa"/>
            <w:shd w:val="clear" w:color="auto" w:fill="auto"/>
            <w:noWrap/>
            <w:vAlign w:val="bottom"/>
            <w:hideMark/>
          </w:tcPr>
          <w:p w14:paraId="31C1E1F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72 247</w:t>
            </w:r>
          </w:p>
        </w:tc>
        <w:tc>
          <w:tcPr>
            <w:tcW w:w="1602" w:type="dxa"/>
            <w:shd w:val="clear" w:color="auto" w:fill="auto"/>
            <w:noWrap/>
            <w:vAlign w:val="bottom"/>
            <w:hideMark/>
          </w:tcPr>
          <w:p w14:paraId="76066BF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w:t>
            </w:r>
            <w:r>
              <w:rPr>
                <w:sz w:val="18"/>
                <w:szCs w:val="18"/>
                <w:lang w:val="fr-FR"/>
              </w:rPr>
              <w:t> </w:t>
            </w:r>
            <w:r w:rsidRPr="006927FC">
              <w:rPr>
                <w:sz w:val="18"/>
                <w:szCs w:val="18"/>
                <w:lang w:val="fr-FR"/>
              </w:rPr>
              <w:t>%</w:t>
            </w:r>
          </w:p>
        </w:tc>
        <w:tc>
          <w:tcPr>
            <w:tcW w:w="1889" w:type="dxa"/>
            <w:shd w:val="clear" w:color="auto" w:fill="auto"/>
            <w:noWrap/>
            <w:vAlign w:val="bottom"/>
            <w:hideMark/>
          </w:tcPr>
          <w:p w14:paraId="6F68B526"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77 575</w:t>
            </w:r>
          </w:p>
        </w:tc>
        <w:tc>
          <w:tcPr>
            <w:tcW w:w="1604" w:type="dxa"/>
            <w:shd w:val="clear" w:color="auto" w:fill="auto"/>
            <w:noWrap/>
            <w:vAlign w:val="bottom"/>
            <w:hideMark/>
          </w:tcPr>
          <w:p w14:paraId="1EFA6B8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3,0</w:t>
            </w:r>
            <w:r>
              <w:rPr>
                <w:sz w:val="18"/>
                <w:szCs w:val="18"/>
                <w:lang w:val="fr-FR"/>
              </w:rPr>
              <w:t> </w:t>
            </w:r>
            <w:r w:rsidRPr="006927FC">
              <w:rPr>
                <w:sz w:val="18"/>
                <w:szCs w:val="18"/>
                <w:lang w:val="fr-FR"/>
              </w:rPr>
              <w:t>%</w:t>
            </w:r>
          </w:p>
        </w:tc>
        <w:tc>
          <w:tcPr>
            <w:tcW w:w="1889" w:type="dxa"/>
            <w:shd w:val="clear" w:color="auto" w:fill="auto"/>
            <w:noWrap/>
            <w:vAlign w:val="bottom"/>
            <w:hideMark/>
          </w:tcPr>
          <w:p w14:paraId="07FB726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82 500</w:t>
            </w:r>
          </w:p>
        </w:tc>
        <w:tc>
          <w:tcPr>
            <w:tcW w:w="1604" w:type="dxa"/>
            <w:shd w:val="clear" w:color="auto" w:fill="auto"/>
            <w:noWrap/>
            <w:vAlign w:val="bottom"/>
            <w:hideMark/>
          </w:tcPr>
          <w:p w14:paraId="5460D63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3,1</w:t>
            </w:r>
            <w:r>
              <w:rPr>
                <w:sz w:val="18"/>
                <w:szCs w:val="18"/>
                <w:lang w:val="fr-FR"/>
              </w:rPr>
              <w:t> </w:t>
            </w:r>
            <w:r w:rsidRPr="006927FC">
              <w:rPr>
                <w:sz w:val="18"/>
                <w:szCs w:val="18"/>
                <w:lang w:val="fr-FR"/>
              </w:rPr>
              <w:t>%</w:t>
            </w:r>
          </w:p>
        </w:tc>
      </w:tr>
      <w:tr w:rsidR="00780206" w:rsidRPr="006927FC" w14:paraId="0D110DEC" w14:textId="77777777" w:rsidTr="00887156">
        <w:tc>
          <w:tcPr>
            <w:tcW w:w="2279" w:type="dxa"/>
            <w:shd w:val="clear" w:color="auto" w:fill="auto"/>
          </w:tcPr>
          <w:p w14:paraId="2CCA30A3"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Loisirs, culture et culte</w:t>
            </w:r>
          </w:p>
        </w:tc>
        <w:tc>
          <w:tcPr>
            <w:tcW w:w="1494" w:type="dxa"/>
            <w:shd w:val="clear" w:color="auto" w:fill="auto"/>
            <w:noWrap/>
            <w:vAlign w:val="bottom"/>
            <w:hideMark/>
          </w:tcPr>
          <w:p w14:paraId="63B89A9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8 702</w:t>
            </w:r>
          </w:p>
        </w:tc>
        <w:tc>
          <w:tcPr>
            <w:tcW w:w="1602" w:type="dxa"/>
            <w:shd w:val="clear" w:color="auto" w:fill="auto"/>
            <w:noWrap/>
            <w:vAlign w:val="bottom"/>
            <w:hideMark/>
          </w:tcPr>
          <w:p w14:paraId="3C0F16E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c>
          <w:tcPr>
            <w:tcW w:w="1889" w:type="dxa"/>
            <w:shd w:val="clear" w:color="auto" w:fill="auto"/>
            <w:noWrap/>
            <w:vAlign w:val="bottom"/>
            <w:hideMark/>
          </w:tcPr>
          <w:p w14:paraId="29EE6E6A"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8 150</w:t>
            </w:r>
          </w:p>
        </w:tc>
        <w:tc>
          <w:tcPr>
            <w:tcW w:w="1604" w:type="dxa"/>
            <w:shd w:val="clear" w:color="auto" w:fill="auto"/>
            <w:noWrap/>
            <w:vAlign w:val="bottom"/>
            <w:hideMark/>
          </w:tcPr>
          <w:p w14:paraId="3B0EB1D3"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0,3</w:t>
            </w:r>
            <w:r>
              <w:rPr>
                <w:sz w:val="18"/>
                <w:szCs w:val="18"/>
                <w:lang w:val="fr-FR"/>
              </w:rPr>
              <w:t> </w:t>
            </w:r>
            <w:r w:rsidRPr="006927FC">
              <w:rPr>
                <w:sz w:val="18"/>
                <w:szCs w:val="18"/>
                <w:lang w:val="fr-FR"/>
              </w:rPr>
              <w:t>%</w:t>
            </w:r>
          </w:p>
        </w:tc>
        <w:tc>
          <w:tcPr>
            <w:tcW w:w="1889" w:type="dxa"/>
            <w:shd w:val="clear" w:color="auto" w:fill="auto"/>
            <w:noWrap/>
            <w:vAlign w:val="bottom"/>
            <w:hideMark/>
          </w:tcPr>
          <w:p w14:paraId="3DC8B2E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9 506</w:t>
            </w:r>
          </w:p>
        </w:tc>
        <w:tc>
          <w:tcPr>
            <w:tcW w:w="1604" w:type="dxa"/>
            <w:shd w:val="clear" w:color="auto" w:fill="auto"/>
            <w:noWrap/>
            <w:vAlign w:val="bottom"/>
            <w:hideMark/>
          </w:tcPr>
          <w:p w14:paraId="5784648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r>
      <w:tr w:rsidR="00780206" w:rsidRPr="006927FC" w14:paraId="2284ABFF" w14:textId="77777777" w:rsidTr="00887156">
        <w:tc>
          <w:tcPr>
            <w:tcW w:w="2279" w:type="dxa"/>
            <w:shd w:val="clear" w:color="auto" w:fill="auto"/>
          </w:tcPr>
          <w:p w14:paraId="624FD4C6"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Éducation*</w:t>
            </w:r>
          </w:p>
        </w:tc>
        <w:tc>
          <w:tcPr>
            <w:tcW w:w="1494" w:type="dxa"/>
            <w:shd w:val="clear" w:color="auto" w:fill="auto"/>
            <w:noWrap/>
            <w:vAlign w:val="bottom"/>
            <w:hideMark/>
          </w:tcPr>
          <w:p w14:paraId="2BA2990E"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78 894</w:t>
            </w:r>
          </w:p>
        </w:tc>
        <w:tc>
          <w:tcPr>
            <w:tcW w:w="1602" w:type="dxa"/>
            <w:shd w:val="clear" w:color="auto" w:fill="auto"/>
            <w:noWrap/>
            <w:vAlign w:val="bottom"/>
            <w:hideMark/>
          </w:tcPr>
          <w:p w14:paraId="17D681DC"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3,2</w:t>
            </w:r>
            <w:r>
              <w:rPr>
                <w:sz w:val="18"/>
                <w:szCs w:val="18"/>
                <w:lang w:val="fr-FR"/>
              </w:rPr>
              <w:t> </w:t>
            </w:r>
            <w:r w:rsidRPr="006927FC">
              <w:rPr>
                <w:sz w:val="18"/>
                <w:szCs w:val="18"/>
                <w:lang w:val="fr-FR"/>
              </w:rPr>
              <w:t>%</w:t>
            </w:r>
          </w:p>
        </w:tc>
        <w:tc>
          <w:tcPr>
            <w:tcW w:w="1889" w:type="dxa"/>
            <w:shd w:val="clear" w:color="auto" w:fill="auto"/>
            <w:noWrap/>
            <w:vAlign w:val="bottom"/>
            <w:hideMark/>
          </w:tcPr>
          <w:p w14:paraId="1B408B3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81 716</w:t>
            </w:r>
          </w:p>
        </w:tc>
        <w:tc>
          <w:tcPr>
            <w:tcW w:w="1604" w:type="dxa"/>
            <w:shd w:val="clear" w:color="auto" w:fill="auto"/>
            <w:noWrap/>
            <w:vAlign w:val="bottom"/>
            <w:hideMark/>
          </w:tcPr>
          <w:p w14:paraId="162ABDD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3,2</w:t>
            </w:r>
            <w:r>
              <w:rPr>
                <w:sz w:val="18"/>
                <w:szCs w:val="18"/>
                <w:lang w:val="fr-FR"/>
              </w:rPr>
              <w:t> </w:t>
            </w:r>
            <w:r w:rsidRPr="006927FC">
              <w:rPr>
                <w:sz w:val="18"/>
                <w:szCs w:val="18"/>
                <w:lang w:val="fr-FR"/>
              </w:rPr>
              <w:t>%</w:t>
            </w:r>
          </w:p>
        </w:tc>
        <w:tc>
          <w:tcPr>
            <w:tcW w:w="1889" w:type="dxa"/>
            <w:shd w:val="clear" w:color="auto" w:fill="auto"/>
            <w:noWrap/>
            <w:vAlign w:val="bottom"/>
            <w:hideMark/>
          </w:tcPr>
          <w:p w14:paraId="00C0AAC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86 820</w:t>
            </w:r>
          </w:p>
        </w:tc>
        <w:tc>
          <w:tcPr>
            <w:tcW w:w="1604" w:type="dxa"/>
            <w:shd w:val="clear" w:color="auto" w:fill="auto"/>
            <w:noWrap/>
            <w:vAlign w:val="bottom"/>
            <w:hideMark/>
          </w:tcPr>
          <w:p w14:paraId="7A657D4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3,2</w:t>
            </w:r>
            <w:r>
              <w:rPr>
                <w:sz w:val="18"/>
                <w:szCs w:val="18"/>
                <w:lang w:val="fr-FR"/>
              </w:rPr>
              <w:t> </w:t>
            </w:r>
            <w:r w:rsidRPr="006927FC">
              <w:rPr>
                <w:sz w:val="18"/>
                <w:szCs w:val="18"/>
                <w:lang w:val="fr-FR"/>
              </w:rPr>
              <w:t>%</w:t>
            </w:r>
          </w:p>
        </w:tc>
      </w:tr>
      <w:tr w:rsidR="00780206" w:rsidRPr="006927FC" w14:paraId="583BB1DF" w14:textId="77777777" w:rsidTr="00887156">
        <w:tc>
          <w:tcPr>
            <w:tcW w:w="2279" w:type="dxa"/>
            <w:shd w:val="clear" w:color="auto" w:fill="auto"/>
          </w:tcPr>
          <w:p w14:paraId="56C71D7E" w14:textId="77777777" w:rsidR="00780206" w:rsidRPr="006927FC" w:rsidRDefault="00780206" w:rsidP="00114026">
            <w:pPr>
              <w:tabs>
                <w:tab w:val="left" w:pos="567"/>
              </w:tabs>
              <w:suppressAutoHyphens w:val="0"/>
              <w:spacing w:before="40" w:after="40" w:line="220" w:lineRule="exact"/>
              <w:rPr>
                <w:sz w:val="18"/>
                <w:szCs w:val="18"/>
              </w:rPr>
            </w:pPr>
            <w:r w:rsidRPr="006927FC">
              <w:rPr>
                <w:sz w:val="18"/>
                <w:szCs w:val="18"/>
                <w:lang w:val="fr-FR"/>
              </w:rPr>
              <w:t>Protection sociale</w:t>
            </w:r>
          </w:p>
        </w:tc>
        <w:tc>
          <w:tcPr>
            <w:tcW w:w="1494" w:type="dxa"/>
            <w:shd w:val="clear" w:color="auto" w:fill="auto"/>
            <w:noWrap/>
            <w:vAlign w:val="bottom"/>
            <w:hideMark/>
          </w:tcPr>
          <w:p w14:paraId="2FC34C08"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238 027</w:t>
            </w:r>
          </w:p>
        </w:tc>
        <w:tc>
          <w:tcPr>
            <w:tcW w:w="1602" w:type="dxa"/>
            <w:shd w:val="clear" w:color="auto" w:fill="auto"/>
            <w:noWrap/>
            <w:vAlign w:val="bottom"/>
            <w:hideMark/>
          </w:tcPr>
          <w:p w14:paraId="72489FE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9,8</w:t>
            </w:r>
            <w:r>
              <w:rPr>
                <w:sz w:val="18"/>
                <w:szCs w:val="18"/>
                <w:lang w:val="fr-FR"/>
              </w:rPr>
              <w:t> </w:t>
            </w:r>
            <w:r w:rsidRPr="006927FC">
              <w:rPr>
                <w:sz w:val="18"/>
                <w:szCs w:val="18"/>
                <w:lang w:val="fr-FR"/>
              </w:rPr>
              <w:t>%</w:t>
            </w:r>
          </w:p>
        </w:tc>
        <w:tc>
          <w:tcPr>
            <w:tcW w:w="1889" w:type="dxa"/>
            <w:shd w:val="clear" w:color="auto" w:fill="auto"/>
            <w:noWrap/>
            <w:vAlign w:val="bottom"/>
            <w:hideMark/>
          </w:tcPr>
          <w:p w14:paraId="672B4851"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246 086</w:t>
            </w:r>
          </w:p>
        </w:tc>
        <w:tc>
          <w:tcPr>
            <w:tcW w:w="1604" w:type="dxa"/>
            <w:shd w:val="clear" w:color="auto" w:fill="auto"/>
            <w:noWrap/>
            <w:vAlign w:val="bottom"/>
            <w:hideMark/>
          </w:tcPr>
          <w:p w14:paraId="02823EBF"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9,6</w:t>
            </w:r>
            <w:r>
              <w:rPr>
                <w:sz w:val="18"/>
                <w:szCs w:val="18"/>
                <w:lang w:val="fr-FR"/>
              </w:rPr>
              <w:t> </w:t>
            </w:r>
            <w:r w:rsidRPr="006927FC">
              <w:rPr>
                <w:sz w:val="18"/>
                <w:szCs w:val="18"/>
                <w:lang w:val="fr-FR"/>
              </w:rPr>
              <w:t>%</w:t>
            </w:r>
          </w:p>
        </w:tc>
        <w:tc>
          <w:tcPr>
            <w:tcW w:w="1889" w:type="dxa"/>
            <w:shd w:val="clear" w:color="auto" w:fill="auto"/>
            <w:noWrap/>
            <w:vAlign w:val="bottom"/>
            <w:hideMark/>
          </w:tcPr>
          <w:p w14:paraId="59ADC76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259 058</w:t>
            </w:r>
          </w:p>
        </w:tc>
        <w:tc>
          <w:tcPr>
            <w:tcW w:w="1604" w:type="dxa"/>
            <w:shd w:val="clear" w:color="auto" w:fill="auto"/>
            <w:noWrap/>
            <w:vAlign w:val="bottom"/>
            <w:hideMark/>
          </w:tcPr>
          <w:p w14:paraId="7AC7A61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9,6</w:t>
            </w:r>
            <w:r>
              <w:rPr>
                <w:sz w:val="18"/>
                <w:szCs w:val="18"/>
                <w:lang w:val="fr-FR"/>
              </w:rPr>
              <w:t> </w:t>
            </w:r>
            <w:r w:rsidRPr="006927FC">
              <w:rPr>
                <w:sz w:val="18"/>
                <w:szCs w:val="18"/>
                <w:lang w:val="fr-FR"/>
              </w:rPr>
              <w:t>%</w:t>
            </w:r>
          </w:p>
        </w:tc>
      </w:tr>
      <w:tr w:rsidR="00780206" w:rsidRPr="006927FC" w14:paraId="3CBE42E8" w14:textId="77777777" w:rsidTr="00887156">
        <w:tc>
          <w:tcPr>
            <w:tcW w:w="2279" w:type="dxa"/>
            <w:shd w:val="clear" w:color="auto" w:fill="auto"/>
          </w:tcPr>
          <w:p w14:paraId="0523990C" w14:textId="77777777" w:rsidR="00780206" w:rsidRPr="006927FC" w:rsidRDefault="00780206" w:rsidP="00114026">
            <w:pPr>
              <w:tabs>
                <w:tab w:val="left" w:pos="567"/>
              </w:tabs>
              <w:suppressAutoHyphens w:val="0"/>
              <w:spacing w:before="40" w:after="40" w:line="220" w:lineRule="exact"/>
              <w:rPr>
                <w:sz w:val="18"/>
                <w:szCs w:val="18"/>
                <w:lang w:val="fr-FR"/>
              </w:rPr>
            </w:pPr>
            <w:r w:rsidRPr="006927FC">
              <w:rPr>
                <w:sz w:val="18"/>
                <w:szCs w:val="18"/>
                <w:lang w:val="fr-FR"/>
              </w:rPr>
              <w:t>Fonds de réserve, risque d</w:t>
            </w:r>
            <w:r>
              <w:rPr>
                <w:sz w:val="18"/>
                <w:szCs w:val="18"/>
                <w:lang w:val="fr-FR"/>
              </w:rPr>
              <w:t>’</w:t>
            </w:r>
            <w:r w:rsidRPr="006927FC">
              <w:rPr>
                <w:sz w:val="18"/>
                <w:szCs w:val="18"/>
                <w:lang w:val="fr-FR"/>
              </w:rPr>
              <w:t>endettement et nouvelle politique de hausse des salaires</w:t>
            </w:r>
          </w:p>
        </w:tc>
        <w:tc>
          <w:tcPr>
            <w:tcW w:w="1494" w:type="dxa"/>
            <w:shd w:val="clear" w:color="auto" w:fill="auto"/>
            <w:noWrap/>
            <w:vAlign w:val="bottom"/>
            <w:hideMark/>
          </w:tcPr>
          <w:p w14:paraId="41B31D74"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14 500</w:t>
            </w:r>
          </w:p>
        </w:tc>
        <w:tc>
          <w:tcPr>
            <w:tcW w:w="1602" w:type="dxa"/>
            <w:shd w:val="clear" w:color="auto" w:fill="auto"/>
            <w:noWrap/>
            <w:vAlign w:val="bottom"/>
            <w:hideMark/>
          </w:tcPr>
          <w:p w14:paraId="0F7DB88B"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0,6</w:t>
            </w:r>
            <w:r>
              <w:rPr>
                <w:sz w:val="18"/>
                <w:szCs w:val="18"/>
                <w:lang w:val="fr-FR"/>
              </w:rPr>
              <w:t> </w:t>
            </w:r>
            <w:r w:rsidRPr="006927FC">
              <w:rPr>
                <w:sz w:val="18"/>
                <w:szCs w:val="18"/>
                <w:lang w:val="fr-FR"/>
              </w:rPr>
              <w:t>%</w:t>
            </w:r>
          </w:p>
        </w:tc>
        <w:tc>
          <w:tcPr>
            <w:tcW w:w="1889" w:type="dxa"/>
            <w:shd w:val="clear" w:color="auto" w:fill="auto"/>
            <w:noWrap/>
            <w:vAlign w:val="bottom"/>
            <w:hideMark/>
          </w:tcPr>
          <w:p w14:paraId="651D7852"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12 200</w:t>
            </w:r>
          </w:p>
        </w:tc>
        <w:tc>
          <w:tcPr>
            <w:tcW w:w="1604" w:type="dxa"/>
            <w:shd w:val="clear" w:color="auto" w:fill="auto"/>
            <w:noWrap/>
            <w:vAlign w:val="bottom"/>
            <w:hideMark/>
          </w:tcPr>
          <w:p w14:paraId="369DDB19"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0,5</w:t>
            </w:r>
            <w:r>
              <w:rPr>
                <w:sz w:val="18"/>
                <w:szCs w:val="18"/>
                <w:lang w:val="fr-FR"/>
              </w:rPr>
              <w:t> </w:t>
            </w:r>
            <w:r w:rsidRPr="006927FC">
              <w:rPr>
                <w:sz w:val="18"/>
                <w:szCs w:val="18"/>
                <w:lang w:val="fr-FR"/>
              </w:rPr>
              <w:t>%</w:t>
            </w:r>
          </w:p>
        </w:tc>
        <w:tc>
          <w:tcPr>
            <w:tcW w:w="1889" w:type="dxa"/>
            <w:shd w:val="clear" w:color="auto" w:fill="auto"/>
            <w:noWrap/>
            <w:vAlign w:val="bottom"/>
            <w:hideMark/>
          </w:tcPr>
          <w:p w14:paraId="60EB2AD7"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10 600</w:t>
            </w:r>
          </w:p>
        </w:tc>
        <w:tc>
          <w:tcPr>
            <w:tcW w:w="1604" w:type="dxa"/>
            <w:shd w:val="clear" w:color="auto" w:fill="auto"/>
            <w:noWrap/>
            <w:vAlign w:val="bottom"/>
            <w:hideMark/>
          </w:tcPr>
          <w:p w14:paraId="38D7755D" w14:textId="77777777" w:rsidR="00780206" w:rsidRPr="006927FC" w:rsidRDefault="00780206" w:rsidP="00114026">
            <w:pPr>
              <w:tabs>
                <w:tab w:val="left" w:pos="567"/>
              </w:tabs>
              <w:suppressAutoHyphens w:val="0"/>
              <w:spacing w:before="40" w:after="40" w:line="220" w:lineRule="exact"/>
              <w:jc w:val="right"/>
              <w:rPr>
                <w:sz w:val="18"/>
                <w:szCs w:val="18"/>
              </w:rPr>
            </w:pPr>
            <w:r w:rsidRPr="006927FC">
              <w:rPr>
                <w:sz w:val="18"/>
                <w:szCs w:val="18"/>
                <w:lang w:val="fr-FR"/>
              </w:rPr>
              <w:t>0,4</w:t>
            </w:r>
            <w:r>
              <w:rPr>
                <w:sz w:val="18"/>
                <w:szCs w:val="18"/>
                <w:lang w:val="fr-FR"/>
              </w:rPr>
              <w:t> </w:t>
            </w:r>
            <w:r w:rsidRPr="006927FC">
              <w:rPr>
                <w:sz w:val="18"/>
                <w:szCs w:val="18"/>
                <w:lang w:val="fr-FR"/>
              </w:rPr>
              <w:t>%</w:t>
            </w:r>
          </w:p>
        </w:tc>
      </w:tr>
      <w:tr w:rsidR="00780206" w:rsidRPr="006927FC" w14:paraId="3B8F153E" w14:textId="77777777" w:rsidTr="00887156">
        <w:tc>
          <w:tcPr>
            <w:tcW w:w="2279" w:type="dxa"/>
            <w:shd w:val="clear" w:color="auto" w:fill="auto"/>
          </w:tcPr>
          <w:p w14:paraId="6A199B1D" w14:textId="77777777" w:rsidR="00780206" w:rsidRPr="006927FC" w:rsidRDefault="00780206" w:rsidP="00114026">
            <w:pPr>
              <w:tabs>
                <w:tab w:val="left" w:pos="567"/>
              </w:tabs>
              <w:suppressAutoHyphens w:val="0"/>
              <w:spacing w:before="40" w:after="40" w:line="220" w:lineRule="exact"/>
              <w:rPr>
                <w:iCs/>
                <w:sz w:val="18"/>
                <w:szCs w:val="18"/>
              </w:rPr>
            </w:pPr>
            <w:r w:rsidRPr="006927FC">
              <w:rPr>
                <w:sz w:val="18"/>
                <w:szCs w:val="18"/>
                <w:lang w:val="fr-FR"/>
              </w:rPr>
              <w:t>PIB nominal</w:t>
            </w:r>
          </w:p>
        </w:tc>
        <w:tc>
          <w:tcPr>
            <w:tcW w:w="1494" w:type="dxa"/>
            <w:shd w:val="clear" w:color="auto" w:fill="auto"/>
            <w:noWrap/>
            <w:vAlign w:val="bottom"/>
            <w:hideMark/>
          </w:tcPr>
          <w:p w14:paraId="7360A9C2"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2 434 311</w:t>
            </w:r>
          </w:p>
        </w:tc>
        <w:tc>
          <w:tcPr>
            <w:tcW w:w="1602" w:type="dxa"/>
            <w:shd w:val="clear" w:color="auto" w:fill="auto"/>
            <w:noWrap/>
            <w:vAlign w:val="bottom"/>
            <w:hideMark/>
          </w:tcPr>
          <w:p w14:paraId="5E5D6BD7" w14:textId="77777777" w:rsidR="00780206" w:rsidRPr="006927FC" w:rsidRDefault="00780206" w:rsidP="00114026">
            <w:pPr>
              <w:tabs>
                <w:tab w:val="left" w:pos="567"/>
              </w:tabs>
              <w:suppressAutoHyphens w:val="0"/>
              <w:spacing w:before="40" w:after="40" w:line="220" w:lineRule="exact"/>
              <w:jc w:val="right"/>
              <w:rPr>
                <w:iCs/>
                <w:sz w:val="18"/>
                <w:szCs w:val="18"/>
                <w:lang w:val="en-US"/>
              </w:rPr>
            </w:pPr>
            <w:r w:rsidRPr="006927FC">
              <w:rPr>
                <w:iCs/>
                <w:sz w:val="18"/>
                <w:szCs w:val="18"/>
                <w:lang w:val="en-US"/>
              </w:rPr>
              <w:t> </w:t>
            </w:r>
          </w:p>
        </w:tc>
        <w:tc>
          <w:tcPr>
            <w:tcW w:w="1889" w:type="dxa"/>
            <w:shd w:val="clear" w:color="auto" w:fill="auto"/>
            <w:noWrap/>
            <w:vAlign w:val="bottom"/>
            <w:hideMark/>
          </w:tcPr>
          <w:p w14:paraId="40FEF464"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2 557 741</w:t>
            </w:r>
          </w:p>
        </w:tc>
        <w:tc>
          <w:tcPr>
            <w:tcW w:w="1604" w:type="dxa"/>
            <w:shd w:val="clear" w:color="auto" w:fill="auto"/>
            <w:noWrap/>
            <w:vAlign w:val="bottom"/>
            <w:hideMark/>
          </w:tcPr>
          <w:p w14:paraId="0FF27FA4" w14:textId="77777777" w:rsidR="00780206" w:rsidRPr="006927FC" w:rsidRDefault="00780206" w:rsidP="00114026">
            <w:pPr>
              <w:tabs>
                <w:tab w:val="left" w:pos="567"/>
              </w:tabs>
              <w:suppressAutoHyphens w:val="0"/>
              <w:spacing w:before="40" w:after="40" w:line="220" w:lineRule="exact"/>
              <w:jc w:val="right"/>
              <w:rPr>
                <w:iCs/>
                <w:sz w:val="18"/>
                <w:szCs w:val="18"/>
                <w:lang w:val="en-US"/>
              </w:rPr>
            </w:pPr>
            <w:r w:rsidRPr="006927FC">
              <w:rPr>
                <w:iCs/>
                <w:sz w:val="18"/>
                <w:szCs w:val="18"/>
                <w:lang w:val="en-US"/>
              </w:rPr>
              <w:t> </w:t>
            </w:r>
          </w:p>
        </w:tc>
        <w:tc>
          <w:tcPr>
            <w:tcW w:w="1889" w:type="dxa"/>
            <w:shd w:val="clear" w:color="auto" w:fill="auto"/>
            <w:noWrap/>
            <w:vAlign w:val="bottom"/>
            <w:hideMark/>
          </w:tcPr>
          <w:p w14:paraId="65176BDA" w14:textId="77777777" w:rsidR="00780206" w:rsidRPr="006927FC" w:rsidRDefault="00780206" w:rsidP="00114026">
            <w:pPr>
              <w:tabs>
                <w:tab w:val="left" w:pos="567"/>
              </w:tabs>
              <w:suppressAutoHyphens w:val="0"/>
              <w:spacing w:before="40" w:after="40" w:line="220" w:lineRule="exact"/>
              <w:jc w:val="right"/>
              <w:rPr>
                <w:iCs/>
                <w:sz w:val="18"/>
                <w:szCs w:val="18"/>
              </w:rPr>
            </w:pPr>
            <w:r w:rsidRPr="006927FC">
              <w:rPr>
                <w:sz w:val="18"/>
                <w:szCs w:val="18"/>
                <w:lang w:val="fr-FR"/>
              </w:rPr>
              <w:t>2 690 518</w:t>
            </w:r>
          </w:p>
        </w:tc>
        <w:tc>
          <w:tcPr>
            <w:tcW w:w="1604" w:type="dxa"/>
            <w:shd w:val="clear" w:color="auto" w:fill="auto"/>
            <w:noWrap/>
            <w:vAlign w:val="bottom"/>
            <w:hideMark/>
          </w:tcPr>
          <w:p w14:paraId="4E9169A7" w14:textId="77777777" w:rsidR="00780206" w:rsidRPr="006927FC" w:rsidRDefault="00780206" w:rsidP="00114026">
            <w:pPr>
              <w:tabs>
                <w:tab w:val="left" w:pos="567"/>
              </w:tabs>
              <w:suppressAutoHyphens w:val="0"/>
              <w:spacing w:before="40" w:after="40" w:line="220" w:lineRule="exact"/>
              <w:jc w:val="right"/>
              <w:rPr>
                <w:iCs/>
                <w:sz w:val="18"/>
                <w:szCs w:val="18"/>
                <w:lang w:val="en-US"/>
              </w:rPr>
            </w:pPr>
            <w:r w:rsidRPr="006927FC">
              <w:rPr>
                <w:iCs/>
                <w:sz w:val="18"/>
                <w:szCs w:val="18"/>
                <w:lang w:val="en-US"/>
              </w:rPr>
              <w:t> </w:t>
            </w:r>
          </w:p>
        </w:tc>
      </w:tr>
      <w:tr w:rsidR="00780206" w:rsidRPr="006927FC" w14:paraId="7C6FAFA1" w14:textId="77777777" w:rsidTr="00887156">
        <w:tc>
          <w:tcPr>
            <w:tcW w:w="2279" w:type="dxa"/>
            <w:shd w:val="clear" w:color="auto" w:fill="auto"/>
          </w:tcPr>
          <w:p w14:paraId="7B2EC2BD" w14:textId="77777777" w:rsidR="00780206" w:rsidRPr="006927FC" w:rsidRDefault="00780206" w:rsidP="00114026">
            <w:pPr>
              <w:tabs>
                <w:tab w:val="left" w:pos="567"/>
              </w:tabs>
              <w:suppressAutoHyphens w:val="0"/>
              <w:spacing w:before="40" w:after="40" w:line="220" w:lineRule="exact"/>
              <w:rPr>
                <w:b/>
                <w:bCs/>
                <w:sz w:val="18"/>
                <w:szCs w:val="18"/>
              </w:rPr>
            </w:pPr>
            <w:r w:rsidRPr="006927FC">
              <w:rPr>
                <w:sz w:val="18"/>
                <w:szCs w:val="18"/>
                <w:lang w:val="fr-FR"/>
              </w:rPr>
              <w:t>Santé (% des dépenses totales)</w:t>
            </w:r>
          </w:p>
        </w:tc>
        <w:tc>
          <w:tcPr>
            <w:tcW w:w="1494" w:type="dxa"/>
            <w:shd w:val="clear" w:color="auto" w:fill="auto"/>
            <w:noWrap/>
            <w:vAlign w:val="bottom"/>
          </w:tcPr>
          <w:p w14:paraId="4BF1B6FC" w14:textId="77777777" w:rsidR="00780206" w:rsidRPr="000F67BF" w:rsidRDefault="00780206" w:rsidP="00114026">
            <w:pPr>
              <w:tabs>
                <w:tab w:val="left" w:pos="567"/>
              </w:tabs>
              <w:suppressAutoHyphens w:val="0"/>
              <w:spacing w:before="40" w:after="40" w:line="220" w:lineRule="exact"/>
              <w:jc w:val="right"/>
              <w:rPr>
                <w:iCs/>
                <w:sz w:val="18"/>
                <w:szCs w:val="18"/>
              </w:rPr>
            </w:pPr>
            <w:r w:rsidRPr="000F67BF">
              <w:rPr>
                <w:sz w:val="18"/>
                <w:szCs w:val="18"/>
                <w:lang w:val="fr-FR"/>
              </w:rPr>
              <w:t>9,8 %</w:t>
            </w:r>
          </w:p>
        </w:tc>
        <w:tc>
          <w:tcPr>
            <w:tcW w:w="1602" w:type="dxa"/>
            <w:shd w:val="clear" w:color="auto" w:fill="auto"/>
            <w:noWrap/>
            <w:vAlign w:val="bottom"/>
          </w:tcPr>
          <w:p w14:paraId="1305B1CC" w14:textId="77777777" w:rsidR="00780206" w:rsidRPr="000F67BF" w:rsidRDefault="00780206" w:rsidP="00114026">
            <w:pPr>
              <w:tabs>
                <w:tab w:val="left" w:pos="567"/>
              </w:tabs>
              <w:suppressAutoHyphens w:val="0"/>
              <w:spacing w:before="40" w:after="40" w:line="220" w:lineRule="exact"/>
              <w:jc w:val="right"/>
              <w:rPr>
                <w:iCs/>
                <w:sz w:val="18"/>
                <w:szCs w:val="18"/>
                <w:lang w:val="en-US"/>
              </w:rPr>
            </w:pPr>
            <w:r w:rsidRPr="000F67BF">
              <w:rPr>
                <w:sz w:val="18"/>
                <w:szCs w:val="18"/>
                <w:lang w:val="en-US"/>
              </w:rPr>
              <w:t> </w:t>
            </w:r>
          </w:p>
        </w:tc>
        <w:tc>
          <w:tcPr>
            <w:tcW w:w="1889" w:type="dxa"/>
            <w:shd w:val="clear" w:color="auto" w:fill="auto"/>
            <w:noWrap/>
            <w:vAlign w:val="bottom"/>
          </w:tcPr>
          <w:p w14:paraId="5C82A730" w14:textId="77777777" w:rsidR="00780206" w:rsidRPr="000F67BF" w:rsidRDefault="00780206" w:rsidP="00114026">
            <w:pPr>
              <w:tabs>
                <w:tab w:val="left" w:pos="567"/>
              </w:tabs>
              <w:suppressAutoHyphens w:val="0"/>
              <w:spacing w:before="40" w:after="40" w:line="220" w:lineRule="exact"/>
              <w:jc w:val="right"/>
              <w:rPr>
                <w:iCs/>
                <w:sz w:val="18"/>
                <w:szCs w:val="18"/>
              </w:rPr>
            </w:pPr>
            <w:r w:rsidRPr="000F67BF">
              <w:rPr>
                <w:sz w:val="18"/>
                <w:szCs w:val="18"/>
                <w:lang w:val="fr-FR"/>
              </w:rPr>
              <w:t>10,2 %</w:t>
            </w:r>
          </w:p>
        </w:tc>
        <w:tc>
          <w:tcPr>
            <w:tcW w:w="1604" w:type="dxa"/>
            <w:shd w:val="clear" w:color="auto" w:fill="auto"/>
            <w:noWrap/>
            <w:vAlign w:val="bottom"/>
          </w:tcPr>
          <w:p w14:paraId="1B54D29A" w14:textId="77777777" w:rsidR="00780206" w:rsidRPr="000F67BF" w:rsidRDefault="00780206" w:rsidP="00114026">
            <w:pPr>
              <w:tabs>
                <w:tab w:val="left" w:pos="567"/>
              </w:tabs>
              <w:suppressAutoHyphens w:val="0"/>
              <w:spacing w:before="40" w:after="40" w:line="220" w:lineRule="exact"/>
              <w:jc w:val="right"/>
              <w:rPr>
                <w:iCs/>
                <w:sz w:val="18"/>
                <w:szCs w:val="18"/>
                <w:lang w:val="en-US"/>
              </w:rPr>
            </w:pPr>
            <w:r w:rsidRPr="000F67BF">
              <w:rPr>
                <w:sz w:val="18"/>
                <w:szCs w:val="18"/>
                <w:lang w:val="en-US"/>
              </w:rPr>
              <w:t> </w:t>
            </w:r>
          </w:p>
        </w:tc>
        <w:tc>
          <w:tcPr>
            <w:tcW w:w="1889" w:type="dxa"/>
            <w:shd w:val="clear" w:color="auto" w:fill="auto"/>
            <w:noWrap/>
            <w:vAlign w:val="bottom"/>
          </w:tcPr>
          <w:p w14:paraId="20202295" w14:textId="77777777" w:rsidR="00780206" w:rsidRPr="000F67BF" w:rsidRDefault="00780206" w:rsidP="00114026">
            <w:pPr>
              <w:tabs>
                <w:tab w:val="left" w:pos="567"/>
              </w:tabs>
              <w:suppressAutoHyphens w:val="0"/>
              <w:spacing w:before="40" w:after="40" w:line="220" w:lineRule="exact"/>
              <w:jc w:val="right"/>
              <w:rPr>
                <w:iCs/>
                <w:sz w:val="18"/>
                <w:szCs w:val="18"/>
              </w:rPr>
            </w:pPr>
            <w:r w:rsidRPr="000F67BF">
              <w:rPr>
                <w:sz w:val="18"/>
                <w:szCs w:val="18"/>
                <w:lang w:val="fr-FR"/>
              </w:rPr>
              <w:t>10,2 %</w:t>
            </w:r>
          </w:p>
        </w:tc>
        <w:tc>
          <w:tcPr>
            <w:tcW w:w="1604" w:type="dxa"/>
            <w:shd w:val="clear" w:color="auto" w:fill="auto"/>
            <w:noWrap/>
            <w:vAlign w:val="bottom"/>
          </w:tcPr>
          <w:p w14:paraId="0BDB704B" w14:textId="77777777" w:rsidR="00780206" w:rsidRPr="006927FC" w:rsidRDefault="00780206" w:rsidP="00114026">
            <w:pPr>
              <w:tabs>
                <w:tab w:val="left" w:pos="567"/>
              </w:tabs>
              <w:suppressAutoHyphens w:val="0"/>
              <w:spacing w:before="40" w:after="40" w:line="220" w:lineRule="exact"/>
              <w:jc w:val="right"/>
              <w:rPr>
                <w:iCs/>
                <w:sz w:val="18"/>
                <w:szCs w:val="18"/>
                <w:lang w:val="en-US"/>
              </w:rPr>
            </w:pPr>
          </w:p>
        </w:tc>
      </w:tr>
      <w:tr w:rsidR="00780206" w:rsidRPr="006927FC" w14:paraId="15E96F05" w14:textId="77777777" w:rsidTr="00887156">
        <w:tc>
          <w:tcPr>
            <w:tcW w:w="2279" w:type="dxa"/>
            <w:shd w:val="clear" w:color="auto" w:fill="auto"/>
          </w:tcPr>
          <w:p w14:paraId="63B1B124" w14:textId="77777777" w:rsidR="00780206" w:rsidRPr="006927FC" w:rsidRDefault="00780206" w:rsidP="00114026">
            <w:pPr>
              <w:tabs>
                <w:tab w:val="left" w:pos="567"/>
              </w:tabs>
              <w:suppressAutoHyphens w:val="0"/>
              <w:spacing w:before="40" w:after="40" w:line="220" w:lineRule="exact"/>
              <w:rPr>
                <w:b/>
                <w:bCs/>
                <w:sz w:val="18"/>
                <w:szCs w:val="18"/>
              </w:rPr>
            </w:pPr>
            <w:r w:rsidRPr="006927FC">
              <w:rPr>
                <w:sz w:val="18"/>
                <w:szCs w:val="18"/>
                <w:lang w:val="fr-FR"/>
              </w:rPr>
              <w:t>Éducation (% des dépenses totales)</w:t>
            </w:r>
          </w:p>
        </w:tc>
        <w:tc>
          <w:tcPr>
            <w:tcW w:w="1494" w:type="dxa"/>
            <w:shd w:val="clear" w:color="auto" w:fill="auto"/>
            <w:noWrap/>
            <w:vAlign w:val="bottom"/>
          </w:tcPr>
          <w:p w14:paraId="32E5A372" w14:textId="77777777" w:rsidR="00780206" w:rsidRPr="000F67BF" w:rsidRDefault="00780206" w:rsidP="00114026">
            <w:pPr>
              <w:tabs>
                <w:tab w:val="left" w:pos="567"/>
              </w:tabs>
              <w:suppressAutoHyphens w:val="0"/>
              <w:spacing w:before="40" w:after="40" w:line="220" w:lineRule="exact"/>
              <w:jc w:val="right"/>
              <w:rPr>
                <w:iCs/>
                <w:sz w:val="18"/>
                <w:szCs w:val="18"/>
              </w:rPr>
            </w:pPr>
            <w:r w:rsidRPr="000F67BF">
              <w:rPr>
                <w:sz w:val="18"/>
                <w:szCs w:val="18"/>
                <w:lang w:val="fr-FR"/>
              </w:rPr>
              <w:t>10,7 %</w:t>
            </w:r>
          </w:p>
        </w:tc>
        <w:tc>
          <w:tcPr>
            <w:tcW w:w="1602" w:type="dxa"/>
            <w:shd w:val="clear" w:color="auto" w:fill="auto"/>
            <w:noWrap/>
            <w:vAlign w:val="bottom"/>
          </w:tcPr>
          <w:p w14:paraId="2EBC1F70" w14:textId="77777777" w:rsidR="00780206" w:rsidRPr="000F67BF" w:rsidRDefault="00780206" w:rsidP="00114026">
            <w:pPr>
              <w:tabs>
                <w:tab w:val="left" w:pos="567"/>
              </w:tabs>
              <w:suppressAutoHyphens w:val="0"/>
              <w:spacing w:before="40" w:after="40" w:line="220" w:lineRule="exact"/>
              <w:jc w:val="right"/>
              <w:rPr>
                <w:iCs/>
                <w:sz w:val="18"/>
                <w:szCs w:val="18"/>
                <w:lang w:val="en-US"/>
              </w:rPr>
            </w:pPr>
            <w:r w:rsidRPr="000F67BF">
              <w:rPr>
                <w:sz w:val="18"/>
                <w:szCs w:val="18"/>
                <w:lang w:val="en-US"/>
              </w:rPr>
              <w:t> </w:t>
            </w:r>
          </w:p>
        </w:tc>
        <w:tc>
          <w:tcPr>
            <w:tcW w:w="1889" w:type="dxa"/>
            <w:shd w:val="clear" w:color="auto" w:fill="auto"/>
            <w:noWrap/>
            <w:vAlign w:val="bottom"/>
          </w:tcPr>
          <w:p w14:paraId="020EC90F" w14:textId="77777777" w:rsidR="00780206" w:rsidRPr="000F67BF" w:rsidRDefault="00780206" w:rsidP="00114026">
            <w:pPr>
              <w:tabs>
                <w:tab w:val="left" w:pos="567"/>
              </w:tabs>
              <w:suppressAutoHyphens w:val="0"/>
              <w:spacing w:before="40" w:after="40" w:line="220" w:lineRule="exact"/>
              <w:jc w:val="right"/>
              <w:rPr>
                <w:iCs/>
                <w:sz w:val="18"/>
                <w:szCs w:val="18"/>
              </w:rPr>
            </w:pPr>
            <w:r w:rsidRPr="000F67BF">
              <w:rPr>
                <w:sz w:val="18"/>
                <w:szCs w:val="18"/>
                <w:lang w:val="fr-FR"/>
              </w:rPr>
              <w:t>10,7 %</w:t>
            </w:r>
          </w:p>
        </w:tc>
        <w:tc>
          <w:tcPr>
            <w:tcW w:w="1604" w:type="dxa"/>
            <w:shd w:val="clear" w:color="auto" w:fill="auto"/>
            <w:noWrap/>
            <w:vAlign w:val="bottom"/>
          </w:tcPr>
          <w:p w14:paraId="0C43EEDD" w14:textId="77777777" w:rsidR="00780206" w:rsidRPr="000F67BF" w:rsidRDefault="00780206" w:rsidP="00114026">
            <w:pPr>
              <w:tabs>
                <w:tab w:val="left" w:pos="567"/>
              </w:tabs>
              <w:suppressAutoHyphens w:val="0"/>
              <w:spacing w:before="40" w:after="40" w:line="220" w:lineRule="exact"/>
              <w:jc w:val="right"/>
              <w:rPr>
                <w:iCs/>
                <w:sz w:val="18"/>
                <w:szCs w:val="18"/>
                <w:lang w:val="en-US"/>
              </w:rPr>
            </w:pPr>
            <w:r w:rsidRPr="000F67BF">
              <w:rPr>
                <w:sz w:val="18"/>
                <w:szCs w:val="18"/>
                <w:lang w:val="en-US"/>
              </w:rPr>
              <w:t> </w:t>
            </w:r>
          </w:p>
        </w:tc>
        <w:tc>
          <w:tcPr>
            <w:tcW w:w="1889" w:type="dxa"/>
            <w:shd w:val="clear" w:color="auto" w:fill="auto"/>
            <w:noWrap/>
            <w:vAlign w:val="bottom"/>
          </w:tcPr>
          <w:p w14:paraId="252F406C" w14:textId="77777777" w:rsidR="00780206" w:rsidRPr="000F67BF" w:rsidRDefault="00780206" w:rsidP="00114026">
            <w:pPr>
              <w:tabs>
                <w:tab w:val="left" w:pos="567"/>
              </w:tabs>
              <w:suppressAutoHyphens w:val="0"/>
              <w:spacing w:before="40" w:after="40" w:line="220" w:lineRule="exact"/>
              <w:jc w:val="right"/>
              <w:rPr>
                <w:iCs/>
                <w:sz w:val="18"/>
                <w:szCs w:val="18"/>
              </w:rPr>
            </w:pPr>
            <w:r w:rsidRPr="000F67BF">
              <w:rPr>
                <w:sz w:val="18"/>
                <w:szCs w:val="18"/>
                <w:lang w:val="fr-FR"/>
              </w:rPr>
              <w:t>10,8 %</w:t>
            </w:r>
          </w:p>
        </w:tc>
        <w:tc>
          <w:tcPr>
            <w:tcW w:w="1604" w:type="dxa"/>
            <w:shd w:val="clear" w:color="auto" w:fill="auto"/>
            <w:noWrap/>
            <w:vAlign w:val="bottom"/>
          </w:tcPr>
          <w:p w14:paraId="20C7392E" w14:textId="77777777" w:rsidR="00780206" w:rsidRPr="006927FC" w:rsidRDefault="00780206" w:rsidP="00114026">
            <w:pPr>
              <w:tabs>
                <w:tab w:val="left" w:pos="567"/>
              </w:tabs>
              <w:suppressAutoHyphens w:val="0"/>
              <w:spacing w:before="40" w:after="40" w:line="220" w:lineRule="exact"/>
              <w:jc w:val="right"/>
              <w:rPr>
                <w:iCs/>
                <w:sz w:val="18"/>
                <w:szCs w:val="18"/>
                <w:lang w:val="en-US"/>
              </w:rPr>
            </w:pPr>
          </w:p>
        </w:tc>
      </w:tr>
      <w:tr w:rsidR="00780206" w:rsidRPr="006927FC" w14:paraId="53EB8AFD" w14:textId="77777777" w:rsidTr="00887156">
        <w:tc>
          <w:tcPr>
            <w:tcW w:w="2279" w:type="dxa"/>
            <w:shd w:val="clear" w:color="auto" w:fill="auto"/>
          </w:tcPr>
          <w:p w14:paraId="3754D1B8" w14:textId="77777777" w:rsidR="00780206" w:rsidRPr="006927FC" w:rsidRDefault="00780206" w:rsidP="00114026">
            <w:pPr>
              <w:tabs>
                <w:tab w:val="left" w:pos="567"/>
              </w:tabs>
              <w:suppressAutoHyphens w:val="0"/>
              <w:spacing w:before="40" w:after="40" w:line="220" w:lineRule="exact"/>
              <w:rPr>
                <w:b/>
                <w:bCs/>
                <w:sz w:val="18"/>
                <w:szCs w:val="18"/>
                <w:lang w:val="fr-FR"/>
              </w:rPr>
            </w:pPr>
            <w:r w:rsidRPr="006927FC">
              <w:rPr>
                <w:sz w:val="18"/>
                <w:szCs w:val="18"/>
                <w:lang w:val="fr-FR"/>
              </w:rPr>
              <w:t>Protection sociale (% des dépenses totales)</w:t>
            </w:r>
          </w:p>
        </w:tc>
        <w:tc>
          <w:tcPr>
            <w:tcW w:w="1494" w:type="dxa"/>
            <w:shd w:val="clear" w:color="auto" w:fill="auto"/>
            <w:noWrap/>
            <w:vAlign w:val="bottom"/>
          </w:tcPr>
          <w:p w14:paraId="4BFE5932" w14:textId="77777777" w:rsidR="00780206" w:rsidRPr="000F67BF" w:rsidRDefault="00780206" w:rsidP="00114026">
            <w:pPr>
              <w:tabs>
                <w:tab w:val="left" w:pos="567"/>
              </w:tabs>
              <w:suppressAutoHyphens w:val="0"/>
              <w:spacing w:before="40" w:after="40" w:line="220" w:lineRule="exact"/>
              <w:jc w:val="right"/>
              <w:rPr>
                <w:sz w:val="18"/>
                <w:szCs w:val="18"/>
              </w:rPr>
            </w:pPr>
            <w:r w:rsidRPr="000F67BF">
              <w:rPr>
                <w:sz w:val="18"/>
                <w:szCs w:val="18"/>
                <w:lang w:val="fr-FR"/>
              </w:rPr>
              <w:t>32,3 %</w:t>
            </w:r>
          </w:p>
        </w:tc>
        <w:tc>
          <w:tcPr>
            <w:tcW w:w="1602" w:type="dxa"/>
            <w:shd w:val="clear" w:color="auto" w:fill="auto"/>
            <w:noWrap/>
            <w:vAlign w:val="bottom"/>
          </w:tcPr>
          <w:p w14:paraId="77B0B11F" w14:textId="77777777" w:rsidR="00780206" w:rsidRPr="000F67BF" w:rsidRDefault="00780206" w:rsidP="00114026">
            <w:pPr>
              <w:tabs>
                <w:tab w:val="left" w:pos="567"/>
              </w:tabs>
              <w:suppressAutoHyphens w:val="0"/>
              <w:spacing w:before="40" w:after="40" w:line="220" w:lineRule="exact"/>
              <w:jc w:val="right"/>
              <w:rPr>
                <w:sz w:val="18"/>
                <w:szCs w:val="18"/>
                <w:lang w:val="en-US"/>
              </w:rPr>
            </w:pPr>
            <w:r w:rsidRPr="000F67BF">
              <w:rPr>
                <w:sz w:val="18"/>
                <w:szCs w:val="18"/>
                <w:lang w:val="en-US"/>
              </w:rPr>
              <w:t> </w:t>
            </w:r>
          </w:p>
        </w:tc>
        <w:tc>
          <w:tcPr>
            <w:tcW w:w="1889" w:type="dxa"/>
            <w:shd w:val="clear" w:color="auto" w:fill="auto"/>
            <w:noWrap/>
            <w:vAlign w:val="bottom"/>
          </w:tcPr>
          <w:p w14:paraId="5087E9EC" w14:textId="77777777" w:rsidR="00780206" w:rsidRPr="000F67BF" w:rsidRDefault="00780206" w:rsidP="00114026">
            <w:pPr>
              <w:tabs>
                <w:tab w:val="left" w:pos="567"/>
              </w:tabs>
              <w:suppressAutoHyphens w:val="0"/>
              <w:spacing w:before="40" w:after="40" w:line="220" w:lineRule="exact"/>
              <w:jc w:val="right"/>
              <w:rPr>
                <w:sz w:val="18"/>
                <w:szCs w:val="18"/>
              </w:rPr>
            </w:pPr>
            <w:r w:rsidRPr="000F67BF">
              <w:rPr>
                <w:sz w:val="18"/>
                <w:szCs w:val="18"/>
                <w:lang w:val="fr-FR"/>
              </w:rPr>
              <w:t>32,3 %</w:t>
            </w:r>
          </w:p>
        </w:tc>
        <w:tc>
          <w:tcPr>
            <w:tcW w:w="1604" w:type="dxa"/>
            <w:shd w:val="clear" w:color="auto" w:fill="auto"/>
            <w:noWrap/>
            <w:vAlign w:val="bottom"/>
          </w:tcPr>
          <w:p w14:paraId="0925DFB9" w14:textId="77777777" w:rsidR="00780206" w:rsidRPr="000F67BF" w:rsidRDefault="00780206" w:rsidP="00114026">
            <w:pPr>
              <w:tabs>
                <w:tab w:val="left" w:pos="567"/>
              </w:tabs>
              <w:suppressAutoHyphens w:val="0"/>
              <w:spacing w:before="40" w:after="40" w:line="220" w:lineRule="exact"/>
              <w:jc w:val="right"/>
              <w:rPr>
                <w:sz w:val="18"/>
                <w:szCs w:val="18"/>
                <w:lang w:val="en-US"/>
              </w:rPr>
            </w:pPr>
            <w:r w:rsidRPr="000F67BF">
              <w:rPr>
                <w:sz w:val="18"/>
                <w:szCs w:val="18"/>
                <w:lang w:val="en-US"/>
              </w:rPr>
              <w:t> </w:t>
            </w:r>
          </w:p>
        </w:tc>
        <w:tc>
          <w:tcPr>
            <w:tcW w:w="1889" w:type="dxa"/>
            <w:shd w:val="clear" w:color="auto" w:fill="auto"/>
            <w:noWrap/>
            <w:vAlign w:val="bottom"/>
          </w:tcPr>
          <w:p w14:paraId="0D047FA5" w14:textId="77777777" w:rsidR="00780206" w:rsidRPr="000F67BF" w:rsidRDefault="00780206" w:rsidP="00114026">
            <w:pPr>
              <w:tabs>
                <w:tab w:val="left" w:pos="567"/>
              </w:tabs>
              <w:suppressAutoHyphens w:val="0"/>
              <w:spacing w:before="40" w:after="40" w:line="220" w:lineRule="exact"/>
              <w:jc w:val="right"/>
              <w:rPr>
                <w:sz w:val="18"/>
                <w:szCs w:val="18"/>
              </w:rPr>
            </w:pPr>
            <w:r w:rsidRPr="000F67BF">
              <w:rPr>
                <w:sz w:val="18"/>
                <w:szCs w:val="18"/>
                <w:lang w:val="fr-FR"/>
              </w:rPr>
              <w:t>32,2 %</w:t>
            </w:r>
          </w:p>
        </w:tc>
        <w:tc>
          <w:tcPr>
            <w:tcW w:w="1604" w:type="dxa"/>
            <w:shd w:val="clear" w:color="auto" w:fill="auto"/>
            <w:noWrap/>
            <w:vAlign w:val="bottom"/>
          </w:tcPr>
          <w:p w14:paraId="00A1A2B4" w14:textId="77777777" w:rsidR="00780206" w:rsidRPr="006927FC" w:rsidRDefault="00780206" w:rsidP="00114026">
            <w:pPr>
              <w:tabs>
                <w:tab w:val="left" w:pos="567"/>
              </w:tabs>
              <w:suppressAutoHyphens w:val="0"/>
              <w:spacing w:before="40" w:after="40" w:line="220" w:lineRule="exact"/>
              <w:jc w:val="right"/>
              <w:rPr>
                <w:iCs/>
                <w:sz w:val="18"/>
                <w:szCs w:val="18"/>
                <w:lang w:val="en-US"/>
              </w:rPr>
            </w:pPr>
          </w:p>
        </w:tc>
      </w:tr>
    </w:tbl>
    <w:p w14:paraId="0242A9D6" w14:textId="77777777" w:rsidR="007327FE" w:rsidRDefault="007327FE" w:rsidP="006656AF">
      <w:pPr>
        <w:tabs>
          <w:tab w:val="left" w:pos="567"/>
        </w:tabs>
        <w:sectPr w:rsidR="007327FE" w:rsidSect="00FA1B22">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14:paraId="6AB36559"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lastRenderedPageBreak/>
        <w:t>Dans le contexte de la pandémie de COVID-19, la première série de mesures budgétaires mise en place par le Gouvernement albanais comprenait les mesures suivantes :</w:t>
      </w:r>
    </w:p>
    <w:p w14:paraId="7F43E8F6" w14:textId="5335DFE8" w:rsidR="0078583E" w:rsidRPr="00820E13" w:rsidRDefault="0078583E" w:rsidP="00D15740">
      <w:pPr>
        <w:pStyle w:val="H4G"/>
        <w:ind w:left="2835"/>
        <w:rPr>
          <w:lang w:val="fr-FR"/>
        </w:rPr>
      </w:pPr>
      <w:r>
        <w:rPr>
          <w:lang w:val="fr-FR"/>
        </w:rPr>
        <w:t>Prolongation de 4 mois du délai de soumission des états financiers</w:t>
      </w:r>
    </w:p>
    <w:p w14:paraId="6B4D1934" w14:textId="77777777" w:rsidR="0078583E" w:rsidRPr="00820E13" w:rsidRDefault="0078583E" w:rsidP="00887156">
      <w:pPr>
        <w:pStyle w:val="Bullet2G"/>
        <w:rPr>
          <w:lang w:val="fr-FR"/>
        </w:rPr>
      </w:pPr>
      <w:r>
        <w:rPr>
          <w:lang w:val="fr-FR"/>
        </w:rPr>
        <w:t xml:space="preserve">Le </w:t>
      </w:r>
      <w:r w:rsidRPr="00887156">
        <w:t>bilan comptable, accompagné de ses annexes, devait être présenté au plus tard le 31</w:t>
      </w:r>
      <w:r>
        <w:rPr>
          <w:lang w:val="fr-FR"/>
        </w:rPr>
        <w:t> juillet 2020 (date limite initialement fixée au 31 mars).</w:t>
      </w:r>
    </w:p>
    <w:p w14:paraId="07CCD934" w14:textId="7D82D13F" w:rsidR="0078583E" w:rsidRPr="00820E13" w:rsidRDefault="0078583E" w:rsidP="00D15740">
      <w:pPr>
        <w:pStyle w:val="H4G"/>
        <w:ind w:left="1701" w:firstLine="0"/>
        <w:rPr>
          <w:lang w:val="fr-FR"/>
        </w:rPr>
      </w:pPr>
      <w:r>
        <w:rPr>
          <w:lang w:val="fr-FR"/>
        </w:rPr>
        <w:t xml:space="preserve">Report du paiement de l’impôt sur les bénéfices pour les contribuables </w:t>
      </w:r>
      <w:r w:rsidR="007F326F">
        <w:rPr>
          <w:lang w:val="fr-FR"/>
        </w:rPr>
        <w:br/>
      </w:r>
      <w:r>
        <w:rPr>
          <w:lang w:val="fr-FR"/>
        </w:rPr>
        <w:t>dont le chiffre d’affaires n’excédait pas 14 000 000 leks</w:t>
      </w:r>
    </w:p>
    <w:p w14:paraId="58B5565D" w14:textId="474AC269" w:rsidR="0078583E" w:rsidRPr="00820E13" w:rsidRDefault="0078583E" w:rsidP="00887156">
      <w:pPr>
        <w:pStyle w:val="Bullet2G"/>
        <w:rPr>
          <w:lang w:val="fr-FR"/>
        </w:rPr>
      </w:pPr>
      <w:r>
        <w:rPr>
          <w:lang w:val="fr-FR"/>
        </w:rPr>
        <w:t>Pour les contribuables dont le chiffre d’affaires n’excédait pas 14 000 000 (quatorze</w:t>
      </w:r>
      <w:r w:rsidR="00D15740">
        <w:rPr>
          <w:lang w:val="fr-FR"/>
        </w:rPr>
        <w:t> </w:t>
      </w:r>
      <w:r>
        <w:rPr>
          <w:lang w:val="fr-FR"/>
        </w:rPr>
        <w:t xml:space="preserve">millions) de leks, l’impôt calculé sur la base de la déclaration </w:t>
      </w:r>
      <w:r w:rsidRPr="00887156">
        <w:t>annuelle</w:t>
      </w:r>
      <w:r>
        <w:rPr>
          <w:lang w:val="fr-FR"/>
        </w:rPr>
        <w:t xml:space="preserve"> des bénéfices était à payer au cours du second semestre</w:t>
      </w:r>
      <w:r w:rsidR="007F326F">
        <w:rPr>
          <w:lang w:val="fr-FR"/>
        </w:rPr>
        <w:t xml:space="preserve"> </w:t>
      </w:r>
      <w:r>
        <w:rPr>
          <w:lang w:val="fr-FR"/>
        </w:rPr>
        <w:t>2020 (montant normalement versé le 31 mars).</w:t>
      </w:r>
    </w:p>
    <w:p w14:paraId="3FBF09A6" w14:textId="1EA2E1B8" w:rsidR="0078583E" w:rsidRPr="00820E13" w:rsidRDefault="00D15740" w:rsidP="00D15740">
      <w:pPr>
        <w:pStyle w:val="H4G"/>
        <w:ind w:left="1701" w:firstLine="0"/>
        <w:rPr>
          <w:lang w:val="fr-FR"/>
        </w:rPr>
      </w:pPr>
      <w:r>
        <w:rPr>
          <w:lang w:val="fr-FR"/>
        </w:rPr>
        <w:tab/>
      </w:r>
      <w:r w:rsidR="0078583E">
        <w:rPr>
          <w:lang w:val="fr-FR"/>
        </w:rPr>
        <w:t>Report du versement des acomptes de l’impôt sur les bénéfices pour les contribuables dont le chiffre d’affaires n’excédait pas 14 000 000 de leks</w:t>
      </w:r>
    </w:p>
    <w:p w14:paraId="1EE1F34F" w14:textId="77777777" w:rsidR="0078583E" w:rsidRPr="00820E13" w:rsidRDefault="0078583E" w:rsidP="00887156">
      <w:pPr>
        <w:pStyle w:val="Bullet2G"/>
        <w:rPr>
          <w:lang w:val="fr-FR"/>
        </w:rPr>
      </w:pPr>
      <w:r>
        <w:rPr>
          <w:lang w:val="fr-FR"/>
        </w:rPr>
        <w:t>Pour les contribuables dont le chiffre d’affaires n’excédait pas 14 000 000 (</w:t>
      </w:r>
      <w:r w:rsidRPr="00887156">
        <w:t>quatorze</w:t>
      </w:r>
      <w:r>
        <w:rPr>
          <w:lang w:val="fr-FR"/>
        </w:rPr>
        <w:t xml:space="preserve"> millions) de leks, les acomptes de l’impôt sur les bénéfices des premier et </w:t>
      </w:r>
      <w:proofErr w:type="gramStart"/>
      <w:r>
        <w:rPr>
          <w:lang w:val="fr-FR"/>
        </w:rPr>
        <w:t>deuxième trimestres</w:t>
      </w:r>
      <w:proofErr w:type="gramEnd"/>
      <w:r>
        <w:rPr>
          <w:lang w:val="fr-FR"/>
        </w:rPr>
        <w:t xml:space="preserve"> de 2020 devaient être versés au compte de l’administration fiscale au plus tard le 31 décembre 2020. Les acomptes de l’impôt sur les bénéfices des troisième et </w:t>
      </w:r>
      <w:proofErr w:type="gramStart"/>
      <w:r>
        <w:rPr>
          <w:lang w:val="fr-FR"/>
        </w:rPr>
        <w:t>quatrième trimestres</w:t>
      </w:r>
      <w:proofErr w:type="gramEnd"/>
      <w:r>
        <w:rPr>
          <w:lang w:val="fr-FR"/>
        </w:rPr>
        <w:t xml:space="preserve"> de 2020 devaient être versés au compte de l’administration fiscale au plus tard le 31 décembre 2020 (montants normalement versés le dernier jour de chaque trimestre).</w:t>
      </w:r>
    </w:p>
    <w:p w14:paraId="5D3FD48C" w14:textId="1EA265CF" w:rsidR="0078583E" w:rsidRPr="00820E13" w:rsidRDefault="00D15740" w:rsidP="00D15740">
      <w:pPr>
        <w:pStyle w:val="H4G"/>
        <w:ind w:left="1701" w:firstLine="0"/>
        <w:rPr>
          <w:lang w:val="fr-FR"/>
        </w:rPr>
      </w:pPr>
      <w:r>
        <w:rPr>
          <w:lang w:val="fr-FR"/>
        </w:rPr>
        <w:tab/>
      </w:r>
      <w:r w:rsidR="0078583E">
        <w:rPr>
          <w:lang w:val="fr-FR"/>
        </w:rPr>
        <w:t xml:space="preserve">Report du versement des acomptes pour les assujettis à l’impôt simplifié </w:t>
      </w:r>
      <w:r w:rsidR="007F326F">
        <w:rPr>
          <w:lang w:val="fr-FR"/>
        </w:rPr>
        <w:br/>
      </w:r>
      <w:r w:rsidR="0078583E">
        <w:rPr>
          <w:lang w:val="fr-FR"/>
        </w:rPr>
        <w:t>sur les bénéfices</w:t>
      </w:r>
    </w:p>
    <w:p w14:paraId="74C9D732" w14:textId="77777777" w:rsidR="0078583E" w:rsidRPr="00820E13" w:rsidRDefault="0078583E" w:rsidP="006656AF">
      <w:pPr>
        <w:pStyle w:val="Bullet2G"/>
        <w:numPr>
          <w:ilvl w:val="0"/>
          <w:numId w:val="2"/>
        </w:numPr>
        <w:tabs>
          <w:tab w:val="clear" w:pos="2268"/>
          <w:tab w:val="left" w:pos="567"/>
        </w:tabs>
        <w:rPr>
          <w:lang w:val="fr-FR"/>
        </w:rPr>
      </w:pPr>
      <w:r>
        <w:rPr>
          <w:lang w:val="fr-FR"/>
        </w:rPr>
        <w:t xml:space="preserve">Les acomptes de l’impôt simplifié sur les bénéfices devaient être versés au plus </w:t>
      </w:r>
      <w:r w:rsidRPr="00887156">
        <w:t xml:space="preserve">tard le 20 octobre pour les acomptes des premier et </w:t>
      </w:r>
      <w:proofErr w:type="gramStart"/>
      <w:r w:rsidRPr="00887156">
        <w:t>deuxième trimestres</w:t>
      </w:r>
      <w:proofErr w:type="gramEnd"/>
      <w:r w:rsidRPr="00887156">
        <w:t xml:space="preserve"> de 2020, et au plus tard le 20 décembre pour les acomptes des troisième et </w:t>
      </w:r>
      <w:proofErr w:type="spellStart"/>
      <w:r w:rsidRPr="00887156">
        <w:t>quatri</w:t>
      </w:r>
      <w:r>
        <w:rPr>
          <w:lang w:val="fr-FR"/>
        </w:rPr>
        <w:t>ème</w:t>
      </w:r>
      <w:proofErr w:type="spellEnd"/>
      <w:r>
        <w:rPr>
          <w:lang w:val="fr-FR"/>
        </w:rPr>
        <w:t xml:space="preserve"> trimestres de 2020 (montants normalement versés le 20</w:t>
      </w:r>
      <w:r w:rsidRPr="00635491">
        <w:rPr>
          <w:vertAlign w:val="superscript"/>
          <w:lang w:val="fr-FR"/>
        </w:rPr>
        <w:t>e</w:t>
      </w:r>
      <w:r>
        <w:rPr>
          <w:lang w:val="fr-FR"/>
        </w:rPr>
        <w:t> jour du mois suivant chaque trimestre).</w:t>
      </w:r>
    </w:p>
    <w:p w14:paraId="7E519F48"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Dans le contexte de la pandémie de COVID-19, la deuxième série de mesures budgétaires mise en place par le Gouvernement albanais comprenait les mesures suivantes :</w:t>
      </w:r>
    </w:p>
    <w:p w14:paraId="1C5892C2" w14:textId="77777777" w:rsidR="0078583E" w:rsidRPr="00820E13" w:rsidRDefault="0078583E" w:rsidP="00D15740">
      <w:pPr>
        <w:pStyle w:val="H4G"/>
        <w:ind w:left="1701" w:firstLine="0"/>
        <w:rPr>
          <w:i w:val="0"/>
          <w:iCs/>
          <w:lang w:val="fr-FR"/>
        </w:rPr>
      </w:pPr>
      <w:r>
        <w:rPr>
          <w:iCs/>
          <w:lang w:val="fr-FR"/>
        </w:rPr>
        <w:t>Dispense de versement des acomptes de l</w:t>
      </w:r>
      <w:r>
        <w:rPr>
          <w:i w:val="0"/>
          <w:iCs/>
          <w:lang w:val="fr-FR"/>
        </w:rPr>
        <w:t>’</w:t>
      </w:r>
      <w:r>
        <w:rPr>
          <w:iCs/>
          <w:lang w:val="fr-FR"/>
        </w:rPr>
        <w:t>impôt sur les bénéfices pour les contribuables dont le chiffre d</w:t>
      </w:r>
      <w:r>
        <w:rPr>
          <w:i w:val="0"/>
          <w:iCs/>
          <w:lang w:val="fr-FR"/>
        </w:rPr>
        <w:t>’</w:t>
      </w:r>
      <w:r>
        <w:rPr>
          <w:iCs/>
          <w:lang w:val="fr-FR"/>
        </w:rPr>
        <w:t>affaires n</w:t>
      </w:r>
      <w:r>
        <w:rPr>
          <w:i w:val="0"/>
          <w:iCs/>
          <w:lang w:val="fr-FR"/>
        </w:rPr>
        <w:t>’</w:t>
      </w:r>
      <w:r>
        <w:rPr>
          <w:iCs/>
          <w:lang w:val="fr-FR"/>
        </w:rPr>
        <w:t>excédait pas 14 000 000 de leks</w:t>
      </w:r>
    </w:p>
    <w:p w14:paraId="0D02CADC" w14:textId="1E6DA7E4" w:rsidR="0078583E" w:rsidRPr="00820E13" w:rsidRDefault="0078583E" w:rsidP="006656AF">
      <w:pPr>
        <w:pStyle w:val="Bullet2G"/>
        <w:numPr>
          <w:ilvl w:val="0"/>
          <w:numId w:val="2"/>
        </w:numPr>
        <w:tabs>
          <w:tab w:val="clear" w:pos="2268"/>
          <w:tab w:val="left" w:pos="567"/>
        </w:tabs>
        <w:rPr>
          <w:lang w:val="fr-FR"/>
        </w:rPr>
      </w:pPr>
      <w:r>
        <w:rPr>
          <w:lang w:val="fr-FR"/>
        </w:rPr>
        <w:t>Pour les contribuables dont le chiffre d’affaires n’excédait pas 14 000 000 (quatorze millions) de leks, aucun acompte de l’impôt sur les bénéfices pour l’année</w:t>
      </w:r>
      <w:r w:rsidR="007F326F">
        <w:rPr>
          <w:lang w:val="fr-FR"/>
        </w:rPr>
        <w:t xml:space="preserve"> </w:t>
      </w:r>
      <w:r>
        <w:rPr>
          <w:lang w:val="fr-FR"/>
        </w:rPr>
        <w:t xml:space="preserve">2020 </w:t>
      </w:r>
      <w:r w:rsidRPr="005E3E76">
        <w:rPr>
          <w:lang w:val="fr-FR"/>
        </w:rPr>
        <w:t>n</w:t>
      </w:r>
      <w:r>
        <w:rPr>
          <w:lang w:val="fr-FR"/>
        </w:rPr>
        <w:t>’</w:t>
      </w:r>
      <w:r w:rsidRPr="005E3E76">
        <w:rPr>
          <w:lang w:val="fr-FR"/>
        </w:rPr>
        <w:t>était à verser</w:t>
      </w:r>
      <w:r>
        <w:rPr>
          <w:lang w:val="fr-FR"/>
        </w:rPr>
        <w:t>.</w:t>
      </w:r>
    </w:p>
    <w:p w14:paraId="3F2D1E1B" w14:textId="70F0C00C" w:rsidR="0078583E" w:rsidRPr="00820E13" w:rsidRDefault="0078583E" w:rsidP="00D15740">
      <w:pPr>
        <w:pStyle w:val="H4G"/>
        <w:ind w:left="1701" w:firstLine="0"/>
        <w:rPr>
          <w:i w:val="0"/>
          <w:iCs/>
          <w:lang w:val="fr-FR"/>
        </w:rPr>
      </w:pPr>
      <w:r>
        <w:rPr>
          <w:iCs/>
          <w:lang w:val="fr-FR"/>
        </w:rPr>
        <w:t>Dispense de versement des acomptes de l</w:t>
      </w:r>
      <w:r>
        <w:rPr>
          <w:i w:val="0"/>
          <w:iCs/>
          <w:lang w:val="fr-FR"/>
        </w:rPr>
        <w:t>’</w:t>
      </w:r>
      <w:r>
        <w:rPr>
          <w:iCs/>
          <w:lang w:val="fr-FR"/>
        </w:rPr>
        <w:t xml:space="preserve">impôt simplifié sur les bénéfices </w:t>
      </w:r>
      <w:r w:rsidR="007F326F">
        <w:rPr>
          <w:iCs/>
          <w:lang w:val="fr-FR"/>
        </w:rPr>
        <w:br/>
      </w:r>
      <w:r>
        <w:rPr>
          <w:iCs/>
          <w:lang w:val="fr-FR"/>
        </w:rPr>
        <w:t xml:space="preserve">pour les </w:t>
      </w:r>
      <w:r w:rsidRPr="00D15740">
        <w:rPr>
          <w:lang w:val="fr-FR"/>
        </w:rPr>
        <w:t>assujettis</w:t>
      </w:r>
      <w:r>
        <w:rPr>
          <w:iCs/>
          <w:lang w:val="fr-FR"/>
        </w:rPr>
        <w:t xml:space="preserve"> à l</w:t>
      </w:r>
      <w:r>
        <w:rPr>
          <w:i w:val="0"/>
          <w:iCs/>
          <w:lang w:val="fr-FR"/>
        </w:rPr>
        <w:t>’</w:t>
      </w:r>
      <w:r>
        <w:rPr>
          <w:iCs/>
          <w:lang w:val="fr-FR"/>
        </w:rPr>
        <w:t>impôt simplifié sur les bénéfices</w:t>
      </w:r>
    </w:p>
    <w:p w14:paraId="40E8D6E3" w14:textId="77777777" w:rsidR="0078583E" w:rsidRPr="00820E13" w:rsidRDefault="0078583E" w:rsidP="006656AF">
      <w:pPr>
        <w:pStyle w:val="Bullet2G"/>
        <w:numPr>
          <w:ilvl w:val="0"/>
          <w:numId w:val="2"/>
        </w:numPr>
        <w:tabs>
          <w:tab w:val="clear" w:pos="2268"/>
          <w:tab w:val="left" w:pos="567"/>
        </w:tabs>
        <w:rPr>
          <w:lang w:val="fr-FR"/>
        </w:rPr>
      </w:pPr>
      <w:r>
        <w:rPr>
          <w:lang w:val="fr-FR"/>
        </w:rPr>
        <w:t>Aucun acompte n’était à verser en 2020 pour l’impôt simplifié sur les bénéfices.</w:t>
      </w:r>
    </w:p>
    <w:p w14:paraId="3F889D94" w14:textId="77777777" w:rsidR="0078583E" w:rsidRPr="00820E13" w:rsidRDefault="0078583E" w:rsidP="00D15740">
      <w:pPr>
        <w:pStyle w:val="H4G"/>
        <w:ind w:left="1701" w:firstLine="0"/>
        <w:rPr>
          <w:i w:val="0"/>
          <w:iCs/>
          <w:lang w:val="fr-FR"/>
        </w:rPr>
      </w:pPr>
      <w:r w:rsidRPr="00D15740">
        <w:rPr>
          <w:lang w:val="fr-FR"/>
        </w:rPr>
        <w:t>Report</w:t>
      </w:r>
      <w:r>
        <w:rPr>
          <w:iCs/>
          <w:lang w:val="fr-FR"/>
        </w:rPr>
        <w:t xml:space="preserve"> du versement des acomptes de l</w:t>
      </w:r>
      <w:r>
        <w:rPr>
          <w:i w:val="0"/>
          <w:iCs/>
          <w:lang w:val="fr-FR"/>
        </w:rPr>
        <w:t>’</w:t>
      </w:r>
      <w:r>
        <w:rPr>
          <w:iCs/>
          <w:lang w:val="fr-FR"/>
        </w:rPr>
        <w:t>impôt sur les bénéfices pour les contribuables dont le chiffre d</w:t>
      </w:r>
      <w:r>
        <w:rPr>
          <w:i w:val="0"/>
          <w:iCs/>
          <w:lang w:val="fr-FR"/>
        </w:rPr>
        <w:t>’</w:t>
      </w:r>
      <w:r>
        <w:rPr>
          <w:iCs/>
          <w:lang w:val="fr-FR"/>
        </w:rPr>
        <w:t>affaires était supérieur à 14 000 000 de leks</w:t>
      </w:r>
    </w:p>
    <w:p w14:paraId="77120BCE" w14:textId="140FE7A8" w:rsidR="0078583E" w:rsidRPr="00820E13" w:rsidRDefault="0078583E" w:rsidP="00887156">
      <w:pPr>
        <w:pStyle w:val="Bullet2G"/>
        <w:rPr>
          <w:lang w:val="fr-FR"/>
        </w:rPr>
      </w:pPr>
      <w:r>
        <w:rPr>
          <w:lang w:val="fr-FR"/>
        </w:rPr>
        <w:t>Pour les contribuables dont le chiffre d’affaires était supérieur à 14 000 000 (quatorze millions) de leks, les acomptes de l’impôt sur les bénéfices pour les périodes imposables des deuxième et troisième trimestres (avril</w:t>
      </w:r>
      <w:r w:rsidR="007F326F">
        <w:rPr>
          <w:lang w:val="fr-FR"/>
        </w:rPr>
        <w:noBreakHyphen/>
      </w:r>
      <w:r>
        <w:rPr>
          <w:lang w:val="fr-FR"/>
        </w:rPr>
        <w:t>juin et juillet</w:t>
      </w:r>
      <w:r w:rsidR="007F326F">
        <w:rPr>
          <w:lang w:val="fr-FR"/>
        </w:rPr>
        <w:noBreakHyphen/>
      </w:r>
      <w:r w:rsidRPr="00887156">
        <w:t>septembre</w:t>
      </w:r>
      <w:r>
        <w:rPr>
          <w:lang w:val="fr-FR"/>
        </w:rPr>
        <w:t xml:space="preserve"> 2020) n’étaient pas à verser de manière anticipée. Le versement de ces acomptes a été reporté à avril-septembre 2021. Cette exonération ne s’appliquait pas aux contribuables exerçant dans le domaine de la banque, des télécommunications et du commerce de produits pharmaceutiques et de biens de consommation alimentaire.</w:t>
      </w:r>
    </w:p>
    <w:p w14:paraId="0A5BE443" w14:textId="77777777" w:rsidR="0078583E" w:rsidRPr="007F326F" w:rsidRDefault="0078583E" w:rsidP="00D15740">
      <w:pPr>
        <w:pStyle w:val="H4G"/>
        <w:ind w:left="1701" w:firstLine="0"/>
        <w:rPr>
          <w:i w:val="0"/>
          <w:iCs/>
          <w:spacing w:val="-2"/>
          <w:lang w:val="fr-FR"/>
        </w:rPr>
      </w:pPr>
      <w:r w:rsidRPr="007F326F">
        <w:rPr>
          <w:spacing w:val="-2"/>
          <w:lang w:val="fr-FR"/>
        </w:rPr>
        <w:lastRenderedPageBreak/>
        <w:t>Report</w:t>
      </w:r>
      <w:r w:rsidRPr="007F326F">
        <w:rPr>
          <w:iCs/>
          <w:spacing w:val="-2"/>
          <w:lang w:val="fr-FR"/>
        </w:rPr>
        <w:t xml:space="preserve"> du versement des acomptes de l</w:t>
      </w:r>
      <w:r w:rsidRPr="007F326F">
        <w:rPr>
          <w:i w:val="0"/>
          <w:iCs/>
          <w:spacing w:val="-2"/>
          <w:lang w:val="fr-FR"/>
        </w:rPr>
        <w:t>’</w:t>
      </w:r>
      <w:r w:rsidRPr="007F326F">
        <w:rPr>
          <w:iCs/>
          <w:spacing w:val="-2"/>
          <w:lang w:val="fr-FR"/>
        </w:rPr>
        <w:t>impôt sur les bénéfices dans certains secteurs</w:t>
      </w:r>
    </w:p>
    <w:p w14:paraId="02508CB9" w14:textId="4DA79BF0" w:rsidR="0078583E" w:rsidRPr="00820E13" w:rsidRDefault="0078583E" w:rsidP="00887156">
      <w:pPr>
        <w:pStyle w:val="Bullet2G"/>
        <w:rPr>
          <w:lang w:val="fr-FR"/>
        </w:rPr>
      </w:pPr>
      <w:r>
        <w:rPr>
          <w:lang w:val="fr-FR"/>
        </w:rPr>
        <w:t>Les acomptes de l’impôt sur les bénéfices correspondant aux périodes imposables d’avril à décembre 2020 n’étaient pas à verser de manière anticipée pour les contribuables exerçant dans le domaine du tourisme, de la transformation active à partir de matériel commandé et des centres d’appel. Le</w:t>
      </w:r>
      <w:r w:rsidR="007F326F">
        <w:rPr>
          <w:lang w:val="fr-FR"/>
        </w:rPr>
        <w:t> </w:t>
      </w:r>
      <w:r>
        <w:rPr>
          <w:lang w:val="fr-FR"/>
        </w:rPr>
        <w:t>versement de ces acomptes a été reporté à avril-décembre 2021.</w:t>
      </w:r>
    </w:p>
    <w:p w14:paraId="67335964" w14:textId="61CC2D3F" w:rsidR="0078583E" w:rsidRPr="007F326F" w:rsidRDefault="0078583E" w:rsidP="00D15740">
      <w:pPr>
        <w:pStyle w:val="H4G"/>
        <w:ind w:left="1701" w:firstLine="0"/>
        <w:rPr>
          <w:i w:val="0"/>
          <w:iCs/>
          <w:spacing w:val="-2"/>
          <w:lang w:val="fr-FR"/>
        </w:rPr>
      </w:pPr>
      <w:r w:rsidRPr="007F326F">
        <w:rPr>
          <w:iCs/>
          <w:spacing w:val="-2"/>
          <w:lang w:val="fr-FR"/>
        </w:rPr>
        <w:t xml:space="preserve">Prolongation de </w:t>
      </w:r>
      <w:r w:rsidR="007F326F" w:rsidRPr="007F326F">
        <w:rPr>
          <w:iCs/>
          <w:spacing w:val="-2"/>
          <w:lang w:val="fr-FR"/>
        </w:rPr>
        <w:t>trois</w:t>
      </w:r>
      <w:r w:rsidRPr="007F326F">
        <w:rPr>
          <w:iCs/>
          <w:spacing w:val="-2"/>
          <w:lang w:val="fr-FR"/>
        </w:rPr>
        <w:t> mois du délai de soumission de l</w:t>
      </w:r>
      <w:r w:rsidRPr="007F326F">
        <w:rPr>
          <w:i w:val="0"/>
          <w:iCs/>
          <w:spacing w:val="-2"/>
          <w:lang w:val="fr-FR"/>
        </w:rPr>
        <w:t>’</w:t>
      </w:r>
      <w:r w:rsidRPr="007F326F">
        <w:rPr>
          <w:iCs/>
          <w:spacing w:val="-2"/>
          <w:lang w:val="fr-FR"/>
        </w:rPr>
        <w:t xml:space="preserve">état annuel de la performance </w:t>
      </w:r>
      <w:r w:rsidRPr="007F326F">
        <w:rPr>
          <w:spacing w:val="-2"/>
          <w:lang w:val="fr-FR"/>
        </w:rPr>
        <w:t>financière</w:t>
      </w:r>
      <w:r w:rsidRPr="007F326F">
        <w:rPr>
          <w:iCs/>
          <w:spacing w:val="-2"/>
          <w:lang w:val="fr-FR"/>
        </w:rPr>
        <w:t xml:space="preserve"> individuelle</w:t>
      </w:r>
    </w:p>
    <w:p w14:paraId="37F93669" w14:textId="77777777" w:rsidR="0078583E" w:rsidRPr="00820E13" w:rsidRDefault="0078583E" w:rsidP="00D15740">
      <w:pPr>
        <w:pStyle w:val="Bullet2G"/>
        <w:rPr>
          <w:lang w:val="fr-FR"/>
        </w:rPr>
      </w:pPr>
      <w:r>
        <w:rPr>
          <w:lang w:val="fr-FR"/>
        </w:rPr>
        <w:t xml:space="preserve">La date de dépôt de l’état annuel de la performance financière individuelle de 2019 </w:t>
      </w:r>
      <w:r w:rsidRPr="00D15740">
        <w:t>auprès</w:t>
      </w:r>
      <w:r>
        <w:rPr>
          <w:lang w:val="fr-FR"/>
        </w:rPr>
        <w:t xml:space="preserve"> de l’administration fiscale et de paiement du montant dû, le cas échéant, a été fixée au 31 juillet 2020 au plus tard (date initialement fixée au 30 avril).</w:t>
      </w:r>
    </w:p>
    <w:p w14:paraId="6EA925E5"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Les </w:t>
      </w:r>
      <w:r w:rsidRPr="00EB135E">
        <w:rPr>
          <w:spacing w:val="-2"/>
          <w:lang w:val="fr-FR"/>
        </w:rPr>
        <w:t>modifications</w:t>
      </w:r>
      <w:r>
        <w:rPr>
          <w:lang w:val="fr-FR"/>
        </w:rPr>
        <w:t xml:space="preserve"> légales suivantes sont appliquées à partir du 1</w:t>
      </w:r>
      <w:r>
        <w:rPr>
          <w:vertAlign w:val="superscript"/>
          <w:lang w:val="fr-FR"/>
        </w:rPr>
        <w:t>er</w:t>
      </w:r>
      <w:r>
        <w:rPr>
          <w:lang w:val="fr-FR"/>
        </w:rPr>
        <w:t> janvier 2021 à titre d’incitation à la reprise économique au lendemain de la pandémie :</w:t>
      </w:r>
    </w:p>
    <w:p w14:paraId="6A1FB488" w14:textId="0AE25A10" w:rsidR="0078583E" w:rsidRPr="00820E13" w:rsidRDefault="0078583E" w:rsidP="00887156">
      <w:pPr>
        <w:pStyle w:val="Bullet1G"/>
        <w:rPr>
          <w:lang w:val="fr-FR"/>
        </w:rPr>
      </w:pPr>
      <w:r>
        <w:rPr>
          <w:lang w:val="fr-FR"/>
        </w:rPr>
        <w:t>Les contribuables dont le revenu annuel total est compris entre 5 et 14 millions de leks (113 </w:t>
      </w:r>
      <w:r w:rsidRPr="00887156">
        <w:t>200</w:t>
      </w:r>
      <w:r>
        <w:rPr>
          <w:lang w:val="fr-FR"/>
        </w:rPr>
        <w:t xml:space="preserve"> euros) </w:t>
      </w:r>
      <w:r w:rsidRPr="00D15740">
        <w:t>sont</w:t>
      </w:r>
      <w:r>
        <w:rPr>
          <w:lang w:val="fr-FR"/>
        </w:rPr>
        <w:t xml:space="preserve"> soumis à un taux de 0 % d’imposition sur les bénéfices (contre 5 % auparavant) ;</w:t>
      </w:r>
    </w:p>
    <w:p w14:paraId="5D5DA670" w14:textId="77777777" w:rsidR="0078583E" w:rsidRPr="00820E13" w:rsidRDefault="0078583E" w:rsidP="00D15740">
      <w:pPr>
        <w:pStyle w:val="Bullet1G"/>
        <w:rPr>
          <w:lang w:val="fr-FR"/>
        </w:rPr>
      </w:pPr>
      <w:r>
        <w:rPr>
          <w:lang w:val="fr-FR"/>
        </w:rPr>
        <w:t xml:space="preserve">Le </w:t>
      </w:r>
      <w:r w:rsidRPr="00D15740">
        <w:t>seuil</w:t>
      </w:r>
      <w:r>
        <w:rPr>
          <w:lang w:val="fr-FR"/>
        </w:rPr>
        <w:t xml:space="preserve"> de TVA a été porté de 2 millions à 10 millions de leks.</w:t>
      </w:r>
    </w:p>
    <w:p w14:paraId="6CC6F924" w14:textId="77777777" w:rsidR="0078583E" w:rsidRPr="00820E13" w:rsidRDefault="0078583E" w:rsidP="00D15740">
      <w:pPr>
        <w:pStyle w:val="H1G"/>
        <w:rPr>
          <w:lang w:val="fr-FR"/>
        </w:rPr>
      </w:pPr>
      <w:r>
        <w:rPr>
          <w:lang w:val="fr-FR"/>
        </w:rPr>
        <w:tab/>
      </w:r>
      <w:r>
        <w:rPr>
          <w:lang w:val="fr-FR"/>
        </w:rPr>
        <w:tab/>
      </w:r>
      <w:r>
        <w:rPr>
          <w:lang w:val="fr-FR"/>
        </w:rPr>
        <w:tab/>
        <w:t>Non-discrimination (art. 2, par. 2)</w:t>
      </w:r>
    </w:p>
    <w:p w14:paraId="2850CDD8" w14:textId="77777777" w:rsidR="0078583E" w:rsidRPr="00820E13" w:rsidRDefault="0078583E" w:rsidP="00D15740">
      <w:pPr>
        <w:pStyle w:val="H23G"/>
        <w:rPr>
          <w:lang w:val="fr-FR"/>
        </w:rPr>
      </w:pPr>
      <w:r>
        <w:rPr>
          <w:lang w:val="fr-FR"/>
        </w:rPr>
        <w:tab/>
      </w:r>
      <w:r>
        <w:rPr>
          <w:lang w:val="fr-FR"/>
        </w:rPr>
        <w:tab/>
        <w:t>Réponse au paragraphe 6 de la liste de points</w:t>
      </w:r>
    </w:p>
    <w:p w14:paraId="3EF5A35F" w14:textId="7C4F1DB9" w:rsidR="0078583E" w:rsidRPr="00820E13" w:rsidRDefault="00D15740" w:rsidP="00D15740">
      <w:pPr>
        <w:pStyle w:val="H4G"/>
        <w:rPr>
          <w:lang w:val="fr-FR"/>
        </w:rPr>
      </w:pPr>
      <w:r>
        <w:rPr>
          <w:lang w:val="fr-FR"/>
        </w:rPr>
        <w:tab/>
      </w:r>
      <w:r>
        <w:rPr>
          <w:lang w:val="fr-FR"/>
        </w:rPr>
        <w:tab/>
      </w:r>
      <w:r w:rsidR="0078583E">
        <w:rPr>
          <w:lang w:val="fr-FR"/>
        </w:rPr>
        <w:t xml:space="preserve">Mise en œuvre du </w:t>
      </w:r>
      <w:r w:rsidR="004F72B9">
        <w:rPr>
          <w:lang w:val="fr-FR"/>
        </w:rPr>
        <w:t>P</w:t>
      </w:r>
      <w:r w:rsidR="0078583E">
        <w:rPr>
          <w:lang w:val="fr-FR"/>
        </w:rPr>
        <w:t>lan d’action national en faveur des minorités rom et égyptienne</w:t>
      </w:r>
    </w:p>
    <w:p w14:paraId="70894D6C" w14:textId="77777777"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Pr>
          <w:lang w:val="fr-FR"/>
        </w:rPr>
        <w:t xml:space="preserve">L’Albanie </w:t>
      </w:r>
      <w:r w:rsidRPr="00EB135E">
        <w:rPr>
          <w:spacing w:val="-2"/>
          <w:lang w:val="fr-FR"/>
        </w:rPr>
        <w:t>dispose d’un cadre juridique et politique complet en matière de droits de l’homme et de lutte contre la discrimination, traitant spécifiquement des minorités rom et égyptienne. La loi n</w:t>
      </w:r>
      <w:r w:rsidRPr="004F72B9">
        <w:rPr>
          <w:spacing w:val="-2"/>
          <w:vertAlign w:val="superscript"/>
          <w:lang w:val="fr-FR"/>
        </w:rPr>
        <w:t>o</w:t>
      </w:r>
      <w:r w:rsidRPr="00EB135E">
        <w:rPr>
          <w:spacing w:val="-2"/>
          <w:lang w:val="fr-FR"/>
        </w:rPr>
        <w:t> 96/2017 relative à la protection des minorités nationales et les textes réglementaires portant sur les droits et les minorités, ainsi que la loi n</w:t>
      </w:r>
      <w:r w:rsidRPr="004F72B9">
        <w:rPr>
          <w:spacing w:val="-2"/>
          <w:vertAlign w:val="superscript"/>
          <w:lang w:val="fr-FR"/>
        </w:rPr>
        <w:t>o</w:t>
      </w:r>
      <w:r w:rsidRPr="00EB135E">
        <w:rPr>
          <w:spacing w:val="-2"/>
          <w:lang w:val="fr-FR"/>
        </w:rPr>
        <w:t> 10221/2010 sur la protection contre la discrimination (telle que modifiée) contiennent des dispositions relatives à la non-discrimination dans tous les domaines de la vie des minorités nationales.</w:t>
      </w:r>
    </w:p>
    <w:p w14:paraId="5E6C273C" w14:textId="4EE055BE"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 xml:space="preserve">Le Ministère de la santé et de la protection sociale est l’autorité nationale chargée de coordonner le suivi et la mise en œuvre des objectifs politiques stratégiques et du cadre juridique applicables aux minorités rom et égyptienne. Ces travaux, menés en coopération avec toutes les institutions et parties prenantes compétentes, s’appuient sur le suivi du </w:t>
      </w:r>
      <w:r w:rsidR="004F72B9">
        <w:rPr>
          <w:spacing w:val="-2"/>
          <w:lang w:val="fr-FR"/>
        </w:rPr>
        <w:t>P</w:t>
      </w:r>
      <w:r w:rsidRPr="00EB135E">
        <w:rPr>
          <w:spacing w:val="-2"/>
          <w:lang w:val="fr-FR"/>
        </w:rPr>
        <w:t xml:space="preserve">lan d’action national pour l’égalité, l’inclusion et la participation des Roms et des Égyptiens (2021-2025). Ce plan d’action national s’articule autour de sept secteurs prioritaires et vise à assurer l’égalité, la participation et l’inclusion des minorités rom et égyptienne dans les domaines de l’accès à l’éducation, à la justice, à l’emploi, au logement social, à la santé et aux services sociaux, et de la participation générale à la société. Les mesures prévues dans le </w:t>
      </w:r>
      <w:r w:rsidR="004F72B9">
        <w:rPr>
          <w:spacing w:val="-2"/>
          <w:lang w:val="fr-FR"/>
        </w:rPr>
        <w:t>P</w:t>
      </w:r>
      <w:r w:rsidRPr="00EB135E">
        <w:rPr>
          <w:spacing w:val="-2"/>
          <w:lang w:val="fr-FR"/>
        </w:rPr>
        <w:t>lan d’action national (2021</w:t>
      </w:r>
      <w:r w:rsidR="004F72B9">
        <w:rPr>
          <w:spacing w:val="-2"/>
          <w:lang w:val="fr-FR"/>
        </w:rPr>
        <w:noBreakHyphen/>
      </w:r>
      <w:r w:rsidRPr="00EB135E">
        <w:rPr>
          <w:spacing w:val="-2"/>
          <w:lang w:val="fr-FR"/>
        </w:rPr>
        <w:t xml:space="preserve">2025) s’appuient sur les résultats et sur l’évaluation du </w:t>
      </w:r>
      <w:r w:rsidR="004F72B9">
        <w:rPr>
          <w:spacing w:val="-2"/>
          <w:lang w:val="fr-FR"/>
        </w:rPr>
        <w:t>P</w:t>
      </w:r>
      <w:r w:rsidRPr="00EB135E">
        <w:rPr>
          <w:spacing w:val="-2"/>
          <w:lang w:val="fr-FR"/>
        </w:rPr>
        <w:t>lan d’action précédent (2016</w:t>
      </w:r>
      <w:r w:rsidR="004F72B9">
        <w:rPr>
          <w:spacing w:val="-2"/>
          <w:lang w:val="fr-FR"/>
        </w:rPr>
        <w:noBreakHyphen/>
      </w:r>
      <w:r w:rsidRPr="00EB135E">
        <w:rPr>
          <w:spacing w:val="-2"/>
          <w:lang w:val="fr-FR"/>
        </w:rPr>
        <w:t xml:space="preserve">2020). Le Ministère de la santé et de la protection sociale a achevé la rédaction des rapports annuels du </w:t>
      </w:r>
      <w:r w:rsidR="004F72B9">
        <w:rPr>
          <w:spacing w:val="-2"/>
          <w:lang w:val="fr-FR"/>
        </w:rPr>
        <w:t>P</w:t>
      </w:r>
      <w:r w:rsidRPr="00EB135E">
        <w:rPr>
          <w:spacing w:val="-2"/>
          <w:lang w:val="fr-FR"/>
        </w:rPr>
        <w:t>lan d’action national en faveur de l’intégration des Roms et des Égyptiens (2016</w:t>
      </w:r>
      <w:r w:rsidR="004F72B9">
        <w:rPr>
          <w:spacing w:val="-2"/>
          <w:lang w:val="fr-FR"/>
        </w:rPr>
        <w:noBreakHyphen/>
      </w:r>
      <w:r w:rsidRPr="00EB135E">
        <w:rPr>
          <w:spacing w:val="-2"/>
          <w:lang w:val="fr-FR"/>
        </w:rPr>
        <w:t xml:space="preserve">2020). Le suivi à l’échelle nationale du </w:t>
      </w:r>
      <w:r w:rsidR="004F72B9">
        <w:rPr>
          <w:spacing w:val="-2"/>
          <w:lang w:val="fr-FR"/>
        </w:rPr>
        <w:t>P</w:t>
      </w:r>
      <w:r w:rsidRPr="00EB135E">
        <w:rPr>
          <w:spacing w:val="-2"/>
          <w:lang w:val="fr-FR"/>
        </w:rPr>
        <w:t>lan d’action a été réalisé au moyen du système électronique Rom</w:t>
      </w:r>
      <w:r w:rsidR="00887156">
        <w:rPr>
          <w:spacing w:val="-2"/>
          <w:lang w:val="fr-FR"/>
        </w:rPr>
        <w:noBreakHyphen/>
      </w:r>
      <w:proofErr w:type="spellStart"/>
      <w:r w:rsidRPr="00EB135E">
        <w:rPr>
          <w:spacing w:val="-2"/>
          <w:lang w:val="fr-FR"/>
        </w:rPr>
        <w:t>Alb</w:t>
      </w:r>
      <w:proofErr w:type="spellEnd"/>
      <w:r w:rsidRPr="00EB135E">
        <w:rPr>
          <w:spacing w:val="-2"/>
          <w:lang w:val="fr-FR"/>
        </w:rPr>
        <w:t>, qui génère des données pour tous les domaines de mise en œuvre, objectifs stratégiques et mesures.</w:t>
      </w:r>
    </w:p>
    <w:p w14:paraId="762A2480" w14:textId="603273DB"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 xml:space="preserve">Dans le prolongement de ces travaux, plus de 200 personnes référentes chargées des minorités rom et égyptienne à l’échelon central et local ont été formées et ont bénéficié d’un renforcement des capacités en matière de présentation des résultats au regard des indicateurs du </w:t>
      </w:r>
      <w:r w:rsidR="004F72B9">
        <w:rPr>
          <w:spacing w:val="-2"/>
          <w:lang w:val="fr-FR"/>
        </w:rPr>
        <w:t>P</w:t>
      </w:r>
      <w:r w:rsidRPr="00EB135E">
        <w:rPr>
          <w:spacing w:val="-2"/>
          <w:lang w:val="fr-FR"/>
        </w:rPr>
        <w:t>lan d’action national (novembre et décembre</w:t>
      </w:r>
      <w:r w:rsidR="004F72B9">
        <w:rPr>
          <w:spacing w:val="-2"/>
          <w:lang w:val="fr-FR"/>
        </w:rPr>
        <w:t xml:space="preserve"> </w:t>
      </w:r>
      <w:r w:rsidRPr="00EB135E">
        <w:rPr>
          <w:spacing w:val="-2"/>
          <w:lang w:val="fr-FR"/>
        </w:rPr>
        <w:t>2023).</w:t>
      </w:r>
    </w:p>
    <w:p w14:paraId="49C73E6E" w14:textId="5719B365"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Dans</w:t>
      </w:r>
      <w:r>
        <w:rPr>
          <w:lang w:val="fr-FR"/>
        </w:rPr>
        <w:t xml:space="preserve"> le domaine de la protection sociale, le Fonds social du Ministère de la santé et de la protection sociale a apporté un soutien financier aux municipalités, aux centres d’urgence et aux centres communautaires polyvalents. Le régime d’aide économique profite également à des familles roms et égyptiennes, puisque 2 536 familles en étaient bénéficiaires </w:t>
      </w:r>
      <w:r>
        <w:rPr>
          <w:lang w:val="fr-FR"/>
        </w:rPr>
        <w:lastRenderedPageBreak/>
        <w:t>fin</w:t>
      </w:r>
      <w:r w:rsidR="00D15740">
        <w:rPr>
          <w:lang w:val="fr-FR"/>
        </w:rPr>
        <w:t xml:space="preserve"> </w:t>
      </w:r>
      <w:r>
        <w:rPr>
          <w:lang w:val="fr-FR"/>
        </w:rPr>
        <w:t>2023, un chiffre en baisse par rapport au premier semestre</w:t>
      </w:r>
      <w:r w:rsidR="004F72B9">
        <w:rPr>
          <w:lang w:val="fr-FR"/>
        </w:rPr>
        <w:t xml:space="preserve"> </w:t>
      </w:r>
      <w:r>
        <w:rPr>
          <w:lang w:val="fr-FR"/>
        </w:rPr>
        <w:t xml:space="preserve">2023. Ces familles ont ainsi accès à </w:t>
      </w:r>
      <w:r w:rsidRPr="00EB135E">
        <w:rPr>
          <w:spacing w:val="-2"/>
          <w:lang w:val="fr-FR"/>
        </w:rPr>
        <w:t>des services sociaux intégrés, à une aide à l’emploi et à une formation professionnelle, l’objectif étant qu’elles puissent sortir du régime d’aide économique.</w:t>
      </w:r>
    </w:p>
    <w:p w14:paraId="7BB2EC95" w14:textId="0B8A8D8C"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 xml:space="preserve">Dans le domaine de l’éducation, un engagement à garantir une éducation inclusive aux minorités rom et égyptienne figure dans la Stratégie nationale sur l’éducation (2022-2026) et dans l’objectif relatif à l’éducation du </w:t>
      </w:r>
      <w:r w:rsidR="004F72B9">
        <w:rPr>
          <w:spacing w:val="-2"/>
          <w:lang w:val="fr-FR"/>
        </w:rPr>
        <w:t>P</w:t>
      </w:r>
      <w:r w:rsidRPr="00EB135E">
        <w:rPr>
          <w:spacing w:val="-2"/>
          <w:lang w:val="fr-FR"/>
        </w:rPr>
        <w:t>lan d’action national pour l’égalité, l’inclusion et la participation (2021-2025). La décision n</w:t>
      </w:r>
      <w:r w:rsidRPr="004F72B9">
        <w:rPr>
          <w:spacing w:val="-2"/>
          <w:vertAlign w:val="superscript"/>
          <w:lang w:val="fr-FR"/>
        </w:rPr>
        <w:t>o</w:t>
      </w:r>
      <w:r w:rsidRPr="00EB135E">
        <w:rPr>
          <w:spacing w:val="-2"/>
          <w:lang w:val="fr-FR"/>
        </w:rPr>
        <w:t xml:space="preserve"> 666 du 10 octobre 2019 du Conseil des ministres relative aux quotas financiers alloués à la nourriture dans les réfectoires et les dortoirs, fixant les critères d’obtention des bourses et aides financières pour les élèves de l’enseignement </w:t>
      </w:r>
      <w:proofErr w:type="spellStart"/>
      <w:r w:rsidRPr="00EB135E">
        <w:rPr>
          <w:spacing w:val="-2"/>
          <w:lang w:val="fr-FR"/>
        </w:rPr>
        <w:t>préuniversitaire</w:t>
      </w:r>
      <w:proofErr w:type="spellEnd"/>
      <w:r w:rsidRPr="00EB135E">
        <w:rPr>
          <w:spacing w:val="-2"/>
          <w:lang w:val="fr-FR"/>
        </w:rPr>
        <w:t xml:space="preserve"> dans les établissements publics (telle que modifiée) définit le rôle que jouent les médiateurs éducatifs et vise à favoriser l’inscription des garçons et des filles roms et égyptiens dans l’enseignement préscolaire et l’enseignement obligatoire et la poursuite de leur scolarisation (10 539 élèves au total pendant l’année scolaire 2022</w:t>
      </w:r>
      <w:r w:rsidR="004F72B9">
        <w:rPr>
          <w:spacing w:val="-2"/>
          <w:lang w:val="fr-FR"/>
        </w:rPr>
        <w:t>/</w:t>
      </w:r>
      <w:r w:rsidRPr="00EB135E">
        <w:rPr>
          <w:spacing w:val="-2"/>
          <w:lang w:val="fr-FR"/>
        </w:rPr>
        <w:t>23). L’objectif est que les médiateurs œuvrant en faveur de l’inclusion des minorités rom et égyptienne puissent renforcer encore davantage l’assiduité scolaire. Quarante médiateurs ont été nommés en application de cette disposition. En outre, des bourses d’études ont été accordées à des élèves et étudiants roms et égyptiens, y compris dans l’enseignement supérieur ; ceux-ci ont bénéficié de manuels et de transports gratuits ; les enfants roms ont été inscrits en priorité dans les jardins d’enfants et un enseignement de base et à temps partiel a été fourni.</w:t>
      </w:r>
    </w:p>
    <w:p w14:paraId="1A2AFC2E" w14:textId="7727F83B"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EB135E">
        <w:rPr>
          <w:spacing w:val="-2"/>
          <w:lang w:val="fr-FR"/>
        </w:rPr>
        <w:t xml:space="preserve">Dans le cadre du processus d’adhésion à l’Union européenne (UE), le cinquième </w:t>
      </w:r>
      <w:r w:rsidR="004F72B9">
        <w:rPr>
          <w:spacing w:val="-2"/>
          <w:lang w:val="fr-FR"/>
        </w:rPr>
        <w:t>S</w:t>
      </w:r>
      <w:r w:rsidRPr="00EB135E">
        <w:rPr>
          <w:spacing w:val="-2"/>
          <w:lang w:val="fr-FR"/>
        </w:rPr>
        <w:t>éminaire consacré au dialogue politique Albanie-UE sur l’inclusion des minorités nationales roms et égyptiennes</w:t>
      </w:r>
      <w:r>
        <w:rPr>
          <w:lang w:val="fr-FR"/>
        </w:rPr>
        <w:t xml:space="preserve"> a été organisé le 20 avril 2022 à Tirana. Il a abouti à des conclusions et à des mesures opérationnelles, ainsi qu’à des recommandations finales à mettre en œuvre au cours de la période</w:t>
      </w:r>
      <w:r w:rsidR="004F72B9">
        <w:rPr>
          <w:lang w:val="fr-FR"/>
        </w:rPr>
        <w:t xml:space="preserve"> </w:t>
      </w:r>
      <w:r>
        <w:rPr>
          <w:lang w:val="fr-FR"/>
        </w:rPr>
        <w:t xml:space="preserve">2022-2024. Les recommandations faites à l’issue du </w:t>
      </w:r>
      <w:r w:rsidR="004F72B9">
        <w:rPr>
          <w:lang w:val="fr-FR"/>
        </w:rPr>
        <w:t>S</w:t>
      </w:r>
      <w:r>
        <w:rPr>
          <w:lang w:val="fr-FR"/>
        </w:rPr>
        <w:t>éminaire de dialogue politique Albanie-UE</w:t>
      </w:r>
      <w:r w:rsidR="004F72B9">
        <w:rPr>
          <w:lang w:val="fr-FR"/>
        </w:rPr>
        <w:t xml:space="preserve"> </w:t>
      </w:r>
      <w:r>
        <w:rPr>
          <w:lang w:val="fr-FR"/>
        </w:rPr>
        <w:t>2022-2024 ont fait l’objet de consultations avec des représentants de l’administration centrale et des administrations locales, de la société civile et des organisations internationales.</w:t>
      </w:r>
    </w:p>
    <w:p w14:paraId="7E19217C" w14:textId="45D1B07C"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Pr>
          <w:lang w:val="fr-FR"/>
        </w:rPr>
        <w:t xml:space="preserve">L’objectif stratégique en matière d’emploi et d’enseignement et </w:t>
      </w:r>
      <w:proofErr w:type="gramStart"/>
      <w:r>
        <w:rPr>
          <w:lang w:val="fr-FR"/>
        </w:rPr>
        <w:t>formation professionnels</w:t>
      </w:r>
      <w:proofErr w:type="gramEnd"/>
      <w:r>
        <w:rPr>
          <w:lang w:val="fr-FR"/>
        </w:rPr>
        <w:t xml:space="preserve"> est axé sur l’emploi et la formation professionnelle des Roms et des Égyptiens. Les </w:t>
      </w:r>
      <w:r w:rsidRPr="00EB135E">
        <w:rPr>
          <w:spacing w:val="-2"/>
          <w:lang w:val="fr-FR"/>
        </w:rPr>
        <w:t>modifications apportées à la loi n</w:t>
      </w:r>
      <w:r w:rsidRPr="004F72B9">
        <w:rPr>
          <w:spacing w:val="-2"/>
          <w:vertAlign w:val="superscript"/>
          <w:lang w:val="fr-FR"/>
        </w:rPr>
        <w:t>o</w:t>
      </w:r>
      <w:r w:rsidR="004F72B9">
        <w:rPr>
          <w:spacing w:val="-2"/>
          <w:lang w:val="fr-FR"/>
        </w:rPr>
        <w:t> </w:t>
      </w:r>
      <w:r w:rsidRPr="00EB135E">
        <w:rPr>
          <w:spacing w:val="-2"/>
          <w:lang w:val="fr-FR"/>
        </w:rPr>
        <w:t>15/2019 sur la promotion de l’emploi (approuvée par le Parlement en juin 2023) concernaient les groupes vulnérables, notamment les minorités rom et égyptienne, les programmes récents de promotion de l’emploi, et l’approbation de la garantie européenne pour la jeunesse. En coopération avec des prestataires publics, non publics et privés, des programmes de promotion de l’emploi et de la formation sont conçus et mis en œuvre au profit des groupes vulnérables, par exemple les jeunes (dans le cadre du programme de garantie pour la jeunesse), les personnes handicapées (dans le cadre du Fonds social pour l’emploi), les personnes en âge de travailler issues de familles bénéficiant d’une aide économique et les demandeurs d’emploi de longue durée, en particulier les personnes appartenant aux minorités ethniques telles que les communautés rom et égyptienne.</w:t>
      </w:r>
    </w:p>
    <w:p w14:paraId="25269BC4" w14:textId="77777777"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Les demandeurs d’emploi roms et égyptiens bénéficient de services d’emploi et de médiation assurés par les agences régionales pour l’emploi et sont inscrits dans les centres de formation professionnelle. Environ 300 Roms et Égyptiens ont pu s’insérer sur le marché du travail grâce aux programmes de promotion de l’emploi. Le programme intensif d’orientation professionnelle améliore les capacités techniques et managériales des groupes vulnérables, l’objectif étant qu’ils puissent intégrer les programmes d’emploi de l’Agence nationale pour l’emploi et les compétences.</w:t>
      </w:r>
    </w:p>
    <w:p w14:paraId="553282A5" w14:textId="437F8719"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En ce qui concerne le logement social, les dispositions de la loi n</w:t>
      </w:r>
      <w:r w:rsidRPr="007C76B3">
        <w:rPr>
          <w:spacing w:val="-2"/>
          <w:vertAlign w:val="superscript"/>
          <w:lang w:val="fr-FR"/>
        </w:rPr>
        <w:t>o</w:t>
      </w:r>
      <w:r w:rsidRPr="00EB135E">
        <w:rPr>
          <w:spacing w:val="-2"/>
          <w:lang w:val="fr-FR"/>
        </w:rPr>
        <w:t xml:space="preserve"> 22/2018 sur les logements sociaux (telle que modifiée) prévoient que plus de 5 % des bénéficiaires de tous les programmes de logement social doivent appartenir </w:t>
      </w:r>
      <w:r w:rsidR="007C76B3">
        <w:rPr>
          <w:spacing w:val="-2"/>
          <w:lang w:val="fr-FR"/>
        </w:rPr>
        <w:t>aux minorités</w:t>
      </w:r>
      <w:r w:rsidRPr="00EB135E">
        <w:rPr>
          <w:spacing w:val="-2"/>
          <w:lang w:val="fr-FR"/>
        </w:rPr>
        <w:t xml:space="preserve"> rom et égyptienne.</w:t>
      </w:r>
    </w:p>
    <w:p w14:paraId="0DCAE8FC" w14:textId="47F4CAFD"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EB135E">
        <w:rPr>
          <w:spacing w:val="-2"/>
          <w:lang w:val="fr-FR"/>
        </w:rPr>
        <w:t xml:space="preserve">Le Ministère de l’intérieur a déclaré avoir formé 138 fonctionnaires dans 6 districts afin de renforcer leurs capacités en matière de réglementation de l’enregistrement des faits d’état civil. Ces </w:t>
      </w:r>
      <w:r>
        <w:rPr>
          <w:lang w:val="fr-FR"/>
        </w:rPr>
        <w:t>formations ont une incidence sur les communautés rom et égyptienne. Dix</w:t>
      </w:r>
      <w:r w:rsidR="007C76B3">
        <w:rPr>
          <w:lang w:val="fr-FR"/>
        </w:rPr>
        <w:t> </w:t>
      </w:r>
      <w:r>
        <w:rPr>
          <w:lang w:val="fr-FR"/>
        </w:rPr>
        <w:t>programmes de formation (en ligne) sur l’identification et l’enregistrement des Roms et des Égyptiens ont ainsi été menés à bien.</w:t>
      </w:r>
    </w:p>
    <w:p w14:paraId="3C58B462" w14:textId="77777777" w:rsidR="0078583E" w:rsidRPr="00820E13" w:rsidRDefault="0078583E" w:rsidP="0041101C">
      <w:pPr>
        <w:pStyle w:val="SingleTxtG"/>
        <w:keepNext/>
        <w:keepLines/>
        <w:numPr>
          <w:ilvl w:val="0"/>
          <w:numId w:val="8"/>
        </w:numPr>
        <w:tabs>
          <w:tab w:val="clear" w:pos="1701"/>
          <w:tab w:val="clear" w:pos="2268"/>
          <w:tab w:val="clear" w:pos="2835"/>
          <w:tab w:val="left" w:pos="567"/>
        </w:tabs>
        <w:suppressAutoHyphens w:val="0"/>
        <w:spacing w:before="120"/>
        <w:ind w:left="1134" w:firstLine="0"/>
        <w:rPr>
          <w:lang w:val="fr-FR"/>
        </w:rPr>
      </w:pPr>
      <w:r>
        <w:rPr>
          <w:lang w:val="fr-FR"/>
        </w:rPr>
        <w:lastRenderedPageBreak/>
        <w:t xml:space="preserve">Quatorze centres fonctionnels du service d’aide juridictionnelle primaire permettent d’accéder gratuitement à l’aide juridictionnelle gratuite, sur la majeure partie du territoire, grâce aux services d’aide juridictionnelle primaire et secondaire proposés. Des services </w:t>
      </w:r>
      <w:r w:rsidRPr="00EB135E">
        <w:rPr>
          <w:spacing w:val="-2"/>
          <w:lang w:val="fr-FR"/>
        </w:rPr>
        <w:t>juridiques</w:t>
      </w:r>
      <w:r>
        <w:rPr>
          <w:lang w:val="fr-FR"/>
        </w:rPr>
        <w:t xml:space="preserve"> gratuits ont été fournis à des membres des minorités rom et égyptienne par 15 organisations à but non lucratif.</w:t>
      </w:r>
    </w:p>
    <w:p w14:paraId="320CED38" w14:textId="2EFFDB13"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La question de l’</w:t>
      </w:r>
      <w:proofErr w:type="spellStart"/>
      <w:r>
        <w:rPr>
          <w:lang w:val="fr-FR"/>
        </w:rPr>
        <w:t>antitsiganisme</w:t>
      </w:r>
      <w:proofErr w:type="spellEnd"/>
      <w:r>
        <w:rPr>
          <w:lang w:val="fr-FR"/>
        </w:rPr>
        <w:t xml:space="preserve"> est abordée dans un volet distinct du </w:t>
      </w:r>
      <w:r w:rsidR="0041101C">
        <w:rPr>
          <w:lang w:val="fr-FR"/>
        </w:rPr>
        <w:t>P</w:t>
      </w:r>
      <w:r>
        <w:rPr>
          <w:lang w:val="fr-FR"/>
        </w:rPr>
        <w:t>lan d’action national pour l’égalité, l’inclusion et la participation (2021-2025), l’objectif étant de tenir compte de l’</w:t>
      </w:r>
      <w:proofErr w:type="spellStart"/>
      <w:r>
        <w:rPr>
          <w:lang w:val="fr-FR"/>
        </w:rPr>
        <w:t>antitsiganisme</w:t>
      </w:r>
      <w:proofErr w:type="spellEnd"/>
      <w:r>
        <w:rPr>
          <w:lang w:val="fr-FR"/>
        </w:rPr>
        <w:t xml:space="preserve"> dans l’action des pouvoirs publics. L’École albanaise d’administration publique a organisé en mars 2023 une formation en ligne sur la protection contre la discrimination des minorités rom et égyptienne, pendant laquelle a été abordé le cadre </w:t>
      </w:r>
      <w:r w:rsidRPr="00EB135E">
        <w:rPr>
          <w:spacing w:val="-2"/>
          <w:lang w:val="fr-FR"/>
        </w:rPr>
        <w:t>juridique</w:t>
      </w:r>
      <w:r>
        <w:rPr>
          <w:lang w:val="fr-FR"/>
        </w:rPr>
        <w:t xml:space="preserve"> de la protection contre la discrimination, et en particulier</w:t>
      </w:r>
      <w:r w:rsidRPr="002A3C79">
        <w:rPr>
          <w:lang w:val="fr-FR"/>
        </w:rPr>
        <w:t xml:space="preserve"> l</w:t>
      </w:r>
      <w:r>
        <w:rPr>
          <w:lang w:val="fr-FR"/>
        </w:rPr>
        <w:t>’</w:t>
      </w:r>
      <w:r w:rsidRPr="002A3C79">
        <w:rPr>
          <w:lang w:val="fr-FR"/>
        </w:rPr>
        <w:t>origine ethnique rom/égyptienne</w:t>
      </w:r>
      <w:r>
        <w:rPr>
          <w:lang w:val="fr-FR"/>
        </w:rPr>
        <w:t>, les différentes formes de discrimination et la garantie des droits fondamentaux. Au cours de l’année</w:t>
      </w:r>
      <w:r w:rsidR="0041101C">
        <w:rPr>
          <w:lang w:val="fr-FR"/>
        </w:rPr>
        <w:t xml:space="preserve"> </w:t>
      </w:r>
      <w:r>
        <w:rPr>
          <w:lang w:val="fr-FR"/>
        </w:rPr>
        <w:t>2023, l’accès à l’enregistrement des faits d’état civil et à l’aide juridictionnelle s’est amélioré pour les minorités rom et égyptienne en Albanie.</w:t>
      </w:r>
    </w:p>
    <w:p w14:paraId="34F53A1D"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Dans six municipalités (Tirana, Lezhë, Fier, Elbasan, Durrës, </w:t>
      </w:r>
      <w:proofErr w:type="spellStart"/>
      <w:r>
        <w:rPr>
          <w:lang w:val="fr-FR"/>
        </w:rPr>
        <w:t>Devoll</w:t>
      </w:r>
      <w:proofErr w:type="spellEnd"/>
      <w:r>
        <w:rPr>
          <w:lang w:val="fr-FR"/>
        </w:rPr>
        <w:t>),</w:t>
      </w:r>
      <w:r w:rsidRPr="009978FE">
        <w:rPr>
          <w:lang w:val="fr-FR"/>
        </w:rPr>
        <w:t xml:space="preserve"> </w:t>
      </w:r>
      <w:r>
        <w:rPr>
          <w:lang w:val="fr-FR"/>
        </w:rPr>
        <w:t>un appui social a été fourni aux Roms rapatriés. Ces municipalités ont élaboré des plans sociaux et des plans portant sur les Roms et Égyptiens à l’échelle locale, en mettant l’accent sur les personnes de retour dans le pays après avoir émigré ou demandé l’asile, et sur la réinsertion des rapatriés.</w:t>
      </w:r>
    </w:p>
    <w:p w14:paraId="3EC329ED" w14:textId="5B9876DA" w:rsidR="0078583E" w:rsidRPr="00820E13" w:rsidRDefault="0078583E" w:rsidP="006656AF">
      <w:pPr>
        <w:pStyle w:val="H4G"/>
        <w:tabs>
          <w:tab w:val="clear" w:pos="851"/>
          <w:tab w:val="left" w:pos="567"/>
        </w:tabs>
        <w:rPr>
          <w:lang w:val="fr-FR"/>
        </w:rPr>
      </w:pPr>
      <w:r>
        <w:rPr>
          <w:lang w:val="fr-FR"/>
        </w:rPr>
        <w:tab/>
      </w:r>
      <w:r>
        <w:rPr>
          <w:lang w:val="fr-FR"/>
        </w:rPr>
        <w:tab/>
      </w:r>
      <w:r>
        <w:rPr>
          <w:iCs/>
          <w:lang w:val="fr-FR"/>
        </w:rPr>
        <w:t>Mise en œuvre de la loi n</w:t>
      </w:r>
      <w:r>
        <w:rPr>
          <w:iCs/>
          <w:vertAlign w:val="superscript"/>
          <w:lang w:val="fr-FR"/>
        </w:rPr>
        <w:t>o</w:t>
      </w:r>
      <w:r w:rsidR="0041101C">
        <w:rPr>
          <w:iCs/>
          <w:lang w:val="fr-FR"/>
        </w:rPr>
        <w:t> </w:t>
      </w:r>
      <w:r>
        <w:rPr>
          <w:iCs/>
          <w:lang w:val="fr-FR"/>
        </w:rPr>
        <w:t>93/2014 sur l’inclusion des personnes handicapées</w:t>
      </w:r>
      <w:r w:rsidRPr="009978FE">
        <w:rPr>
          <w:iCs/>
          <w:lang w:val="fr-FR"/>
        </w:rPr>
        <w:t xml:space="preserve"> </w:t>
      </w:r>
      <w:r w:rsidR="0041101C">
        <w:rPr>
          <w:iCs/>
          <w:lang w:val="fr-FR"/>
        </w:rPr>
        <w:br/>
      </w:r>
      <w:r>
        <w:rPr>
          <w:iCs/>
          <w:lang w:val="fr-FR"/>
        </w:rPr>
        <w:t>et l’accessibilité</w:t>
      </w:r>
    </w:p>
    <w:p w14:paraId="602C3632" w14:textId="3F66BC30"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Les politiques et stratégies d’inclusion sociale des personnes handicapées sont conformes aux objectifs de la Convention des Nations</w:t>
      </w:r>
      <w:r w:rsidR="0041101C">
        <w:rPr>
          <w:lang w:val="fr-FR"/>
        </w:rPr>
        <w:t> </w:t>
      </w:r>
      <w:r>
        <w:rPr>
          <w:lang w:val="fr-FR"/>
        </w:rPr>
        <w:t>Unies relative aux droits des personnes handicapées et à la Stratégie européenne en faveur des droits des personnes handicapées (2021</w:t>
      </w:r>
      <w:r w:rsidR="0041101C">
        <w:rPr>
          <w:lang w:val="fr-FR"/>
        </w:rPr>
        <w:noBreakHyphen/>
      </w:r>
      <w:r>
        <w:rPr>
          <w:lang w:val="fr-FR"/>
        </w:rPr>
        <w:t xml:space="preserve">2030). Le Ministère de la santé et de la protection sociale a validé le </w:t>
      </w:r>
      <w:r w:rsidR="0041101C">
        <w:rPr>
          <w:lang w:val="fr-FR"/>
        </w:rPr>
        <w:t>P</w:t>
      </w:r>
      <w:r>
        <w:rPr>
          <w:lang w:val="fr-FR"/>
        </w:rPr>
        <w:t xml:space="preserve">lan d’action national </w:t>
      </w:r>
      <w:r w:rsidRPr="00EB135E">
        <w:rPr>
          <w:spacing w:val="-2"/>
          <w:lang w:val="fr-FR"/>
        </w:rPr>
        <w:t>sur</w:t>
      </w:r>
      <w:r>
        <w:rPr>
          <w:lang w:val="fr-FR"/>
        </w:rPr>
        <w:t xml:space="preserve"> le handicap (2021-2025), approuvé par le Gouvernement au moyen de la décision du Conseil des ministres n</w:t>
      </w:r>
      <w:r>
        <w:rPr>
          <w:vertAlign w:val="superscript"/>
          <w:lang w:val="fr-FR"/>
        </w:rPr>
        <w:t>o</w:t>
      </w:r>
      <w:r>
        <w:rPr>
          <w:lang w:val="fr-FR"/>
        </w:rPr>
        <w:t> 276 du 12 mai 2021.</w:t>
      </w:r>
    </w:p>
    <w:p w14:paraId="1B2818D9" w14:textId="3DC93014"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Le Conseil national du handicap et le Secrétariat technique du handicap assurent le suivi de la mise en œuvre de la loi n</w:t>
      </w:r>
      <w:r>
        <w:rPr>
          <w:vertAlign w:val="superscript"/>
          <w:lang w:val="fr-FR"/>
        </w:rPr>
        <w:t>o</w:t>
      </w:r>
      <w:r w:rsidR="0041101C">
        <w:rPr>
          <w:lang w:val="fr-FR"/>
        </w:rPr>
        <w:t> </w:t>
      </w:r>
      <w:r>
        <w:rPr>
          <w:lang w:val="fr-FR"/>
        </w:rPr>
        <w:t>93/2014, en collaboration avec les personnes référentes au sein des ministères de tutelle, des unités des administrations centrales et locales et de la société civile. La loi n</w:t>
      </w:r>
      <w:r>
        <w:rPr>
          <w:vertAlign w:val="superscript"/>
          <w:lang w:val="fr-FR"/>
        </w:rPr>
        <w:t>o</w:t>
      </w:r>
      <w:r w:rsidR="0041101C">
        <w:rPr>
          <w:lang w:val="fr-FR"/>
        </w:rPr>
        <w:t> </w:t>
      </w:r>
      <w:r>
        <w:rPr>
          <w:lang w:val="fr-FR"/>
        </w:rPr>
        <w:t>93/2014 garantit les droits des personnes handicapées dans tous les domaines de l’inclusion du handicap, la coopération avec des groupes d’intérêt dans une optique de promotion de l’inclusion et l’élimination de la stigmatisation au sein de la société.</w:t>
      </w:r>
    </w:p>
    <w:p w14:paraId="6C4DF9E5"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Cette loi fournit également des définitions juridiques de l’accessibilité, des aménagements raisonnables et de l’autonomie de vie pour toutes les catégories de handicap. Le Ministère de la santé et de la protection sociale s’efforce de renforcer le processus de suivi des questions de handicap appliqué par les référents locaux chargés de l’inclusion sociale des personnes handicapées dans l’ensemble des 61 municipalités. Dans le plan d’action national en faveur des personnes handicapées (2021-2025), l’accessibilité constitue un objectif stratégique majeur, qui s’accompagne de mesures transversales.</w:t>
      </w:r>
    </w:p>
    <w:p w14:paraId="0678C7D2" w14:textId="0EF2ECB9"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En ce qui concerne les infrastructures, le Ministère de la santé et de la protection sociale a amélioré la situation des centres de santé et, dans une large mesure, les normes d’accessibilité aux bâtiments dans les établissements de santé. À l’échelle nationale, 340 centres et ambulances ont été rénovés. Le programme « EU4Schools », mis en œuvre par le Programme des Nations</w:t>
      </w:r>
      <w:r w:rsidR="0041101C">
        <w:rPr>
          <w:lang w:val="fr-FR"/>
        </w:rPr>
        <w:t> </w:t>
      </w:r>
      <w:r>
        <w:rPr>
          <w:lang w:val="fr-FR"/>
        </w:rPr>
        <w:t xml:space="preserve">Unies pour le développement (PNUD) en coopération avec le Gouvernement albanais, a également permis d’améliorer les normes d’accessibilité physique dans les écoles restaurées après le séisme. Il a été étendu à onze municipalités touchées, à savoir </w:t>
      </w:r>
      <w:proofErr w:type="spellStart"/>
      <w:r>
        <w:rPr>
          <w:lang w:val="fr-FR"/>
        </w:rPr>
        <w:t>Kruja</w:t>
      </w:r>
      <w:proofErr w:type="spellEnd"/>
      <w:r>
        <w:rPr>
          <w:lang w:val="fr-FR"/>
        </w:rPr>
        <w:t xml:space="preserve">, Durrës, </w:t>
      </w:r>
      <w:proofErr w:type="spellStart"/>
      <w:r>
        <w:rPr>
          <w:lang w:val="fr-FR"/>
        </w:rPr>
        <w:t>Kurbin</w:t>
      </w:r>
      <w:proofErr w:type="spellEnd"/>
      <w:r>
        <w:rPr>
          <w:lang w:val="fr-FR"/>
        </w:rPr>
        <w:t xml:space="preserve">, </w:t>
      </w:r>
      <w:proofErr w:type="spellStart"/>
      <w:r>
        <w:rPr>
          <w:lang w:val="fr-FR"/>
        </w:rPr>
        <w:t>Kamza</w:t>
      </w:r>
      <w:proofErr w:type="spellEnd"/>
      <w:r>
        <w:rPr>
          <w:lang w:val="fr-FR"/>
        </w:rPr>
        <w:t xml:space="preserve">, </w:t>
      </w:r>
      <w:proofErr w:type="spellStart"/>
      <w:r>
        <w:rPr>
          <w:lang w:val="fr-FR"/>
        </w:rPr>
        <w:t>Kavaja</w:t>
      </w:r>
      <w:proofErr w:type="spellEnd"/>
      <w:r>
        <w:rPr>
          <w:lang w:val="fr-FR"/>
        </w:rPr>
        <w:t xml:space="preserve">, Tirana, </w:t>
      </w:r>
      <w:proofErr w:type="spellStart"/>
      <w:r>
        <w:rPr>
          <w:lang w:val="fr-FR"/>
        </w:rPr>
        <w:t>Mirdita</w:t>
      </w:r>
      <w:proofErr w:type="spellEnd"/>
      <w:r>
        <w:rPr>
          <w:lang w:val="fr-FR"/>
        </w:rPr>
        <w:t xml:space="preserve">, </w:t>
      </w:r>
      <w:proofErr w:type="spellStart"/>
      <w:r>
        <w:rPr>
          <w:lang w:val="fr-FR"/>
        </w:rPr>
        <w:t>Lezha</w:t>
      </w:r>
      <w:proofErr w:type="spellEnd"/>
      <w:r>
        <w:rPr>
          <w:lang w:val="fr-FR"/>
        </w:rPr>
        <w:t xml:space="preserve">, </w:t>
      </w:r>
      <w:proofErr w:type="spellStart"/>
      <w:r>
        <w:rPr>
          <w:lang w:val="fr-FR"/>
        </w:rPr>
        <w:t>Rrogozhina</w:t>
      </w:r>
      <w:proofErr w:type="spellEnd"/>
      <w:r>
        <w:rPr>
          <w:lang w:val="fr-FR"/>
        </w:rPr>
        <w:t xml:space="preserve">, </w:t>
      </w:r>
      <w:proofErr w:type="spellStart"/>
      <w:r>
        <w:rPr>
          <w:lang w:val="fr-FR"/>
        </w:rPr>
        <w:t>Shijak</w:t>
      </w:r>
      <w:proofErr w:type="spellEnd"/>
      <w:r>
        <w:rPr>
          <w:lang w:val="fr-FR"/>
        </w:rPr>
        <w:t xml:space="preserve"> et Vora. L’accessibilité dans le cadre du développement </w:t>
      </w:r>
      <w:proofErr w:type="spellStart"/>
      <w:r>
        <w:rPr>
          <w:lang w:val="fr-FR"/>
        </w:rPr>
        <w:t>socioéconomique</w:t>
      </w:r>
      <w:proofErr w:type="spellEnd"/>
      <w:r>
        <w:rPr>
          <w:lang w:val="fr-FR"/>
        </w:rPr>
        <w:t xml:space="preserve"> et des plans locaux est définie comme une priorité du </w:t>
      </w:r>
      <w:r w:rsidR="0041101C">
        <w:rPr>
          <w:lang w:val="fr-FR"/>
        </w:rPr>
        <w:t>P</w:t>
      </w:r>
      <w:r>
        <w:rPr>
          <w:lang w:val="fr-FR"/>
        </w:rPr>
        <w:t xml:space="preserve">lan d’action national en faveur des personnes handicapées. Les plans d’accessibilité locaux de Pogradec, Përmet et </w:t>
      </w:r>
      <w:proofErr w:type="spellStart"/>
      <w:r>
        <w:rPr>
          <w:lang w:val="fr-FR"/>
        </w:rPr>
        <w:t>Lezha</w:t>
      </w:r>
      <w:proofErr w:type="spellEnd"/>
      <w:r>
        <w:rPr>
          <w:lang w:val="fr-FR"/>
        </w:rPr>
        <w:t xml:space="preserve"> sont les premiers modèles établis en application de la législation nationale. Pour la période</w:t>
      </w:r>
      <w:r w:rsidR="0041101C">
        <w:rPr>
          <w:lang w:val="fr-FR"/>
        </w:rPr>
        <w:t xml:space="preserve"> </w:t>
      </w:r>
      <w:r>
        <w:rPr>
          <w:lang w:val="fr-FR"/>
        </w:rPr>
        <w:t>2021-2025, toutes les institutions se sont engagées à prendre des mesures en faveur de l’accessibilité dans les domaines de la construction, des infrastructures, des transports, de la communication, ainsi que de l’information sur l’accessibilité dans tous les domaines (éducation, emploi, services, tourisme).</w:t>
      </w:r>
    </w:p>
    <w:p w14:paraId="6296800E" w14:textId="20DE5E5F"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Pr>
          <w:lang w:val="fr-FR"/>
        </w:rPr>
        <w:lastRenderedPageBreak/>
        <w:t>Conformément aux dispositions de la loi n</w:t>
      </w:r>
      <w:r>
        <w:rPr>
          <w:vertAlign w:val="superscript"/>
          <w:lang w:val="fr-FR"/>
        </w:rPr>
        <w:t>o</w:t>
      </w:r>
      <w:r w:rsidR="0041101C">
        <w:rPr>
          <w:lang w:val="fr-FR"/>
        </w:rPr>
        <w:t> </w:t>
      </w:r>
      <w:r>
        <w:rPr>
          <w:lang w:val="fr-FR"/>
        </w:rPr>
        <w:t xml:space="preserve">22/2018 sur les logements sociaux (telle que modifiée), la législation relative au logement social pour les plus démunis s’applique également aux personnes handicapées. Divers programmes leur sont proposés, par exemple le dispositif de prime au loyer, l’allocation immédiate, l’amélioration et l’adaptation des </w:t>
      </w:r>
      <w:r w:rsidRPr="00EB135E">
        <w:rPr>
          <w:spacing w:val="-2"/>
          <w:lang w:val="fr-FR"/>
        </w:rPr>
        <w:t>conditions de logement, ou encore l’investissement dans le logement à loyer modéré.</w:t>
      </w:r>
    </w:p>
    <w:p w14:paraId="42BB7ED7" w14:textId="41EF5689"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 xml:space="preserve">Le Ministère de l’éducation et des sports a soutenu les réseaux professionnels d’enseignants auxiliaires en leur proposant des activités de formation et de perfectionnement professionnel sur l’inclusion des enfants handicapés et sur l’enseignement de qualité dont ils doivent bénéficier. En parallèle, le nombre de travailleurs </w:t>
      </w:r>
      <w:proofErr w:type="spellStart"/>
      <w:r w:rsidRPr="00EB135E">
        <w:rPr>
          <w:spacing w:val="-2"/>
          <w:lang w:val="fr-FR"/>
        </w:rPr>
        <w:t>psychosociaux</w:t>
      </w:r>
      <w:proofErr w:type="spellEnd"/>
      <w:r w:rsidRPr="00EB135E">
        <w:rPr>
          <w:spacing w:val="-2"/>
          <w:lang w:val="fr-FR"/>
        </w:rPr>
        <w:t xml:space="preserve"> a augmenté pour l’année scolaire</w:t>
      </w:r>
      <w:r w:rsidR="0041101C">
        <w:rPr>
          <w:spacing w:val="-2"/>
          <w:lang w:val="fr-FR"/>
        </w:rPr>
        <w:t xml:space="preserve"> </w:t>
      </w:r>
      <w:r w:rsidRPr="00EB135E">
        <w:rPr>
          <w:spacing w:val="-2"/>
          <w:lang w:val="fr-FR"/>
        </w:rPr>
        <w:t>2022</w:t>
      </w:r>
      <w:r w:rsidR="0041101C">
        <w:rPr>
          <w:spacing w:val="-2"/>
          <w:lang w:val="fr-FR"/>
        </w:rPr>
        <w:t>/</w:t>
      </w:r>
      <w:r w:rsidRPr="00EB135E">
        <w:rPr>
          <w:spacing w:val="-2"/>
          <w:lang w:val="fr-FR"/>
        </w:rPr>
        <w:t>23 : 747</w:t>
      </w:r>
      <w:r w:rsidR="0041101C">
        <w:rPr>
          <w:spacing w:val="-2"/>
          <w:lang w:val="fr-FR"/>
        </w:rPr>
        <w:t> </w:t>
      </w:r>
      <w:r w:rsidRPr="00EB135E">
        <w:rPr>
          <w:spacing w:val="-2"/>
          <w:lang w:val="fr-FR"/>
        </w:rPr>
        <w:t xml:space="preserve">agents des services </w:t>
      </w:r>
      <w:proofErr w:type="spellStart"/>
      <w:r w:rsidRPr="00EB135E">
        <w:rPr>
          <w:spacing w:val="-2"/>
          <w:lang w:val="fr-FR"/>
        </w:rPr>
        <w:t>psychosociaux</w:t>
      </w:r>
      <w:proofErr w:type="spellEnd"/>
      <w:r w:rsidRPr="00EB135E">
        <w:rPr>
          <w:spacing w:val="-2"/>
          <w:lang w:val="fr-FR"/>
        </w:rPr>
        <w:t xml:space="preserve">, 469 psychologues et 278 travailleurs sociaux sont répartis dans tous les établissements d’enseignement du pays, où ils offrent un soutien </w:t>
      </w:r>
      <w:proofErr w:type="spellStart"/>
      <w:r w:rsidRPr="00EB135E">
        <w:rPr>
          <w:spacing w:val="-2"/>
          <w:lang w:val="fr-FR"/>
        </w:rPr>
        <w:t>psychosocial</w:t>
      </w:r>
      <w:proofErr w:type="spellEnd"/>
      <w:r w:rsidRPr="00EB135E">
        <w:rPr>
          <w:spacing w:val="-2"/>
          <w:lang w:val="fr-FR"/>
        </w:rPr>
        <w:t xml:space="preserve"> aux élèves, aux enseignants et aux parents. En 2022</w:t>
      </w:r>
      <w:r w:rsidR="0041101C">
        <w:rPr>
          <w:spacing w:val="-2"/>
          <w:lang w:val="fr-FR"/>
        </w:rPr>
        <w:t>/</w:t>
      </w:r>
      <w:r w:rsidRPr="00EB135E">
        <w:rPr>
          <w:spacing w:val="-2"/>
          <w:lang w:val="fr-FR"/>
        </w:rPr>
        <w:t>23, 1 650 enseignants auxiliaires accompagnent les élèves handicapés scolarisés au sein du système éducatif.</w:t>
      </w:r>
    </w:p>
    <w:p w14:paraId="2DFDCB35"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EB135E">
        <w:rPr>
          <w:spacing w:val="-2"/>
          <w:lang w:val="fr-FR"/>
        </w:rPr>
        <w:t xml:space="preserve">Dans le cadre de la participation à la société et à la vie politique et publique, le Ministère de l’éducation et des sports accorde une attention particulière aux projets artistiques, à la culture et au patrimoine culturel, ainsi qu’aux activités culturelles et sportives. Le plan d’action national prévoit de renforcer la participation à la vie publique dans les </w:t>
      </w:r>
      <w:proofErr w:type="spellStart"/>
      <w:r w:rsidRPr="00EB135E">
        <w:rPr>
          <w:spacing w:val="-2"/>
          <w:lang w:val="fr-FR"/>
        </w:rPr>
        <w:t>médias</w:t>
      </w:r>
      <w:proofErr w:type="spellEnd"/>
      <w:r w:rsidRPr="00EB135E">
        <w:rPr>
          <w:spacing w:val="-2"/>
          <w:lang w:val="fr-FR"/>
        </w:rPr>
        <w:t xml:space="preserve"> </w:t>
      </w:r>
      <w:proofErr w:type="spellStart"/>
      <w:r w:rsidRPr="00EB135E">
        <w:rPr>
          <w:spacing w:val="-2"/>
          <w:lang w:val="fr-FR"/>
        </w:rPr>
        <w:t>audiovisuels</w:t>
      </w:r>
      <w:proofErr w:type="spellEnd"/>
      <w:r w:rsidRPr="00EB135E">
        <w:rPr>
          <w:spacing w:val="-2"/>
          <w:lang w:val="fr-FR"/>
        </w:rPr>
        <w:t xml:space="preserve"> et aux opérations électorales, afin de mettre en œuvre les meilleures pratiques, au moyen notamment d’une information accessible à toutes les catégories de population. Lors des</w:t>
      </w:r>
      <w:r>
        <w:rPr>
          <w:lang w:val="fr-FR"/>
        </w:rPr>
        <w:t xml:space="preserve"> dernières élections, la Commission électorale centrale a fourni des formats accessibles, des spots en langue des signes et une assistance aux personnes handicapées. Dans les domaines de la culture et des sports, les aspects relatifs à l’accessibilité constituent une condition préalable à l’inclusion.</w:t>
      </w:r>
    </w:p>
    <w:p w14:paraId="7C698691" w14:textId="77777777" w:rsidR="0078583E" w:rsidRPr="00820E13" w:rsidRDefault="0078583E" w:rsidP="006656AF">
      <w:pPr>
        <w:pStyle w:val="H4G"/>
        <w:tabs>
          <w:tab w:val="clear" w:pos="851"/>
          <w:tab w:val="left" w:pos="567"/>
        </w:tabs>
        <w:rPr>
          <w:lang w:val="fr-FR"/>
        </w:rPr>
      </w:pPr>
      <w:r>
        <w:rPr>
          <w:lang w:val="fr-FR"/>
        </w:rPr>
        <w:tab/>
      </w:r>
      <w:r>
        <w:rPr>
          <w:lang w:val="fr-FR"/>
        </w:rPr>
        <w:tab/>
      </w:r>
      <w:r>
        <w:rPr>
          <w:iCs/>
          <w:lang w:val="fr-FR"/>
        </w:rPr>
        <w:t>Personnes LGBTI</w:t>
      </w:r>
    </w:p>
    <w:p w14:paraId="775C7277" w14:textId="09109802"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Pr>
          <w:lang w:val="fr-FR"/>
        </w:rPr>
        <w:t>Les droits et libertés fon</w:t>
      </w:r>
      <w:r w:rsidRPr="00EB135E">
        <w:rPr>
          <w:spacing w:val="-2"/>
          <w:lang w:val="fr-FR"/>
        </w:rPr>
        <w:t xml:space="preserve">damentaux de l’individu sont garantis par la Constitution de la République d’Albanie, sans aucune exception, distinction ou discrimination pour des raisons individuelles, y compris l’orientation sexuelle et l’expression de l’identité de genre. Le </w:t>
      </w:r>
      <w:r w:rsidR="0041101C">
        <w:rPr>
          <w:spacing w:val="-2"/>
          <w:lang w:val="fr-FR"/>
        </w:rPr>
        <w:t>P</w:t>
      </w:r>
      <w:r w:rsidRPr="00EB135E">
        <w:rPr>
          <w:spacing w:val="-2"/>
          <w:lang w:val="fr-FR"/>
        </w:rPr>
        <w:t xml:space="preserve">lan d’action national en faveur des personnes lesbiennes, gays, bisexuelles, transgenres et </w:t>
      </w:r>
      <w:proofErr w:type="spellStart"/>
      <w:r w:rsidRPr="00EB135E">
        <w:rPr>
          <w:spacing w:val="-2"/>
          <w:lang w:val="fr-FR"/>
        </w:rPr>
        <w:t>intersexes</w:t>
      </w:r>
      <w:proofErr w:type="spellEnd"/>
      <w:r w:rsidRPr="00EB135E">
        <w:rPr>
          <w:spacing w:val="-2"/>
          <w:lang w:val="fr-FR"/>
        </w:rPr>
        <w:t xml:space="preserve"> (2021-2027), qui est le troisième plan d’action au niveau national, a été approuvé par la décision du Conseil des ministres n</w:t>
      </w:r>
      <w:r w:rsidRPr="0041101C">
        <w:rPr>
          <w:spacing w:val="-2"/>
          <w:vertAlign w:val="superscript"/>
          <w:lang w:val="fr-FR"/>
        </w:rPr>
        <w:t>o</w:t>
      </w:r>
      <w:r w:rsidRPr="00EB135E">
        <w:rPr>
          <w:spacing w:val="-2"/>
          <w:lang w:val="fr-FR"/>
        </w:rPr>
        <w:t> 700 du 18 novembre 2021. Ce plan se concentre sur la protection des droits, la fourniture de services de qualité, la sensibilisation et la réduction du niveau d’intolérance de la société à l’égard des personnes LGBTI en Albanie, en mettant l’accent sur des mesures plus strictes contre la discrimination et les crimes de haine contre les personnes LGBTI dans l’ensemble du pays.</w:t>
      </w:r>
    </w:p>
    <w:p w14:paraId="30A040EF" w14:textId="21C5434F"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 xml:space="preserve">Le 14 février 2022, le plan LGBTI+ (2021-2027) a été présenté par le Ministère de la santé et de la protection sociale lors d’un événement de lancement, avec la participation d’institutions, d’ONG sur le terrain et de partenaires internationaux. En ce qui concerne la protection des personnes LGBTI contre la discrimination, la mise en œuvre du </w:t>
      </w:r>
      <w:r w:rsidR="0041101C">
        <w:rPr>
          <w:spacing w:val="-2"/>
          <w:lang w:val="fr-FR"/>
        </w:rPr>
        <w:t>P</w:t>
      </w:r>
      <w:r w:rsidRPr="00EB135E">
        <w:rPr>
          <w:spacing w:val="-2"/>
          <w:lang w:val="fr-FR"/>
        </w:rPr>
        <w:t>lan d’action national en faveur des personnes LGBTI+ (2021-2027) se poursuit.</w:t>
      </w:r>
    </w:p>
    <w:p w14:paraId="0EE7D47D" w14:textId="77777777" w:rsidR="0078583E" w:rsidRPr="00EB135E"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EB135E">
        <w:rPr>
          <w:spacing w:val="-2"/>
          <w:lang w:val="fr-FR"/>
        </w:rPr>
        <w:t xml:space="preserve">Dans le cadre de la Journée internationale contre l’homophobie, la transphobie et la </w:t>
      </w:r>
      <w:proofErr w:type="spellStart"/>
      <w:r w:rsidRPr="00EB135E">
        <w:rPr>
          <w:spacing w:val="-2"/>
          <w:lang w:val="fr-FR"/>
        </w:rPr>
        <w:t>biphobie</w:t>
      </w:r>
      <w:proofErr w:type="spellEnd"/>
      <w:r w:rsidRPr="00EB135E">
        <w:rPr>
          <w:spacing w:val="-2"/>
          <w:lang w:val="fr-FR"/>
        </w:rPr>
        <w:t xml:space="preserve"> et du 13</w:t>
      </w:r>
      <w:r w:rsidRPr="0041101C">
        <w:rPr>
          <w:spacing w:val="-2"/>
          <w:vertAlign w:val="superscript"/>
          <w:lang w:val="fr-FR"/>
        </w:rPr>
        <w:t>e</w:t>
      </w:r>
      <w:r w:rsidRPr="00EB135E">
        <w:rPr>
          <w:spacing w:val="-2"/>
          <w:lang w:val="fr-FR"/>
        </w:rPr>
        <w:t xml:space="preserve"> Festival de la diversité, une réunion s’est tenue dans les locaux du Ministère de la santé et de la protection sociale pour présenter la </w:t>
      </w:r>
      <w:proofErr w:type="spellStart"/>
      <w:r w:rsidRPr="00EB135E">
        <w:rPr>
          <w:spacing w:val="-2"/>
          <w:lang w:val="fr-FR"/>
        </w:rPr>
        <w:t>plateforme</w:t>
      </w:r>
      <w:proofErr w:type="spellEnd"/>
      <w:r w:rsidRPr="00EB135E">
        <w:rPr>
          <w:spacing w:val="-2"/>
          <w:lang w:val="fr-FR"/>
        </w:rPr>
        <w:t xml:space="preserve"> nationale « REPORTO » (sur la langue et les crimes de haine), en coopération avec la </w:t>
      </w:r>
      <w:proofErr w:type="spellStart"/>
      <w:r w:rsidRPr="00EB135E">
        <w:rPr>
          <w:spacing w:val="-2"/>
          <w:lang w:val="fr-FR"/>
        </w:rPr>
        <w:t>plateforme</w:t>
      </w:r>
      <w:proofErr w:type="spellEnd"/>
      <w:r w:rsidRPr="00EB135E">
        <w:rPr>
          <w:spacing w:val="-2"/>
          <w:lang w:val="fr-FR"/>
        </w:rPr>
        <w:t xml:space="preserve"> nationale ISIGURT.AL et Pink </w:t>
      </w:r>
      <w:proofErr w:type="spellStart"/>
      <w:r w:rsidRPr="00EB135E">
        <w:rPr>
          <w:spacing w:val="-2"/>
          <w:lang w:val="fr-FR"/>
        </w:rPr>
        <w:t>Embassy</w:t>
      </w:r>
      <w:proofErr w:type="spellEnd"/>
      <w:r w:rsidRPr="00EB135E">
        <w:rPr>
          <w:spacing w:val="-2"/>
          <w:lang w:val="fr-FR"/>
        </w:rPr>
        <w:t>. Le 23 septembre 2022 également, dans la salle de conférence du Ministère de la santé et de la protection sociale, une table ronde a été organisée par le Ministère de l’éducation et de la culture et le Conseil de l’Europe sur les crimes de haine contre les personnes LGBTI en Albanie, avec la participation d’organisations internationales, d’ONG et de représentants d’institutions.</w:t>
      </w:r>
    </w:p>
    <w:p w14:paraId="6ECF73B5"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sidRPr="00EB135E">
        <w:rPr>
          <w:spacing w:val="-2"/>
          <w:lang w:val="fr-FR"/>
        </w:rPr>
        <w:t xml:space="preserve">En 2022 et 2023, le Ministère de la santé et de la protection sociale a participé aux activités mises en </w:t>
      </w:r>
      <w:r>
        <w:rPr>
          <w:lang w:val="fr-FR"/>
        </w:rPr>
        <w:t xml:space="preserve">place dans le cadre de la Journée internationale contre l’homophobie, la transphobie et la </w:t>
      </w:r>
      <w:proofErr w:type="spellStart"/>
      <w:r>
        <w:rPr>
          <w:lang w:val="fr-FR"/>
        </w:rPr>
        <w:t>biphobie</w:t>
      </w:r>
      <w:proofErr w:type="spellEnd"/>
      <w:r>
        <w:rPr>
          <w:lang w:val="fr-FR"/>
        </w:rPr>
        <w:t xml:space="preserve">. Tout au long du mois de mai, un grand nombre d’activités ont été mises en place en coopération et avec la participation d’organisations de la société civile, d’organisations internationales œuvrant en faveur des droits de l’homme en Albanie, ainsi que de diverses institutions. Le 19 décembre 2023, un atelier a été organisé sur le thème de l’élimination de la discrimination contre les personnes LGBTIQ+ dans le secteur privé en </w:t>
      </w:r>
      <w:r>
        <w:rPr>
          <w:lang w:val="fr-FR"/>
        </w:rPr>
        <w:lastRenderedPageBreak/>
        <w:t>Albanie. Cette activité, organisée par le Ministère de la santé et de la protection sociale en coopération avec le PNUD et d’autres organisations partenaires, visait à promouvoir la diversité sur le lieu de travail et à éliminer la discrimination fondée sur l’orientation sexuelle et l’identité de genre.</w:t>
      </w:r>
    </w:p>
    <w:p w14:paraId="2796DEB7" w14:textId="77777777" w:rsidR="0078583E" w:rsidRPr="00820E13" w:rsidRDefault="0078583E" w:rsidP="006656AF">
      <w:pPr>
        <w:pStyle w:val="H23G"/>
        <w:tabs>
          <w:tab w:val="clear" w:pos="851"/>
          <w:tab w:val="left" w:pos="567"/>
        </w:tabs>
        <w:rPr>
          <w:lang w:val="fr-FR"/>
        </w:rPr>
      </w:pPr>
      <w:r>
        <w:rPr>
          <w:lang w:val="fr-FR"/>
        </w:rPr>
        <w:tab/>
      </w:r>
      <w:r>
        <w:rPr>
          <w:lang w:val="fr-FR"/>
        </w:rPr>
        <w:tab/>
      </w:r>
      <w:r>
        <w:rPr>
          <w:bCs/>
          <w:lang w:val="fr-FR"/>
        </w:rPr>
        <w:t>Réponse au paragraphe 7 de la liste de points</w:t>
      </w:r>
    </w:p>
    <w:p w14:paraId="61EAE4FA" w14:textId="3C2B3D80"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Conformément à la loi n</w:t>
      </w:r>
      <w:r>
        <w:rPr>
          <w:vertAlign w:val="superscript"/>
          <w:lang w:val="fr-FR"/>
        </w:rPr>
        <w:t>o</w:t>
      </w:r>
      <w:r w:rsidR="0041101C">
        <w:rPr>
          <w:lang w:val="fr-FR"/>
        </w:rPr>
        <w:t> </w:t>
      </w:r>
      <w:r>
        <w:rPr>
          <w:lang w:val="fr-FR"/>
        </w:rPr>
        <w:t>10/2021 sur l’asile en République d’Albanie, l’instruction n</w:t>
      </w:r>
      <w:r w:rsidRPr="00F47534">
        <w:rPr>
          <w:vertAlign w:val="superscript"/>
          <w:lang w:val="fr-FR"/>
        </w:rPr>
        <w:t>o</w:t>
      </w:r>
      <w:r>
        <w:rPr>
          <w:lang w:val="fr-FR"/>
        </w:rPr>
        <w:t> 72 du 18 mai 2022, relative aux procédures de délivrance d’une lettre de notification électronique et d’un document de voyage aux personnes ayant bénéficié du statut de réfugié et d’une protection subsidiaire en République d’Albanie, établit les éléments suivants :</w:t>
      </w:r>
    </w:p>
    <w:p w14:paraId="0B5F2423" w14:textId="77777777" w:rsidR="0078583E" w:rsidRPr="00887156" w:rsidRDefault="0078583E" w:rsidP="00887156">
      <w:pPr>
        <w:pStyle w:val="Bullet1G"/>
      </w:pPr>
      <w:r>
        <w:rPr>
          <w:lang w:val="fr-FR"/>
        </w:rPr>
        <w:t xml:space="preserve">La personne ayant obtenu le statut de réfugié ou une protection subsidiaire en </w:t>
      </w:r>
      <w:r w:rsidRPr="00887156">
        <w:t>République d’Albanie soumet la demande de délivrance d’une carte d’identité électronique et/ou d’un document de voyage à l’autorité responsable des demandeurs d’asile et des réfugiés ;</w:t>
      </w:r>
    </w:p>
    <w:p w14:paraId="5BFA19F8" w14:textId="701089BD" w:rsidR="0078583E" w:rsidRPr="00887156" w:rsidRDefault="0078583E" w:rsidP="00887156">
      <w:pPr>
        <w:pStyle w:val="Bullet1G"/>
      </w:pPr>
      <w:r w:rsidRPr="00887156">
        <w:t xml:space="preserve">La carte d’identité électronique et/ou le document de voyage sont fournis dans un délai de </w:t>
      </w:r>
      <w:r w:rsidR="0041101C">
        <w:t>quinze</w:t>
      </w:r>
      <w:r w:rsidRPr="00887156">
        <w:t> jours à compter de la date de la demande ;</w:t>
      </w:r>
    </w:p>
    <w:p w14:paraId="24C33555" w14:textId="416561E5" w:rsidR="0078583E" w:rsidRPr="00820E13" w:rsidRDefault="0078583E" w:rsidP="00887156">
      <w:pPr>
        <w:pStyle w:val="Bullet1G"/>
        <w:rPr>
          <w:lang w:val="fr-FR"/>
        </w:rPr>
      </w:pPr>
      <w:r w:rsidRPr="00887156">
        <w:t>Au cours de l’année</w:t>
      </w:r>
      <w:r w:rsidR="0041101C">
        <w:t xml:space="preserve"> </w:t>
      </w:r>
      <w:r w:rsidRPr="00887156">
        <w:t>2023, 15</w:t>
      </w:r>
      <w:r w:rsidR="0041101C">
        <w:t> </w:t>
      </w:r>
      <w:r w:rsidRPr="00887156">
        <w:t>personnes demandeuses d’asile ou réfugiées ont reçu une carte d’identité</w:t>
      </w:r>
      <w:r>
        <w:rPr>
          <w:lang w:val="fr-FR"/>
        </w:rPr>
        <w:t xml:space="preserve"> électronique (carte d’identité) et 3 autres un document de voyage comme suite à leur demande introduite auprès de l’autorité responsable.</w:t>
      </w:r>
    </w:p>
    <w:p w14:paraId="6FE1C97B" w14:textId="0D232CF6"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Conformément à la loi n</w:t>
      </w:r>
      <w:r>
        <w:rPr>
          <w:vertAlign w:val="superscript"/>
          <w:lang w:val="fr-FR"/>
        </w:rPr>
        <w:t>o</w:t>
      </w:r>
      <w:r w:rsidR="0041101C">
        <w:rPr>
          <w:lang w:val="fr-FR"/>
        </w:rPr>
        <w:t> </w:t>
      </w:r>
      <w:r>
        <w:rPr>
          <w:lang w:val="fr-FR"/>
        </w:rPr>
        <w:t>79/2021 sur les étrangers, la directive n</w:t>
      </w:r>
      <w:r>
        <w:rPr>
          <w:vertAlign w:val="superscript"/>
          <w:lang w:val="fr-FR"/>
        </w:rPr>
        <w:t>o</w:t>
      </w:r>
      <w:r>
        <w:rPr>
          <w:lang w:val="fr-FR"/>
        </w:rPr>
        <w:t> 87 de la République d’Albanie, datée du 21 juin 2023, sur la documentation et la procédure de demande, d’évaluation, d’approbation et de rejet de la demande de déclaration d’apatridie, établit les éléments suivants :</w:t>
      </w:r>
    </w:p>
    <w:p w14:paraId="43FB5816" w14:textId="77777777" w:rsidR="0078583E" w:rsidRPr="00887156" w:rsidRDefault="0078583E" w:rsidP="00887156">
      <w:pPr>
        <w:pStyle w:val="Bullet1G"/>
      </w:pPr>
      <w:r>
        <w:rPr>
          <w:lang w:val="fr-FR"/>
        </w:rPr>
        <w:t xml:space="preserve">Les étrangers se trouvant sur le territoire de la République d’Albanie peuvent </w:t>
      </w:r>
      <w:r w:rsidRPr="00887156">
        <w:t>présenter une demande de déclaration d’apatridie à l’autorité responsable de l’asile, des étrangers et de la citoyenneté, au sein du ministère responsable des questions d’ordre et de sécurité publics ;</w:t>
      </w:r>
    </w:p>
    <w:p w14:paraId="1C6F2D1E" w14:textId="77777777" w:rsidR="0078583E" w:rsidRPr="00887156" w:rsidRDefault="0078583E" w:rsidP="00887156">
      <w:pPr>
        <w:pStyle w:val="Bullet1G"/>
      </w:pPr>
      <w:r w:rsidRPr="00887156">
        <w:t>Le texte précise les étapes et les délais à respecter depuis l’introduction de la demande jusqu’à ce que l’autorité prenne une décision sur le statut d’apatride ;</w:t>
      </w:r>
    </w:p>
    <w:p w14:paraId="7022ABAA" w14:textId="2A993707" w:rsidR="0078583E" w:rsidRPr="00820E13" w:rsidRDefault="0078583E" w:rsidP="00887156">
      <w:pPr>
        <w:pStyle w:val="Bullet1G"/>
        <w:rPr>
          <w:lang w:val="fr-FR"/>
        </w:rPr>
      </w:pPr>
      <w:r w:rsidRPr="00887156">
        <w:t>Depuis l’</w:t>
      </w:r>
      <w:r w:rsidR="0041101C">
        <w:rPr>
          <w:lang w:val="fr-FR"/>
        </w:rPr>
        <w:t>entrée</w:t>
      </w:r>
      <w:r>
        <w:rPr>
          <w:lang w:val="fr-FR"/>
        </w:rPr>
        <w:t xml:space="preserve"> en vigueur de ce texte, aucune demande de cette catégorie de population n’a été soumise à l’autorité responsable de l’asile, des étrangers et de la citoyenneté.</w:t>
      </w:r>
    </w:p>
    <w:p w14:paraId="7D209BCE" w14:textId="77777777" w:rsidR="0078583E" w:rsidRPr="00820E13" w:rsidRDefault="0078583E" w:rsidP="006656AF">
      <w:pPr>
        <w:pStyle w:val="H1G"/>
        <w:tabs>
          <w:tab w:val="clear" w:pos="851"/>
          <w:tab w:val="left" w:pos="567"/>
        </w:tabs>
        <w:rPr>
          <w:lang w:val="fr-FR"/>
        </w:rPr>
      </w:pPr>
      <w:r>
        <w:rPr>
          <w:lang w:val="fr-FR"/>
        </w:rPr>
        <w:tab/>
      </w:r>
      <w:r>
        <w:rPr>
          <w:lang w:val="fr-FR"/>
        </w:rPr>
        <w:tab/>
      </w:r>
      <w:r>
        <w:rPr>
          <w:bCs/>
          <w:lang w:val="fr-FR"/>
        </w:rPr>
        <w:t>Égalité de droits entre les hommes et les femmes (art. 3)</w:t>
      </w:r>
    </w:p>
    <w:p w14:paraId="67062233" w14:textId="77777777" w:rsidR="0078583E" w:rsidRPr="00820E13" w:rsidRDefault="0078583E" w:rsidP="006656AF">
      <w:pPr>
        <w:pStyle w:val="H23G"/>
        <w:tabs>
          <w:tab w:val="clear" w:pos="851"/>
          <w:tab w:val="left" w:pos="567"/>
        </w:tabs>
        <w:rPr>
          <w:lang w:val="fr-FR"/>
        </w:rPr>
      </w:pPr>
      <w:r>
        <w:rPr>
          <w:lang w:val="fr-FR"/>
        </w:rPr>
        <w:tab/>
      </w:r>
      <w:r>
        <w:rPr>
          <w:lang w:val="fr-FR"/>
        </w:rPr>
        <w:tab/>
      </w:r>
      <w:r>
        <w:rPr>
          <w:bCs/>
          <w:lang w:val="fr-FR"/>
        </w:rPr>
        <w:t>Réponse au paragraphe 8 de la liste de points</w:t>
      </w:r>
    </w:p>
    <w:p w14:paraId="715ADBCF" w14:textId="77777777" w:rsidR="0078583E" w:rsidRPr="00820E13" w:rsidRDefault="0078583E" w:rsidP="00D15740">
      <w:pPr>
        <w:pStyle w:val="H4G"/>
        <w:rPr>
          <w:lang w:val="fr-FR"/>
        </w:rPr>
      </w:pPr>
      <w:r>
        <w:rPr>
          <w:lang w:val="fr-FR"/>
        </w:rPr>
        <w:tab/>
      </w:r>
      <w:r>
        <w:rPr>
          <w:lang w:val="fr-FR"/>
        </w:rPr>
        <w:tab/>
        <w:t>Mise en œuvre de la Stratégie pour l’égalité des sexes</w:t>
      </w:r>
    </w:p>
    <w:p w14:paraId="45AF99DF"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La Stratégie nationale pour l’égalité des sexes et son plan d’action (2016-2020) ont été préparés et approuvés en octobre 2016. Cette stratégie comportait quatre buts stratégiques et treize objectifs spécifiques. L’évaluation de la mise en œuvre de la Stratégie nationale pour l’égalité des sexes (2016-2020) et de son plan d’action montre que les mesures ont été mises en œuvre à hauteur de 80 %, preuve que des résultats majeurs ont été obtenus sur le plan de l’autonomisation des femmes, de la progression vers l’égalité des genres et de la réduction de la violence </w:t>
      </w:r>
      <w:r w:rsidRPr="00EB135E">
        <w:rPr>
          <w:spacing w:val="-2"/>
          <w:lang w:val="fr-FR"/>
        </w:rPr>
        <w:t>fondée</w:t>
      </w:r>
      <w:r>
        <w:rPr>
          <w:lang w:val="fr-FR"/>
        </w:rPr>
        <w:t xml:space="preserve"> sur le genre et de la violence domestique. La mise en œuvre de la Stratégie 2016-2020 et les mesures envisagées ont également une incidence importante sur la concrétisation des objectifs de développement durable (ODD), en particulier de l’ODD 5, relatif à l’égalité des sexes.</w:t>
      </w:r>
    </w:p>
    <w:p w14:paraId="7CAEDBA5"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La Stratégie nationale pour l’égalité des sexes (2021-2030), approuvée par la décision du Conseil des ministres n</w:t>
      </w:r>
      <w:r>
        <w:rPr>
          <w:vertAlign w:val="superscript"/>
          <w:lang w:val="fr-FR"/>
        </w:rPr>
        <w:t>o</w:t>
      </w:r>
      <w:r>
        <w:rPr>
          <w:lang w:val="fr-FR"/>
        </w:rPr>
        <w:t xml:space="preserve"> 400 du 30 juin 2021, a été conçue dans la continuité de la précédente Stratégie pour l’égalité des sexes (2016-2020). La Stratégie 2021-2030 fixe une ligne directrice vers une société dans laquelle tous les individus, femmes et hommes, jeunes femmes et jeunes hommes, filles et garçons, indépendamment de leur âge, de leur genre, de </w:t>
      </w:r>
      <w:r>
        <w:rPr>
          <w:lang w:val="fr-FR"/>
        </w:rPr>
        <w:lastRenderedPageBreak/>
        <w:t>leur lieu de naissance ou de résidence, de leur groupe ethnique ou social, de leur handicap, de leur appartenance religieuse, de leur identité de genre ou orientation sexuelle, ainsi que d’autres caractéristiques individuelles, bénéficient de l’égalité des chances.</w:t>
      </w:r>
    </w:p>
    <w:p w14:paraId="5B2D4EC3"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La Stratégie nationale pour l’égalité des sexes (2021-2030) a été rédigée sur la base des conclusions et des recommandations d’un rapport d’évaluation portant sur la mise en œuvre de la Stratégie </w:t>
      </w:r>
      <w:r w:rsidRPr="00EB135E">
        <w:rPr>
          <w:spacing w:val="-2"/>
          <w:lang w:val="fr-FR"/>
        </w:rPr>
        <w:t>nationale</w:t>
      </w:r>
      <w:r>
        <w:rPr>
          <w:lang w:val="fr-FR"/>
        </w:rPr>
        <w:t xml:space="preserve"> pour l’égalité des sexes (2016-2020) et son plan d’action, et vise donc à étendre et à améliorer les mesures envisagées sans avoir été pleinement mises en œuvre, ou encore les mesures appliquées qui nécessitent d’être soutenues pour être viables sur le long terme, conformément aux objectifs stratégiques définis précédemment dans la Stratégie 2016-2020.</w:t>
      </w:r>
    </w:p>
    <w:p w14:paraId="74337890"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 xml:space="preserve">L’ambition de la Stratégie nationale pour l’égalité des sexes (2021-2030) est de parvenir à une société faisant de l’égalité femmes-hommes et de la justice de genre des conditions fondamentales du </w:t>
      </w:r>
      <w:r w:rsidRPr="00EB135E">
        <w:rPr>
          <w:spacing w:val="-2"/>
          <w:lang w:val="fr-FR"/>
        </w:rPr>
        <w:t>développement</w:t>
      </w:r>
      <w:r>
        <w:rPr>
          <w:lang w:val="fr-FR"/>
        </w:rPr>
        <w:t xml:space="preserve"> durable, social, économique et politique du pays, afin que chacun puisse exercer les mêmes droits et avoir les mêmes chances dans tous les domaines de la vie et que personne ne soit laissé de côté. Au sein de cette société reposant sur le principe de la tolérance zéro à l’égard des pratiques préjudiciables, de la violence fondée sur le genre et de la violence domestique, les auteurs doivent être sanctionnés et les victimes doivent être protégées, réadaptées et réinsérées.</w:t>
      </w:r>
    </w:p>
    <w:p w14:paraId="75A51176" w14:textId="64E27A58" w:rsidR="0078583E" w:rsidRPr="00D15740"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spacing w:val="-2"/>
          <w:lang w:val="fr-FR"/>
        </w:rPr>
      </w:pPr>
      <w:r w:rsidRPr="00D15740">
        <w:rPr>
          <w:spacing w:val="-2"/>
          <w:lang w:val="fr-FR"/>
        </w:rPr>
        <w:t>Le premier but stratégique de la Stratégie nationale pour l’égalité des sexes (2021-2030) prévoit « la réalisation des droits économiques et sociaux des femmes, des jeunes femmes et des filles et des hommes, des jeunes hommes et des garçons dans la société et l’autonomisation des femmes, des jeunes femmes et des filles dans toute leur diversité, l’objectif étant l’amélioration et la viabilité de l’économie environnementale (verte), ainsi que leur égale participation à la transition numérique » et son objectif spécifique 1.3 prévoit « la réduction des obstacles empêchant les femmes, les jeunes femmes et les filles d’accéder au marché du travail et l’amélioration de l’accès à un travail décent, y compris non traditionnel (en particulier dans les domaines de la science, de la technologie, de l’ingénierie, des mathématiques, entre autres), pour les femmes, les jeunes femmes et les filles dans toute leur diversité ». L’une des mesures envisagées dans le cadre de cet objectif spécifique vise à créer un environnement favorable et encourageant afin que les femmes, les jeunes femmes et les filles, dans toute leur diversité, puissent trouver des emplois décents dans des secteurs non traditionnels, conformément aux actions prévues dans la Stratégie nationale pour l’emploi et les compétences (2019</w:t>
      </w:r>
      <w:r w:rsidR="00AC4DF0">
        <w:rPr>
          <w:spacing w:val="-2"/>
          <w:lang w:val="fr-FR"/>
        </w:rPr>
        <w:noBreakHyphen/>
      </w:r>
      <w:r w:rsidRPr="00D15740">
        <w:rPr>
          <w:spacing w:val="-2"/>
          <w:lang w:val="fr-FR"/>
        </w:rPr>
        <w:t>2022). À</w:t>
      </w:r>
      <w:r w:rsidR="00AC4DF0">
        <w:rPr>
          <w:spacing w:val="-2"/>
          <w:lang w:val="fr-FR"/>
        </w:rPr>
        <w:t> </w:t>
      </w:r>
      <w:r w:rsidRPr="00D15740">
        <w:rPr>
          <w:spacing w:val="-2"/>
          <w:lang w:val="fr-FR"/>
        </w:rPr>
        <w:t>l’échelle locale, au cours de l’année</w:t>
      </w:r>
      <w:r w:rsidR="00AC4DF0">
        <w:rPr>
          <w:spacing w:val="-2"/>
          <w:lang w:val="fr-FR"/>
        </w:rPr>
        <w:t xml:space="preserve"> </w:t>
      </w:r>
      <w:r w:rsidRPr="00D15740">
        <w:rPr>
          <w:spacing w:val="-2"/>
          <w:lang w:val="fr-FR"/>
        </w:rPr>
        <w:t>2022, les municipalités ont continué de soutenir l’élaboration de plans visant l’intégration sociale et économique des femmes et des filles victimes de violence domestique et de violence fondée sur le genre dans des domaines tels que l’emploi.</w:t>
      </w:r>
    </w:p>
    <w:p w14:paraId="589BE476" w14:textId="43D4A39A"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120"/>
        <w:ind w:left="1134" w:firstLine="0"/>
        <w:rPr>
          <w:lang w:val="fr-FR"/>
        </w:rPr>
      </w:pPr>
      <w:r>
        <w:rPr>
          <w:lang w:val="fr-FR"/>
        </w:rPr>
        <w:t>La décision gouvernementale n</w:t>
      </w:r>
      <w:r>
        <w:rPr>
          <w:vertAlign w:val="superscript"/>
          <w:lang w:val="fr-FR"/>
        </w:rPr>
        <w:t>o</w:t>
      </w:r>
      <w:r>
        <w:rPr>
          <w:lang w:val="fr-FR"/>
        </w:rPr>
        <w:t> 646 (programme d’apprentissage du code) a commencé à être appliquée au début de l’année</w:t>
      </w:r>
      <w:r w:rsidR="00AC4DF0">
        <w:rPr>
          <w:lang w:val="fr-FR"/>
        </w:rPr>
        <w:t xml:space="preserve"> </w:t>
      </w:r>
      <w:r>
        <w:rPr>
          <w:lang w:val="fr-FR"/>
        </w:rPr>
        <w:t>2023. Entre janvier et décembre 2023, ce programme a été suivi par 1 290 participants, dont environ 40 % de filles. Bien qu’il puisse à première vue être davantage associé aux hommes, un pourcentage important de filles y a participé. La participation des filles et des femmes aux cours dispensés dans les centres publics de formation professionnelle est également en hausse.</w:t>
      </w:r>
    </w:p>
    <w:tbl>
      <w:tblPr>
        <w:tblW w:w="7370" w:type="dxa"/>
        <w:tblInd w:w="1134" w:type="dxa"/>
        <w:tblLayout w:type="fixed"/>
        <w:tblCellMar>
          <w:left w:w="0" w:type="dxa"/>
          <w:right w:w="0" w:type="dxa"/>
        </w:tblCellMar>
        <w:tblLook w:val="04A0" w:firstRow="1" w:lastRow="0" w:firstColumn="1" w:lastColumn="0" w:noHBand="0" w:noVBand="1"/>
      </w:tblPr>
      <w:tblGrid>
        <w:gridCol w:w="628"/>
        <w:gridCol w:w="2196"/>
        <w:gridCol w:w="1515"/>
        <w:gridCol w:w="1515"/>
        <w:gridCol w:w="1516"/>
      </w:tblGrid>
      <w:tr w:rsidR="00D15740" w:rsidRPr="00D15740" w14:paraId="4B4CDA5B" w14:textId="77777777" w:rsidTr="00D15740">
        <w:trPr>
          <w:tblHeader/>
        </w:trPr>
        <w:tc>
          <w:tcPr>
            <w:tcW w:w="567" w:type="dxa"/>
            <w:tcBorders>
              <w:top w:val="single" w:sz="4" w:space="0" w:color="auto"/>
              <w:bottom w:val="single" w:sz="12" w:space="0" w:color="auto"/>
            </w:tcBorders>
            <w:shd w:val="clear" w:color="auto" w:fill="auto"/>
            <w:noWrap/>
            <w:vAlign w:val="bottom"/>
            <w:hideMark/>
          </w:tcPr>
          <w:p w14:paraId="6F9861CC" w14:textId="77777777" w:rsidR="0078583E" w:rsidRPr="00D15740" w:rsidRDefault="0078583E" w:rsidP="00D15740">
            <w:pPr>
              <w:suppressAutoHyphens w:val="0"/>
              <w:spacing w:before="80" w:after="80" w:line="200" w:lineRule="exact"/>
              <w:rPr>
                <w:i/>
                <w:sz w:val="16"/>
                <w:lang w:val="fr-FR"/>
              </w:rPr>
            </w:pPr>
          </w:p>
        </w:tc>
        <w:tc>
          <w:tcPr>
            <w:tcW w:w="1985" w:type="dxa"/>
            <w:tcBorders>
              <w:top w:val="single" w:sz="4" w:space="0" w:color="auto"/>
              <w:bottom w:val="single" w:sz="12" w:space="0" w:color="auto"/>
            </w:tcBorders>
            <w:shd w:val="clear" w:color="auto" w:fill="auto"/>
            <w:noWrap/>
            <w:vAlign w:val="bottom"/>
            <w:hideMark/>
          </w:tcPr>
          <w:p w14:paraId="43ECD4A2" w14:textId="77777777" w:rsidR="0078583E" w:rsidRPr="00D15740" w:rsidRDefault="0078583E" w:rsidP="00D15740">
            <w:pPr>
              <w:suppressAutoHyphens w:val="0"/>
              <w:spacing w:before="80" w:after="80" w:line="200" w:lineRule="exact"/>
              <w:jc w:val="right"/>
              <w:rPr>
                <w:i/>
                <w:sz w:val="16"/>
                <w:lang w:val="fr-FR"/>
              </w:rPr>
            </w:pPr>
          </w:p>
        </w:tc>
        <w:tc>
          <w:tcPr>
            <w:tcW w:w="1370" w:type="dxa"/>
            <w:tcBorders>
              <w:top w:val="single" w:sz="4" w:space="0" w:color="auto"/>
              <w:bottom w:val="single" w:sz="12" w:space="0" w:color="auto"/>
            </w:tcBorders>
            <w:shd w:val="clear" w:color="auto" w:fill="auto"/>
            <w:noWrap/>
            <w:vAlign w:val="bottom"/>
            <w:hideMark/>
          </w:tcPr>
          <w:p w14:paraId="6FA618B3" w14:textId="77777777" w:rsidR="0078583E" w:rsidRPr="00D15740" w:rsidRDefault="0078583E" w:rsidP="00D15740">
            <w:pPr>
              <w:suppressAutoHyphens w:val="0"/>
              <w:spacing w:before="80" w:after="80" w:line="200" w:lineRule="exact"/>
              <w:jc w:val="right"/>
              <w:rPr>
                <w:bCs/>
                <w:i/>
                <w:sz w:val="16"/>
              </w:rPr>
            </w:pPr>
            <w:r w:rsidRPr="00D15740">
              <w:rPr>
                <w:i/>
                <w:iCs/>
                <w:sz w:val="16"/>
                <w:lang w:val="fr-FR"/>
              </w:rPr>
              <w:t>2021</w:t>
            </w:r>
          </w:p>
        </w:tc>
        <w:tc>
          <w:tcPr>
            <w:tcW w:w="1370" w:type="dxa"/>
            <w:tcBorders>
              <w:top w:val="single" w:sz="4" w:space="0" w:color="auto"/>
              <w:bottom w:val="single" w:sz="12" w:space="0" w:color="auto"/>
            </w:tcBorders>
            <w:shd w:val="clear" w:color="auto" w:fill="auto"/>
            <w:noWrap/>
            <w:vAlign w:val="bottom"/>
            <w:hideMark/>
          </w:tcPr>
          <w:p w14:paraId="520E80AA" w14:textId="77777777" w:rsidR="0078583E" w:rsidRPr="00D15740" w:rsidRDefault="0078583E" w:rsidP="00D15740">
            <w:pPr>
              <w:suppressAutoHyphens w:val="0"/>
              <w:spacing w:before="80" w:after="80" w:line="200" w:lineRule="exact"/>
              <w:jc w:val="right"/>
              <w:rPr>
                <w:bCs/>
                <w:i/>
                <w:sz w:val="16"/>
              </w:rPr>
            </w:pPr>
            <w:r w:rsidRPr="00D15740">
              <w:rPr>
                <w:i/>
                <w:iCs/>
                <w:sz w:val="16"/>
                <w:lang w:val="fr-FR"/>
              </w:rPr>
              <w:t>2022</w:t>
            </w:r>
          </w:p>
        </w:tc>
        <w:tc>
          <w:tcPr>
            <w:tcW w:w="1371" w:type="dxa"/>
            <w:tcBorders>
              <w:top w:val="single" w:sz="4" w:space="0" w:color="auto"/>
              <w:bottom w:val="single" w:sz="12" w:space="0" w:color="auto"/>
            </w:tcBorders>
            <w:shd w:val="clear" w:color="auto" w:fill="auto"/>
            <w:vAlign w:val="bottom"/>
          </w:tcPr>
          <w:p w14:paraId="116ADA7E" w14:textId="77777777" w:rsidR="0078583E" w:rsidRPr="00D15740" w:rsidRDefault="0078583E" w:rsidP="00D15740">
            <w:pPr>
              <w:suppressAutoHyphens w:val="0"/>
              <w:spacing w:before="80" w:after="80" w:line="200" w:lineRule="exact"/>
              <w:jc w:val="right"/>
              <w:rPr>
                <w:bCs/>
                <w:i/>
                <w:sz w:val="16"/>
              </w:rPr>
            </w:pPr>
            <w:r w:rsidRPr="00D15740">
              <w:rPr>
                <w:i/>
                <w:iCs/>
                <w:sz w:val="16"/>
                <w:lang w:val="fr-FR"/>
              </w:rPr>
              <w:t>2023</w:t>
            </w:r>
          </w:p>
        </w:tc>
      </w:tr>
      <w:tr w:rsidR="00D15740" w:rsidRPr="00D15740" w14:paraId="0621E4E3" w14:textId="77777777" w:rsidTr="00D15740">
        <w:tc>
          <w:tcPr>
            <w:tcW w:w="567" w:type="dxa"/>
            <w:vMerge w:val="restart"/>
            <w:tcBorders>
              <w:top w:val="single" w:sz="12" w:space="0" w:color="auto"/>
            </w:tcBorders>
            <w:shd w:val="clear" w:color="auto" w:fill="auto"/>
            <w:noWrap/>
            <w:hideMark/>
          </w:tcPr>
          <w:p w14:paraId="5E61B2F1" w14:textId="77777777" w:rsidR="0078583E" w:rsidRPr="00D15740" w:rsidRDefault="0078583E" w:rsidP="00D15740">
            <w:pPr>
              <w:suppressAutoHyphens w:val="0"/>
              <w:spacing w:before="40" w:after="40" w:line="220" w:lineRule="exact"/>
              <w:rPr>
                <w:sz w:val="18"/>
                <w:szCs w:val="18"/>
              </w:rPr>
            </w:pPr>
            <w:r w:rsidRPr="00D15740">
              <w:rPr>
                <w:sz w:val="18"/>
                <w:szCs w:val="18"/>
                <w:lang w:val="fr-FR"/>
              </w:rPr>
              <w:t>Total</w:t>
            </w:r>
          </w:p>
        </w:tc>
        <w:tc>
          <w:tcPr>
            <w:tcW w:w="1985" w:type="dxa"/>
            <w:tcBorders>
              <w:top w:val="single" w:sz="12" w:space="0" w:color="auto"/>
            </w:tcBorders>
            <w:shd w:val="clear" w:color="auto" w:fill="auto"/>
            <w:noWrap/>
            <w:vAlign w:val="bottom"/>
            <w:hideMark/>
          </w:tcPr>
          <w:p w14:paraId="651AB83E"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Participants inscrits</w:t>
            </w:r>
          </w:p>
        </w:tc>
        <w:tc>
          <w:tcPr>
            <w:tcW w:w="1370" w:type="dxa"/>
            <w:tcBorders>
              <w:top w:val="single" w:sz="12" w:space="0" w:color="auto"/>
            </w:tcBorders>
            <w:shd w:val="clear" w:color="auto" w:fill="auto"/>
            <w:noWrap/>
            <w:vAlign w:val="bottom"/>
          </w:tcPr>
          <w:p w14:paraId="4D1B038E"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6 631</w:t>
            </w:r>
          </w:p>
        </w:tc>
        <w:tc>
          <w:tcPr>
            <w:tcW w:w="1370" w:type="dxa"/>
            <w:tcBorders>
              <w:top w:val="single" w:sz="12" w:space="0" w:color="auto"/>
            </w:tcBorders>
            <w:shd w:val="clear" w:color="auto" w:fill="auto"/>
            <w:noWrap/>
            <w:vAlign w:val="bottom"/>
            <w:hideMark/>
          </w:tcPr>
          <w:p w14:paraId="2064410B"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9 398</w:t>
            </w:r>
          </w:p>
        </w:tc>
        <w:tc>
          <w:tcPr>
            <w:tcW w:w="1371" w:type="dxa"/>
            <w:tcBorders>
              <w:top w:val="single" w:sz="12" w:space="0" w:color="auto"/>
            </w:tcBorders>
            <w:shd w:val="clear" w:color="auto" w:fill="auto"/>
            <w:vAlign w:val="bottom"/>
          </w:tcPr>
          <w:p w14:paraId="41201066"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10 547</w:t>
            </w:r>
          </w:p>
        </w:tc>
      </w:tr>
      <w:tr w:rsidR="0078583E" w:rsidRPr="00D15740" w14:paraId="1F4E7F31" w14:textId="77777777" w:rsidTr="00D15740">
        <w:tc>
          <w:tcPr>
            <w:tcW w:w="567" w:type="dxa"/>
            <w:vMerge/>
            <w:shd w:val="clear" w:color="auto" w:fill="auto"/>
            <w:hideMark/>
          </w:tcPr>
          <w:p w14:paraId="5D56850C" w14:textId="77777777" w:rsidR="0078583E" w:rsidRPr="00D15740" w:rsidRDefault="0078583E" w:rsidP="00D15740">
            <w:pPr>
              <w:suppressAutoHyphens w:val="0"/>
              <w:spacing w:before="40" w:after="40" w:line="220" w:lineRule="exact"/>
              <w:rPr>
                <w:sz w:val="18"/>
                <w:szCs w:val="18"/>
                <w:lang w:val="en-US"/>
              </w:rPr>
            </w:pPr>
          </w:p>
        </w:tc>
        <w:tc>
          <w:tcPr>
            <w:tcW w:w="1985" w:type="dxa"/>
            <w:shd w:val="clear" w:color="auto" w:fill="auto"/>
            <w:noWrap/>
            <w:vAlign w:val="bottom"/>
            <w:hideMark/>
          </w:tcPr>
          <w:p w14:paraId="5B3AFA1F"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Filles</w:t>
            </w:r>
          </w:p>
        </w:tc>
        <w:tc>
          <w:tcPr>
            <w:tcW w:w="1370" w:type="dxa"/>
            <w:shd w:val="clear" w:color="auto" w:fill="auto"/>
            <w:noWrap/>
            <w:vAlign w:val="bottom"/>
          </w:tcPr>
          <w:p w14:paraId="009A4C29"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3 144</w:t>
            </w:r>
          </w:p>
        </w:tc>
        <w:tc>
          <w:tcPr>
            <w:tcW w:w="1370" w:type="dxa"/>
            <w:shd w:val="clear" w:color="auto" w:fill="auto"/>
            <w:noWrap/>
            <w:vAlign w:val="bottom"/>
            <w:hideMark/>
          </w:tcPr>
          <w:p w14:paraId="3A686CA7"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4 757</w:t>
            </w:r>
          </w:p>
        </w:tc>
        <w:tc>
          <w:tcPr>
            <w:tcW w:w="1371" w:type="dxa"/>
            <w:shd w:val="clear" w:color="auto" w:fill="auto"/>
            <w:vAlign w:val="bottom"/>
          </w:tcPr>
          <w:p w14:paraId="531D1F81"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5 769</w:t>
            </w:r>
          </w:p>
        </w:tc>
      </w:tr>
      <w:tr w:rsidR="00D15740" w:rsidRPr="00D15740" w14:paraId="03F97EA1" w14:textId="77777777" w:rsidTr="00D15740">
        <w:tc>
          <w:tcPr>
            <w:tcW w:w="567" w:type="dxa"/>
            <w:vMerge/>
            <w:tcBorders>
              <w:bottom w:val="single" w:sz="12" w:space="0" w:color="auto"/>
            </w:tcBorders>
            <w:shd w:val="clear" w:color="auto" w:fill="auto"/>
            <w:hideMark/>
          </w:tcPr>
          <w:p w14:paraId="217240C9" w14:textId="77777777" w:rsidR="0078583E" w:rsidRPr="00D15740" w:rsidRDefault="0078583E" w:rsidP="00D15740">
            <w:pPr>
              <w:suppressAutoHyphens w:val="0"/>
              <w:spacing w:before="40" w:after="40" w:line="220" w:lineRule="exact"/>
              <w:rPr>
                <w:sz w:val="18"/>
                <w:szCs w:val="18"/>
                <w:lang w:val="en-US"/>
              </w:rPr>
            </w:pPr>
          </w:p>
        </w:tc>
        <w:tc>
          <w:tcPr>
            <w:tcW w:w="1985" w:type="dxa"/>
            <w:tcBorders>
              <w:bottom w:val="single" w:sz="12" w:space="0" w:color="auto"/>
            </w:tcBorders>
            <w:shd w:val="clear" w:color="auto" w:fill="auto"/>
            <w:noWrap/>
            <w:vAlign w:val="bottom"/>
            <w:hideMark/>
          </w:tcPr>
          <w:p w14:paraId="372C2B86"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w:t>
            </w:r>
          </w:p>
        </w:tc>
        <w:tc>
          <w:tcPr>
            <w:tcW w:w="1370" w:type="dxa"/>
            <w:tcBorders>
              <w:bottom w:val="single" w:sz="12" w:space="0" w:color="auto"/>
            </w:tcBorders>
            <w:shd w:val="clear" w:color="auto" w:fill="auto"/>
            <w:noWrap/>
            <w:vAlign w:val="bottom"/>
          </w:tcPr>
          <w:p w14:paraId="348E789D"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47 %</w:t>
            </w:r>
          </w:p>
        </w:tc>
        <w:tc>
          <w:tcPr>
            <w:tcW w:w="1370" w:type="dxa"/>
            <w:tcBorders>
              <w:bottom w:val="single" w:sz="12" w:space="0" w:color="auto"/>
            </w:tcBorders>
            <w:shd w:val="clear" w:color="auto" w:fill="auto"/>
            <w:noWrap/>
            <w:vAlign w:val="bottom"/>
            <w:hideMark/>
          </w:tcPr>
          <w:p w14:paraId="58B5FD12"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51 %</w:t>
            </w:r>
          </w:p>
        </w:tc>
        <w:tc>
          <w:tcPr>
            <w:tcW w:w="1371" w:type="dxa"/>
            <w:tcBorders>
              <w:bottom w:val="single" w:sz="12" w:space="0" w:color="auto"/>
            </w:tcBorders>
            <w:shd w:val="clear" w:color="auto" w:fill="auto"/>
            <w:vAlign w:val="bottom"/>
          </w:tcPr>
          <w:p w14:paraId="58BA73CE" w14:textId="77777777" w:rsidR="0078583E" w:rsidRPr="00D15740" w:rsidRDefault="0078583E" w:rsidP="00D15740">
            <w:pPr>
              <w:suppressAutoHyphens w:val="0"/>
              <w:spacing w:before="40" w:after="40" w:line="220" w:lineRule="exact"/>
              <w:jc w:val="right"/>
              <w:rPr>
                <w:sz w:val="18"/>
                <w:szCs w:val="18"/>
              </w:rPr>
            </w:pPr>
            <w:r w:rsidRPr="00D15740">
              <w:rPr>
                <w:sz w:val="18"/>
                <w:szCs w:val="18"/>
                <w:lang w:val="fr-FR"/>
              </w:rPr>
              <w:t>55 %</w:t>
            </w:r>
          </w:p>
        </w:tc>
      </w:tr>
    </w:tbl>
    <w:p w14:paraId="157BA355" w14:textId="51329728"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before="240"/>
        <w:ind w:left="1134" w:firstLine="0"/>
        <w:rPr>
          <w:lang w:val="fr-FR"/>
        </w:rPr>
      </w:pPr>
      <w:r>
        <w:rPr>
          <w:lang w:val="fr-FR"/>
        </w:rPr>
        <w:t xml:space="preserve">Le </w:t>
      </w:r>
      <w:r w:rsidR="00AC4DF0">
        <w:rPr>
          <w:lang w:val="fr-FR"/>
        </w:rPr>
        <w:t>P</w:t>
      </w:r>
      <w:r>
        <w:rPr>
          <w:lang w:val="fr-FR"/>
        </w:rPr>
        <w:t>lan d’action qui accompagne la Stratégie nationale pour l’égalité des sexes (2021</w:t>
      </w:r>
      <w:r w:rsidR="00AC4DF0">
        <w:rPr>
          <w:lang w:val="fr-FR"/>
        </w:rPr>
        <w:noBreakHyphen/>
      </w:r>
      <w:r>
        <w:rPr>
          <w:lang w:val="fr-FR"/>
        </w:rPr>
        <w:t xml:space="preserve">2030) a également été approuvé. Cette quatrième </w:t>
      </w:r>
      <w:r w:rsidR="00AC4DF0">
        <w:rPr>
          <w:lang w:val="fr-FR"/>
        </w:rPr>
        <w:t>S</w:t>
      </w:r>
      <w:r>
        <w:rPr>
          <w:lang w:val="fr-FR"/>
        </w:rPr>
        <w:t>tratégie nationale pour l’égalité des sexes montre que la réalisation de l’égalité femmes-hommes et la réduction de la violence de genre et de la violence domestique sont des priorités pour le Gouvernement albanais, auxquelles il accorde une attention particulière, considérant que le développement durable passe par une prise en charge adaptée de ces questions.</w:t>
      </w:r>
    </w:p>
    <w:p w14:paraId="4335BA3D" w14:textId="77777777" w:rsidR="0078583E" w:rsidRPr="00820E13" w:rsidRDefault="0078583E" w:rsidP="00A01A74">
      <w:pPr>
        <w:pStyle w:val="SingleTxtG"/>
        <w:keepNext/>
        <w:keepLines/>
        <w:numPr>
          <w:ilvl w:val="0"/>
          <w:numId w:val="8"/>
        </w:numPr>
        <w:tabs>
          <w:tab w:val="clear" w:pos="1701"/>
          <w:tab w:val="clear" w:pos="2268"/>
          <w:tab w:val="clear" w:pos="2835"/>
          <w:tab w:val="left" w:pos="567"/>
        </w:tabs>
        <w:suppressAutoHyphens w:val="0"/>
        <w:ind w:left="1134" w:firstLine="0"/>
        <w:rPr>
          <w:lang w:val="fr-FR"/>
        </w:rPr>
      </w:pPr>
      <w:r>
        <w:rPr>
          <w:lang w:val="fr-FR"/>
        </w:rPr>
        <w:lastRenderedPageBreak/>
        <w:t>L’objectif stratégique III de la Stratégie nationale pour l’égalité des sexes vise la réduction de toutes les formes de pratiques préjudiciables, de violence fondée sur le genre et de violence domestique. En 2022, le Ministère de la santé et de la protection sociale a adopté une série de mesures relatives à la violence domestique et à la violence fondée sur le genre. Il importe de souligner à cet égard les mesures prises pour renforcer les capacités des coordonnateurs locaux en matière de lutte contre la violence domestique et celles des policiers concernant l’exécution correcte des modifications apportées à la loi sur les mesures de lutte contre la violence intrafamiliale en 2020 et 2021.</w:t>
      </w:r>
    </w:p>
    <w:p w14:paraId="7F367F23" w14:textId="777777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Concernant ce qui précède, en </w:t>
      </w:r>
      <w:r w:rsidRPr="003F0172">
        <w:rPr>
          <w:lang w:val="fr-FR"/>
        </w:rPr>
        <w:t>2022, le Ministère de la santé et de la protection sociale a continué à œuvrer au renforcement des capacités des équipes techniques interdisciplinaires et des coordonnateurs locaux en matière de lutte contre la violence domestique, et de celles des policiers concernant les modifications juridiques apportées en 2020 à la loi sur les mesures de lutte contre la violence intrafamiliale et la décision du Conseil des ministres n</w:t>
      </w:r>
      <w:r w:rsidRPr="00AC4DF0">
        <w:rPr>
          <w:vertAlign w:val="superscript"/>
          <w:lang w:val="fr-FR"/>
        </w:rPr>
        <w:t>o</w:t>
      </w:r>
      <w:r w:rsidRPr="003F0172">
        <w:rPr>
          <w:lang w:val="fr-FR"/>
        </w:rPr>
        <w:t xml:space="preserve"> 327/2021 sur le </w:t>
      </w:r>
      <w:r>
        <w:rPr>
          <w:lang w:val="fr-FR"/>
        </w:rPr>
        <w:t>m</w:t>
      </w:r>
      <w:r w:rsidRPr="003F0172">
        <w:rPr>
          <w:lang w:val="fr-FR"/>
        </w:rPr>
        <w:t>écanisme de coordination des activités des autorités compétentes concernant l</w:t>
      </w:r>
      <w:r>
        <w:rPr>
          <w:lang w:val="fr-FR"/>
        </w:rPr>
        <w:t>’</w:t>
      </w:r>
      <w:r w:rsidRPr="003F0172">
        <w:rPr>
          <w:lang w:val="fr-FR"/>
        </w:rPr>
        <w:t>orientation des cas de violence intrafamiliale, y compris les procédures, le soutien et la réadaptation des victimes de la violence.</w:t>
      </w:r>
    </w:p>
    <w:p w14:paraId="68B85EC5" w14:textId="777777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Entre janvier et décembre 2022, 50</w:t>
      </w:r>
      <w:r>
        <w:rPr>
          <w:lang w:val="fr-FR"/>
        </w:rPr>
        <w:t> </w:t>
      </w:r>
      <w:r w:rsidRPr="003F0172">
        <w:rPr>
          <w:lang w:val="fr-FR"/>
        </w:rPr>
        <w:t>mécanismes de coordination de référence ont bénéficié d</w:t>
      </w:r>
      <w:r>
        <w:rPr>
          <w:lang w:val="fr-FR"/>
        </w:rPr>
        <w:t>’</w:t>
      </w:r>
      <w:r w:rsidRPr="003F0172">
        <w:rPr>
          <w:lang w:val="fr-FR"/>
        </w:rPr>
        <w:t>un appui visant à accroître leur efficacité, et 15 à 20</w:t>
      </w:r>
      <w:r>
        <w:rPr>
          <w:lang w:val="fr-FR"/>
        </w:rPr>
        <w:t> </w:t>
      </w:r>
      <w:r w:rsidRPr="003F0172">
        <w:rPr>
          <w:lang w:val="fr-FR"/>
        </w:rPr>
        <w:t>membres de chaque mécanisme ont été formés. Avec l</w:t>
      </w:r>
      <w:r>
        <w:rPr>
          <w:lang w:val="fr-FR"/>
        </w:rPr>
        <w:t>’</w:t>
      </w:r>
      <w:r w:rsidRPr="003F0172">
        <w:rPr>
          <w:lang w:val="fr-FR"/>
        </w:rPr>
        <w:t>aide du PNUD, le Ministère de la santé et de la protection sociale a formé 58</w:t>
      </w:r>
      <w:r>
        <w:rPr>
          <w:lang w:val="fr-FR"/>
        </w:rPr>
        <w:t> </w:t>
      </w:r>
      <w:r w:rsidRPr="003F0172">
        <w:rPr>
          <w:lang w:val="fr-FR"/>
        </w:rPr>
        <w:t>coordonnateurs de 42</w:t>
      </w:r>
      <w:r>
        <w:rPr>
          <w:lang w:val="fr-FR"/>
        </w:rPr>
        <w:t> </w:t>
      </w:r>
      <w:r w:rsidRPr="003F0172">
        <w:rPr>
          <w:lang w:val="fr-FR"/>
        </w:rPr>
        <w:t xml:space="preserve">municipalités aux </w:t>
      </w:r>
      <w:r>
        <w:rPr>
          <w:lang w:val="fr-FR"/>
        </w:rPr>
        <w:t>problèmes et aux</w:t>
      </w:r>
      <w:r w:rsidRPr="003F0172">
        <w:rPr>
          <w:lang w:val="fr-FR"/>
        </w:rPr>
        <w:t xml:space="preserve"> défis liés à la gestion des cas de violence à l</w:t>
      </w:r>
      <w:r>
        <w:rPr>
          <w:lang w:val="fr-FR"/>
        </w:rPr>
        <w:t>’</w:t>
      </w:r>
      <w:r w:rsidRPr="003F0172">
        <w:rPr>
          <w:lang w:val="fr-FR"/>
        </w:rPr>
        <w:t xml:space="preserve">égard des femmes. Dans six municipalités, le rôle des coordonnateurs locaux contre la violence a été </w:t>
      </w:r>
      <w:r>
        <w:rPr>
          <w:lang w:val="fr-FR"/>
        </w:rPr>
        <w:t>dissocié</w:t>
      </w:r>
      <w:r w:rsidRPr="003F0172">
        <w:rPr>
          <w:lang w:val="fr-FR"/>
        </w:rPr>
        <w:t xml:space="preserve"> de celui des spécialistes des questions de genre et des agents chargés de la protection des droits de l</w:t>
      </w:r>
      <w:r>
        <w:rPr>
          <w:lang w:val="fr-FR"/>
        </w:rPr>
        <w:t>’</w:t>
      </w:r>
      <w:r w:rsidRPr="003F0172">
        <w:rPr>
          <w:lang w:val="fr-FR"/>
        </w:rPr>
        <w:t>enfant, et des mesures sont en train d</w:t>
      </w:r>
      <w:r>
        <w:rPr>
          <w:lang w:val="fr-FR"/>
        </w:rPr>
        <w:t>’</w:t>
      </w:r>
      <w:r w:rsidRPr="003F0172">
        <w:rPr>
          <w:lang w:val="fr-FR"/>
        </w:rPr>
        <w:t>être prises pour étendre cette mesure à d</w:t>
      </w:r>
      <w:r>
        <w:rPr>
          <w:lang w:val="fr-FR"/>
        </w:rPr>
        <w:t>’</w:t>
      </w:r>
      <w:r w:rsidRPr="003F0172">
        <w:rPr>
          <w:lang w:val="fr-FR"/>
        </w:rPr>
        <w:t>autres municipalités. Au cours de la même période, près de 400</w:t>
      </w:r>
      <w:r>
        <w:rPr>
          <w:lang w:val="fr-FR"/>
        </w:rPr>
        <w:t> </w:t>
      </w:r>
      <w:r w:rsidRPr="003F0172">
        <w:rPr>
          <w:lang w:val="fr-FR"/>
        </w:rPr>
        <w:t>policiers ont été formés dans neuf municipalités du pays à l</w:t>
      </w:r>
      <w:r>
        <w:rPr>
          <w:lang w:val="fr-FR"/>
        </w:rPr>
        <w:t>’</w:t>
      </w:r>
      <w:r w:rsidRPr="003F0172">
        <w:rPr>
          <w:lang w:val="fr-FR"/>
        </w:rPr>
        <w:t>application correcte des modifications apportées à la loi, à la délivrance d</w:t>
      </w:r>
      <w:r>
        <w:rPr>
          <w:lang w:val="fr-FR"/>
        </w:rPr>
        <w:t>’</w:t>
      </w:r>
      <w:r w:rsidRPr="003F0172">
        <w:rPr>
          <w:lang w:val="fr-FR"/>
        </w:rPr>
        <w:t>ordonnances de protection préliminaire ainsi qu</w:t>
      </w:r>
      <w:r>
        <w:rPr>
          <w:lang w:val="fr-FR"/>
        </w:rPr>
        <w:t>’</w:t>
      </w:r>
      <w:r w:rsidRPr="003F0172">
        <w:rPr>
          <w:lang w:val="fr-FR"/>
        </w:rPr>
        <w:t>au suivi de la mise en œuvre des ordonnances de protection et des ordonnances de protection immédiate. La police nationale a mis au point une série de formations portant sur la reconnaissance et la mise en œuvre des évolutions juridiques et règlements d</w:t>
      </w:r>
      <w:r>
        <w:rPr>
          <w:lang w:val="fr-FR"/>
        </w:rPr>
        <w:t>’</w:t>
      </w:r>
      <w:r w:rsidRPr="003F0172">
        <w:rPr>
          <w:lang w:val="fr-FR"/>
        </w:rPr>
        <w:t>application relatifs à la violence domestique, sur la rédaction du rapport d</w:t>
      </w:r>
      <w:r>
        <w:rPr>
          <w:lang w:val="fr-FR"/>
        </w:rPr>
        <w:t>’</w:t>
      </w:r>
      <w:r w:rsidRPr="003F0172">
        <w:rPr>
          <w:lang w:val="fr-FR"/>
        </w:rPr>
        <w:t>évaluation des risques et sur la délivrance de l</w:t>
      </w:r>
      <w:r>
        <w:rPr>
          <w:lang w:val="fr-FR"/>
        </w:rPr>
        <w:t>’</w:t>
      </w:r>
      <w:r w:rsidRPr="003F0172">
        <w:rPr>
          <w:lang w:val="fr-FR"/>
        </w:rPr>
        <w:t>ordonnance fixant des mesures de protection préliminaires ou immédiates, ainsi que sur la prise en charge et l</w:t>
      </w:r>
      <w:r>
        <w:rPr>
          <w:lang w:val="fr-FR"/>
        </w:rPr>
        <w:t>’</w:t>
      </w:r>
      <w:r w:rsidRPr="003F0172">
        <w:rPr>
          <w:lang w:val="fr-FR"/>
        </w:rPr>
        <w:t>orientation de victimes de violence domestique.</w:t>
      </w:r>
    </w:p>
    <w:p w14:paraId="04188B8E" w14:textId="34492D35"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En février 2022, l</w:t>
      </w:r>
      <w:r>
        <w:rPr>
          <w:lang w:val="fr-FR"/>
        </w:rPr>
        <w:t>’</w:t>
      </w:r>
      <w:r w:rsidRPr="003F0172">
        <w:rPr>
          <w:lang w:val="fr-FR"/>
        </w:rPr>
        <w:t>Assemblée a approuvé la loi n</w:t>
      </w:r>
      <w:r w:rsidRPr="00AC4DF0">
        <w:rPr>
          <w:vertAlign w:val="superscript"/>
          <w:lang w:val="fr-FR"/>
        </w:rPr>
        <w:t>o</w:t>
      </w:r>
      <w:r w:rsidR="00AC4DF0">
        <w:rPr>
          <w:lang w:val="fr-FR"/>
        </w:rPr>
        <w:t> </w:t>
      </w:r>
      <w:r w:rsidRPr="003F0172">
        <w:rPr>
          <w:lang w:val="fr-FR"/>
        </w:rPr>
        <w:t xml:space="preserve">13/2022 </w:t>
      </w:r>
      <w:r>
        <w:rPr>
          <w:lang w:val="fr-FR"/>
        </w:rPr>
        <w:t>relative à</w:t>
      </w:r>
      <w:r w:rsidRPr="003F0172">
        <w:rPr>
          <w:lang w:val="fr-FR"/>
        </w:rPr>
        <w:t xml:space="preserve"> la ratification de la Convention n</w:t>
      </w:r>
      <w:r w:rsidRPr="00AC4DF0">
        <w:rPr>
          <w:vertAlign w:val="superscript"/>
          <w:lang w:val="fr-FR"/>
        </w:rPr>
        <w:t>o</w:t>
      </w:r>
      <w:r w:rsidRPr="003F0172">
        <w:rPr>
          <w:lang w:val="fr-FR"/>
        </w:rPr>
        <w:t> 190 de l</w:t>
      </w:r>
      <w:r>
        <w:rPr>
          <w:lang w:val="fr-FR"/>
        </w:rPr>
        <w:t>’</w:t>
      </w:r>
      <w:r w:rsidRPr="003F0172">
        <w:rPr>
          <w:lang w:val="fr-FR"/>
        </w:rPr>
        <w:t xml:space="preserve">Organisation internationale du </w:t>
      </w:r>
      <w:r w:rsidR="00AC4DF0">
        <w:rPr>
          <w:lang w:val="fr-FR"/>
        </w:rPr>
        <w:t>T</w:t>
      </w:r>
      <w:r w:rsidRPr="003F0172">
        <w:rPr>
          <w:lang w:val="fr-FR"/>
        </w:rPr>
        <w:t>ravail sur la violence et le harcèlement, qui marque une étape importante dans la protection des femmes, des filles, des hommes et des garçons contre le harcèlement et la violence dans le domaine de l</w:t>
      </w:r>
      <w:r>
        <w:rPr>
          <w:lang w:val="fr-FR"/>
        </w:rPr>
        <w:t>’</w:t>
      </w:r>
      <w:r w:rsidRPr="003F0172">
        <w:rPr>
          <w:lang w:val="fr-FR"/>
        </w:rPr>
        <w:t>emploi. En</w:t>
      </w:r>
      <w:r w:rsidR="00AC4DF0">
        <w:rPr>
          <w:lang w:val="fr-FR"/>
        </w:rPr>
        <w:t> </w:t>
      </w:r>
      <w:r w:rsidRPr="003F0172">
        <w:rPr>
          <w:lang w:val="fr-FR"/>
        </w:rPr>
        <w:t>ce qui concerne la collecte et le traitement des données relatives à la violence domestique et à la violence fondée sur le genre, la Direction générale de la police nationale a amélioré le système informatique de traitement des données statistiques collectées mensuellement. En</w:t>
      </w:r>
      <w:r w:rsidR="00AC4DF0">
        <w:rPr>
          <w:lang w:val="fr-FR"/>
        </w:rPr>
        <w:t> </w:t>
      </w:r>
      <w:r w:rsidRPr="003F0172">
        <w:rPr>
          <w:lang w:val="fr-FR"/>
        </w:rPr>
        <w:t>outre, la police nationale, conformément aux modifications apportées à la loi, a intégré une analyse « d</w:t>
      </w:r>
      <w:r>
        <w:rPr>
          <w:lang w:val="fr-FR"/>
        </w:rPr>
        <w:t>’</w:t>
      </w:r>
      <w:r w:rsidRPr="003F0172">
        <w:rPr>
          <w:lang w:val="fr-FR"/>
        </w:rPr>
        <w:t>estimation des risques</w:t>
      </w:r>
      <w:r>
        <w:rPr>
          <w:lang w:val="fr-FR"/>
        </w:rPr>
        <w:t> </w:t>
      </w:r>
      <w:r w:rsidRPr="003F0172">
        <w:rPr>
          <w:lang w:val="fr-FR"/>
        </w:rPr>
        <w:t>» dans le traitement de tous les cas de violence domestique.</w:t>
      </w:r>
    </w:p>
    <w:p w14:paraId="3CAE6DD9"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En 2022, des activités organisées avec des femmes</w:t>
      </w:r>
      <w:r>
        <w:rPr>
          <w:lang w:val="fr-FR"/>
        </w:rPr>
        <w:t xml:space="preserve"> dans certaines municipalités du pays ont permis d’aborder la question de leurs droits et de la protection contre la violence de genre. Des réunions se sont tenues avec le réseau de coordonnateurs locaux chargés de l’orientation et de la gestion des cas de violence domestique, avec pour objectif de renforcer leurs capacités et de partager les bonnes pratiques.</w:t>
      </w:r>
    </w:p>
    <w:p w14:paraId="0AB8FE91"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Du 2 au 6 octobre 2023, la délégation représentative du Groupe d’experts sur la lutte contre la violence à l’égard des femmes et la violence domestique (GREVIO), un organe indépendant de contrôle de la Convention d’Istanbul, a organisé des réunions d’évaluation avec les institutions compétentes en Albanie. Ce processus a conclu le premier cycle de l’évaluation thématique pour le suivi de la mise en œuvre par l’Albanie de la Convention du Conseil de l’Europe sur la prévention et la lutte contre la violence à l’égard des femmes et la violence domestique (Convention d’Istanbul). Le premier cycle visait à déterminer dans quelle mesure les lois et politiques nationales des États parties renforçaient la confiance, apportaient un soutien et permettaient aux femmes victimes de violence d’accéder à la justice. </w:t>
      </w:r>
      <w:r>
        <w:rPr>
          <w:lang w:val="fr-FR"/>
        </w:rPr>
        <w:lastRenderedPageBreak/>
        <w:t>Le Ministère de la santé et de la protection sociale, en tant que principale autorité responsable des questions d’égalité femmes-hommes, de violence fondée sur le genre et de violence domestique, a coordonné le processus afin d’assurer le succès de cette mission en Albanie.</w:t>
      </w:r>
    </w:p>
    <w:p w14:paraId="760AC741" w14:textId="4D7976D1"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Le 18 octobre 2023, le Gouvernement albanais a présenté au Comité pour l’élimination de la discrimination à l’égard des femmes son cinquième rapport périodique sur la mise en œuvre de la Convention des Nations</w:t>
      </w:r>
      <w:r w:rsidR="00AC4DF0">
        <w:rPr>
          <w:lang w:val="fr-FR"/>
        </w:rPr>
        <w:t> U</w:t>
      </w:r>
      <w:r>
        <w:rPr>
          <w:lang w:val="fr-FR"/>
        </w:rPr>
        <w:t>nies sur l’élimination de toutes les formes de discrimination à l’égard des femmes.</w:t>
      </w:r>
    </w:p>
    <w:p w14:paraId="168B0CDD"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Une formation de deux jours sur l’orientation et la gestion des cas de violence domestique a été organisée </w:t>
      </w:r>
      <w:proofErr w:type="gramStart"/>
      <w:r>
        <w:rPr>
          <w:lang w:val="fr-FR"/>
        </w:rPr>
        <w:t>les 1</w:t>
      </w:r>
      <w:r>
        <w:rPr>
          <w:vertAlign w:val="superscript"/>
          <w:lang w:val="fr-FR"/>
        </w:rPr>
        <w:t>er</w:t>
      </w:r>
      <w:proofErr w:type="gramEnd"/>
      <w:r>
        <w:rPr>
          <w:lang w:val="fr-FR"/>
        </w:rPr>
        <w:t xml:space="preserve"> et 2 novembre 2023 auprès du réseau des coordonnateurs locaux. Cette formation, qui s’inscrivait dans le prolongement des travaux de renforcement du réseau, devait servir à accroître les capacités des coordonnateurs, l’objectif étant d’améliorer l’efficacité de la prise en charge des personnes ayant subi diverses formes de violence, de favoriser la coopération entre coordonnateurs et de partager les meilleures pratiques et les difficultés rencontrées dans le processus de travail.</w:t>
      </w:r>
    </w:p>
    <w:p w14:paraId="6F7944B0" w14:textId="11198CA4"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Le Ministère de la santé et de la protection sociale a organisé la campagne de sensibilisation « 16 journées de mobilisation contre la violence de genre ». Cette campagne a débuté le 24 novembre 2023 et s’est achevée le 10 décembre, à l’occasion de la Journée internationale des droits de l’homme. L’édition</w:t>
      </w:r>
      <w:r w:rsidR="00AC4DF0">
        <w:rPr>
          <w:lang w:val="fr-FR"/>
        </w:rPr>
        <w:t xml:space="preserve"> </w:t>
      </w:r>
      <w:r>
        <w:rPr>
          <w:lang w:val="fr-FR"/>
        </w:rPr>
        <w:t>2023 portait sur le thème « Investir dans la prévention de la violence à l’égard des femmes et des filles » et mettait l’accent sur l’importance de financer diverses stratégies de prévention pour empêcher la survenue des violences. En 2023, 183 activités ont été organisées dans le cadre de la campagne.</w:t>
      </w:r>
    </w:p>
    <w:p w14:paraId="1A4CFBF1" w14:textId="1C3D9405"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Le </w:t>
      </w:r>
      <w:r w:rsidR="00AC4DF0">
        <w:rPr>
          <w:lang w:val="fr-FR"/>
        </w:rPr>
        <w:t>P</w:t>
      </w:r>
      <w:r>
        <w:rPr>
          <w:lang w:val="fr-FR"/>
        </w:rPr>
        <w:t>lan d’action national en faveur de la mise en œuvre de la résolution n</w:t>
      </w:r>
      <w:r>
        <w:rPr>
          <w:vertAlign w:val="superscript"/>
          <w:lang w:val="fr-FR"/>
        </w:rPr>
        <w:t>o</w:t>
      </w:r>
      <w:r>
        <w:rPr>
          <w:lang w:val="fr-FR"/>
        </w:rPr>
        <w:t> 1325 du Conseil de sécurité des Nations</w:t>
      </w:r>
      <w:r w:rsidR="00AC4DF0">
        <w:rPr>
          <w:lang w:val="fr-FR"/>
        </w:rPr>
        <w:t> U</w:t>
      </w:r>
      <w:r>
        <w:rPr>
          <w:lang w:val="fr-FR"/>
        </w:rPr>
        <w:t>nies sur les femmes, la paix et la sécurité en République d’Albanie a été approuvé par la décision n</w:t>
      </w:r>
      <w:r>
        <w:rPr>
          <w:vertAlign w:val="superscript"/>
          <w:lang w:val="fr-FR"/>
        </w:rPr>
        <w:t>o</w:t>
      </w:r>
      <w:r>
        <w:rPr>
          <w:lang w:val="fr-FR"/>
        </w:rPr>
        <w:t> 732 du 13 décembre. Cette résolution souligne l’importance de la participation des femmes aux négociations de paix et aux opérations de maintien de la paix et promeut la prise en compte de la dimension de genre aux fins d’une participation effective et égale des femmes aux processus de paix et de sécurité.</w:t>
      </w:r>
    </w:p>
    <w:p w14:paraId="166A0486" w14:textId="5A9DAC74"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4549B4">
        <w:rPr>
          <w:caps/>
          <w:lang w:val="fr-FR"/>
        </w:rPr>
        <w:t>à</w:t>
      </w:r>
      <w:r>
        <w:rPr>
          <w:lang w:val="fr-FR"/>
        </w:rPr>
        <w:t xml:space="preserve"> la réunion du Conseil national de l’égalité des genres qui s’est tenue le 15 décembre 2023, les recommandations du Comité pour l’élimination de la discrimination à l’égard des femmes en faveur de la mise en œuvre de la Convention des Nations</w:t>
      </w:r>
      <w:r w:rsidR="00AC4DF0">
        <w:rPr>
          <w:lang w:val="fr-FR"/>
        </w:rPr>
        <w:t> U</w:t>
      </w:r>
      <w:r>
        <w:rPr>
          <w:lang w:val="fr-FR"/>
        </w:rPr>
        <w:t>nies sur l’élimination de toutes les formes de discrimination à l’égard des femmes ont été présentées après l’examen du rapport à Genève le 18 octobre 2023. Les étapes de l’élaboration du plan de travail aux fins de la mise en œuvre des recommandations du Comité à l’Albanie y ont également été présentées.</w:t>
      </w:r>
    </w:p>
    <w:p w14:paraId="7C3C5674" w14:textId="5433844B"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L’aide financière accordée dans les cas de violence domestique ayant fait l’objet d’ordonnances de protection a été doublée puis triplée, et elle est octroyée en priorité aux femmes cheffes de famille, qui bénéficient en outre de services d’aide spécialisés dans la protection contre la violence domestique et la violence fondée sur le genre. En 2022, 34 services de soutien spécialisés ont bénéficié à des personnes exposées à la violence de genre ou à la violence domestique. Proposés dans des centres d’hébergement temporaire (16</w:t>
      </w:r>
      <w:r w:rsidR="00AC4DF0">
        <w:rPr>
          <w:lang w:val="fr-FR"/>
        </w:rPr>
        <w:t> </w:t>
      </w:r>
      <w:r>
        <w:rPr>
          <w:lang w:val="fr-FR"/>
        </w:rPr>
        <w:t xml:space="preserve">centres à l’échelle des districts et des municipalités) et dans 2 centres résidentiels nationaux, ils incluent des prestations de logement, de santé, de conseil juridique et </w:t>
      </w:r>
      <w:proofErr w:type="spellStart"/>
      <w:r>
        <w:rPr>
          <w:lang w:val="fr-FR"/>
        </w:rPr>
        <w:t>psychosocial</w:t>
      </w:r>
      <w:proofErr w:type="spellEnd"/>
      <w:r>
        <w:rPr>
          <w:lang w:val="fr-FR"/>
        </w:rPr>
        <w:t>, de protection, de sécurité et de lutte contre la traite, l’éducation et la garde d’enfants.</w:t>
      </w:r>
    </w:p>
    <w:p w14:paraId="31CD8ED0" w14:textId="1872379A"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À partir de janvier 2022, un dispositif gouvernemental de résilience sociale a été mis en place en réponse à la crise. Tous les bénéficiaires du régime d’aide économique ont ainsi bénéficié d’un soutien économique : l’aide a été augmentée de 20 % pour tous les bénéficiaires, doublée pour 15 000 familles de </w:t>
      </w:r>
      <w:r w:rsidR="00AC4DF0">
        <w:rPr>
          <w:lang w:val="fr-FR"/>
        </w:rPr>
        <w:t xml:space="preserve">trois </w:t>
      </w:r>
      <w:r>
        <w:rPr>
          <w:lang w:val="fr-FR"/>
        </w:rPr>
        <w:t>enfants ou plus, doublée pour 5 700 femmes cheffes de famille ayant jusqu’à deux enfants et pour 5 200 personnes âgées de plus de 65 ans, et triplée pour 771 orphelins, victimes de violence domestique et victimes de la traite des êtres humains.</w:t>
      </w:r>
    </w:p>
    <w:p w14:paraId="35EC7FFB" w14:textId="77777777" w:rsidR="0078583E" w:rsidRPr="00820E13" w:rsidRDefault="0078583E" w:rsidP="00887156">
      <w:pPr>
        <w:pStyle w:val="H1G"/>
        <w:rPr>
          <w:lang w:val="fr-FR"/>
        </w:rPr>
      </w:pPr>
      <w:r>
        <w:rPr>
          <w:lang w:val="fr-FR"/>
        </w:rPr>
        <w:lastRenderedPageBreak/>
        <w:tab/>
        <w:t>C.</w:t>
      </w:r>
      <w:r>
        <w:rPr>
          <w:lang w:val="fr-FR"/>
        </w:rPr>
        <w:tab/>
        <w:t>Points relatifs aux dispositions spécifiques du Pacte (art. 6 à 15)</w:t>
      </w:r>
    </w:p>
    <w:p w14:paraId="4CF67F6C" w14:textId="77777777" w:rsidR="0078583E" w:rsidRPr="00820E13" w:rsidRDefault="0078583E" w:rsidP="00887156">
      <w:pPr>
        <w:pStyle w:val="H1G"/>
        <w:rPr>
          <w:lang w:val="fr-FR"/>
        </w:rPr>
      </w:pPr>
      <w:r>
        <w:rPr>
          <w:lang w:val="fr-FR"/>
        </w:rPr>
        <w:tab/>
      </w:r>
      <w:r>
        <w:rPr>
          <w:lang w:val="fr-FR"/>
        </w:rPr>
        <w:tab/>
        <w:t>Droit au travail (art. 6)</w:t>
      </w:r>
    </w:p>
    <w:p w14:paraId="278337C4" w14:textId="77777777" w:rsidR="0078583E" w:rsidRPr="00820E13" w:rsidRDefault="0078583E" w:rsidP="00887156">
      <w:pPr>
        <w:pStyle w:val="H23G"/>
        <w:rPr>
          <w:lang w:val="fr-FR"/>
        </w:rPr>
      </w:pPr>
      <w:r>
        <w:rPr>
          <w:lang w:val="fr-FR"/>
        </w:rPr>
        <w:tab/>
      </w:r>
      <w:r>
        <w:rPr>
          <w:lang w:val="fr-FR"/>
        </w:rPr>
        <w:tab/>
        <w:t>Réponse au paragraphe 10 de la liste de points</w:t>
      </w:r>
    </w:p>
    <w:p w14:paraId="6FFF1266" w14:textId="64519874" w:rsidR="0078583E" w:rsidRPr="00917014"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917014">
        <w:rPr>
          <w:lang w:val="fr-FR"/>
        </w:rPr>
        <w:t>Comme suite à la pandémie de COVID, on a élaboré un programme spécial d</w:t>
      </w:r>
      <w:r>
        <w:rPr>
          <w:lang w:val="fr-FR"/>
        </w:rPr>
        <w:t>’</w:t>
      </w:r>
      <w:r w:rsidRPr="00917014">
        <w:rPr>
          <w:lang w:val="fr-FR"/>
        </w:rPr>
        <w:t>incitation et d</w:t>
      </w:r>
      <w:r>
        <w:rPr>
          <w:lang w:val="fr-FR"/>
        </w:rPr>
        <w:t>’</w:t>
      </w:r>
      <w:r w:rsidRPr="00917014">
        <w:rPr>
          <w:lang w:val="fr-FR"/>
        </w:rPr>
        <w:t>information d</w:t>
      </w:r>
      <w:r>
        <w:rPr>
          <w:lang w:val="fr-FR"/>
        </w:rPr>
        <w:t>’</w:t>
      </w:r>
      <w:r w:rsidRPr="00917014">
        <w:rPr>
          <w:lang w:val="fr-FR"/>
        </w:rPr>
        <w:t xml:space="preserve">une durée de </w:t>
      </w:r>
      <w:r w:rsidR="00112C5A">
        <w:rPr>
          <w:lang w:val="fr-FR"/>
        </w:rPr>
        <w:t xml:space="preserve">douze </w:t>
      </w:r>
      <w:r w:rsidRPr="00917014">
        <w:rPr>
          <w:lang w:val="fr-FR"/>
        </w:rPr>
        <w:t>mois. Tout un ensemble de services et de mesures d</w:t>
      </w:r>
      <w:r>
        <w:rPr>
          <w:lang w:val="fr-FR"/>
        </w:rPr>
        <w:t>’</w:t>
      </w:r>
      <w:r w:rsidRPr="00917014">
        <w:rPr>
          <w:lang w:val="fr-FR"/>
        </w:rPr>
        <w:t>incitation sont prévus. On trouvera dans le tableau ci-dessous des données statistiques à ce sujet :</w:t>
      </w:r>
    </w:p>
    <w:tbl>
      <w:tblPr>
        <w:tblW w:w="7370" w:type="dxa"/>
        <w:tblInd w:w="1134" w:type="dxa"/>
        <w:tblLayout w:type="fixed"/>
        <w:tblCellMar>
          <w:left w:w="0" w:type="dxa"/>
          <w:right w:w="0" w:type="dxa"/>
        </w:tblCellMar>
        <w:tblLook w:val="04A0" w:firstRow="1" w:lastRow="0" w:firstColumn="1" w:lastColumn="0" w:noHBand="0" w:noVBand="1"/>
      </w:tblPr>
      <w:tblGrid>
        <w:gridCol w:w="2869"/>
        <w:gridCol w:w="1125"/>
        <w:gridCol w:w="1125"/>
        <w:gridCol w:w="1125"/>
        <w:gridCol w:w="1126"/>
      </w:tblGrid>
      <w:tr w:rsidR="00EB135E" w:rsidRPr="00EB135E" w14:paraId="3556CFBE" w14:textId="77777777" w:rsidTr="00EB135E">
        <w:trPr>
          <w:tblHeader/>
        </w:trPr>
        <w:tc>
          <w:tcPr>
            <w:tcW w:w="2869" w:type="dxa"/>
            <w:tcBorders>
              <w:top w:val="single" w:sz="4" w:space="0" w:color="auto"/>
              <w:bottom w:val="single" w:sz="12" w:space="0" w:color="auto"/>
            </w:tcBorders>
            <w:shd w:val="clear" w:color="auto" w:fill="auto"/>
            <w:vAlign w:val="bottom"/>
          </w:tcPr>
          <w:p w14:paraId="2771B5BD" w14:textId="77777777" w:rsidR="00EB135E" w:rsidRPr="00EB135E" w:rsidRDefault="00EB135E" w:rsidP="00EB135E">
            <w:pPr>
              <w:suppressAutoHyphens w:val="0"/>
              <w:spacing w:before="80" w:after="80" w:line="200" w:lineRule="exact"/>
              <w:rPr>
                <w:i/>
                <w:sz w:val="16"/>
              </w:rPr>
            </w:pPr>
            <w:r w:rsidRPr="00EB135E">
              <w:rPr>
                <w:i/>
                <w:sz w:val="16"/>
                <w:lang w:val="fr-FR"/>
              </w:rPr>
              <w:t>Programme/Année</w:t>
            </w:r>
          </w:p>
        </w:tc>
        <w:tc>
          <w:tcPr>
            <w:tcW w:w="1125" w:type="dxa"/>
            <w:tcBorders>
              <w:top w:val="single" w:sz="4" w:space="0" w:color="auto"/>
              <w:bottom w:val="single" w:sz="12" w:space="0" w:color="auto"/>
            </w:tcBorders>
            <w:shd w:val="clear" w:color="auto" w:fill="auto"/>
            <w:vAlign w:val="bottom"/>
          </w:tcPr>
          <w:p w14:paraId="070D0CA6" w14:textId="77777777" w:rsidR="00EB135E" w:rsidRPr="00EB135E" w:rsidRDefault="00EB135E" w:rsidP="00EB135E">
            <w:pPr>
              <w:suppressAutoHyphens w:val="0"/>
              <w:spacing w:before="80" w:after="80" w:line="200" w:lineRule="exact"/>
              <w:jc w:val="right"/>
              <w:rPr>
                <w:i/>
                <w:sz w:val="16"/>
              </w:rPr>
            </w:pPr>
            <w:r w:rsidRPr="00EB135E">
              <w:rPr>
                <w:i/>
                <w:sz w:val="16"/>
                <w:lang w:val="fr-FR"/>
              </w:rPr>
              <w:t>2020</w:t>
            </w:r>
          </w:p>
        </w:tc>
        <w:tc>
          <w:tcPr>
            <w:tcW w:w="1125" w:type="dxa"/>
            <w:tcBorders>
              <w:top w:val="single" w:sz="4" w:space="0" w:color="auto"/>
              <w:bottom w:val="single" w:sz="12" w:space="0" w:color="auto"/>
            </w:tcBorders>
            <w:shd w:val="clear" w:color="auto" w:fill="auto"/>
            <w:vAlign w:val="bottom"/>
          </w:tcPr>
          <w:p w14:paraId="1AAAE5E4" w14:textId="77777777" w:rsidR="00EB135E" w:rsidRPr="00EB135E" w:rsidRDefault="00EB135E" w:rsidP="00EB135E">
            <w:pPr>
              <w:suppressAutoHyphens w:val="0"/>
              <w:spacing w:before="80" w:after="80" w:line="200" w:lineRule="exact"/>
              <w:jc w:val="right"/>
              <w:rPr>
                <w:i/>
                <w:sz w:val="16"/>
              </w:rPr>
            </w:pPr>
            <w:r w:rsidRPr="00EB135E">
              <w:rPr>
                <w:i/>
                <w:sz w:val="16"/>
                <w:lang w:val="fr-FR"/>
              </w:rPr>
              <w:t>2021</w:t>
            </w:r>
          </w:p>
        </w:tc>
        <w:tc>
          <w:tcPr>
            <w:tcW w:w="1125" w:type="dxa"/>
            <w:tcBorders>
              <w:top w:val="single" w:sz="4" w:space="0" w:color="auto"/>
              <w:bottom w:val="single" w:sz="12" w:space="0" w:color="auto"/>
            </w:tcBorders>
            <w:shd w:val="clear" w:color="auto" w:fill="auto"/>
            <w:vAlign w:val="bottom"/>
          </w:tcPr>
          <w:p w14:paraId="29422E67" w14:textId="77777777" w:rsidR="00EB135E" w:rsidRPr="00EB135E" w:rsidRDefault="00EB135E" w:rsidP="00EB135E">
            <w:pPr>
              <w:suppressAutoHyphens w:val="0"/>
              <w:spacing w:before="80" w:after="80" w:line="200" w:lineRule="exact"/>
              <w:jc w:val="right"/>
              <w:rPr>
                <w:i/>
                <w:sz w:val="16"/>
              </w:rPr>
            </w:pPr>
            <w:r w:rsidRPr="00EB135E">
              <w:rPr>
                <w:i/>
                <w:sz w:val="16"/>
                <w:lang w:val="fr-FR"/>
              </w:rPr>
              <w:t>2022</w:t>
            </w:r>
          </w:p>
        </w:tc>
        <w:tc>
          <w:tcPr>
            <w:tcW w:w="1126" w:type="dxa"/>
            <w:tcBorders>
              <w:top w:val="single" w:sz="4" w:space="0" w:color="auto"/>
              <w:bottom w:val="single" w:sz="12" w:space="0" w:color="auto"/>
            </w:tcBorders>
            <w:shd w:val="clear" w:color="auto" w:fill="auto"/>
            <w:vAlign w:val="bottom"/>
          </w:tcPr>
          <w:p w14:paraId="6AFADF56" w14:textId="77777777" w:rsidR="00EB135E" w:rsidRPr="00EB135E" w:rsidRDefault="00EB135E" w:rsidP="00EB135E">
            <w:pPr>
              <w:suppressAutoHyphens w:val="0"/>
              <w:spacing w:before="80" w:after="80" w:line="200" w:lineRule="exact"/>
              <w:jc w:val="right"/>
              <w:rPr>
                <w:i/>
                <w:sz w:val="16"/>
              </w:rPr>
            </w:pPr>
            <w:r w:rsidRPr="00EB135E">
              <w:rPr>
                <w:i/>
                <w:sz w:val="16"/>
                <w:lang w:val="fr-FR"/>
              </w:rPr>
              <w:t>2023</w:t>
            </w:r>
          </w:p>
        </w:tc>
      </w:tr>
      <w:tr w:rsidR="00EB135E" w:rsidRPr="00EB135E" w14:paraId="6D11AA7E" w14:textId="77777777" w:rsidTr="00EB135E">
        <w:tc>
          <w:tcPr>
            <w:tcW w:w="2869" w:type="dxa"/>
            <w:tcBorders>
              <w:top w:val="single" w:sz="12" w:space="0" w:color="auto"/>
            </w:tcBorders>
            <w:shd w:val="clear" w:color="auto" w:fill="auto"/>
          </w:tcPr>
          <w:p w14:paraId="5E6C7C45" w14:textId="77777777" w:rsidR="00EB135E" w:rsidRPr="00EB135E" w:rsidRDefault="00EB135E" w:rsidP="00EB135E">
            <w:pPr>
              <w:suppressAutoHyphens w:val="0"/>
              <w:spacing w:before="40" w:after="40" w:line="220" w:lineRule="exact"/>
              <w:rPr>
                <w:sz w:val="18"/>
                <w:szCs w:val="18"/>
                <w:lang w:val="fr-FR"/>
              </w:rPr>
            </w:pPr>
            <w:r w:rsidRPr="00EB135E">
              <w:rPr>
                <w:sz w:val="18"/>
                <w:szCs w:val="18"/>
                <w:lang w:val="fr-FR"/>
              </w:rPr>
              <w:t>Décision du Conseil des ministres n</w:t>
            </w:r>
            <w:r w:rsidRPr="00EB135E">
              <w:rPr>
                <w:sz w:val="18"/>
                <w:szCs w:val="18"/>
                <w:vertAlign w:val="superscript"/>
                <w:lang w:val="fr-FR"/>
              </w:rPr>
              <w:t>o</w:t>
            </w:r>
            <w:r w:rsidRPr="00EB135E">
              <w:rPr>
                <w:sz w:val="18"/>
                <w:szCs w:val="18"/>
                <w:lang w:val="fr-FR"/>
              </w:rPr>
              <w:t> 608 (Programme 4 mois)</w:t>
            </w:r>
          </w:p>
        </w:tc>
        <w:tc>
          <w:tcPr>
            <w:tcW w:w="1125" w:type="dxa"/>
            <w:tcBorders>
              <w:top w:val="single" w:sz="12" w:space="0" w:color="auto"/>
            </w:tcBorders>
            <w:shd w:val="clear" w:color="auto" w:fill="auto"/>
            <w:vAlign w:val="bottom"/>
          </w:tcPr>
          <w:p w14:paraId="258BDE64"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30</w:t>
            </w:r>
          </w:p>
        </w:tc>
        <w:tc>
          <w:tcPr>
            <w:tcW w:w="1125" w:type="dxa"/>
            <w:tcBorders>
              <w:top w:val="single" w:sz="12" w:space="0" w:color="auto"/>
            </w:tcBorders>
            <w:shd w:val="clear" w:color="auto" w:fill="auto"/>
            <w:vAlign w:val="bottom"/>
          </w:tcPr>
          <w:p w14:paraId="01DF66F8"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284</w:t>
            </w:r>
          </w:p>
        </w:tc>
        <w:tc>
          <w:tcPr>
            <w:tcW w:w="1125" w:type="dxa"/>
            <w:tcBorders>
              <w:top w:val="single" w:sz="12" w:space="0" w:color="auto"/>
            </w:tcBorders>
            <w:shd w:val="clear" w:color="auto" w:fill="auto"/>
            <w:vAlign w:val="bottom"/>
          </w:tcPr>
          <w:p w14:paraId="727DEAE4"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20</w:t>
            </w:r>
          </w:p>
        </w:tc>
        <w:tc>
          <w:tcPr>
            <w:tcW w:w="1126" w:type="dxa"/>
            <w:tcBorders>
              <w:top w:val="single" w:sz="12" w:space="0" w:color="auto"/>
            </w:tcBorders>
            <w:shd w:val="clear" w:color="auto" w:fill="auto"/>
            <w:vAlign w:val="bottom"/>
          </w:tcPr>
          <w:p w14:paraId="63A932E0"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0</w:t>
            </w:r>
          </w:p>
        </w:tc>
      </w:tr>
      <w:tr w:rsidR="00EB135E" w:rsidRPr="00EB135E" w14:paraId="686429C8" w14:textId="77777777" w:rsidTr="00EB135E">
        <w:tc>
          <w:tcPr>
            <w:tcW w:w="2869" w:type="dxa"/>
            <w:shd w:val="clear" w:color="auto" w:fill="auto"/>
          </w:tcPr>
          <w:p w14:paraId="59C68BEC" w14:textId="77777777" w:rsidR="00EB135E" w:rsidRPr="00EB135E" w:rsidRDefault="00EB135E" w:rsidP="00EB135E">
            <w:pPr>
              <w:suppressAutoHyphens w:val="0"/>
              <w:spacing w:before="40" w:after="40" w:line="220" w:lineRule="exact"/>
              <w:rPr>
                <w:sz w:val="18"/>
                <w:szCs w:val="18"/>
                <w:lang w:val="fr-FR"/>
              </w:rPr>
            </w:pPr>
            <w:r w:rsidRPr="00EB135E">
              <w:rPr>
                <w:sz w:val="18"/>
                <w:szCs w:val="18"/>
                <w:lang w:val="fr-FR"/>
              </w:rPr>
              <w:t>Décision du Conseil des ministres n</w:t>
            </w:r>
            <w:r w:rsidRPr="00EB135E">
              <w:rPr>
                <w:sz w:val="18"/>
                <w:szCs w:val="18"/>
                <w:vertAlign w:val="superscript"/>
                <w:lang w:val="fr-FR"/>
              </w:rPr>
              <w:t>o</w:t>
            </w:r>
            <w:r w:rsidRPr="00EB135E">
              <w:rPr>
                <w:sz w:val="18"/>
                <w:szCs w:val="18"/>
                <w:lang w:val="fr-FR"/>
              </w:rPr>
              <w:t> 608 (Programme 8 mois)</w:t>
            </w:r>
          </w:p>
        </w:tc>
        <w:tc>
          <w:tcPr>
            <w:tcW w:w="1125" w:type="dxa"/>
            <w:shd w:val="clear" w:color="auto" w:fill="auto"/>
            <w:vAlign w:val="bottom"/>
          </w:tcPr>
          <w:p w14:paraId="6D1BD700"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1 129</w:t>
            </w:r>
          </w:p>
        </w:tc>
        <w:tc>
          <w:tcPr>
            <w:tcW w:w="1125" w:type="dxa"/>
            <w:shd w:val="clear" w:color="auto" w:fill="auto"/>
            <w:vAlign w:val="bottom"/>
          </w:tcPr>
          <w:p w14:paraId="6014022D"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1 575</w:t>
            </w:r>
          </w:p>
        </w:tc>
        <w:tc>
          <w:tcPr>
            <w:tcW w:w="1125" w:type="dxa"/>
            <w:shd w:val="clear" w:color="auto" w:fill="auto"/>
            <w:vAlign w:val="bottom"/>
          </w:tcPr>
          <w:p w14:paraId="7AA456D4"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515</w:t>
            </w:r>
          </w:p>
        </w:tc>
        <w:tc>
          <w:tcPr>
            <w:tcW w:w="1126" w:type="dxa"/>
            <w:shd w:val="clear" w:color="auto" w:fill="auto"/>
            <w:vAlign w:val="bottom"/>
          </w:tcPr>
          <w:p w14:paraId="0DA40518"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51</w:t>
            </w:r>
          </w:p>
        </w:tc>
      </w:tr>
      <w:tr w:rsidR="00EB135E" w:rsidRPr="00EB135E" w14:paraId="2C727B97" w14:textId="77777777" w:rsidTr="00EB135E">
        <w:tc>
          <w:tcPr>
            <w:tcW w:w="2869" w:type="dxa"/>
            <w:tcBorders>
              <w:bottom w:val="single" w:sz="12" w:space="0" w:color="auto"/>
            </w:tcBorders>
            <w:shd w:val="clear" w:color="auto" w:fill="auto"/>
          </w:tcPr>
          <w:p w14:paraId="65A3C31B" w14:textId="77777777" w:rsidR="00EB135E" w:rsidRPr="00EB135E" w:rsidRDefault="00EB135E" w:rsidP="00EB135E">
            <w:pPr>
              <w:suppressAutoHyphens w:val="0"/>
              <w:spacing w:before="40" w:after="40" w:line="220" w:lineRule="exact"/>
              <w:rPr>
                <w:sz w:val="18"/>
                <w:szCs w:val="18"/>
                <w:lang w:val="fr-FR"/>
              </w:rPr>
            </w:pPr>
            <w:r w:rsidRPr="00EB135E">
              <w:rPr>
                <w:sz w:val="18"/>
                <w:szCs w:val="18"/>
                <w:lang w:val="fr-FR"/>
              </w:rPr>
              <w:t>Décision du Conseil des ministres n</w:t>
            </w:r>
            <w:r w:rsidRPr="00EB135E">
              <w:rPr>
                <w:sz w:val="18"/>
                <w:szCs w:val="18"/>
                <w:vertAlign w:val="superscript"/>
                <w:lang w:val="fr-FR"/>
              </w:rPr>
              <w:t>o</w:t>
            </w:r>
            <w:r w:rsidRPr="00EB135E">
              <w:rPr>
                <w:sz w:val="18"/>
                <w:szCs w:val="18"/>
                <w:lang w:val="fr-FR"/>
              </w:rPr>
              <w:t> 608 (Programme 12 mois/secteur informel)</w:t>
            </w:r>
          </w:p>
        </w:tc>
        <w:tc>
          <w:tcPr>
            <w:tcW w:w="1125" w:type="dxa"/>
            <w:tcBorders>
              <w:bottom w:val="single" w:sz="12" w:space="0" w:color="auto"/>
            </w:tcBorders>
            <w:shd w:val="clear" w:color="auto" w:fill="auto"/>
            <w:vAlign w:val="bottom"/>
          </w:tcPr>
          <w:p w14:paraId="293B7FA5"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563</w:t>
            </w:r>
          </w:p>
        </w:tc>
        <w:tc>
          <w:tcPr>
            <w:tcW w:w="1125" w:type="dxa"/>
            <w:tcBorders>
              <w:bottom w:val="single" w:sz="12" w:space="0" w:color="auto"/>
            </w:tcBorders>
            <w:shd w:val="clear" w:color="auto" w:fill="auto"/>
            <w:vAlign w:val="bottom"/>
          </w:tcPr>
          <w:p w14:paraId="6A9C9882"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828</w:t>
            </w:r>
          </w:p>
        </w:tc>
        <w:tc>
          <w:tcPr>
            <w:tcW w:w="1125" w:type="dxa"/>
            <w:tcBorders>
              <w:bottom w:val="single" w:sz="12" w:space="0" w:color="auto"/>
            </w:tcBorders>
            <w:shd w:val="clear" w:color="auto" w:fill="auto"/>
            <w:vAlign w:val="bottom"/>
          </w:tcPr>
          <w:p w14:paraId="14939C94"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466</w:t>
            </w:r>
          </w:p>
        </w:tc>
        <w:tc>
          <w:tcPr>
            <w:tcW w:w="1126" w:type="dxa"/>
            <w:tcBorders>
              <w:bottom w:val="single" w:sz="12" w:space="0" w:color="auto"/>
            </w:tcBorders>
            <w:shd w:val="clear" w:color="auto" w:fill="auto"/>
            <w:vAlign w:val="bottom"/>
          </w:tcPr>
          <w:p w14:paraId="7DEA9C13" w14:textId="77777777" w:rsidR="00EB135E" w:rsidRPr="00EB135E" w:rsidRDefault="00EB135E" w:rsidP="00EB135E">
            <w:pPr>
              <w:suppressAutoHyphens w:val="0"/>
              <w:spacing w:before="40" w:after="40" w:line="220" w:lineRule="exact"/>
              <w:jc w:val="right"/>
              <w:rPr>
                <w:sz w:val="18"/>
                <w:szCs w:val="18"/>
              </w:rPr>
            </w:pPr>
            <w:r w:rsidRPr="00EB135E">
              <w:rPr>
                <w:sz w:val="18"/>
                <w:szCs w:val="18"/>
                <w:lang w:val="fr-FR"/>
              </w:rPr>
              <w:t>133</w:t>
            </w:r>
          </w:p>
        </w:tc>
      </w:tr>
    </w:tbl>
    <w:p w14:paraId="3EFC1EE8" w14:textId="77777777" w:rsidR="0078583E" w:rsidRPr="003F0172" w:rsidRDefault="0078583E" w:rsidP="00EB135E">
      <w:pPr>
        <w:pStyle w:val="H1G"/>
        <w:rPr>
          <w:lang w:val="fr-FR"/>
        </w:rPr>
      </w:pPr>
      <w:r>
        <w:rPr>
          <w:lang w:val="fr-FR"/>
        </w:rPr>
        <w:tab/>
      </w:r>
      <w:r>
        <w:rPr>
          <w:lang w:val="fr-FR"/>
        </w:rPr>
        <w:tab/>
      </w:r>
      <w:r w:rsidRPr="003F0172">
        <w:rPr>
          <w:lang w:val="fr-FR"/>
        </w:rPr>
        <w:t>Droit à des conditions de travail justes et favorables (art.</w:t>
      </w:r>
      <w:r>
        <w:rPr>
          <w:lang w:val="fr-FR"/>
        </w:rPr>
        <w:t> </w:t>
      </w:r>
      <w:r w:rsidRPr="003F0172">
        <w:rPr>
          <w:lang w:val="fr-FR"/>
        </w:rPr>
        <w:t>7)</w:t>
      </w:r>
    </w:p>
    <w:p w14:paraId="693A75F5" w14:textId="77777777" w:rsidR="0078583E" w:rsidRPr="003F0172" w:rsidRDefault="0078583E" w:rsidP="00EB135E">
      <w:pPr>
        <w:pStyle w:val="H23G"/>
        <w:rPr>
          <w:lang w:val="fr-FR"/>
        </w:rPr>
      </w:pPr>
      <w:r w:rsidRPr="003F0172">
        <w:rPr>
          <w:lang w:val="fr-FR"/>
        </w:rPr>
        <w:tab/>
      </w:r>
      <w:r w:rsidRPr="003F0172">
        <w:rPr>
          <w:lang w:val="fr-FR"/>
        </w:rPr>
        <w:tab/>
        <w:t>Réponse au paragraphe</w:t>
      </w:r>
      <w:r>
        <w:rPr>
          <w:lang w:val="fr-FR"/>
        </w:rPr>
        <w:t> </w:t>
      </w:r>
      <w:r w:rsidRPr="003F0172">
        <w:rPr>
          <w:lang w:val="fr-FR"/>
        </w:rPr>
        <w:t>11 de la liste de points</w:t>
      </w:r>
    </w:p>
    <w:p w14:paraId="02CC2361" w14:textId="60963809"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Le salaire minimum doit être revu régulièrement et ajusté sur la base des lignes directrices relatives à la mise en œuvre des conventions n</w:t>
      </w:r>
      <w:r w:rsidRPr="003F0172">
        <w:rPr>
          <w:vertAlign w:val="superscript"/>
          <w:lang w:val="fr-FR"/>
        </w:rPr>
        <w:t>o</w:t>
      </w:r>
      <w:r>
        <w:rPr>
          <w:lang w:val="fr-FR"/>
        </w:rPr>
        <w:t> </w:t>
      </w:r>
      <w:r w:rsidRPr="003F0172">
        <w:rPr>
          <w:lang w:val="fr-FR"/>
        </w:rPr>
        <w:t>26 et n</w:t>
      </w:r>
      <w:r w:rsidRPr="003F0172">
        <w:rPr>
          <w:vertAlign w:val="superscript"/>
          <w:lang w:val="fr-FR"/>
        </w:rPr>
        <w:t>o</w:t>
      </w:r>
      <w:r w:rsidRPr="003F0172">
        <w:rPr>
          <w:lang w:val="fr-FR"/>
        </w:rPr>
        <w:t> 131 de l</w:t>
      </w:r>
      <w:r>
        <w:rPr>
          <w:lang w:val="fr-FR"/>
        </w:rPr>
        <w:t>’</w:t>
      </w:r>
      <w:r w:rsidRPr="003F0172">
        <w:rPr>
          <w:lang w:val="fr-FR"/>
        </w:rPr>
        <w:t xml:space="preserve">Organisation internationale du </w:t>
      </w:r>
      <w:r w:rsidR="00112C5A">
        <w:rPr>
          <w:lang w:val="fr-FR"/>
        </w:rPr>
        <w:t>T</w:t>
      </w:r>
      <w:r w:rsidRPr="003F0172">
        <w:rPr>
          <w:lang w:val="fr-FR"/>
        </w:rPr>
        <w:t>ravail (OIT) sur les salaires minima. Les politiques relatives aux salaires et aux revenus sont particulièrement importantes en période de crise économique. L</w:t>
      </w:r>
      <w:r>
        <w:rPr>
          <w:lang w:val="fr-FR"/>
        </w:rPr>
        <w:t>’</w:t>
      </w:r>
      <w:r w:rsidRPr="003F0172">
        <w:rPr>
          <w:lang w:val="fr-FR"/>
        </w:rPr>
        <w:t>OIT fournit depuis 2011 des conseils concernant les politiques à adopter pour atténuer l</w:t>
      </w:r>
      <w:r>
        <w:rPr>
          <w:lang w:val="fr-FR"/>
        </w:rPr>
        <w:t>’</w:t>
      </w:r>
      <w:r w:rsidRPr="003F0172">
        <w:rPr>
          <w:lang w:val="fr-FR"/>
        </w:rPr>
        <w:t>incidence de la crise économique mondiale en Albanie. Il pourrait être utile de mener un examen tripartite pour déterminer comment un fonds de garantie des salaires peut contribuer à la réduction des arriérés de salaire et limiter leurs effets sociaux délétères. L</w:t>
      </w:r>
      <w:r>
        <w:rPr>
          <w:lang w:val="fr-FR"/>
        </w:rPr>
        <w:t>’</w:t>
      </w:r>
      <w:r w:rsidRPr="003F0172">
        <w:rPr>
          <w:lang w:val="fr-FR"/>
        </w:rPr>
        <w:t>OIT apportera un appui technique à la mise en œuvre effective de la Convention</w:t>
      </w:r>
      <w:r>
        <w:rPr>
          <w:lang w:val="fr-FR"/>
        </w:rPr>
        <w:t xml:space="preserve"> de 1992</w:t>
      </w:r>
      <w:r w:rsidRPr="003F0172">
        <w:rPr>
          <w:lang w:val="fr-FR"/>
        </w:rPr>
        <w:t xml:space="preserve"> sur la protection des créances des travailleurs en cas d</w:t>
      </w:r>
      <w:r>
        <w:rPr>
          <w:lang w:val="fr-FR"/>
        </w:rPr>
        <w:t>’</w:t>
      </w:r>
      <w:r w:rsidRPr="003F0172">
        <w:rPr>
          <w:lang w:val="fr-FR"/>
        </w:rPr>
        <w:t>insolvabilité de leur employeur</w:t>
      </w:r>
      <w:r>
        <w:rPr>
          <w:lang w:val="fr-FR"/>
        </w:rPr>
        <w:t xml:space="preserve"> </w:t>
      </w:r>
      <w:r w:rsidRPr="003F0172">
        <w:rPr>
          <w:lang w:val="fr-FR"/>
        </w:rPr>
        <w:t>(n</w:t>
      </w:r>
      <w:r w:rsidRPr="00E803DA">
        <w:rPr>
          <w:vertAlign w:val="superscript"/>
          <w:lang w:val="fr-FR"/>
        </w:rPr>
        <w:t>o</w:t>
      </w:r>
      <w:r>
        <w:rPr>
          <w:lang w:val="fr-FR"/>
        </w:rPr>
        <w:t> </w:t>
      </w:r>
      <w:r w:rsidRPr="003F0172">
        <w:rPr>
          <w:lang w:val="fr-FR"/>
        </w:rPr>
        <w:t>173) et, à terme, à son acceptation.</w:t>
      </w:r>
    </w:p>
    <w:p w14:paraId="6C75FEE0" w14:textId="777777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À propos du salaire minimum :</w:t>
      </w:r>
    </w:p>
    <w:p w14:paraId="05BFD1E4" w14:textId="3D0197E5" w:rsidR="0078583E" w:rsidRPr="003F0172" w:rsidRDefault="0078583E" w:rsidP="00112C5A">
      <w:pPr>
        <w:pStyle w:val="SingleTxtG"/>
        <w:tabs>
          <w:tab w:val="clear" w:pos="1701"/>
          <w:tab w:val="clear" w:pos="2268"/>
          <w:tab w:val="clear" w:pos="2835"/>
          <w:tab w:val="left" w:pos="567"/>
        </w:tabs>
        <w:ind w:firstLine="567"/>
        <w:rPr>
          <w:lang w:val="fr-FR"/>
        </w:rPr>
      </w:pPr>
      <w:r w:rsidRPr="003F0172">
        <w:rPr>
          <w:lang w:val="fr-FR"/>
        </w:rPr>
        <w:t>Article</w:t>
      </w:r>
      <w:r>
        <w:rPr>
          <w:lang w:val="fr-FR"/>
        </w:rPr>
        <w:t> </w:t>
      </w:r>
      <w:r w:rsidRPr="003F0172">
        <w:rPr>
          <w:lang w:val="fr-FR"/>
        </w:rPr>
        <w:t>111 (modifié par la loi n</w:t>
      </w:r>
      <w:r w:rsidRPr="003F0172">
        <w:rPr>
          <w:vertAlign w:val="superscript"/>
          <w:lang w:val="fr-FR"/>
        </w:rPr>
        <w:t>o</w:t>
      </w:r>
      <w:r w:rsidR="00112C5A">
        <w:rPr>
          <w:lang w:val="fr-FR"/>
        </w:rPr>
        <w:t> </w:t>
      </w:r>
      <w:r w:rsidRPr="003F0172">
        <w:rPr>
          <w:lang w:val="fr-FR"/>
        </w:rPr>
        <w:t>136/2015 du 5</w:t>
      </w:r>
      <w:r>
        <w:rPr>
          <w:lang w:val="fr-FR"/>
        </w:rPr>
        <w:t> </w:t>
      </w:r>
      <w:r w:rsidRPr="003F0172">
        <w:rPr>
          <w:lang w:val="fr-FR"/>
        </w:rPr>
        <w:t>décembre 2015, art</w:t>
      </w:r>
      <w:r w:rsidR="00112C5A">
        <w:rPr>
          <w:lang w:val="fr-FR"/>
        </w:rPr>
        <w:t>.</w:t>
      </w:r>
      <w:r>
        <w:rPr>
          <w:lang w:val="fr-FR"/>
        </w:rPr>
        <w:t> </w:t>
      </w:r>
      <w:r w:rsidRPr="003F0172">
        <w:rPr>
          <w:lang w:val="fr-FR"/>
        </w:rPr>
        <w:t>51) :</w:t>
      </w:r>
    </w:p>
    <w:p w14:paraId="2AE3BB45" w14:textId="7309005C" w:rsidR="0078583E" w:rsidRPr="003F0172" w:rsidRDefault="0078583E" w:rsidP="00887156">
      <w:pPr>
        <w:pStyle w:val="Bullet1G"/>
        <w:rPr>
          <w:lang w:val="fr-FR"/>
        </w:rPr>
      </w:pPr>
      <w:r w:rsidRPr="003F0172">
        <w:rPr>
          <w:lang w:val="fr-FR"/>
        </w:rPr>
        <w:t xml:space="preserve">Le salaire </w:t>
      </w:r>
      <w:r w:rsidRPr="00887156">
        <w:t>ne</w:t>
      </w:r>
      <w:r w:rsidRPr="003F0172">
        <w:rPr>
          <w:lang w:val="fr-FR"/>
        </w:rPr>
        <w:t xml:space="preserve"> peut pas être inférieur au salaire minimum défini par la décision du Conseil </w:t>
      </w:r>
      <w:r w:rsidRPr="00887156">
        <w:t>des</w:t>
      </w:r>
      <w:r w:rsidRPr="003F0172">
        <w:rPr>
          <w:lang w:val="fr-FR"/>
        </w:rPr>
        <w:t xml:space="preserve"> ministres</w:t>
      </w:r>
      <w:r w:rsidR="00112C5A">
        <w:rPr>
          <w:lang w:val="fr-FR"/>
        </w:rPr>
        <w:t> ;</w:t>
      </w:r>
    </w:p>
    <w:p w14:paraId="7D941CAE" w14:textId="77777777" w:rsidR="0078583E" w:rsidRPr="003F0172" w:rsidRDefault="0078583E" w:rsidP="00887156">
      <w:pPr>
        <w:pStyle w:val="Bullet1G"/>
        <w:rPr>
          <w:lang w:val="fr-FR"/>
        </w:rPr>
      </w:pPr>
      <w:r w:rsidRPr="003F0172">
        <w:rPr>
          <w:lang w:val="fr-FR"/>
        </w:rPr>
        <w:t xml:space="preserve">Le salaire </w:t>
      </w:r>
      <w:r w:rsidRPr="00887156">
        <w:t>minimum</w:t>
      </w:r>
      <w:r w:rsidRPr="003F0172">
        <w:rPr>
          <w:lang w:val="fr-FR"/>
        </w:rPr>
        <w:t xml:space="preserve"> </w:t>
      </w:r>
      <w:r w:rsidRPr="00887156">
        <w:t>doit</w:t>
      </w:r>
      <w:r w:rsidRPr="003F0172">
        <w:rPr>
          <w:lang w:val="fr-FR"/>
        </w:rPr>
        <w:t xml:space="preserve"> être défini en fonction des critères suivants :</w:t>
      </w:r>
    </w:p>
    <w:p w14:paraId="361D3E84" w14:textId="77777777" w:rsidR="0078583E" w:rsidRPr="00887156" w:rsidRDefault="0078583E" w:rsidP="00887156">
      <w:pPr>
        <w:pStyle w:val="Bullet2G"/>
      </w:pPr>
      <w:r w:rsidRPr="003F0172">
        <w:rPr>
          <w:lang w:val="fr-FR"/>
        </w:rPr>
        <w:t xml:space="preserve">Les </w:t>
      </w:r>
      <w:r w:rsidRPr="00887156">
        <w:t>facteurs économiques et les exigences du développement économique, de la baisse du chômage et de l’augmentation de la production ;</w:t>
      </w:r>
    </w:p>
    <w:p w14:paraId="1AF418CF" w14:textId="348230B1" w:rsidR="0078583E" w:rsidRPr="003F0172" w:rsidRDefault="0078583E" w:rsidP="00887156">
      <w:pPr>
        <w:pStyle w:val="Bullet2G"/>
        <w:rPr>
          <w:lang w:val="fr-FR"/>
        </w:rPr>
      </w:pPr>
      <w:r w:rsidRPr="00887156">
        <w:t>Les besoins des travailleurs et de leur famille, compte tenu du niveau de vie général</w:t>
      </w:r>
      <w:r w:rsidRPr="003F0172">
        <w:rPr>
          <w:lang w:val="fr-FR"/>
        </w:rPr>
        <w:t xml:space="preserve"> des travailleurs dans le pays, des revenus provenant des prestations d</w:t>
      </w:r>
      <w:r>
        <w:rPr>
          <w:lang w:val="fr-FR"/>
        </w:rPr>
        <w:t>’</w:t>
      </w:r>
      <w:r w:rsidRPr="003F0172">
        <w:rPr>
          <w:lang w:val="fr-FR"/>
        </w:rPr>
        <w:t>assurance sociale et du niveau de vie des différents groupes sociaux</w:t>
      </w:r>
      <w:r w:rsidR="00112C5A">
        <w:rPr>
          <w:lang w:val="fr-FR"/>
        </w:rPr>
        <w:t> ;</w:t>
      </w:r>
    </w:p>
    <w:p w14:paraId="21688249" w14:textId="77777777" w:rsidR="0078583E" w:rsidRPr="00820E13" w:rsidRDefault="0078583E" w:rsidP="00887156">
      <w:pPr>
        <w:pStyle w:val="Bullet1G"/>
        <w:rPr>
          <w:lang w:val="fr-FR"/>
        </w:rPr>
      </w:pPr>
      <w:r w:rsidRPr="003F0172">
        <w:rPr>
          <w:lang w:val="fr-FR"/>
        </w:rPr>
        <w:t>Le Conseil des ministres</w:t>
      </w:r>
      <w:r>
        <w:rPr>
          <w:lang w:val="fr-FR"/>
        </w:rPr>
        <w:t xml:space="preserve"> peut fixer au niveau national un salaire inférieur au salaire </w:t>
      </w:r>
      <w:r w:rsidRPr="00887156">
        <w:t>minimum</w:t>
      </w:r>
      <w:r>
        <w:rPr>
          <w:lang w:val="fr-FR"/>
        </w:rPr>
        <w:t xml:space="preserve">, applicable en cas d’apprentissage professionnel dans le cadre du système </w:t>
      </w:r>
      <w:r w:rsidRPr="00887156">
        <w:t>éducatif</w:t>
      </w:r>
      <w:r>
        <w:rPr>
          <w:lang w:val="fr-FR"/>
        </w:rPr>
        <w:t xml:space="preserve"> et de formation professionnelle en alternance.</w:t>
      </w:r>
    </w:p>
    <w:p w14:paraId="415AF021" w14:textId="77777777" w:rsidR="0078583E" w:rsidRPr="00820E13" w:rsidRDefault="0078583E" w:rsidP="00EB135E">
      <w:pPr>
        <w:pStyle w:val="H23G"/>
        <w:rPr>
          <w:lang w:val="fr-FR"/>
        </w:rPr>
      </w:pPr>
      <w:r>
        <w:rPr>
          <w:lang w:val="fr-FR"/>
        </w:rPr>
        <w:tab/>
      </w:r>
      <w:r>
        <w:rPr>
          <w:lang w:val="fr-FR"/>
        </w:rPr>
        <w:tab/>
        <w:t>Réponse aux paragraphes 11 et 12 de la liste de points</w:t>
      </w:r>
    </w:p>
    <w:p w14:paraId="58BAF203" w14:textId="3FD0087F" w:rsidR="0078583E" w:rsidRPr="00B367C7" w:rsidRDefault="0078583E" w:rsidP="00A01A74">
      <w:pPr>
        <w:pStyle w:val="SingleTxtG"/>
        <w:numPr>
          <w:ilvl w:val="0"/>
          <w:numId w:val="8"/>
        </w:numPr>
        <w:tabs>
          <w:tab w:val="clear" w:pos="1701"/>
          <w:tab w:val="clear" w:pos="2268"/>
          <w:tab w:val="clear" w:pos="2835"/>
          <w:tab w:val="left" w:pos="567"/>
        </w:tabs>
        <w:suppressAutoHyphens w:val="0"/>
        <w:ind w:left="1134" w:firstLine="0"/>
        <w:rPr>
          <w:spacing w:val="-2"/>
          <w:lang w:val="fr-FR"/>
        </w:rPr>
      </w:pPr>
      <w:r w:rsidRPr="00B367C7">
        <w:rPr>
          <w:spacing w:val="-2"/>
          <w:lang w:val="fr-FR"/>
        </w:rPr>
        <w:t>L’Inspection nationale du travail et des services sociaux publie chaque année sur son site Web (</w:t>
      </w:r>
      <w:hyperlink r:id="rId17" w:history="1">
        <w:r w:rsidR="00112C5A" w:rsidRPr="00B367C7">
          <w:rPr>
            <w:rStyle w:val="Lienhypertexte"/>
            <w:spacing w:val="-2"/>
            <w:lang w:val="fr-FR"/>
          </w:rPr>
          <w:t>www.inspektoriatipunes.gov.al</w:t>
        </w:r>
      </w:hyperlink>
      <w:r w:rsidRPr="00B367C7">
        <w:rPr>
          <w:spacing w:val="-2"/>
          <w:lang w:val="fr-FR"/>
        </w:rPr>
        <w:t>) ses données relatives au travail au regard de la Convention n</w:t>
      </w:r>
      <w:r w:rsidRPr="00B367C7">
        <w:rPr>
          <w:spacing w:val="-2"/>
          <w:vertAlign w:val="superscript"/>
          <w:lang w:val="fr-FR"/>
        </w:rPr>
        <w:t>o</w:t>
      </w:r>
      <w:r w:rsidRPr="00B367C7">
        <w:rPr>
          <w:spacing w:val="-2"/>
          <w:lang w:val="fr-FR"/>
        </w:rPr>
        <w:t xml:space="preserve"> 81. Entre 2019 et 2023, elle a effectué au total 46 203 inspections et ses inspecteurs ont pris les mesures suivantes en réponse à des violations de la législation du </w:t>
      </w:r>
      <w:r w:rsidRPr="00B367C7">
        <w:rPr>
          <w:spacing w:val="-2"/>
          <w:lang w:val="fr-FR"/>
        </w:rPr>
        <w:lastRenderedPageBreak/>
        <w:t>travail : 5 623 avertissements, 627 amendes, 5 290</w:t>
      </w:r>
      <w:r w:rsidR="00112C5A" w:rsidRPr="00B367C7">
        <w:rPr>
          <w:spacing w:val="-2"/>
          <w:lang w:val="fr-FR"/>
        </w:rPr>
        <w:t> </w:t>
      </w:r>
      <w:r w:rsidRPr="00B367C7">
        <w:rPr>
          <w:spacing w:val="-2"/>
          <w:lang w:val="fr-FR"/>
        </w:rPr>
        <w:t>mises à pied (mesures d’urgence prises en lien avec des questions de relations de travail et en cas d’enjeux de sécurité et de santé au travail). On trouvera dans les tableaux ci-dessous les données de ces cinq dernières années concernant les inspections par année, les inspections en cas d’accident et les mesures administratives :</w:t>
      </w:r>
    </w:p>
    <w:tbl>
      <w:tblPr>
        <w:tblW w:w="8504" w:type="dxa"/>
        <w:tblInd w:w="1134" w:type="dxa"/>
        <w:tblLayout w:type="fixed"/>
        <w:tblCellMar>
          <w:left w:w="0" w:type="dxa"/>
          <w:right w:w="0" w:type="dxa"/>
        </w:tblCellMar>
        <w:tblLook w:val="04A0" w:firstRow="1" w:lastRow="0" w:firstColumn="1" w:lastColumn="0" w:noHBand="0" w:noVBand="1"/>
      </w:tblPr>
      <w:tblGrid>
        <w:gridCol w:w="633"/>
        <w:gridCol w:w="991"/>
        <w:gridCol w:w="1308"/>
        <w:gridCol w:w="988"/>
        <w:gridCol w:w="1021"/>
        <w:gridCol w:w="1277"/>
        <w:gridCol w:w="1155"/>
        <w:gridCol w:w="1131"/>
      </w:tblGrid>
      <w:tr w:rsidR="00EB135E" w:rsidRPr="00EB135E" w14:paraId="129388EA" w14:textId="77777777" w:rsidTr="00EB135E">
        <w:trPr>
          <w:tblHeader/>
        </w:trPr>
        <w:tc>
          <w:tcPr>
            <w:tcW w:w="633" w:type="dxa"/>
            <w:tcBorders>
              <w:top w:val="single" w:sz="4" w:space="0" w:color="auto"/>
              <w:bottom w:val="single" w:sz="12" w:space="0" w:color="auto"/>
            </w:tcBorders>
            <w:shd w:val="clear" w:color="auto" w:fill="auto"/>
            <w:vAlign w:val="bottom"/>
            <w:hideMark/>
          </w:tcPr>
          <w:p w14:paraId="16E336A2" w14:textId="77777777" w:rsidR="0078583E" w:rsidRPr="00EB135E" w:rsidRDefault="0078583E" w:rsidP="00EB135E">
            <w:pPr>
              <w:suppressAutoHyphens w:val="0"/>
              <w:spacing w:before="80" w:after="80" w:line="200" w:lineRule="exact"/>
              <w:rPr>
                <w:bCs/>
                <w:i/>
                <w:sz w:val="16"/>
              </w:rPr>
            </w:pPr>
            <w:r w:rsidRPr="00EB135E">
              <w:rPr>
                <w:i/>
                <w:sz w:val="16"/>
                <w:lang w:val="fr-FR"/>
              </w:rPr>
              <w:t>Année</w:t>
            </w:r>
          </w:p>
        </w:tc>
        <w:tc>
          <w:tcPr>
            <w:tcW w:w="991" w:type="dxa"/>
            <w:tcBorders>
              <w:top w:val="single" w:sz="4" w:space="0" w:color="auto"/>
              <w:bottom w:val="single" w:sz="12" w:space="0" w:color="auto"/>
            </w:tcBorders>
            <w:shd w:val="clear" w:color="auto" w:fill="auto"/>
            <w:vAlign w:val="bottom"/>
            <w:hideMark/>
          </w:tcPr>
          <w:p w14:paraId="25B39AA7" w14:textId="77777777" w:rsidR="0078583E" w:rsidRPr="00EB135E" w:rsidRDefault="0078583E" w:rsidP="00EB135E">
            <w:pPr>
              <w:suppressAutoHyphens w:val="0"/>
              <w:spacing w:before="80" w:after="80" w:line="200" w:lineRule="exact"/>
              <w:jc w:val="right"/>
              <w:rPr>
                <w:bCs/>
                <w:i/>
                <w:sz w:val="16"/>
              </w:rPr>
            </w:pPr>
            <w:r w:rsidRPr="00EB135E">
              <w:rPr>
                <w:i/>
                <w:sz w:val="16"/>
                <w:lang w:val="fr-FR"/>
              </w:rPr>
              <w:t>Nombre d’inspections</w:t>
            </w:r>
          </w:p>
        </w:tc>
        <w:tc>
          <w:tcPr>
            <w:tcW w:w="1308" w:type="dxa"/>
            <w:tcBorders>
              <w:top w:val="single" w:sz="4" w:space="0" w:color="auto"/>
              <w:bottom w:val="single" w:sz="12" w:space="0" w:color="auto"/>
            </w:tcBorders>
            <w:shd w:val="clear" w:color="auto" w:fill="auto"/>
            <w:vAlign w:val="bottom"/>
            <w:hideMark/>
          </w:tcPr>
          <w:p w14:paraId="7640BC2D" w14:textId="4ADDCBC8" w:rsidR="0078583E" w:rsidRPr="00EB135E" w:rsidRDefault="0078583E" w:rsidP="00EB135E">
            <w:pPr>
              <w:suppressAutoHyphens w:val="0"/>
              <w:spacing w:before="80" w:after="80" w:line="200" w:lineRule="exact"/>
              <w:jc w:val="right"/>
              <w:rPr>
                <w:i/>
                <w:sz w:val="16"/>
                <w:lang w:val="fr-FR"/>
              </w:rPr>
            </w:pPr>
            <w:r w:rsidRPr="00EB135E">
              <w:rPr>
                <w:i/>
                <w:sz w:val="16"/>
                <w:lang w:val="fr-FR"/>
              </w:rPr>
              <w:t xml:space="preserve">Nombre d’inspections liées </w:t>
            </w:r>
            <w:r w:rsidR="00EB135E">
              <w:rPr>
                <w:i/>
                <w:sz w:val="16"/>
                <w:lang w:val="fr-FR"/>
              </w:rPr>
              <w:br/>
            </w:r>
            <w:r w:rsidRPr="00EB135E">
              <w:rPr>
                <w:i/>
                <w:sz w:val="16"/>
                <w:lang w:val="fr-FR"/>
              </w:rPr>
              <w:t>à des accidents</w:t>
            </w:r>
          </w:p>
        </w:tc>
        <w:tc>
          <w:tcPr>
            <w:tcW w:w="988" w:type="dxa"/>
            <w:tcBorders>
              <w:top w:val="single" w:sz="4" w:space="0" w:color="auto"/>
              <w:bottom w:val="single" w:sz="12" w:space="0" w:color="auto"/>
            </w:tcBorders>
            <w:shd w:val="clear" w:color="auto" w:fill="auto"/>
            <w:vAlign w:val="bottom"/>
            <w:hideMark/>
          </w:tcPr>
          <w:p w14:paraId="2C7FFD70" w14:textId="77777777" w:rsidR="0078583E" w:rsidRPr="00EB135E" w:rsidRDefault="0078583E" w:rsidP="00EB135E">
            <w:pPr>
              <w:suppressAutoHyphens w:val="0"/>
              <w:spacing w:before="80" w:after="80" w:line="200" w:lineRule="exact"/>
              <w:jc w:val="right"/>
              <w:rPr>
                <w:i/>
                <w:sz w:val="16"/>
              </w:rPr>
            </w:pPr>
            <w:r w:rsidRPr="00EB135E">
              <w:rPr>
                <w:i/>
                <w:sz w:val="16"/>
                <w:lang w:val="fr-FR"/>
              </w:rPr>
              <w:t>Nombre de travailleurs blessés</w:t>
            </w:r>
          </w:p>
        </w:tc>
        <w:tc>
          <w:tcPr>
            <w:tcW w:w="1021" w:type="dxa"/>
            <w:tcBorders>
              <w:top w:val="single" w:sz="4" w:space="0" w:color="auto"/>
              <w:bottom w:val="single" w:sz="12" w:space="0" w:color="auto"/>
            </w:tcBorders>
            <w:shd w:val="clear" w:color="auto" w:fill="auto"/>
            <w:vAlign w:val="bottom"/>
            <w:hideMark/>
          </w:tcPr>
          <w:p w14:paraId="452A8B87" w14:textId="57DBBF78" w:rsidR="0078583E" w:rsidRPr="00EB135E" w:rsidRDefault="0078583E" w:rsidP="00EB135E">
            <w:pPr>
              <w:suppressAutoHyphens w:val="0"/>
              <w:spacing w:before="80" w:after="80" w:line="200" w:lineRule="exact"/>
              <w:jc w:val="right"/>
              <w:rPr>
                <w:i/>
                <w:sz w:val="16"/>
              </w:rPr>
            </w:pPr>
            <w:r w:rsidRPr="00EB135E">
              <w:rPr>
                <w:i/>
                <w:sz w:val="16"/>
                <w:lang w:val="fr-FR"/>
              </w:rPr>
              <w:t>Nombre de travailleurs décédés</w:t>
            </w:r>
          </w:p>
        </w:tc>
        <w:tc>
          <w:tcPr>
            <w:tcW w:w="1277" w:type="dxa"/>
            <w:tcBorders>
              <w:top w:val="single" w:sz="4" w:space="0" w:color="auto"/>
              <w:bottom w:val="single" w:sz="12" w:space="0" w:color="auto"/>
            </w:tcBorders>
            <w:shd w:val="clear" w:color="auto" w:fill="auto"/>
            <w:vAlign w:val="bottom"/>
            <w:hideMark/>
          </w:tcPr>
          <w:p w14:paraId="0C378BB8" w14:textId="43BBD1A6" w:rsidR="0078583E" w:rsidRPr="00EB135E" w:rsidRDefault="0078583E" w:rsidP="00EB135E">
            <w:pPr>
              <w:suppressAutoHyphens w:val="0"/>
              <w:spacing w:before="80" w:after="80" w:line="200" w:lineRule="exact"/>
              <w:jc w:val="right"/>
              <w:rPr>
                <w:i/>
                <w:sz w:val="16"/>
              </w:rPr>
            </w:pPr>
            <w:r w:rsidRPr="00EB135E">
              <w:rPr>
                <w:i/>
                <w:sz w:val="16"/>
                <w:lang w:val="fr-FR"/>
              </w:rPr>
              <w:t>Mesure urgente/</w:t>
            </w:r>
            <w:r w:rsidR="00EB135E">
              <w:rPr>
                <w:i/>
                <w:sz w:val="16"/>
                <w:lang w:val="fr-FR"/>
              </w:rPr>
              <w:br/>
            </w:r>
            <w:r w:rsidRPr="00EB135E">
              <w:rPr>
                <w:i/>
                <w:sz w:val="16"/>
                <w:lang w:val="fr-FR"/>
              </w:rPr>
              <w:t>suspension</w:t>
            </w:r>
          </w:p>
        </w:tc>
        <w:tc>
          <w:tcPr>
            <w:tcW w:w="1155" w:type="dxa"/>
            <w:tcBorders>
              <w:top w:val="single" w:sz="4" w:space="0" w:color="auto"/>
              <w:bottom w:val="single" w:sz="12" w:space="0" w:color="auto"/>
            </w:tcBorders>
            <w:shd w:val="clear" w:color="auto" w:fill="auto"/>
            <w:vAlign w:val="bottom"/>
            <w:hideMark/>
          </w:tcPr>
          <w:p w14:paraId="49F7C4DF" w14:textId="77777777" w:rsidR="0078583E" w:rsidRPr="00EB135E" w:rsidRDefault="0078583E" w:rsidP="00EB135E">
            <w:pPr>
              <w:suppressAutoHyphens w:val="0"/>
              <w:spacing w:before="80" w:after="80" w:line="200" w:lineRule="exact"/>
              <w:jc w:val="right"/>
              <w:rPr>
                <w:i/>
                <w:sz w:val="16"/>
              </w:rPr>
            </w:pPr>
            <w:r w:rsidRPr="00EB135E">
              <w:rPr>
                <w:i/>
                <w:sz w:val="16"/>
                <w:lang w:val="fr-FR"/>
              </w:rPr>
              <w:t>Sanction/total</w:t>
            </w:r>
          </w:p>
        </w:tc>
        <w:tc>
          <w:tcPr>
            <w:tcW w:w="1131" w:type="dxa"/>
            <w:tcBorders>
              <w:top w:val="single" w:sz="4" w:space="0" w:color="auto"/>
              <w:bottom w:val="single" w:sz="12" w:space="0" w:color="auto"/>
            </w:tcBorders>
            <w:shd w:val="clear" w:color="auto" w:fill="auto"/>
            <w:vAlign w:val="bottom"/>
            <w:hideMark/>
          </w:tcPr>
          <w:p w14:paraId="41486D3D" w14:textId="7D2D08E9" w:rsidR="0078583E" w:rsidRPr="00EB135E" w:rsidRDefault="0078583E" w:rsidP="00EB135E">
            <w:pPr>
              <w:suppressAutoHyphens w:val="0"/>
              <w:spacing w:before="80" w:after="80" w:line="200" w:lineRule="exact"/>
              <w:jc w:val="right"/>
              <w:rPr>
                <w:i/>
                <w:sz w:val="16"/>
              </w:rPr>
            </w:pPr>
            <w:r w:rsidRPr="00EB135E">
              <w:rPr>
                <w:i/>
                <w:sz w:val="16"/>
                <w:lang w:val="fr-FR"/>
              </w:rPr>
              <w:t>Avertissement/</w:t>
            </w:r>
            <w:r w:rsidR="00EB135E">
              <w:rPr>
                <w:i/>
                <w:sz w:val="16"/>
                <w:lang w:val="fr-FR"/>
              </w:rPr>
              <w:br/>
            </w:r>
            <w:r w:rsidRPr="00EB135E">
              <w:rPr>
                <w:i/>
                <w:sz w:val="16"/>
                <w:lang w:val="fr-FR"/>
              </w:rPr>
              <w:t>total</w:t>
            </w:r>
          </w:p>
        </w:tc>
      </w:tr>
      <w:tr w:rsidR="00EB135E" w:rsidRPr="00EB135E" w14:paraId="496CE64C" w14:textId="77777777" w:rsidTr="00EB135E">
        <w:tc>
          <w:tcPr>
            <w:tcW w:w="633" w:type="dxa"/>
            <w:tcBorders>
              <w:top w:val="single" w:sz="12" w:space="0" w:color="auto"/>
            </w:tcBorders>
            <w:shd w:val="clear" w:color="auto" w:fill="auto"/>
            <w:hideMark/>
          </w:tcPr>
          <w:p w14:paraId="40F844FC" w14:textId="77777777" w:rsidR="0078583E" w:rsidRPr="00EB135E" w:rsidRDefault="0078583E" w:rsidP="00EB135E">
            <w:pPr>
              <w:suppressAutoHyphens w:val="0"/>
              <w:spacing w:before="40" w:after="40" w:line="220" w:lineRule="exact"/>
              <w:rPr>
                <w:sz w:val="18"/>
                <w:szCs w:val="18"/>
              </w:rPr>
            </w:pPr>
            <w:r w:rsidRPr="00EB135E">
              <w:rPr>
                <w:sz w:val="18"/>
                <w:szCs w:val="18"/>
                <w:lang w:val="fr-FR"/>
              </w:rPr>
              <w:t>2019</w:t>
            </w:r>
          </w:p>
        </w:tc>
        <w:tc>
          <w:tcPr>
            <w:tcW w:w="991" w:type="dxa"/>
            <w:tcBorders>
              <w:top w:val="single" w:sz="12" w:space="0" w:color="auto"/>
            </w:tcBorders>
            <w:shd w:val="clear" w:color="auto" w:fill="auto"/>
            <w:vAlign w:val="bottom"/>
            <w:hideMark/>
          </w:tcPr>
          <w:p w14:paraId="0F7B586F"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13 079</w:t>
            </w:r>
          </w:p>
        </w:tc>
        <w:tc>
          <w:tcPr>
            <w:tcW w:w="1308" w:type="dxa"/>
            <w:tcBorders>
              <w:top w:val="single" w:sz="12" w:space="0" w:color="auto"/>
            </w:tcBorders>
            <w:shd w:val="clear" w:color="auto" w:fill="auto"/>
            <w:vAlign w:val="bottom"/>
            <w:hideMark/>
          </w:tcPr>
          <w:p w14:paraId="09FC487C"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197</w:t>
            </w:r>
          </w:p>
        </w:tc>
        <w:tc>
          <w:tcPr>
            <w:tcW w:w="988" w:type="dxa"/>
            <w:tcBorders>
              <w:top w:val="single" w:sz="12" w:space="0" w:color="auto"/>
            </w:tcBorders>
            <w:shd w:val="clear" w:color="auto" w:fill="auto"/>
            <w:vAlign w:val="bottom"/>
            <w:hideMark/>
          </w:tcPr>
          <w:p w14:paraId="2E756C54"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176</w:t>
            </w:r>
          </w:p>
        </w:tc>
        <w:tc>
          <w:tcPr>
            <w:tcW w:w="1021" w:type="dxa"/>
            <w:tcBorders>
              <w:top w:val="single" w:sz="12" w:space="0" w:color="auto"/>
            </w:tcBorders>
            <w:shd w:val="clear" w:color="auto" w:fill="auto"/>
            <w:vAlign w:val="bottom"/>
            <w:hideMark/>
          </w:tcPr>
          <w:p w14:paraId="69C99D97"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38</w:t>
            </w:r>
          </w:p>
        </w:tc>
        <w:tc>
          <w:tcPr>
            <w:tcW w:w="1277" w:type="dxa"/>
            <w:tcBorders>
              <w:top w:val="single" w:sz="12" w:space="0" w:color="auto"/>
            </w:tcBorders>
            <w:shd w:val="clear" w:color="auto" w:fill="auto"/>
            <w:noWrap/>
            <w:vAlign w:val="bottom"/>
            <w:hideMark/>
          </w:tcPr>
          <w:p w14:paraId="76AFAA34"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1 719</w:t>
            </w:r>
          </w:p>
        </w:tc>
        <w:tc>
          <w:tcPr>
            <w:tcW w:w="1155" w:type="dxa"/>
            <w:tcBorders>
              <w:top w:val="single" w:sz="12" w:space="0" w:color="auto"/>
            </w:tcBorders>
            <w:shd w:val="clear" w:color="auto" w:fill="auto"/>
            <w:noWrap/>
            <w:vAlign w:val="bottom"/>
            <w:hideMark/>
          </w:tcPr>
          <w:p w14:paraId="4C2192DD"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157</w:t>
            </w:r>
          </w:p>
        </w:tc>
        <w:tc>
          <w:tcPr>
            <w:tcW w:w="1131" w:type="dxa"/>
            <w:tcBorders>
              <w:top w:val="single" w:sz="12" w:space="0" w:color="auto"/>
            </w:tcBorders>
            <w:shd w:val="clear" w:color="auto" w:fill="auto"/>
            <w:vAlign w:val="bottom"/>
            <w:hideMark/>
          </w:tcPr>
          <w:p w14:paraId="3F0BF96F"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 xml:space="preserve">1 694 </w:t>
            </w:r>
          </w:p>
        </w:tc>
      </w:tr>
      <w:tr w:rsidR="00EB135E" w:rsidRPr="00EB135E" w14:paraId="7E50353F" w14:textId="77777777" w:rsidTr="00EB135E">
        <w:tc>
          <w:tcPr>
            <w:tcW w:w="633" w:type="dxa"/>
            <w:shd w:val="clear" w:color="auto" w:fill="auto"/>
            <w:hideMark/>
          </w:tcPr>
          <w:p w14:paraId="71CBDCAE" w14:textId="77777777" w:rsidR="0078583E" w:rsidRPr="00EB135E" w:rsidRDefault="0078583E" w:rsidP="00EB135E">
            <w:pPr>
              <w:suppressAutoHyphens w:val="0"/>
              <w:spacing w:before="40" w:after="40" w:line="220" w:lineRule="exact"/>
              <w:rPr>
                <w:sz w:val="18"/>
                <w:szCs w:val="18"/>
              </w:rPr>
            </w:pPr>
            <w:r w:rsidRPr="00EB135E">
              <w:rPr>
                <w:sz w:val="18"/>
                <w:szCs w:val="18"/>
                <w:lang w:val="fr-FR"/>
              </w:rPr>
              <w:t>2020</w:t>
            </w:r>
          </w:p>
        </w:tc>
        <w:tc>
          <w:tcPr>
            <w:tcW w:w="991" w:type="dxa"/>
            <w:shd w:val="clear" w:color="auto" w:fill="auto"/>
            <w:vAlign w:val="bottom"/>
            <w:hideMark/>
          </w:tcPr>
          <w:p w14:paraId="34DDEEB5"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5 993</w:t>
            </w:r>
          </w:p>
        </w:tc>
        <w:tc>
          <w:tcPr>
            <w:tcW w:w="1308" w:type="dxa"/>
            <w:shd w:val="clear" w:color="auto" w:fill="auto"/>
            <w:vAlign w:val="bottom"/>
            <w:hideMark/>
          </w:tcPr>
          <w:p w14:paraId="411B5405"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201</w:t>
            </w:r>
          </w:p>
        </w:tc>
        <w:tc>
          <w:tcPr>
            <w:tcW w:w="988" w:type="dxa"/>
            <w:shd w:val="clear" w:color="auto" w:fill="auto"/>
            <w:vAlign w:val="bottom"/>
            <w:hideMark/>
          </w:tcPr>
          <w:p w14:paraId="50731B7B"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182</w:t>
            </w:r>
          </w:p>
        </w:tc>
        <w:tc>
          <w:tcPr>
            <w:tcW w:w="1021" w:type="dxa"/>
            <w:shd w:val="clear" w:color="auto" w:fill="auto"/>
            <w:vAlign w:val="bottom"/>
            <w:hideMark/>
          </w:tcPr>
          <w:p w14:paraId="6AF22B74"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36</w:t>
            </w:r>
          </w:p>
        </w:tc>
        <w:tc>
          <w:tcPr>
            <w:tcW w:w="1277" w:type="dxa"/>
            <w:shd w:val="clear" w:color="auto" w:fill="auto"/>
            <w:vAlign w:val="bottom"/>
            <w:hideMark/>
          </w:tcPr>
          <w:p w14:paraId="6779DEF3"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840</w:t>
            </w:r>
          </w:p>
        </w:tc>
        <w:tc>
          <w:tcPr>
            <w:tcW w:w="1155" w:type="dxa"/>
            <w:shd w:val="clear" w:color="auto" w:fill="auto"/>
            <w:vAlign w:val="bottom"/>
            <w:hideMark/>
          </w:tcPr>
          <w:p w14:paraId="496AFA00"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85</w:t>
            </w:r>
          </w:p>
        </w:tc>
        <w:tc>
          <w:tcPr>
            <w:tcW w:w="1131" w:type="dxa"/>
            <w:shd w:val="clear" w:color="auto" w:fill="auto"/>
            <w:vAlign w:val="bottom"/>
            <w:hideMark/>
          </w:tcPr>
          <w:p w14:paraId="2805B728"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700</w:t>
            </w:r>
          </w:p>
        </w:tc>
      </w:tr>
      <w:tr w:rsidR="00EB135E" w:rsidRPr="00EB135E" w14:paraId="010571F2" w14:textId="77777777" w:rsidTr="00EB135E">
        <w:tc>
          <w:tcPr>
            <w:tcW w:w="633" w:type="dxa"/>
            <w:shd w:val="clear" w:color="auto" w:fill="auto"/>
            <w:hideMark/>
          </w:tcPr>
          <w:p w14:paraId="6617A92C" w14:textId="77777777" w:rsidR="0078583E" w:rsidRPr="00EB135E" w:rsidRDefault="0078583E" w:rsidP="00EB135E">
            <w:pPr>
              <w:suppressAutoHyphens w:val="0"/>
              <w:spacing w:before="40" w:after="40" w:line="220" w:lineRule="exact"/>
              <w:rPr>
                <w:sz w:val="18"/>
                <w:szCs w:val="18"/>
              </w:rPr>
            </w:pPr>
            <w:r w:rsidRPr="00EB135E">
              <w:rPr>
                <w:sz w:val="18"/>
                <w:szCs w:val="18"/>
                <w:lang w:val="fr-FR"/>
              </w:rPr>
              <w:t>2021</w:t>
            </w:r>
          </w:p>
        </w:tc>
        <w:tc>
          <w:tcPr>
            <w:tcW w:w="991" w:type="dxa"/>
            <w:shd w:val="clear" w:color="auto" w:fill="auto"/>
            <w:noWrap/>
            <w:vAlign w:val="bottom"/>
            <w:hideMark/>
          </w:tcPr>
          <w:p w14:paraId="34C1DD6B"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7 039</w:t>
            </w:r>
          </w:p>
        </w:tc>
        <w:tc>
          <w:tcPr>
            <w:tcW w:w="1308" w:type="dxa"/>
            <w:shd w:val="clear" w:color="auto" w:fill="auto"/>
            <w:vAlign w:val="bottom"/>
            <w:hideMark/>
          </w:tcPr>
          <w:p w14:paraId="0C5822F2"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207</w:t>
            </w:r>
          </w:p>
        </w:tc>
        <w:tc>
          <w:tcPr>
            <w:tcW w:w="988" w:type="dxa"/>
            <w:shd w:val="clear" w:color="auto" w:fill="auto"/>
            <w:vAlign w:val="bottom"/>
            <w:hideMark/>
          </w:tcPr>
          <w:p w14:paraId="2C4165EC"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187</w:t>
            </w:r>
          </w:p>
        </w:tc>
        <w:tc>
          <w:tcPr>
            <w:tcW w:w="1021" w:type="dxa"/>
            <w:shd w:val="clear" w:color="auto" w:fill="auto"/>
            <w:vAlign w:val="bottom"/>
            <w:hideMark/>
          </w:tcPr>
          <w:p w14:paraId="63EFD790"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31</w:t>
            </w:r>
          </w:p>
        </w:tc>
        <w:tc>
          <w:tcPr>
            <w:tcW w:w="1277" w:type="dxa"/>
            <w:shd w:val="clear" w:color="auto" w:fill="auto"/>
            <w:vAlign w:val="bottom"/>
            <w:hideMark/>
          </w:tcPr>
          <w:p w14:paraId="032D9E6F"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578</w:t>
            </w:r>
          </w:p>
        </w:tc>
        <w:tc>
          <w:tcPr>
            <w:tcW w:w="1155" w:type="dxa"/>
            <w:shd w:val="clear" w:color="auto" w:fill="auto"/>
            <w:vAlign w:val="bottom"/>
            <w:hideMark/>
          </w:tcPr>
          <w:p w14:paraId="0823CA1D"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102</w:t>
            </w:r>
          </w:p>
        </w:tc>
        <w:tc>
          <w:tcPr>
            <w:tcW w:w="1131" w:type="dxa"/>
            <w:shd w:val="clear" w:color="auto" w:fill="auto"/>
            <w:vAlign w:val="bottom"/>
            <w:hideMark/>
          </w:tcPr>
          <w:p w14:paraId="600D8072"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760</w:t>
            </w:r>
          </w:p>
        </w:tc>
      </w:tr>
      <w:tr w:rsidR="00EB135E" w:rsidRPr="00EB135E" w14:paraId="5610886D" w14:textId="77777777" w:rsidTr="00EB135E">
        <w:tc>
          <w:tcPr>
            <w:tcW w:w="633" w:type="dxa"/>
            <w:shd w:val="clear" w:color="auto" w:fill="auto"/>
            <w:hideMark/>
          </w:tcPr>
          <w:p w14:paraId="48F1019E" w14:textId="77777777" w:rsidR="0078583E" w:rsidRPr="00EB135E" w:rsidRDefault="0078583E" w:rsidP="00EB135E">
            <w:pPr>
              <w:suppressAutoHyphens w:val="0"/>
              <w:spacing w:before="40" w:after="40" w:line="220" w:lineRule="exact"/>
              <w:rPr>
                <w:sz w:val="18"/>
                <w:szCs w:val="18"/>
              </w:rPr>
            </w:pPr>
            <w:r w:rsidRPr="00EB135E">
              <w:rPr>
                <w:sz w:val="18"/>
                <w:szCs w:val="18"/>
                <w:lang w:val="fr-FR"/>
              </w:rPr>
              <w:t>2022</w:t>
            </w:r>
          </w:p>
        </w:tc>
        <w:tc>
          <w:tcPr>
            <w:tcW w:w="991" w:type="dxa"/>
            <w:shd w:val="clear" w:color="auto" w:fill="auto"/>
            <w:noWrap/>
            <w:vAlign w:val="bottom"/>
            <w:hideMark/>
          </w:tcPr>
          <w:p w14:paraId="60D7E6C9"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10 154</w:t>
            </w:r>
          </w:p>
        </w:tc>
        <w:tc>
          <w:tcPr>
            <w:tcW w:w="1308" w:type="dxa"/>
            <w:shd w:val="clear" w:color="auto" w:fill="auto"/>
            <w:vAlign w:val="bottom"/>
            <w:hideMark/>
          </w:tcPr>
          <w:p w14:paraId="55BD90E6"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208</w:t>
            </w:r>
          </w:p>
        </w:tc>
        <w:tc>
          <w:tcPr>
            <w:tcW w:w="988" w:type="dxa"/>
            <w:shd w:val="clear" w:color="auto" w:fill="auto"/>
            <w:vAlign w:val="bottom"/>
            <w:hideMark/>
          </w:tcPr>
          <w:p w14:paraId="646CA643"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184</w:t>
            </w:r>
          </w:p>
        </w:tc>
        <w:tc>
          <w:tcPr>
            <w:tcW w:w="1021" w:type="dxa"/>
            <w:shd w:val="clear" w:color="auto" w:fill="auto"/>
            <w:vAlign w:val="bottom"/>
            <w:hideMark/>
          </w:tcPr>
          <w:p w14:paraId="373348F5"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32</w:t>
            </w:r>
          </w:p>
        </w:tc>
        <w:tc>
          <w:tcPr>
            <w:tcW w:w="1277" w:type="dxa"/>
            <w:shd w:val="clear" w:color="auto" w:fill="auto"/>
            <w:vAlign w:val="bottom"/>
            <w:hideMark/>
          </w:tcPr>
          <w:p w14:paraId="4582B911"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1 038</w:t>
            </w:r>
          </w:p>
        </w:tc>
        <w:tc>
          <w:tcPr>
            <w:tcW w:w="1155" w:type="dxa"/>
            <w:shd w:val="clear" w:color="auto" w:fill="auto"/>
            <w:vAlign w:val="bottom"/>
            <w:hideMark/>
          </w:tcPr>
          <w:p w14:paraId="4302A7C1"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135</w:t>
            </w:r>
          </w:p>
        </w:tc>
        <w:tc>
          <w:tcPr>
            <w:tcW w:w="1131" w:type="dxa"/>
            <w:shd w:val="clear" w:color="auto" w:fill="auto"/>
            <w:vAlign w:val="bottom"/>
            <w:hideMark/>
          </w:tcPr>
          <w:p w14:paraId="57EA6423"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1 226</w:t>
            </w:r>
          </w:p>
        </w:tc>
      </w:tr>
      <w:tr w:rsidR="00EB135E" w:rsidRPr="00EB135E" w14:paraId="4296C6DD" w14:textId="77777777" w:rsidTr="00EB135E">
        <w:tc>
          <w:tcPr>
            <w:tcW w:w="633" w:type="dxa"/>
            <w:tcBorders>
              <w:bottom w:val="single" w:sz="12" w:space="0" w:color="auto"/>
            </w:tcBorders>
            <w:shd w:val="clear" w:color="auto" w:fill="auto"/>
            <w:hideMark/>
          </w:tcPr>
          <w:p w14:paraId="534EA526" w14:textId="77777777" w:rsidR="0078583E" w:rsidRPr="00EB135E" w:rsidRDefault="0078583E" w:rsidP="00EB135E">
            <w:pPr>
              <w:suppressAutoHyphens w:val="0"/>
              <w:spacing w:before="40" w:after="40" w:line="220" w:lineRule="exact"/>
              <w:rPr>
                <w:sz w:val="18"/>
                <w:szCs w:val="18"/>
              </w:rPr>
            </w:pPr>
            <w:r w:rsidRPr="00EB135E">
              <w:rPr>
                <w:sz w:val="18"/>
                <w:szCs w:val="18"/>
                <w:lang w:val="fr-FR"/>
              </w:rPr>
              <w:t>2023</w:t>
            </w:r>
          </w:p>
        </w:tc>
        <w:tc>
          <w:tcPr>
            <w:tcW w:w="991" w:type="dxa"/>
            <w:tcBorders>
              <w:bottom w:val="single" w:sz="12" w:space="0" w:color="auto"/>
            </w:tcBorders>
            <w:shd w:val="clear" w:color="auto" w:fill="auto"/>
            <w:vAlign w:val="bottom"/>
            <w:hideMark/>
          </w:tcPr>
          <w:p w14:paraId="0B227DB2"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9 938</w:t>
            </w:r>
          </w:p>
        </w:tc>
        <w:tc>
          <w:tcPr>
            <w:tcW w:w="1308" w:type="dxa"/>
            <w:tcBorders>
              <w:bottom w:val="single" w:sz="12" w:space="0" w:color="auto"/>
            </w:tcBorders>
            <w:shd w:val="clear" w:color="auto" w:fill="auto"/>
            <w:vAlign w:val="bottom"/>
            <w:hideMark/>
          </w:tcPr>
          <w:p w14:paraId="453CD5CD"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218</w:t>
            </w:r>
          </w:p>
        </w:tc>
        <w:tc>
          <w:tcPr>
            <w:tcW w:w="988" w:type="dxa"/>
            <w:tcBorders>
              <w:bottom w:val="single" w:sz="12" w:space="0" w:color="auto"/>
            </w:tcBorders>
            <w:shd w:val="clear" w:color="auto" w:fill="auto"/>
            <w:vAlign w:val="bottom"/>
            <w:hideMark/>
          </w:tcPr>
          <w:p w14:paraId="49E305E5"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168</w:t>
            </w:r>
          </w:p>
        </w:tc>
        <w:tc>
          <w:tcPr>
            <w:tcW w:w="1021" w:type="dxa"/>
            <w:tcBorders>
              <w:bottom w:val="single" w:sz="12" w:space="0" w:color="auto"/>
            </w:tcBorders>
            <w:shd w:val="clear" w:color="auto" w:fill="auto"/>
            <w:vAlign w:val="bottom"/>
            <w:hideMark/>
          </w:tcPr>
          <w:p w14:paraId="2565F5AA"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30</w:t>
            </w:r>
          </w:p>
        </w:tc>
        <w:tc>
          <w:tcPr>
            <w:tcW w:w="1277" w:type="dxa"/>
            <w:tcBorders>
              <w:bottom w:val="single" w:sz="12" w:space="0" w:color="auto"/>
            </w:tcBorders>
            <w:shd w:val="clear" w:color="auto" w:fill="auto"/>
            <w:noWrap/>
            <w:vAlign w:val="bottom"/>
            <w:hideMark/>
          </w:tcPr>
          <w:p w14:paraId="538E3B92"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1 115</w:t>
            </w:r>
          </w:p>
        </w:tc>
        <w:tc>
          <w:tcPr>
            <w:tcW w:w="1155" w:type="dxa"/>
            <w:tcBorders>
              <w:bottom w:val="single" w:sz="12" w:space="0" w:color="auto"/>
            </w:tcBorders>
            <w:shd w:val="clear" w:color="auto" w:fill="auto"/>
            <w:noWrap/>
            <w:vAlign w:val="bottom"/>
            <w:hideMark/>
          </w:tcPr>
          <w:p w14:paraId="12902E74"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148</w:t>
            </w:r>
          </w:p>
        </w:tc>
        <w:tc>
          <w:tcPr>
            <w:tcW w:w="1131" w:type="dxa"/>
            <w:tcBorders>
              <w:bottom w:val="single" w:sz="12" w:space="0" w:color="auto"/>
            </w:tcBorders>
            <w:shd w:val="clear" w:color="auto" w:fill="auto"/>
            <w:vAlign w:val="bottom"/>
            <w:hideMark/>
          </w:tcPr>
          <w:p w14:paraId="4052C686" w14:textId="77777777" w:rsidR="0078583E" w:rsidRPr="00EB135E" w:rsidRDefault="0078583E" w:rsidP="00EB135E">
            <w:pPr>
              <w:suppressAutoHyphens w:val="0"/>
              <w:spacing w:before="40" w:after="40" w:line="220" w:lineRule="exact"/>
              <w:jc w:val="right"/>
              <w:rPr>
                <w:sz w:val="18"/>
                <w:szCs w:val="18"/>
              </w:rPr>
            </w:pPr>
            <w:r w:rsidRPr="00EB135E">
              <w:rPr>
                <w:sz w:val="18"/>
                <w:szCs w:val="18"/>
                <w:lang w:val="fr-FR"/>
              </w:rPr>
              <w:t>1 243</w:t>
            </w:r>
          </w:p>
        </w:tc>
      </w:tr>
    </w:tbl>
    <w:p w14:paraId="2D57F15D" w14:textId="77777777" w:rsidR="0078583E" w:rsidRPr="00D42D93" w:rsidRDefault="0078583E" w:rsidP="00B367C7">
      <w:pPr>
        <w:pStyle w:val="SingleTxtG"/>
        <w:tabs>
          <w:tab w:val="clear" w:pos="1701"/>
          <w:tab w:val="clear" w:pos="2268"/>
          <w:tab w:val="clear" w:pos="2835"/>
          <w:tab w:val="left" w:pos="567"/>
        </w:tabs>
        <w:suppressAutoHyphens w:val="0"/>
        <w:spacing w:line="240" w:lineRule="auto"/>
        <w:ind w:left="0"/>
        <w:rPr>
          <w:lang w:val="en-US"/>
        </w:rPr>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708"/>
        <w:gridCol w:w="851"/>
        <w:gridCol w:w="850"/>
        <w:gridCol w:w="709"/>
        <w:gridCol w:w="851"/>
        <w:gridCol w:w="850"/>
        <w:gridCol w:w="851"/>
        <w:gridCol w:w="850"/>
        <w:gridCol w:w="816"/>
        <w:gridCol w:w="743"/>
      </w:tblGrid>
      <w:tr w:rsidR="0078583E" w:rsidRPr="00EB135E" w14:paraId="4B9FAA63" w14:textId="77777777" w:rsidTr="00EB135E">
        <w:trPr>
          <w:tblHeader/>
        </w:trPr>
        <w:tc>
          <w:tcPr>
            <w:tcW w:w="1560" w:type="dxa"/>
            <w:vMerge w:val="restart"/>
            <w:tcBorders>
              <w:top w:val="single" w:sz="4" w:space="0" w:color="auto"/>
              <w:bottom w:val="single" w:sz="12" w:space="0" w:color="auto"/>
            </w:tcBorders>
            <w:shd w:val="clear" w:color="auto" w:fill="auto"/>
            <w:vAlign w:val="bottom"/>
            <w:hideMark/>
          </w:tcPr>
          <w:p w14:paraId="21D357E6" w14:textId="244D355D" w:rsidR="0078583E" w:rsidRPr="00C92122" w:rsidRDefault="0078583E" w:rsidP="00EB135E">
            <w:pPr>
              <w:tabs>
                <w:tab w:val="left" w:pos="567"/>
              </w:tabs>
              <w:suppressAutoHyphens w:val="0"/>
              <w:spacing w:before="80" w:after="80" w:line="200" w:lineRule="exact"/>
              <w:rPr>
                <w:bCs/>
                <w:i/>
                <w:sz w:val="16"/>
                <w:szCs w:val="16"/>
              </w:rPr>
            </w:pPr>
          </w:p>
        </w:tc>
        <w:tc>
          <w:tcPr>
            <w:tcW w:w="1559"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43DFE799" w14:textId="77777777" w:rsidR="0078583E" w:rsidRPr="00EB135E" w:rsidRDefault="0078583E" w:rsidP="00EB135E">
            <w:pPr>
              <w:tabs>
                <w:tab w:val="left" w:pos="567"/>
              </w:tabs>
              <w:suppressAutoHyphens w:val="0"/>
              <w:spacing w:before="80" w:after="80" w:line="200" w:lineRule="exact"/>
              <w:jc w:val="center"/>
              <w:rPr>
                <w:bCs/>
                <w:i/>
                <w:sz w:val="16"/>
                <w:szCs w:val="16"/>
              </w:rPr>
            </w:pPr>
            <w:r w:rsidRPr="00EB135E">
              <w:rPr>
                <w:i/>
                <w:iCs/>
                <w:sz w:val="16"/>
                <w:szCs w:val="16"/>
                <w:lang w:val="fr-FR"/>
              </w:rPr>
              <w:t>2019</w:t>
            </w:r>
          </w:p>
        </w:tc>
        <w:tc>
          <w:tcPr>
            <w:tcW w:w="155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7FC4B8A3" w14:textId="77777777" w:rsidR="0078583E" w:rsidRPr="00EB135E" w:rsidRDefault="0078583E" w:rsidP="00EB135E">
            <w:pPr>
              <w:tabs>
                <w:tab w:val="left" w:pos="567"/>
              </w:tabs>
              <w:suppressAutoHyphens w:val="0"/>
              <w:spacing w:before="80" w:after="80" w:line="200" w:lineRule="exact"/>
              <w:jc w:val="center"/>
              <w:rPr>
                <w:bCs/>
                <w:i/>
                <w:sz w:val="16"/>
                <w:szCs w:val="16"/>
              </w:rPr>
            </w:pPr>
            <w:r w:rsidRPr="00EB135E">
              <w:rPr>
                <w:i/>
                <w:iCs/>
                <w:sz w:val="16"/>
                <w:szCs w:val="16"/>
                <w:lang w:val="fr-FR"/>
              </w:rPr>
              <w:t>2020</w:t>
            </w:r>
          </w:p>
        </w:tc>
        <w:tc>
          <w:tcPr>
            <w:tcW w:w="170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38EC402C" w14:textId="77777777" w:rsidR="0078583E" w:rsidRPr="00EB135E" w:rsidRDefault="0078583E" w:rsidP="00EB135E">
            <w:pPr>
              <w:tabs>
                <w:tab w:val="left" w:pos="567"/>
              </w:tabs>
              <w:suppressAutoHyphens w:val="0"/>
              <w:spacing w:before="80" w:after="80" w:line="200" w:lineRule="exact"/>
              <w:jc w:val="center"/>
              <w:rPr>
                <w:bCs/>
                <w:i/>
                <w:sz w:val="16"/>
                <w:szCs w:val="16"/>
              </w:rPr>
            </w:pPr>
            <w:r w:rsidRPr="00EB135E">
              <w:rPr>
                <w:i/>
                <w:iCs/>
                <w:sz w:val="16"/>
                <w:szCs w:val="16"/>
                <w:lang w:val="fr-FR"/>
              </w:rPr>
              <w:t>2021</w:t>
            </w:r>
          </w:p>
        </w:tc>
        <w:tc>
          <w:tcPr>
            <w:tcW w:w="170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5A66B4AB" w14:textId="77777777" w:rsidR="0078583E" w:rsidRPr="00EB135E" w:rsidRDefault="0078583E" w:rsidP="00EB135E">
            <w:pPr>
              <w:tabs>
                <w:tab w:val="left" w:pos="567"/>
              </w:tabs>
              <w:suppressAutoHyphens w:val="0"/>
              <w:spacing w:before="80" w:after="80" w:line="200" w:lineRule="exact"/>
              <w:jc w:val="center"/>
              <w:rPr>
                <w:bCs/>
                <w:i/>
                <w:sz w:val="16"/>
                <w:szCs w:val="16"/>
              </w:rPr>
            </w:pPr>
            <w:r w:rsidRPr="00EB135E">
              <w:rPr>
                <w:i/>
                <w:iCs/>
                <w:sz w:val="16"/>
                <w:szCs w:val="16"/>
                <w:lang w:val="fr-FR"/>
              </w:rPr>
              <w:t>2022</w:t>
            </w:r>
          </w:p>
        </w:tc>
        <w:tc>
          <w:tcPr>
            <w:tcW w:w="1559" w:type="dxa"/>
            <w:gridSpan w:val="2"/>
            <w:tcBorders>
              <w:top w:val="single" w:sz="4" w:space="0" w:color="auto"/>
              <w:left w:val="single" w:sz="18" w:space="0" w:color="FFFFFF" w:themeColor="background1"/>
              <w:bottom w:val="single" w:sz="4" w:space="0" w:color="auto"/>
            </w:tcBorders>
            <w:shd w:val="clear" w:color="auto" w:fill="auto"/>
            <w:vAlign w:val="bottom"/>
            <w:hideMark/>
          </w:tcPr>
          <w:p w14:paraId="312DF869" w14:textId="77777777" w:rsidR="0078583E" w:rsidRPr="00EB135E" w:rsidRDefault="0078583E" w:rsidP="00EB135E">
            <w:pPr>
              <w:tabs>
                <w:tab w:val="left" w:pos="567"/>
              </w:tabs>
              <w:suppressAutoHyphens w:val="0"/>
              <w:spacing w:before="80" w:after="80" w:line="200" w:lineRule="exact"/>
              <w:jc w:val="center"/>
              <w:rPr>
                <w:bCs/>
                <w:i/>
                <w:sz w:val="16"/>
                <w:szCs w:val="16"/>
              </w:rPr>
            </w:pPr>
            <w:r w:rsidRPr="00EB135E">
              <w:rPr>
                <w:i/>
                <w:iCs/>
                <w:sz w:val="16"/>
                <w:szCs w:val="16"/>
                <w:lang w:val="fr-FR"/>
              </w:rPr>
              <w:t>2023</w:t>
            </w:r>
          </w:p>
        </w:tc>
      </w:tr>
      <w:tr w:rsidR="0078583E" w:rsidRPr="00C92122" w14:paraId="401F8E3B" w14:textId="77777777" w:rsidTr="00EB135E">
        <w:trPr>
          <w:tblHeader/>
        </w:trPr>
        <w:tc>
          <w:tcPr>
            <w:tcW w:w="1560" w:type="dxa"/>
            <w:vMerge/>
            <w:tcBorders>
              <w:top w:val="single" w:sz="12" w:space="0" w:color="auto"/>
              <w:bottom w:val="single" w:sz="12" w:space="0" w:color="auto"/>
            </w:tcBorders>
            <w:shd w:val="clear" w:color="auto" w:fill="auto"/>
            <w:vAlign w:val="bottom"/>
            <w:hideMark/>
          </w:tcPr>
          <w:p w14:paraId="4758746D" w14:textId="77777777" w:rsidR="0078583E" w:rsidRPr="00C92122" w:rsidRDefault="0078583E" w:rsidP="00EB135E">
            <w:pPr>
              <w:tabs>
                <w:tab w:val="left" w:pos="567"/>
              </w:tabs>
              <w:suppressAutoHyphens w:val="0"/>
              <w:spacing w:before="40" w:after="40" w:line="220" w:lineRule="exact"/>
              <w:rPr>
                <w:b/>
                <w:bCs/>
                <w:sz w:val="16"/>
                <w:szCs w:val="16"/>
              </w:rPr>
            </w:pPr>
          </w:p>
        </w:tc>
        <w:tc>
          <w:tcPr>
            <w:tcW w:w="708" w:type="dxa"/>
            <w:tcBorders>
              <w:top w:val="single" w:sz="4" w:space="0" w:color="auto"/>
              <w:bottom w:val="single" w:sz="12" w:space="0" w:color="auto"/>
            </w:tcBorders>
            <w:shd w:val="clear" w:color="auto" w:fill="auto"/>
            <w:vAlign w:val="bottom"/>
            <w:hideMark/>
          </w:tcPr>
          <w:p w14:paraId="277758FC"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blessés</w:t>
            </w:r>
          </w:p>
        </w:tc>
        <w:tc>
          <w:tcPr>
            <w:tcW w:w="851" w:type="dxa"/>
            <w:tcBorders>
              <w:top w:val="single" w:sz="4" w:space="0" w:color="auto"/>
              <w:bottom w:val="single" w:sz="12" w:space="0" w:color="auto"/>
              <w:right w:val="single" w:sz="18" w:space="0" w:color="FFFFFF" w:themeColor="background1"/>
            </w:tcBorders>
            <w:shd w:val="clear" w:color="auto" w:fill="auto"/>
            <w:vAlign w:val="bottom"/>
            <w:hideMark/>
          </w:tcPr>
          <w:p w14:paraId="289D77CA"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décédés</w:t>
            </w:r>
          </w:p>
        </w:tc>
        <w:tc>
          <w:tcPr>
            <w:tcW w:w="850" w:type="dxa"/>
            <w:tcBorders>
              <w:top w:val="single" w:sz="4" w:space="0" w:color="auto"/>
              <w:left w:val="single" w:sz="18" w:space="0" w:color="FFFFFF" w:themeColor="background1"/>
              <w:bottom w:val="single" w:sz="12" w:space="0" w:color="auto"/>
            </w:tcBorders>
            <w:shd w:val="clear" w:color="auto" w:fill="auto"/>
            <w:vAlign w:val="bottom"/>
            <w:hideMark/>
          </w:tcPr>
          <w:p w14:paraId="3C095BB9"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blessés</w:t>
            </w:r>
          </w:p>
        </w:tc>
        <w:tc>
          <w:tcPr>
            <w:tcW w:w="709" w:type="dxa"/>
            <w:tcBorders>
              <w:top w:val="single" w:sz="4" w:space="0" w:color="auto"/>
              <w:bottom w:val="single" w:sz="12" w:space="0" w:color="auto"/>
              <w:right w:val="single" w:sz="18" w:space="0" w:color="FFFFFF" w:themeColor="background1"/>
            </w:tcBorders>
            <w:shd w:val="clear" w:color="auto" w:fill="auto"/>
            <w:vAlign w:val="bottom"/>
            <w:hideMark/>
          </w:tcPr>
          <w:p w14:paraId="4E108BCB"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décédés</w:t>
            </w:r>
          </w:p>
        </w:tc>
        <w:tc>
          <w:tcPr>
            <w:tcW w:w="851" w:type="dxa"/>
            <w:tcBorders>
              <w:top w:val="single" w:sz="4" w:space="0" w:color="auto"/>
              <w:left w:val="single" w:sz="18" w:space="0" w:color="FFFFFF" w:themeColor="background1"/>
              <w:bottom w:val="single" w:sz="12" w:space="0" w:color="auto"/>
            </w:tcBorders>
            <w:shd w:val="clear" w:color="auto" w:fill="auto"/>
            <w:vAlign w:val="bottom"/>
            <w:hideMark/>
          </w:tcPr>
          <w:p w14:paraId="6BCFBE70"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blessés</w:t>
            </w:r>
          </w:p>
        </w:tc>
        <w:tc>
          <w:tcPr>
            <w:tcW w:w="850" w:type="dxa"/>
            <w:tcBorders>
              <w:top w:val="single" w:sz="4" w:space="0" w:color="auto"/>
              <w:bottom w:val="single" w:sz="12" w:space="0" w:color="auto"/>
              <w:right w:val="single" w:sz="18" w:space="0" w:color="FFFFFF" w:themeColor="background1"/>
            </w:tcBorders>
            <w:shd w:val="clear" w:color="auto" w:fill="auto"/>
            <w:vAlign w:val="bottom"/>
            <w:hideMark/>
          </w:tcPr>
          <w:p w14:paraId="1BC9CAC5"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décédés</w:t>
            </w:r>
          </w:p>
        </w:tc>
        <w:tc>
          <w:tcPr>
            <w:tcW w:w="851" w:type="dxa"/>
            <w:tcBorders>
              <w:top w:val="single" w:sz="4" w:space="0" w:color="auto"/>
              <w:left w:val="single" w:sz="18" w:space="0" w:color="FFFFFF" w:themeColor="background1"/>
              <w:bottom w:val="single" w:sz="12" w:space="0" w:color="auto"/>
            </w:tcBorders>
            <w:shd w:val="clear" w:color="auto" w:fill="auto"/>
            <w:vAlign w:val="bottom"/>
            <w:hideMark/>
          </w:tcPr>
          <w:p w14:paraId="2774B99D"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blessés</w:t>
            </w:r>
          </w:p>
        </w:tc>
        <w:tc>
          <w:tcPr>
            <w:tcW w:w="850" w:type="dxa"/>
            <w:tcBorders>
              <w:top w:val="single" w:sz="4" w:space="0" w:color="auto"/>
              <w:bottom w:val="single" w:sz="12" w:space="0" w:color="auto"/>
              <w:right w:val="single" w:sz="18" w:space="0" w:color="FFFFFF" w:themeColor="background1"/>
            </w:tcBorders>
            <w:shd w:val="clear" w:color="auto" w:fill="auto"/>
            <w:vAlign w:val="bottom"/>
            <w:hideMark/>
          </w:tcPr>
          <w:p w14:paraId="440191E7"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décédés</w:t>
            </w:r>
          </w:p>
        </w:tc>
        <w:tc>
          <w:tcPr>
            <w:tcW w:w="816" w:type="dxa"/>
            <w:tcBorders>
              <w:top w:val="single" w:sz="4" w:space="0" w:color="auto"/>
              <w:left w:val="single" w:sz="18" w:space="0" w:color="FFFFFF" w:themeColor="background1"/>
              <w:bottom w:val="single" w:sz="12" w:space="0" w:color="auto"/>
            </w:tcBorders>
            <w:shd w:val="clear" w:color="auto" w:fill="auto"/>
            <w:vAlign w:val="bottom"/>
            <w:hideMark/>
          </w:tcPr>
          <w:p w14:paraId="0B472AE8"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blessés</w:t>
            </w:r>
          </w:p>
        </w:tc>
        <w:tc>
          <w:tcPr>
            <w:tcW w:w="743" w:type="dxa"/>
            <w:tcBorders>
              <w:top w:val="single" w:sz="4" w:space="0" w:color="auto"/>
              <w:bottom w:val="single" w:sz="12" w:space="0" w:color="auto"/>
            </w:tcBorders>
            <w:shd w:val="clear" w:color="auto" w:fill="auto"/>
            <w:vAlign w:val="bottom"/>
            <w:hideMark/>
          </w:tcPr>
          <w:p w14:paraId="4445AD8B" w14:textId="77777777" w:rsidR="0078583E" w:rsidRPr="00EB135E" w:rsidRDefault="0078583E" w:rsidP="00EB135E">
            <w:pPr>
              <w:tabs>
                <w:tab w:val="left" w:pos="567"/>
              </w:tabs>
              <w:suppressAutoHyphens w:val="0"/>
              <w:spacing w:before="80" w:after="80" w:line="200" w:lineRule="exact"/>
              <w:jc w:val="right"/>
              <w:rPr>
                <w:bCs/>
                <w:i/>
                <w:iCs/>
                <w:spacing w:val="-3"/>
                <w:sz w:val="16"/>
                <w:szCs w:val="16"/>
              </w:rPr>
            </w:pPr>
            <w:r w:rsidRPr="00EB135E">
              <w:rPr>
                <w:i/>
                <w:iCs/>
                <w:spacing w:val="-3"/>
                <w:sz w:val="16"/>
                <w:szCs w:val="16"/>
                <w:lang w:val="fr-FR"/>
              </w:rPr>
              <w:t>Employés décédés</w:t>
            </w:r>
          </w:p>
        </w:tc>
      </w:tr>
      <w:tr w:rsidR="0078583E" w:rsidRPr="00C92122" w14:paraId="03C7BCDB" w14:textId="77777777" w:rsidTr="00EB135E">
        <w:tc>
          <w:tcPr>
            <w:tcW w:w="1560" w:type="dxa"/>
            <w:tcBorders>
              <w:top w:val="single" w:sz="12" w:space="0" w:color="auto"/>
            </w:tcBorders>
            <w:shd w:val="clear" w:color="auto" w:fill="auto"/>
            <w:hideMark/>
          </w:tcPr>
          <w:p w14:paraId="15A03405"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Agriculture, pêche, foresterie</w:t>
            </w:r>
          </w:p>
        </w:tc>
        <w:tc>
          <w:tcPr>
            <w:tcW w:w="708" w:type="dxa"/>
            <w:tcBorders>
              <w:top w:val="single" w:sz="12" w:space="0" w:color="auto"/>
            </w:tcBorders>
            <w:shd w:val="clear" w:color="auto" w:fill="auto"/>
            <w:noWrap/>
            <w:vAlign w:val="bottom"/>
            <w:hideMark/>
          </w:tcPr>
          <w:p w14:paraId="3DF85B57"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51" w:type="dxa"/>
            <w:tcBorders>
              <w:top w:val="single" w:sz="12" w:space="0" w:color="auto"/>
            </w:tcBorders>
            <w:shd w:val="clear" w:color="auto" w:fill="auto"/>
            <w:vAlign w:val="bottom"/>
            <w:hideMark/>
          </w:tcPr>
          <w:p w14:paraId="7BD4E2EE"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0" w:type="dxa"/>
            <w:tcBorders>
              <w:top w:val="single" w:sz="12" w:space="0" w:color="auto"/>
            </w:tcBorders>
            <w:shd w:val="clear" w:color="auto" w:fill="auto"/>
            <w:noWrap/>
            <w:vAlign w:val="bottom"/>
            <w:hideMark/>
          </w:tcPr>
          <w:p w14:paraId="3112CBD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w:t>
            </w:r>
          </w:p>
        </w:tc>
        <w:tc>
          <w:tcPr>
            <w:tcW w:w="709" w:type="dxa"/>
            <w:tcBorders>
              <w:top w:val="single" w:sz="12" w:space="0" w:color="auto"/>
            </w:tcBorders>
            <w:shd w:val="clear" w:color="auto" w:fill="auto"/>
            <w:vAlign w:val="bottom"/>
            <w:hideMark/>
          </w:tcPr>
          <w:p w14:paraId="39237317"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1" w:type="dxa"/>
            <w:tcBorders>
              <w:top w:val="single" w:sz="12" w:space="0" w:color="auto"/>
            </w:tcBorders>
            <w:shd w:val="clear" w:color="auto" w:fill="auto"/>
            <w:noWrap/>
            <w:vAlign w:val="bottom"/>
            <w:hideMark/>
          </w:tcPr>
          <w:p w14:paraId="20030DBA"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w:t>
            </w:r>
          </w:p>
        </w:tc>
        <w:tc>
          <w:tcPr>
            <w:tcW w:w="850" w:type="dxa"/>
            <w:tcBorders>
              <w:top w:val="single" w:sz="12" w:space="0" w:color="auto"/>
            </w:tcBorders>
            <w:shd w:val="clear" w:color="auto" w:fill="auto"/>
            <w:vAlign w:val="bottom"/>
            <w:hideMark/>
          </w:tcPr>
          <w:p w14:paraId="30326047" w14:textId="77777777" w:rsidR="0078583E" w:rsidRPr="00112C5A" w:rsidRDefault="0078583E" w:rsidP="00EB135E">
            <w:pPr>
              <w:tabs>
                <w:tab w:val="left" w:pos="567"/>
              </w:tabs>
              <w:suppressAutoHyphens w:val="0"/>
              <w:spacing w:before="40" w:after="40" w:line="220" w:lineRule="exact"/>
              <w:jc w:val="right"/>
              <w:rPr>
                <w:sz w:val="17"/>
                <w:szCs w:val="17"/>
              </w:rPr>
            </w:pPr>
            <w:r w:rsidRPr="00112C5A">
              <w:rPr>
                <w:sz w:val="17"/>
                <w:szCs w:val="17"/>
                <w:lang w:val="fr-FR"/>
              </w:rPr>
              <w:t>1</w:t>
            </w:r>
          </w:p>
        </w:tc>
        <w:tc>
          <w:tcPr>
            <w:tcW w:w="851" w:type="dxa"/>
            <w:tcBorders>
              <w:top w:val="single" w:sz="12" w:space="0" w:color="auto"/>
            </w:tcBorders>
            <w:shd w:val="clear" w:color="auto" w:fill="auto"/>
            <w:noWrap/>
            <w:vAlign w:val="bottom"/>
            <w:hideMark/>
          </w:tcPr>
          <w:p w14:paraId="17A4571E" w14:textId="77777777" w:rsidR="0078583E" w:rsidRPr="00112C5A" w:rsidRDefault="0078583E" w:rsidP="00EB135E">
            <w:pPr>
              <w:tabs>
                <w:tab w:val="left" w:pos="567"/>
              </w:tabs>
              <w:suppressAutoHyphens w:val="0"/>
              <w:spacing w:before="40" w:after="40" w:line="220" w:lineRule="exact"/>
              <w:jc w:val="right"/>
              <w:rPr>
                <w:sz w:val="17"/>
                <w:szCs w:val="17"/>
              </w:rPr>
            </w:pPr>
            <w:r w:rsidRPr="00112C5A">
              <w:rPr>
                <w:sz w:val="17"/>
                <w:szCs w:val="17"/>
                <w:lang w:val="fr-FR"/>
              </w:rPr>
              <w:t>1</w:t>
            </w:r>
          </w:p>
        </w:tc>
        <w:tc>
          <w:tcPr>
            <w:tcW w:w="850" w:type="dxa"/>
            <w:tcBorders>
              <w:top w:val="single" w:sz="12" w:space="0" w:color="auto"/>
            </w:tcBorders>
            <w:shd w:val="clear" w:color="auto" w:fill="auto"/>
            <w:noWrap/>
            <w:vAlign w:val="bottom"/>
            <w:hideMark/>
          </w:tcPr>
          <w:p w14:paraId="16AECCC7"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16" w:type="dxa"/>
            <w:tcBorders>
              <w:top w:val="single" w:sz="12" w:space="0" w:color="auto"/>
            </w:tcBorders>
            <w:shd w:val="clear" w:color="auto" w:fill="auto"/>
            <w:noWrap/>
            <w:vAlign w:val="bottom"/>
            <w:hideMark/>
          </w:tcPr>
          <w:p w14:paraId="4AF2AE9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743" w:type="dxa"/>
            <w:tcBorders>
              <w:top w:val="single" w:sz="12" w:space="0" w:color="auto"/>
            </w:tcBorders>
            <w:shd w:val="clear" w:color="auto" w:fill="auto"/>
            <w:noWrap/>
            <w:vAlign w:val="bottom"/>
            <w:hideMark/>
          </w:tcPr>
          <w:p w14:paraId="5B205E1F"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r>
      <w:tr w:rsidR="0078583E" w:rsidRPr="00C92122" w14:paraId="1C5B0F4D" w14:textId="77777777" w:rsidTr="00EB135E">
        <w:tc>
          <w:tcPr>
            <w:tcW w:w="1560" w:type="dxa"/>
            <w:shd w:val="clear" w:color="auto" w:fill="auto"/>
            <w:hideMark/>
          </w:tcPr>
          <w:p w14:paraId="20A4DF20"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Exploitation minière</w:t>
            </w:r>
          </w:p>
        </w:tc>
        <w:tc>
          <w:tcPr>
            <w:tcW w:w="708" w:type="dxa"/>
            <w:shd w:val="clear" w:color="auto" w:fill="auto"/>
            <w:noWrap/>
            <w:vAlign w:val="bottom"/>
            <w:hideMark/>
          </w:tcPr>
          <w:p w14:paraId="70107FA0"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27</w:t>
            </w:r>
          </w:p>
        </w:tc>
        <w:tc>
          <w:tcPr>
            <w:tcW w:w="851" w:type="dxa"/>
            <w:shd w:val="clear" w:color="auto" w:fill="auto"/>
            <w:vAlign w:val="bottom"/>
            <w:hideMark/>
          </w:tcPr>
          <w:p w14:paraId="43FD1563"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7</w:t>
            </w:r>
          </w:p>
        </w:tc>
        <w:tc>
          <w:tcPr>
            <w:tcW w:w="850" w:type="dxa"/>
            <w:shd w:val="clear" w:color="auto" w:fill="auto"/>
            <w:noWrap/>
            <w:vAlign w:val="bottom"/>
            <w:hideMark/>
          </w:tcPr>
          <w:p w14:paraId="5F2A3EF8"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28</w:t>
            </w:r>
          </w:p>
        </w:tc>
        <w:tc>
          <w:tcPr>
            <w:tcW w:w="709" w:type="dxa"/>
            <w:shd w:val="clear" w:color="auto" w:fill="auto"/>
            <w:vAlign w:val="bottom"/>
            <w:hideMark/>
          </w:tcPr>
          <w:p w14:paraId="72BE9F49"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w:t>
            </w:r>
          </w:p>
        </w:tc>
        <w:tc>
          <w:tcPr>
            <w:tcW w:w="851" w:type="dxa"/>
            <w:shd w:val="clear" w:color="auto" w:fill="auto"/>
            <w:noWrap/>
            <w:vAlign w:val="bottom"/>
            <w:hideMark/>
          </w:tcPr>
          <w:p w14:paraId="15F1A2A4"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22</w:t>
            </w:r>
          </w:p>
        </w:tc>
        <w:tc>
          <w:tcPr>
            <w:tcW w:w="850" w:type="dxa"/>
            <w:shd w:val="clear" w:color="auto" w:fill="auto"/>
            <w:vAlign w:val="bottom"/>
            <w:hideMark/>
          </w:tcPr>
          <w:p w14:paraId="71F92F70"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851" w:type="dxa"/>
            <w:shd w:val="clear" w:color="auto" w:fill="auto"/>
            <w:noWrap/>
            <w:vAlign w:val="bottom"/>
            <w:hideMark/>
          </w:tcPr>
          <w:p w14:paraId="7F9DCEE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30</w:t>
            </w:r>
          </w:p>
        </w:tc>
        <w:tc>
          <w:tcPr>
            <w:tcW w:w="850" w:type="dxa"/>
            <w:shd w:val="clear" w:color="auto" w:fill="auto"/>
            <w:noWrap/>
            <w:vAlign w:val="bottom"/>
            <w:hideMark/>
          </w:tcPr>
          <w:p w14:paraId="6418420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w:t>
            </w:r>
          </w:p>
        </w:tc>
        <w:tc>
          <w:tcPr>
            <w:tcW w:w="816" w:type="dxa"/>
            <w:shd w:val="clear" w:color="auto" w:fill="auto"/>
            <w:noWrap/>
            <w:vAlign w:val="bottom"/>
            <w:hideMark/>
          </w:tcPr>
          <w:p w14:paraId="11A9B7A0"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26</w:t>
            </w:r>
          </w:p>
        </w:tc>
        <w:tc>
          <w:tcPr>
            <w:tcW w:w="743" w:type="dxa"/>
            <w:shd w:val="clear" w:color="auto" w:fill="auto"/>
            <w:noWrap/>
            <w:vAlign w:val="bottom"/>
            <w:hideMark/>
          </w:tcPr>
          <w:p w14:paraId="36F627A1"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r>
      <w:tr w:rsidR="0078583E" w:rsidRPr="00C92122" w14:paraId="01572452" w14:textId="77777777" w:rsidTr="00EB135E">
        <w:tc>
          <w:tcPr>
            <w:tcW w:w="1560" w:type="dxa"/>
            <w:shd w:val="clear" w:color="auto" w:fill="auto"/>
            <w:hideMark/>
          </w:tcPr>
          <w:p w14:paraId="6C66BF35" w14:textId="4104F14C"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 xml:space="preserve">Entreprise </w:t>
            </w:r>
            <w:r w:rsidR="00112C5A">
              <w:rPr>
                <w:sz w:val="17"/>
                <w:szCs w:val="17"/>
                <w:lang w:val="fr-FR"/>
              </w:rPr>
              <w:br/>
            </w:r>
            <w:r w:rsidRPr="00C92122">
              <w:rPr>
                <w:sz w:val="17"/>
                <w:szCs w:val="17"/>
                <w:lang w:val="fr-FR"/>
              </w:rPr>
              <w:t>de construction</w:t>
            </w:r>
          </w:p>
        </w:tc>
        <w:tc>
          <w:tcPr>
            <w:tcW w:w="708" w:type="dxa"/>
            <w:shd w:val="clear" w:color="auto" w:fill="auto"/>
            <w:noWrap/>
            <w:vAlign w:val="bottom"/>
            <w:hideMark/>
          </w:tcPr>
          <w:p w14:paraId="3CC243F9"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39</w:t>
            </w:r>
          </w:p>
        </w:tc>
        <w:tc>
          <w:tcPr>
            <w:tcW w:w="851" w:type="dxa"/>
            <w:shd w:val="clear" w:color="auto" w:fill="auto"/>
            <w:vAlign w:val="bottom"/>
            <w:hideMark/>
          </w:tcPr>
          <w:p w14:paraId="03B67AB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w:t>
            </w:r>
          </w:p>
        </w:tc>
        <w:tc>
          <w:tcPr>
            <w:tcW w:w="850" w:type="dxa"/>
            <w:shd w:val="clear" w:color="auto" w:fill="auto"/>
            <w:noWrap/>
            <w:vAlign w:val="bottom"/>
            <w:hideMark/>
          </w:tcPr>
          <w:p w14:paraId="0A8E1DAA"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48</w:t>
            </w:r>
          </w:p>
        </w:tc>
        <w:tc>
          <w:tcPr>
            <w:tcW w:w="709" w:type="dxa"/>
            <w:shd w:val="clear" w:color="auto" w:fill="auto"/>
            <w:vAlign w:val="bottom"/>
            <w:hideMark/>
          </w:tcPr>
          <w:p w14:paraId="0914C72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8</w:t>
            </w:r>
          </w:p>
        </w:tc>
        <w:tc>
          <w:tcPr>
            <w:tcW w:w="851" w:type="dxa"/>
            <w:shd w:val="clear" w:color="auto" w:fill="auto"/>
            <w:noWrap/>
            <w:vAlign w:val="bottom"/>
            <w:hideMark/>
          </w:tcPr>
          <w:p w14:paraId="7D29903D"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37</w:t>
            </w:r>
          </w:p>
        </w:tc>
        <w:tc>
          <w:tcPr>
            <w:tcW w:w="850" w:type="dxa"/>
            <w:shd w:val="clear" w:color="auto" w:fill="auto"/>
            <w:vAlign w:val="bottom"/>
            <w:hideMark/>
          </w:tcPr>
          <w:p w14:paraId="3E8F6946"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851" w:type="dxa"/>
            <w:shd w:val="clear" w:color="auto" w:fill="auto"/>
            <w:noWrap/>
            <w:vAlign w:val="bottom"/>
            <w:hideMark/>
          </w:tcPr>
          <w:p w14:paraId="1EC678AD"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50</w:t>
            </w:r>
          </w:p>
        </w:tc>
        <w:tc>
          <w:tcPr>
            <w:tcW w:w="850" w:type="dxa"/>
            <w:shd w:val="clear" w:color="auto" w:fill="auto"/>
            <w:noWrap/>
            <w:vAlign w:val="bottom"/>
            <w:hideMark/>
          </w:tcPr>
          <w:p w14:paraId="3F103AF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w:t>
            </w:r>
          </w:p>
        </w:tc>
        <w:tc>
          <w:tcPr>
            <w:tcW w:w="816" w:type="dxa"/>
            <w:shd w:val="clear" w:color="auto" w:fill="auto"/>
            <w:noWrap/>
            <w:vAlign w:val="bottom"/>
            <w:hideMark/>
          </w:tcPr>
          <w:p w14:paraId="6CB2354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38</w:t>
            </w:r>
          </w:p>
        </w:tc>
        <w:tc>
          <w:tcPr>
            <w:tcW w:w="743" w:type="dxa"/>
            <w:shd w:val="clear" w:color="auto" w:fill="auto"/>
            <w:noWrap/>
            <w:vAlign w:val="bottom"/>
            <w:hideMark/>
          </w:tcPr>
          <w:p w14:paraId="0BB38738"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w:t>
            </w:r>
          </w:p>
        </w:tc>
      </w:tr>
      <w:tr w:rsidR="0078583E" w:rsidRPr="00C92122" w14:paraId="236071F3" w14:textId="77777777" w:rsidTr="00EB135E">
        <w:tc>
          <w:tcPr>
            <w:tcW w:w="1560" w:type="dxa"/>
            <w:shd w:val="clear" w:color="auto" w:fill="auto"/>
            <w:hideMark/>
          </w:tcPr>
          <w:p w14:paraId="07192161" w14:textId="100A3575" w:rsidR="0078583E" w:rsidRPr="00C92122" w:rsidRDefault="00112C5A" w:rsidP="00EB135E">
            <w:pPr>
              <w:tabs>
                <w:tab w:val="left" w:pos="567"/>
              </w:tabs>
              <w:suppressAutoHyphens w:val="0"/>
              <w:spacing w:before="40" w:after="40" w:line="220" w:lineRule="exact"/>
              <w:rPr>
                <w:sz w:val="17"/>
                <w:szCs w:val="17"/>
              </w:rPr>
            </w:pPr>
            <w:r>
              <w:rPr>
                <w:sz w:val="17"/>
                <w:szCs w:val="17"/>
                <w:lang w:val="fr-FR"/>
              </w:rPr>
              <w:t>É</w:t>
            </w:r>
            <w:r w:rsidR="0078583E" w:rsidRPr="00C92122">
              <w:rPr>
                <w:sz w:val="17"/>
                <w:szCs w:val="17"/>
                <w:lang w:val="fr-FR"/>
              </w:rPr>
              <w:t>lectricité, gaz, eau</w:t>
            </w:r>
          </w:p>
        </w:tc>
        <w:tc>
          <w:tcPr>
            <w:tcW w:w="708" w:type="dxa"/>
            <w:shd w:val="clear" w:color="auto" w:fill="auto"/>
            <w:noWrap/>
            <w:vAlign w:val="bottom"/>
            <w:hideMark/>
          </w:tcPr>
          <w:p w14:paraId="6A22339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9</w:t>
            </w:r>
          </w:p>
        </w:tc>
        <w:tc>
          <w:tcPr>
            <w:tcW w:w="851" w:type="dxa"/>
            <w:shd w:val="clear" w:color="auto" w:fill="auto"/>
            <w:vAlign w:val="bottom"/>
            <w:hideMark/>
          </w:tcPr>
          <w:p w14:paraId="3D21494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w:t>
            </w:r>
          </w:p>
        </w:tc>
        <w:tc>
          <w:tcPr>
            <w:tcW w:w="850" w:type="dxa"/>
            <w:shd w:val="clear" w:color="auto" w:fill="auto"/>
            <w:noWrap/>
            <w:vAlign w:val="bottom"/>
            <w:hideMark/>
          </w:tcPr>
          <w:p w14:paraId="410449A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11</w:t>
            </w:r>
          </w:p>
        </w:tc>
        <w:tc>
          <w:tcPr>
            <w:tcW w:w="709" w:type="dxa"/>
            <w:shd w:val="clear" w:color="auto" w:fill="auto"/>
            <w:vAlign w:val="bottom"/>
            <w:hideMark/>
          </w:tcPr>
          <w:p w14:paraId="5C89B1D4"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51" w:type="dxa"/>
            <w:shd w:val="clear" w:color="auto" w:fill="auto"/>
            <w:noWrap/>
            <w:vAlign w:val="bottom"/>
            <w:hideMark/>
          </w:tcPr>
          <w:p w14:paraId="2977F406"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7</w:t>
            </w:r>
          </w:p>
        </w:tc>
        <w:tc>
          <w:tcPr>
            <w:tcW w:w="850" w:type="dxa"/>
            <w:shd w:val="clear" w:color="auto" w:fill="auto"/>
            <w:vAlign w:val="bottom"/>
            <w:hideMark/>
          </w:tcPr>
          <w:p w14:paraId="79D95421"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6</w:t>
            </w:r>
          </w:p>
        </w:tc>
        <w:tc>
          <w:tcPr>
            <w:tcW w:w="851" w:type="dxa"/>
            <w:shd w:val="clear" w:color="auto" w:fill="auto"/>
            <w:noWrap/>
            <w:vAlign w:val="bottom"/>
            <w:hideMark/>
          </w:tcPr>
          <w:p w14:paraId="217D80E8"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7</w:t>
            </w:r>
          </w:p>
        </w:tc>
        <w:tc>
          <w:tcPr>
            <w:tcW w:w="850" w:type="dxa"/>
            <w:shd w:val="clear" w:color="auto" w:fill="auto"/>
            <w:noWrap/>
            <w:vAlign w:val="bottom"/>
            <w:hideMark/>
          </w:tcPr>
          <w:p w14:paraId="66C71520"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16" w:type="dxa"/>
            <w:shd w:val="clear" w:color="auto" w:fill="auto"/>
            <w:noWrap/>
            <w:vAlign w:val="bottom"/>
            <w:hideMark/>
          </w:tcPr>
          <w:p w14:paraId="7E826C73"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7</w:t>
            </w:r>
          </w:p>
        </w:tc>
        <w:tc>
          <w:tcPr>
            <w:tcW w:w="743" w:type="dxa"/>
            <w:shd w:val="clear" w:color="auto" w:fill="auto"/>
            <w:noWrap/>
            <w:vAlign w:val="bottom"/>
            <w:hideMark/>
          </w:tcPr>
          <w:p w14:paraId="6C87735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r>
      <w:tr w:rsidR="0078583E" w:rsidRPr="00C92122" w14:paraId="4D7FB5CF" w14:textId="77777777" w:rsidTr="00EB135E">
        <w:tc>
          <w:tcPr>
            <w:tcW w:w="1560" w:type="dxa"/>
            <w:shd w:val="clear" w:color="auto" w:fill="auto"/>
            <w:hideMark/>
          </w:tcPr>
          <w:p w14:paraId="46004AAC"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Commerce, hôtellerie, restauration</w:t>
            </w:r>
          </w:p>
        </w:tc>
        <w:tc>
          <w:tcPr>
            <w:tcW w:w="708" w:type="dxa"/>
            <w:shd w:val="clear" w:color="auto" w:fill="auto"/>
            <w:noWrap/>
            <w:vAlign w:val="bottom"/>
            <w:hideMark/>
          </w:tcPr>
          <w:p w14:paraId="143D88B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12</w:t>
            </w:r>
          </w:p>
        </w:tc>
        <w:tc>
          <w:tcPr>
            <w:tcW w:w="851" w:type="dxa"/>
            <w:shd w:val="clear" w:color="auto" w:fill="auto"/>
            <w:vAlign w:val="bottom"/>
            <w:hideMark/>
          </w:tcPr>
          <w:p w14:paraId="17B1D0D6"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850" w:type="dxa"/>
            <w:shd w:val="clear" w:color="auto" w:fill="auto"/>
            <w:noWrap/>
            <w:vAlign w:val="bottom"/>
            <w:hideMark/>
          </w:tcPr>
          <w:p w14:paraId="1BA54FC0"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10</w:t>
            </w:r>
          </w:p>
        </w:tc>
        <w:tc>
          <w:tcPr>
            <w:tcW w:w="709" w:type="dxa"/>
            <w:shd w:val="clear" w:color="auto" w:fill="auto"/>
            <w:vAlign w:val="bottom"/>
            <w:hideMark/>
          </w:tcPr>
          <w:p w14:paraId="2FF1407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51" w:type="dxa"/>
            <w:shd w:val="clear" w:color="auto" w:fill="auto"/>
            <w:noWrap/>
            <w:vAlign w:val="bottom"/>
            <w:hideMark/>
          </w:tcPr>
          <w:p w14:paraId="55429BD3"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20</w:t>
            </w:r>
          </w:p>
        </w:tc>
        <w:tc>
          <w:tcPr>
            <w:tcW w:w="850" w:type="dxa"/>
            <w:shd w:val="clear" w:color="auto" w:fill="auto"/>
            <w:vAlign w:val="bottom"/>
            <w:hideMark/>
          </w:tcPr>
          <w:p w14:paraId="7760C6E4"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1" w:type="dxa"/>
            <w:shd w:val="clear" w:color="auto" w:fill="auto"/>
            <w:noWrap/>
            <w:vAlign w:val="bottom"/>
            <w:hideMark/>
          </w:tcPr>
          <w:p w14:paraId="56BAFF7B"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17</w:t>
            </w:r>
          </w:p>
        </w:tc>
        <w:tc>
          <w:tcPr>
            <w:tcW w:w="850" w:type="dxa"/>
            <w:shd w:val="clear" w:color="auto" w:fill="auto"/>
            <w:noWrap/>
            <w:vAlign w:val="bottom"/>
            <w:hideMark/>
          </w:tcPr>
          <w:p w14:paraId="5EE7E5D4"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16" w:type="dxa"/>
            <w:shd w:val="clear" w:color="auto" w:fill="auto"/>
            <w:noWrap/>
            <w:vAlign w:val="bottom"/>
            <w:hideMark/>
          </w:tcPr>
          <w:p w14:paraId="0168CF2F"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11</w:t>
            </w:r>
          </w:p>
        </w:tc>
        <w:tc>
          <w:tcPr>
            <w:tcW w:w="743" w:type="dxa"/>
            <w:shd w:val="clear" w:color="auto" w:fill="auto"/>
            <w:noWrap/>
            <w:vAlign w:val="bottom"/>
            <w:hideMark/>
          </w:tcPr>
          <w:p w14:paraId="2CE0F76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w:t>
            </w:r>
          </w:p>
        </w:tc>
      </w:tr>
      <w:tr w:rsidR="0078583E" w:rsidRPr="00C92122" w14:paraId="06AC99CB" w14:textId="77777777" w:rsidTr="00EB135E">
        <w:tc>
          <w:tcPr>
            <w:tcW w:w="1560" w:type="dxa"/>
            <w:shd w:val="clear" w:color="auto" w:fill="auto"/>
            <w:hideMark/>
          </w:tcPr>
          <w:p w14:paraId="376E9C8E"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Construction</w:t>
            </w:r>
          </w:p>
        </w:tc>
        <w:tc>
          <w:tcPr>
            <w:tcW w:w="708" w:type="dxa"/>
            <w:shd w:val="clear" w:color="auto" w:fill="auto"/>
            <w:noWrap/>
            <w:vAlign w:val="bottom"/>
            <w:hideMark/>
          </w:tcPr>
          <w:p w14:paraId="2978C75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45</w:t>
            </w:r>
          </w:p>
        </w:tc>
        <w:tc>
          <w:tcPr>
            <w:tcW w:w="851" w:type="dxa"/>
            <w:shd w:val="clear" w:color="auto" w:fill="auto"/>
            <w:vAlign w:val="bottom"/>
            <w:hideMark/>
          </w:tcPr>
          <w:p w14:paraId="1984CABF"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17</w:t>
            </w:r>
          </w:p>
        </w:tc>
        <w:tc>
          <w:tcPr>
            <w:tcW w:w="850" w:type="dxa"/>
            <w:shd w:val="clear" w:color="auto" w:fill="auto"/>
            <w:noWrap/>
            <w:vAlign w:val="bottom"/>
            <w:hideMark/>
          </w:tcPr>
          <w:p w14:paraId="1662CF51"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39</w:t>
            </w:r>
          </w:p>
        </w:tc>
        <w:tc>
          <w:tcPr>
            <w:tcW w:w="709" w:type="dxa"/>
            <w:shd w:val="clear" w:color="auto" w:fill="auto"/>
            <w:vAlign w:val="bottom"/>
            <w:hideMark/>
          </w:tcPr>
          <w:p w14:paraId="67B8064E"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10</w:t>
            </w:r>
          </w:p>
        </w:tc>
        <w:tc>
          <w:tcPr>
            <w:tcW w:w="851" w:type="dxa"/>
            <w:shd w:val="clear" w:color="auto" w:fill="auto"/>
            <w:noWrap/>
            <w:vAlign w:val="bottom"/>
            <w:hideMark/>
          </w:tcPr>
          <w:p w14:paraId="19D6BACD"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36</w:t>
            </w:r>
          </w:p>
        </w:tc>
        <w:tc>
          <w:tcPr>
            <w:tcW w:w="850" w:type="dxa"/>
            <w:shd w:val="clear" w:color="auto" w:fill="auto"/>
            <w:vAlign w:val="bottom"/>
            <w:hideMark/>
          </w:tcPr>
          <w:p w14:paraId="5DC9037E"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6</w:t>
            </w:r>
          </w:p>
        </w:tc>
        <w:tc>
          <w:tcPr>
            <w:tcW w:w="851" w:type="dxa"/>
            <w:shd w:val="clear" w:color="auto" w:fill="auto"/>
            <w:noWrap/>
            <w:vAlign w:val="bottom"/>
            <w:hideMark/>
          </w:tcPr>
          <w:p w14:paraId="0397DB6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29</w:t>
            </w:r>
          </w:p>
        </w:tc>
        <w:tc>
          <w:tcPr>
            <w:tcW w:w="850" w:type="dxa"/>
            <w:shd w:val="clear" w:color="auto" w:fill="auto"/>
            <w:noWrap/>
            <w:vAlign w:val="bottom"/>
            <w:hideMark/>
          </w:tcPr>
          <w:p w14:paraId="73C7F393"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10</w:t>
            </w:r>
          </w:p>
        </w:tc>
        <w:tc>
          <w:tcPr>
            <w:tcW w:w="816" w:type="dxa"/>
            <w:shd w:val="clear" w:color="auto" w:fill="auto"/>
            <w:noWrap/>
            <w:vAlign w:val="bottom"/>
            <w:hideMark/>
          </w:tcPr>
          <w:p w14:paraId="58D8385A"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32</w:t>
            </w:r>
          </w:p>
        </w:tc>
        <w:tc>
          <w:tcPr>
            <w:tcW w:w="743" w:type="dxa"/>
            <w:shd w:val="clear" w:color="auto" w:fill="auto"/>
            <w:noWrap/>
            <w:vAlign w:val="bottom"/>
            <w:hideMark/>
          </w:tcPr>
          <w:p w14:paraId="79F6A889"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8</w:t>
            </w:r>
          </w:p>
        </w:tc>
      </w:tr>
      <w:tr w:rsidR="0078583E" w:rsidRPr="00C92122" w14:paraId="6E4E2307" w14:textId="77777777" w:rsidTr="00EB135E">
        <w:tc>
          <w:tcPr>
            <w:tcW w:w="1560" w:type="dxa"/>
            <w:shd w:val="clear" w:color="auto" w:fill="auto"/>
            <w:hideMark/>
          </w:tcPr>
          <w:p w14:paraId="2694A457"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Transports, télécommunications</w:t>
            </w:r>
          </w:p>
        </w:tc>
        <w:tc>
          <w:tcPr>
            <w:tcW w:w="708" w:type="dxa"/>
            <w:shd w:val="clear" w:color="auto" w:fill="auto"/>
            <w:noWrap/>
            <w:vAlign w:val="bottom"/>
            <w:hideMark/>
          </w:tcPr>
          <w:p w14:paraId="2F715BC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51" w:type="dxa"/>
            <w:shd w:val="clear" w:color="auto" w:fill="auto"/>
            <w:vAlign w:val="bottom"/>
            <w:hideMark/>
          </w:tcPr>
          <w:p w14:paraId="2ADB71CF"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0" w:type="dxa"/>
            <w:shd w:val="clear" w:color="auto" w:fill="auto"/>
            <w:noWrap/>
            <w:vAlign w:val="bottom"/>
            <w:hideMark/>
          </w:tcPr>
          <w:p w14:paraId="3FA9DDBA"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709" w:type="dxa"/>
            <w:shd w:val="clear" w:color="auto" w:fill="auto"/>
            <w:vAlign w:val="bottom"/>
            <w:hideMark/>
          </w:tcPr>
          <w:p w14:paraId="72AC0601"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51" w:type="dxa"/>
            <w:shd w:val="clear" w:color="auto" w:fill="auto"/>
            <w:noWrap/>
            <w:vAlign w:val="bottom"/>
            <w:hideMark/>
          </w:tcPr>
          <w:p w14:paraId="4C6F419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850" w:type="dxa"/>
            <w:shd w:val="clear" w:color="auto" w:fill="auto"/>
            <w:vAlign w:val="bottom"/>
            <w:hideMark/>
          </w:tcPr>
          <w:p w14:paraId="6334D137"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w:t>
            </w:r>
          </w:p>
        </w:tc>
        <w:tc>
          <w:tcPr>
            <w:tcW w:w="851" w:type="dxa"/>
            <w:shd w:val="clear" w:color="auto" w:fill="auto"/>
            <w:noWrap/>
            <w:vAlign w:val="bottom"/>
            <w:hideMark/>
          </w:tcPr>
          <w:p w14:paraId="7C4B191F"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850" w:type="dxa"/>
            <w:shd w:val="clear" w:color="auto" w:fill="auto"/>
            <w:noWrap/>
            <w:vAlign w:val="bottom"/>
            <w:hideMark/>
          </w:tcPr>
          <w:p w14:paraId="680FBAE9"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16" w:type="dxa"/>
            <w:shd w:val="clear" w:color="auto" w:fill="auto"/>
            <w:noWrap/>
            <w:vAlign w:val="bottom"/>
            <w:hideMark/>
          </w:tcPr>
          <w:p w14:paraId="3E827834"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8</w:t>
            </w:r>
          </w:p>
        </w:tc>
        <w:tc>
          <w:tcPr>
            <w:tcW w:w="743" w:type="dxa"/>
            <w:shd w:val="clear" w:color="auto" w:fill="auto"/>
            <w:noWrap/>
            <w:vAlign w:val="bottom"/>
            <w:hideMark/>
          </w:tcPr>
          <w:p w14:paraId="2E4A2A86"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w:t>
            </w:r>
          </w:p>
        </w:tc>
      </w:tr>
      <w:tr w:rsidR="0078583E" w:rsidRPr="00C92122" w14:paraId="28F83367" w14:textId="77777777" w:rsidTr="00EB135E">
        <w:tc>
          <w:tcPr>
            <w:tcW w:w="1560" w:type="dxa"/>
            <w:shd w:val="clear" w:color="auto" w:fill="auto"/>
            <w:hideMark/>
          </w:tcPr>
          <w:p w14:paraId="46A2C744"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Finance, services</w:t>
            </w:r>
          </w:p>
        </w:tc>
        <w:tc>
          <w:tcPr>
            <w:tcW w:w="708" w:type="dxa"/>
            <w:shd w:val="clear" w:color="auto" w:fill="auto"/>
            <w:noWrap/>
            <w:vAlign w:val="bottom"/>
            <w:hideMark/>
          </w:tcPr>
          <w:p w14:paraId="6DC36221"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1" w:type="dxa"/>
            <w:shd w:val="clear" w:color="auto" w:fill="auto"/>
            <w:vAlign w:val="bottom"/>
            <w:hideMark/>
          </w:tcPr>
          <w:p w14:paraId="7B987170"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0" w:type="dxa"/>
            <w:shd w:val="clear" w:color="auto" w:fill="auto"/>
            <w:noWrap/>
            <w:vAlign w:val="bottom"/>
            <w:hideMark/>
          </w:tcPr>
          <w:p w14:paraId="2244D3CB"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w:t>
            </w:r>
          </w:p>
        </w:tc>
        <w:tc>
          <w:tcPr>
            <w:tcW w:w="709" w:type="dxa"/>
            <w:shd w:val="clear" w:color="auto" w:fill="auto"/>
            <w:vAlign w:val="bottom"/>
            <w:hideMark/>
          </w:tcPr>
          <w:p w14:paraId="457DE132"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c>
          <w:tcPr>
            <w:tcW w:w="851" w:type="dxa"/>
            <w:shd w:val="clear" w:color="auto" w:fill="auto"/>
            <w:noWrap/>
            <w:vAlign w:val="bottom"/>
            <w:hideMark/>
          </w:tcPr>
          <w:p w14:paraId="09351BD3"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w:t>
            </w:r>
          </w:p>
        </w:tc>
        <w:tc>
          <w:tcPr>
            <w:tcW w:w="850" w:type="dxa"/>
            <w:shd w:val="clear" w:color="auto" w:fill="auto"/>
            <w:vAlign w:val="bottom"/>
            <w:hideMark/>
          </w:tcPr>
          <w:p w14:paraId="55792D44"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51" w:type="dxa"/>
            <w:shd w:val="clear" w:color="auto" w:fill="auto"/>
            <w:noWrap/>
            <w:vAlign w:val="bottom"/>
            <w:hideMark/>
          </w:tcPr>
          <w:p w14:paraId="24CA6BB6"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w:t>
            </w:r>
          </w:p>
        </w:tc>
        <w:tc>
          <w:tcPr>
            <w:tcW w:w="850" w:type="dxa"/>
            <w:shd w:val="clear" w:color="auto" w:fill="auto"/>
            <w:noWrap/>
            <w:vAlign w:val="bottom"/>
            <w:hideMark/>
          </w:tcPr>
          <w:p w14:paraId="0492EF13"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0</w:t>
            </w:r>
          </w:p>
        </w:tc>
        <w:tc>
          <w:tcPr>
            <w:tcW w:w="816" w:type="dxa"/>
            <w:shd w:val="clear" w:color="auto" w:fill="auto"/>
            <w:noWrap/>
            <w:vAlign w:val="bottom"/>
            <w:hideMark/>
          </w:tcPr>
          <w:p w14:paraId="13EA6A19"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2</w:t>
            </w:r>
          </w:p>
        </w:tc>
        <w:tc>
          <w:tcPr>
            <w:tcW w:w="743" w:type="dxa"/>
            <w:shd w:val="clear" w:color="auto" w:fill="auto"/>
            <w:noWrap/>
            <w:vAlign w:val="bottom"/>
            <w:hideMark/>
          </w:tcPr>
          <w:p w14:paraId="22F4EB6B"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w:t>
            </w:r>
          </w:p>
        </w:tc>
      </w:tr>
      <w:tr w:rsidR="0078583E" w:rsidRPr="00C92122" w14:paraId="265AD57E" w14:textId="77777777" w:rsidTr="00EB135E">
        <w:tc>
          <w:tcPr>
            <w:tcW w:w="1560" w:type="dxa"/>
            <w:tcBorders>
              <w:bottom w:val="single" w:sz="4" w:space="0" w:color="auto"/>
            </w:tcBorders>
            <w:shd w:val="clear" w:color="auto" w:fill="auto"/>
            <w:hideMark/>
          </w:tcPr>
          <w:p w14:paraId="54D8AD7D" w14:textId="77777777" w:rsidR="0078583E" w:rsidRPr="00C92122" w:rsidRDefault="0078583E" w:rsidP="00EB135E">
            <w:pPr>
              <w:tabs>
                <w:tab w:val="left" w:pos="567"/>
              </w:tabs>
              <w:suppressAutoHyphens w:val="0"/>
              <w:spacing w:before="40" w:after="40" w:line="220" w:lineRule="exact"/>
              <w:rPr>
                <w:sz w:val="17"/>
                <w:szCs w:val="17"/>
              </w:rPr>
            </w:pPr>
            <w:r w:rsidRPr="00C92122">
              <w:rPr>
                <w:sz w:val="17"/>
                <w:szCs w:val="17"/>
                <w:lang w:val="fr-FR"/>
              </w:rPr>
              <w:t>Autres activités</w:t>
            </w:r>
          </w:p>
        </w:tc>
        <w:tc>
          <w:tcPr>
            <w:tcW w:w="708" w:type="dxa"/>
            <w:tcBorders>
              <w:bottom w:val="single" w:sz="4" w:space="0" w:color="auto"/>
            </w:tcBorders>
            <w:shd w:val="clear" w:color="auto" w:fill="auto"/>
            <w:noWrap/>
            <w:vAlign w:val="bottom"/>
            <w:hideMark/>
          </w:tcPr>
          <w:p w14:paraId="178481A9"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42</w:t>
            </w:r>
          </w:p>
        </w:tc>
        <w:tc>
          <w:tcPr>
            <w:tcW w:w="851" w:type="dxa"/>
            <w:tcBorders>
              <w:bottom w:val="single" w:sz="4" w:space="0" w:color="auto"/>
            </w:tcBorders>
            <w:shd w:val="clear" w:color="auto" w:fill="auto"/>
            <w:vAlign w:val="bottom"/>
            <w:hideMark/>
          </w:tcPr>
          <w:p w14:paraId="516EDD6D"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w:t>
            </w:r>
          </w:p>
        </w:tc>
        <w:tc>
          <w:tcPr>
            <w:tcW w:w="850" w:type="dxa"/>
            <w:tcBorders>
              <w:bottom w:val="single" w:sz="4" w:space="0" w:color="auto"/>
            </w:tcBorders>
            <w:shd w:val="clear" w:color="auto" w:fill="auto"/>
            <w:noWrap/>
            <w:vAlign w:val="bottom"/>
            <w:hideMark/>
          </w:tcPr>
          <w:p w14:paraId="25317ECF"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37</w:t>
            </w:r>
          </w:p>
        </w:tc>
        <w:tc>
          <w:tcPr>
            <w:tcW w:w="709" w:type="dxa"/>
            <w:tcBorders>
              <w:bottom w:val="single" w:sz="4" w:space="0" w:color="auto"/>
            </w:tcBorders>
            <w:shd w:val="clear" w:color="auto" w:fill="auto"/>
            <w:vAlign w:val="bottom"/>
            <w:hideMark/>
          </w:tcPr>
          <w:p w14:paraId="76DA875D"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9</w:t>
            </w:r>
          </w:p>
        </w:tc>
        <w:tc>
          <w:tcPr>
            <w:tcW w:w="851" w:type="dxa"/>
            <w:tcBorders>
              <w:bottom w:val="single" w:sz="4" w:space="0" w:color="auto"/>
            </w:tcBorders>
            <w:shd w:val="clear" w:color="auto" w:fill="auto"/>
            <w:noWrap/>
            <w:vAlign w:val="bottom"/>
            <w:hideMark/>
          </w:tcPr>
          <w:p w14:paraId="3887F58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52</w:t>
            </w:r>
          </w:p>
        </w:tc>
        <w:tc>
          <w:tcPr>
            <w:tcW w:w="850" w:type="dxa"/>
            <w:tcBorders>
              <w:bottom w:val="single" w:sz="4" w:space="0" w:color="auto"/>
            </w:tcBorders>
            <w:shd w:val="clear" w:color="auto" w:fill="auto"/>
            <w:vAlign w:val="bottom"/>
            <w:hideMark/>
          </w:tcPr>
          <w:p w14:paraId="52E2B72C"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8</w:t>
            </w:r>
          </w:p>
        </w:tc>
        <w:tc>
          <w:tcPr>
            <w:tcW w:w="851" w:type="dxa"/>
            <w:tcBorders>
              <w:bottom w:val="single" w:sz="4" w:space="0" w:color="auto"/>
            </w:tcBorders>
            <w:shd w:val="clear" w:color="auto" w:fill="auto"/>
            <w:noWrap/>
            <w:vAlign w:val="bottom"/>
            <w:hideMark/>
          </w:tcPr>
          <w:p w14:paraId="5E99F43D"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44</w:t>
            </w:r>
          </w:p>
        </w:tc>
        <w:tc>
          <w:tcPr>
            <w:tcW w:w="850" w:type="dxa"/>
            <w:tcBorders>
              <w:bottom w:val="single" w:sz="4" w:space="0" w:color="auto"/>
            </w:tcBorders>
            <w:shd w:val="clear" w:color="auto" w:fill="auto"/>
            <w:noWrap/>
            <w:vAlign w:val="bottom"/>
            <w:hideMark/>
          </w:tcPr>
          <w:p w14:paraId="533BBF85"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11</w:t>
            </w:r>
          </w:p>
        </w:tc>
        <w:tc>
          <w:tcPr>
            <w:tcW w:w="816" w:type="dxa"/>
            <w:tcBorders>
              <w:bottom w:val="single" w:sz="4" w:space="0" w:color="auto"/>
            </w:tcBorders>
            <w:shd w:val="clear" w:color="auto" w:fill="auto"/>
            <w:noWrap/>
            <w:vAlign w:val="bottom"/>
            <w:hideMark/>
          </w:tcPr>
          <w:p w14:paraId="362F38B8"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44</w:t>
            </w:r>
          </w:p>
        </w:tc>
        <w:tc>
          <w:tcPr>
            <w:tcW w:w="743" w:type="dxa"/>
            <w:tcBorders>
              <w:bottom w:val="single" w:sz="4" w:space="0" w:color="auto"/>
            </w:tcBorders>
            <w:shd w:val="clear" w:color="auto" w:fill="auto"/>
            <w:noWrap/>
            <w:vAlign w:val="bottom"/>
            <w:hideMark/>
          </w:tcPr>
          <w:p w14:paraId="4C9FB7CB" w14:textId="77777777" w:rsidR="0078583E" w:rsidRPr="00C92122" w:rsidRDefault="0078583E" w:rsidP="00EB135E">
            <w:pPr>
              <w:tabs>
                <w:tab w:val="left" w:pos="567"/>
              </w:tabs>
              <w:suppressAutoHyphens w:val="0"/>
              <w:spacing w:before="40" w:after="40" w:line="220" w:lineRule="exact"/>
              <w:jc w:val="right"/>
              <w:rPr>
                <w:sz w:val="17"/>
                <w:szCs w:val="17"/>
              </w:rPr>
            </w:pPr>
            <w:r w:rsidRPr="00C92122">
              <w:rPr>
                <w:sz w:val="17"/>
                <w:szCs w:val="17"/>
                <w:lang w:val="fr-FR"/>
              </w:rPr>
              <w:t>11</w:t>
            </w:r>
          </w:p>
        </w:tc>
      </w:tr>
      <w:tr w:rsidR="0078583E" w:rsidRPr="00C92122" w14:paraId="192A441D" w14:textId="77777777" w:rsidTr="00EB135E">
        <w:tc>
          <w:tcPr>
            <w:tcW w:w="1560" w:type="dxa"/>
            <w:tcBorders>
              <w:top w:val="single" w:sz="4" w:space="0" w:color="auto"/>
              <w:bottom w:val="single" w:sz="12" w:space="0" w:color="auto"/>
            </w:tcBorders>
            <w:shd w:val="clear" w:color="auto" w:fill="auto"/>
            <w:hideMark/>
          </w:tcPr>
          <w:p w14:paraId="05BD0816" w14:textId="77777777" w:rsidR="0078583E" w:rsidRPr="00C92122" w:rsidRDefault="0078583E" w:rsidP="00EB135E">
            <w:pPr>
              <w:tabs>
                <w:tab w:val="left" w:pos="567"/>
              </w:tabs>
              <w:suppressAutoHyphens w:val="0"/>
              <w:spacing w:before="80" w:after="80" w:line="220" w:lineRule="exact"/>
              <w:jc w:val="center"/>
              <w:rPr>
                <w:b/>
                <w:sz w:val="17"/>
                <w:szCs w:val="17"/>
              </w:rPr>
            </w:pPr>
            <w:r w:rsidRPr="00C92122">
              <w:rPr>
                <w:b/>
                <w:bCs/>
                <w:sz w:val="17"/>
                <w:szCs w:val="17"/>
                <w:lang w:val="fr-FR"/>
              </w:rPr>
              <w:t>Total</w:t>
            </w:r>
          </w:p>
        </w:tc>
        <w:tc>
          <w:tcPr>
            <w:tcW w:w="708" w:type="dxa"/>
            <w:tcBorders>
              <w:top w:val="single" w:sz="4" w:space="0" w:color="auto"/>
              <w:bottom w:val="single" w:sz="12" w:space="0" w:color="auto"/>
            </w:tcBorders>
            <w:shd w:val="clear" w:color="auto" w:fill="auto"/>
            <w:noWrap/>
            <w:vAlign w:val="bottom"/>
            <w:hideMark/>
          </w:tcPr>
          <w:p w14:paraId="3FEBE825"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176</w:t>
            </w:r>
          </w:p>
        </w:tc>
        <w:tc>
          <w:tcPr>
            <w:tcW w:w="851" w:type="dxa"/>
            <w:tcBorders>
              <w:top w:val="single" w:sz="4" w:space="0" w:color="auto"/>
              <w:bottom w:val="single" w:sz="12" w:space="0" w:color="auto"/>
            </w:tcBorders>
            <w:shd w:val="clear" w:color="auto" w:fill="auto"/>
            <w:vAlign w:val="bottom"/>
            <w:hideMark/>
          </w:tcPr>
          <w:p w14:paraId="5835971A"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38</w:t>
            </w:r>
          </w:p>
        </w:tc>
        <w:tc>
          <w:tcPr>
            <w:tcW w:w="850" w:type="dxa"/>
            <w:tcBorders>
              <w:top w:val="single" w:sz="4" w:space="0" w:color="auto"/>
              <w:bottom w:val="single" w:sz="12" w:space="0" w:color="auto"/>
            </w:tcBorders>
            <w:shd w:val="clear" w:color="auto" w:fill="auto"/>
            <w:noWrap/>
            <w:vAlign w:val="bottom"/>
            <w:hideMark/>
          </w:tcPr>
          <w:p w14:paraId="1AF29B1C"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182</w:t>
            </w:r>
          </w:p>
        </w:tc>
        <w:tc>
          <w:tcPr>
            <w:tcW w:w="709" w:type="dxa"/>
            <w:tcBorders>
              <w:top w:val="single" w:sz="4" w:space="0" w:color="auto"/>
              <w:bottom w:val="single" w:sz="12" w:space="0" w:color="auto"/>
            </w:tcBorders>
            <w:shd w:val="clear" w:color="auto" w:fill="auto"/>
            <w:vAlign w:val="bottom"/>
            <w:hideMark/>
          </w:tcPr>
          <w:p w14:paraId="683552C4"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36</w:t>
            </w:r>
          </w:p>
        </w:tc>
        <w:tc>
          <w:tcPr>
            <w:tcW w:w="851" w:type="dxa"/>
            <w:tcBorders>
              <w:top w:val="single" w:sz="4" w:space="0" w:color="auto"/>
              <w:bottom w:val="single" w:sz="12" w:space="0" w:color="auto"/>
            </w:tcBorders>
            <w:shd w:val="clear" w:color="auto" w:fill="auto"/>
            <w:noWrap/>
            <w:vAlign w:val="bottom"/>
            <w:hideMark/>
          </w:tcPr>
          <w:p w14:paraId="60B521FC"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187</w:t>
            </w:r>
          </w:p>
        </w:tc>
        <w:tc>
          <w:tcPr>
            <w:tcW w:w="850" w:type="dxa"/>
            <w:tcBorders>
              <w:top w:val="single" w:sz="4" w:space="0" w:color="auto"/>
              <w:bottom w:val="single" w:sz="12" w:space="0" w:color="auto"/>
            </w:tcBorders>
            <w:shd w:val="clear" w:color="auto" w:fill="auto"/>
            <w:vAlign w:val="bottom"/>
            <w:hideMark/>
          </w:tcPr>
          <w:p w14:paraId="1FE5B942"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31</w:t>
            </w:r>
          </w:p>
        </w:tc>
        <w:tc>
          <w:tcPr>
            <w:tcW w:w="851" w:type="dxa"/>
            <w:tcBorders>
              <w:top w:val="single" w:sz="4" w:space="0" w:color="auto"/>
              <w:bottom w:val="single" w:sz="12" w:space="0" w:color="auto"/>
            </w:tcBorders>
            <w:shd w:val="clear" w:color="auto" w:fill="auto"/>
            <w:noWrap/>
            <w:vAlign w:val="bottom"/>
            <w:hideMark/>
          </w:tcPr>
          <w:p w14:paraId="4B00E45B"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184</w:t>
            </w:r>
          </w:p>
        </w:tc>
        <w:tc>
          <w:tcPr>
            <w:tcW w:w="850" w:type="dxa"/>
            <w:tcBorders>
              <w:top w:val="single" w:sz="4" w:space="0" w:color="auto"/>
              <w:bottom w:val="single" w:sz="12" w:space="0" w:color="auto"/>
            </w:tcBorders>
            <w:shd w:val="clear" w:color="auto" w:fill="auto"/>
            <w:noWrap/>
            <w:vAlign w:val="bottom"/>
            <w:hideMark/>
          </w:tcPr>
          <w:p w14:paraId="7C45468E"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32</w:t>
            </w:r>
          </w:p>
        </w:tc>
        <w:tc>
          <w:tcPr>
            <w:tcW w:w="816" w:type="dxa"/>
            <w:tcBorders>
              <w:top w:val="single" w:sz="4" w:space="0" w:color="auto"/>
              <w:bottom w:val="single" w:sz="12" w:space="0" w:color="auto"/>
            </w:tcBorders>
            <w:shd w:val="clear" w:color="auto" w:fill="auto"/>
            <w:noWrap/>
            <w:vAlign w:val="bottom"/>
            <w:hideMark/>
          </w:tcPr>
          <w:p w14:paraId="08B0AB14"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168</w:t>
            </w:r>
          </w:p>
        </w:tc>
        <w:tc>
          <w:tcPr>
            <w:tcW w:w="743" w:type="dxa"/>
            <w:tcBorders>
              <w:top w:val="single" w:sz="4" w:space="0" w:color="auto"/>
              <w:bottom w:val="single" w:sz="12" w:space="0" w:color="auto"/>
            </w:tcBorders>
            <w:shd w:val="clear" w:color="auto" w:fill="auto"/>
            <w:noWrap/>
            <w:vAlign w:val="bottom"/>
            <w:hideMark/>
          </w:tcPr>
          <w:p w14:paraId="7C9FCA8B" w14:textId="77777777" w:rsidR="0078583E" w:rsidRPr="00C92122" w:rsidRDefault="0078583E" w:rsidP="00EB135E">
            <w:pPr>
              <w:tabs>
                <w:tab w:val="left" w:pos="567"/>
              </w:tabs>
              <w:suppressAutoHyphens w:val="0"/>
              <w:spacing w:before="80" w:after="80" w:line="220" w:lineRule="exact"/>
              <w:jc w:val="right"/>
              <w:rPr>
                <w:b/>
                <w:sz w:val="17"/>
                <w:szCs w:val="17"/>
              </w:rPr>
            </w:pPr>
            <w:r w:rsidRPr="00C92122">
              <w:rPr>
                <w:b/>
                <w:bCs/>
                <w:sz w:val="17"/>
                <w:szCs w:val="17"/>
                <w:lang w:val="fr-FR"/>
              </w:rPr>
              <w:t>30</w:t>
            </w:r>
          </w:p>
        </w:tc>
      </w:tr>
    </w:tbl>
    <w:p w14:paraId="0583CBB4" w14:textId="77777777" w:rsidR="0078583E" w:rsidRPr="00D42D93" w:rsidRDefault="0078583E" w:rsidP="00B367C7">
      <w:pPr>
        <w:pStyle w:val="H1G"/>
        <w:spacing w:before="320" w:after="200"/>
      </w:pPr>
      <w:r>
        <w:rPr>
          <w:lang w:val="fr-FR"/>
        </w:rPr>
        <w:tab/>
      </w:r>
      <w:r>
        <w:rPr>
          <w:lang w:val="fr-FR"/>
        </w:rPr>
        <w:tab/>
        <w:t>Droits syndicaux (art. 8)</w:t>
      </w:r>
    </w:p>
    <w:p w14:paraId="2C2A7097" w14:textId="77777777" w:rsidR="0078583E" w:rsidRPr="00820E13" w:rsidRDefault="0078583E" w:rsidP="00B367C7">
      <w:pPr>
        <w:pStyle w:val="H23G"/>
        <w:spacing w:before="220" w:after="100"/>
        <w:rPr>
          <w:lang w:val="fr-FR"/>
        </w:rPr>
      </w:pPr>
      <w:r>
        <w:rPr>
          <w:lang w:val="fr-FR"/>
        </w:rPr>
        <w:tab/>
      </w:r>
      <w:r>
        <w:rPr>
          <w:lang w:val="fr-FR"/>
        </w:rPr>
        <w:tab/>
        <w:t>Réponse au paragraphe 14 de la liste de points</w:t>
      </w:r>
    </w:p>
    <w:p w14:paraId="732E0D2C" w14:textId="77777777" w:rsidR="0078583E" w:rsidRPr="00820E13" w:rsidRDefault="0078583E" w:rsidP="00027531">
      <w:pPr>
        <w:pStyle w:val="SingleTxtG"/>
        <w:widowControl w:val="0"/>
        <w:numPr>
          <w:ilvl w:val="0"/>
          <w:numId w:val="8"/>
        </w:numPr>
        <w:tabs>
          <w:tab w:val="clear" w:pos="1701"/>
          <w:tab w:val="clear" w:pos="2268"/>
          <w:tab w:val="clear" w:pos="2835"/>
          <w:tab w:val="left" w:pos="567"/>
        </w:tabs>
        <w:suppressAutoHyphens w:val="0"/>
        <w:ind w:left="1134" w:firstLine="0"/>
        <w:rPr>
          <w:lang w:val="fr-FR"/>
        </w:rPr>
      </w:pPr>
      <w:r>
        <w:rPr>
          <w:lang w:val="fr-FR"/>
        </w:rPr>
        <w:t>L’État albanais fait partie des États où le droit syndical est protégé par la loi. Il est en effet cité dans le Code du travail, en particulier à l’article 10 sur la liberté syndicale et les négociations collectives, ainsi qu’aux articles 176 à 187 sur les organisations syndicales.</w:t>
      </w:r>
    </w:p>
    <w:p w14:paraId="48BC334A" w14:textId="0CF608E0" w:rsidR="0078583E" w:rsidRPr="00820E13" w:rsidRDefault="0078583E" w:rsidP="00B367C7">
      <w:pPr>
        <w:pStyle w:val="H1G"/>
        <w:spacing w:before="320" w:after="200"/>
        <w:rPr>
          <w:lang w:val="fr-FR"/>
        </w:rPr>
      </w:pPr>
      <w:r>
        <w:rPr>
          <w:lang w:val="fr-FR"/>
        </w:rPr>
        <w:tab/>
      </w:r>
      <w:r>
        <w:rPr>
          <w:lang w:val="fr-FR"/>
        </w:rPr>
        <w:tab/>
        <w:t>Droit à la sécurité sociale (art. 9)</w:t>
      </w:r>
    </w:p>
    <w:p w14:paraId="770883B5" w14:textId="77777777" w:rsidR="0078583E" w:rsidRPr="00820E13" w:rsidRDefault="0078583E" w:rsidP="00B367C7">
      <w:pPr>
        <w:pStyle w:val="H23G"/>
        <w:spacing w:before="220" w:after="100"/>
        <w:rPr>
          <w:lang w:val="fr-FR"/>
        </w:rPr>
      </w:pPr>
      <w:r>
        <w:rPr>
          <w:lang w:val="fr-FR"/>
        </w:rPr>
        <w:tab/>
      </w:r>
      <w:r>
        <w:rPr>
          <w:lang w:val="fr-FR"/>
        </w:rPr>
        <w:tab/>
        <w:t>Réponse au paragraphe 15 de la liste de points</w:t>
      </w:r>
    </w:p>
    <w:p w14:paraId="1CB1B130" w14:textId="77777777" w:rsidR="0078583E" w:rsidRPr="00820E13" w:rsidRDefault="0078583E" w:rsidP="009E29DF">
      <w:pPr>
        <w:pStyle w:val="SingleTxtG"/>
        <w:widowControl w:val="0"/>
        <w:numPr>
          <w:ilvl w:val="0"/>
          <w:numId w:val="8"/>
        </w:numPr>
        <w:tabs>
          <w:tab w:val="clear" w:pos="1701"/>
          <w:tab w:val="clear" w:pos="2268"/>
          <w:tab w:val="clear" w:pos="2835"/>
          <w:tab w:val="left" w:pos="567"/>
        </w:tabs>
        <w:suppressAutoHyphens w:val="0"/>
        <w:ind w:left="1134" w:firstLine="0"/>
        <w:rPr>
          <w:lang w:val="fr-FR"/>
        </w:rPr>
      </w:pPr>
      <w:r>
        <w:rPr>
          <w:lang w:val="fr-FR"/>
        </w:rPr>
        <w:t>Établie en juin 2023, la « cartographie des services sociaux en Albanie » décrit la répartition des services sociaux par catégorie, source de financement, groupes bénéficiaires et organismes prestataires, à l’aide des données administratives de l’ensemble des 61 municipalités. Ce document fournit une évaluation de l’accessibilité des services ainsi que des capacités administratives, institutionnelles, humaines et financières permettant de garantir le fonctionnement efficace du système. Les besoins en services d’aide sociale de chaque municipalité y sont également évalués. L’objectif est d’aider les responsables de l’élaboration et de la mise en œuvre des politiques, tant au niveau central que local, à planifier, fournir et contrôler la prestation des services sociaux.</w:t>
      </w:r>
    </w:p>
    <w:p w14:paraId="67E750C8"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lastRenderedPageBreak/>
        <w:t>L’évaluation des besoins en services sociaux dans les 12 régions montre que 391 établissements de soins</w:t>
      </w:r>
      <w:r w:rsidRPr="0073560B">
        <w:rPr>
          <w:lang w:val="fr-FR"/>
        </w:rPr>
        <w:t xml:space="preserve"> </w:t>
      </w:r>
      <w:r>
        <w:rPr>
          <w:lang w:val="fr-FR"/>
        </w:rPr>
        <w:t>au total, soit 16 % de plus qu’en 2021, ont fourni 1 147 services de soins sociaux (publics, non publics, résidentiels et non résidentiels), soit 2,3 fois plus qu’en 2021 (493 services), à 36 642 bénéficiaires, à savoir des personnes dans le besoin, contre 10 000 en 2019.</w:t>
      </w:r>
    </w:p>
    <w:p w14:paraId="7537325D" w14:textId="77777777" w:rsidR="00887156"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887156">
        <w:rPr>
          <w:lang w:val="fr-FR"/>
        </w:rPr>
        <w:t>Pour plus d’informations, veuillez consulter le lien ci-dessous :</w:t>
      </w:r>
    </w:p>
    <w:p w14:paraId="631CEA8D" w14:textId="54D47271" w:rsidR="0078583E" w:rsidRPr="00887156" w:rsidRDefault="000F67BF" w:rsidP="00887156">
      <w:pPr>
        <w:pStyle w:val="SingleTxtG"/>
        <w:tabs>
          <w:tab w:val="clear" w:pos="1701"/>
          <w:tab w:val="clear" w:pos="2268"/>
          <w:tab w:val="clear" w:pos="2835"/>
          <w:tab w:val="left" w:pos="567"/>
        </w:tabs>
        <w:suppressAutoHyphens w:val="0"/>
        <w:rPr>
          <w:lang w:val="fr-FR"/>
        </w:rPr>
      </w:pPr>
      <w:hyperlink r:id="rId18" w:history="1">
        <w:r w:rsidR="00887156" w:rsidRPr="000D563C">
          <w:rPr>
            <w:rStyle w:val="Lienhypertexte"/>
            <w:lang w:val="fr-FR"/>
          </w:rPr>
          <w:t>https://www.undp.org/albania/publications/mapping-social-services-albania-0.</w:t>
        </w:r>
      </w:hyperlink>
    </w:p>
    <w:p w14:paraId="675F18B5" w14:textId="77777777" w:rsidR="0078583E" w:rsidRPr="00820E13" w:rsidRDefault="0078583E" w:rsidP="006656AF">
      <w:pPr>
        <w:pStyle w:val="H23G"/>
        <w:tabs>
          <w:tab w:val="clear" w:pos="851"/>
          <w:tab w:val="left" w:pos="567"/>
        </w:tabs>
        <w:rPr>
          <w:lang w:val="fr-FR"/>
        </w:rPr>
      </w:pPr>
      <w:r>
        <w:rPr>
          <w:lang w:val="fr-FR"/>
        </w:rPr>
        <w:tab/>
      </w:r>
      <w:r>
        <w:rPr>
          <w:lang w:val="fr-FR"/>
        </w:rPr>
        <w:tab/>
      </w:r>
      <w:r>
        <w:rPr>
          <w:bCs/>
          <w:lang w:val="fr-FR"/>
        </w:rPr>
        <w:t>Réponse au paragraphe 16 de la liste de points</w:t>
      </w:r>
    </w:p>
    <w:p w14:paraId="4643D0C3" w14:textId="66F7D823"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Dans le cadre de la réforme de la </w:t>
      </w:r>
      <w:proofErr w:type="spellStart"/>
      <w:r>
        <w:rPr>
          <w:lang w:val="fr-FR"/>
        </w:rPr>
        <w:t>désinstitutionnalisation</w:t>
      </w:r>
      <w:proofErr w:type="spellEnd"/>
      <w:r>
        <w:rPr>
          <w:lang w:val="fr-FR"/>
        </w:rPr>
        <w:t>, le Ministère de la santé et de la protection sociale a procédé à l’analyse juridique de la loi sur le statut des orphelins. À</w:t>
      </w:r>
      <w:r w:rsidR="008F7A95">
        <w:rPr>
          <w:lang w:val="fr-FR"/>
        </w:rPr>
        <w:t> </w:t>
      </w:r>
      <w:r>
        <w:rPr>
          <w:lang w:val="fr-FR"/>
        </w:rPr>
        <w:t>propos de cette analyse visant à fournir un bref aperçu des politiques de protection sociale, en mettant l’accent sur les enfants « orphelins », on peut signaler les points suivants </w:t>
      </w:r>
      <w:r w:rsidRPr="0073560B">
        <w:rPr>
          <w:lang w:val="fr-FR"/>
        </w:rPr>
        <w:t>:</w:t>
      </w:r>
    </w:p>
    <w:p w14:paraId="32ACB018" w14:textId="77777777" w:rsidR="0078583E" w:rsidRPr="00A01A74" w:rsidRDefault="0078583E" w:rsidP="00A01A74">
      <w:pPr>
        <w:pStyle w:val="Bullet1G"/>
      </w:pPr>
      <w:r>
        <w:rPr>
          <w:lang w:val="fr-FR"/>
        </w:rPr>
        <w:t>Les réformes des programmes sociaux sectoriels</w:t>
      </w:r>
      <w:r w:rsidRPr="00165C6F">
        <w:rPr>
          <w:lang w:val="fr-FR"/>
        </w:rPr>
        <w:t xml:space="preserve"> </w:t>
      </w:r>
      <w:r>
        <w:rPr>
          <w:lang w:val="fr-FR"/>
        </w:rPr>
        <w:t>ayant été entreprises à ce jour à tous les niveaux</w:t>
      </w:r>
      <w:r w:rsidRPr="00A01A74">
        <w:t>, par exemple concernant les services sociaux, l’emploi, le logement social, les systèmes de paiement et les programmes éducatifs, ont été recensées ;</w:t>
      </w:r>
    </w:p>
    <w:p w14:paraId="25EC47BC" w14:textId="77777777" w:rsidR="0078583E" w:rsidRPr="00A01A74" w:rsidRDefault="0078583E" w:rsidP="00A01A74">
      <w:pPr>
        <w:pStyle w:val="Bullet1G"/>
      </w:pPr>
      <w:r w:rsidRPr="00A01A74">
        <w:t>Le terme « orphelin social », qui n’est pas un terme officiel et n’est pas utilisé dans la communication administrative et procédurale, a été remplacé dans tous les documents juridiques ou politiques/stratégiques par l’expression « enfant privé de protection parentale » ;</w:t>
      </w:r>
    </w:p>
    <w:p w14:paraId="7488C7EB" w14:textId="15F323B9" w:rsidR="0078583E" w:rsidRPr="00820E13" w:rsidRDefault="0078583E" w:rsidP="00A01A74">
      <w:pPr>
        <w:pStyle w:val="Bullet1G"/>
        <w:rPr>
          <w:lang w:val="fr-FR"/>
        </w:rPr>
      </w:pPr>
      <w:r w:rsidRPr="00A01A74">
        <w:t>Un ensemble de lois et règlements régissant la protection des droits de l’enfant, y</w:t>
      </w:r>
      <w:r w:rsidR="00A01A74">
        <w:t> </w:t>
      </w:r>
      <w:r w:rsidRPr="00A01A74">
        <w:t>compris ceux des enfants privés de protection parentale, a été analysé, notamment la loi n</w:t>
      </w:r>
      <w:r w:rsidRPr="00A01A74">
        <w:rPr>
          <w:vertAlign w:val="superscript"/>
        </w:rPr>
        <w:t>o</w:t>
      </w:r>
      <w:r w:rsidR="00A01A74">
        <w:t> </w:t>
      </w:r>
      <w:r w:rsidRPr="00A01A74">
        <w:t>18/2017 sur</w:t>
      </w:r>
      <w:r>
        <w:rPr>
          <w:lang w:val="fr-FR"/>
        </w:rPr>
        <w:t xml:space="preserve"> les droits et la protection des enfants, la loi n</w:t>
      </w:r>
      <w:r>
        <w:rPr>
          <w:vertAlign w:val="superscript"/>
          <w:lang w:val="fr-FR"/>
        </w:rPr>
        <w:t>o</w:t>
      </w:r>
      <w:r w:rsidR="008F7A95">
        <w:rPr>
          <w:lang w:val="fr-FR"/>
        </w:rPr>
        <w:t> </w:t>
      </w:r>
      <w:r>
        <w:rPr>
          <w:lang w:val="fr-FR"/>
        </w:rPr>
        <w:t xml:space="preserve">121/2016 relative aux services </w:t>
      </w:r>
      <w:r w:rsidRPr="00887156">
        <w:t>sociaux</w:t>
      </w:r>
      <w:r>
        <w:rPr>
          <w:lang w:val="fr-FR"/>
        </w:rPr>
        <w:t xml:space="preserve"> en République d’Albanie, le Code de la famille, la loi</w:t>
      </w:r>
      <w:r w:rsidR="008F7A95">
        <w:rPr>
          <w:lang w:val="fr-FR"/>
        </w:rPr>
        <w:t> </w:t>
      </w:r>
      <w:r>
        <w:rPr>
          <w:lang w:val="fr-FR"/>
        </w:rPr>
        <w:t>n</w:t>
      </w:r>
      <w:r>
        <w:rPr>
          <w:vertAlign w:val="superscript"/>
          <w:lang w:val="fr-FR"/>
        </w:rPr>
        <w:t>o</w:t>
      </w:r>
      <w:r>
        <w:rPr>
          <w:lang w:val="fr-FR"/>
        </w:rPr>
        <w:t> 9669 du 18 décembre 2006 sur les mesures de lutte contre la violence intrafamiliale, ayant une incidence directe sur l’applicabilité de la loi n</w:t>
      </w:r>
      <w:r>
        <w:rPr>
          <w:vertAlign w:val="superscript"/>
          <w:lang w:val="fr-FR"/>
        </w:rPr>
        <w:t>o</w:t>
      </w:r>
      <w:r>
        <w:rPr>
          <w:lang w:val="fr-FR"/>
        </w:rPr>
        <w:t> 8153 du 31 octobre 1996 sur le statut des orphelins.</w:t>
      </w:r>
    </w:p>
    <w:p w14:paraId="3E6A6D4B" w14:textId="53FA7278"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L’analyse montre que la loi actuelle sur le statut des orphelins n’est pas en phase avec l’évolution de la situation juridique ni avec celle des politiques sociales en vigueur. Le</w:t>
      </w:r>
      <w:r w:rsidR="008F7A95">
        <w:rPr>
          <w:lang w:val="fr-FR"/>
        </w:rPr>
        <w:t> </w:t>
      </w:r>
      <w:r>
        <w:rPr>
          <w:lang w:val="fr-FR"/>
        </w:rPr>
        <w:t>Ministère a présenté une proposition et a prévu de rédiger une nouvelle législation relative à la tutelle des enfants sans protection parentale, qui serait fondée sur le principe de « l’intérêt supérieur de l’enfant » et dans laquelle serait employé le terme « enfant privé de protection parentale », dont le sens est plus large. Un tel texte permettrait l’émergence d’une nouvelle culture d’entente familiale, l’élaboration de meilleures politiques sociales et une meilleure gestion des services et des pratiques sociales par les acteurs impliqués, tant au niveau central que local, ou encore au sein de la société civile.</w:t>
      </w:r>
    </w:p>
    <w:p w14:paraId="13EFB7E1" w14:textId="77777777" w:rsidR="0078583E" w:rsidRPr="00820E13" w:rsidRDefault="0078583E" w:rsidP="006656AF">
      <w:pPr>
        <w:pStyle w:val="H1G"/>
        <w:tabs>
          <w:tab w:val="clear" w:pos="851"/>
          <w:tab w:val="left" w:pos="567"/>
        </w:tabs>
        <w:rPr>
          <w:lang w:val="fr-FR"/>
        </w:rPr>
      </w:pPr>
      <w:r>
        <w:rPr>
          <w:lang w:val="fr-FR"/>
        </w:rPr>
        <w:tab/>
      </w:r>
      <w:r>
        <w:rPr>
          <w:lang w:val="fr-FR"/>
        </w:rPr>
        <w:tab/>
      </w:r>
      <w:r>
        <w:rPr>
          <w:bCs/>
          <w:lang w:val="fr-FR"/>
        </w:rPr>
        <w:t>Protection de la famille et de l’enfant (art. 10)</w:t>
      </w:r>
    </w:p>
    <w:p w14:paraId="6E6E0036" w14:textId="77777777" w:rsidR="0078583E" w:rsidRPr="00820E13" w:rsidRDefault="0078583E" w:rsidP="006656AF">
      <w:pPr>
        <w:pStyle w:val="H23G"/>
        <w:tabs>
          <w:tab w:val="clear" w:pos="851"/>
          <w:tab w:val="left" w:pos="567"/>
        </w:tabs>
        <w:rPr>
          <w:lang w:val="fr-FR"/>
        </w:rPr>
      </w:pPr>
      <w:r>
        <w:rPr>
          <w:lang w:val="fr-FR"/>
        </w:rPr>
        <w:tab/>
      </w:r>
      <w:r>
        <w:rPr>
          <w:lang w:val="fr-FR"/>
        </w:rPr>
        <w:tab/>
      </w:r>
      <w:r>
        <w:rPr>
          <w:bCs/>
          <w:lang w:val="fr-FR"/>
        </w:rPr>
        <w:t>Réponse aux paragraphes 17 et 18 de la liste de points</w:t>
      </w:r>
    </w:p>
    <w:p w14:paraId="0D0B10C8"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La loi n</w:t>
      </w:r>
      <w:r>
        <w:rPr>
          <w:vertAlign w:val="superscript"/>
          <w:lang w:val="fr-FR"/>
        </w:rPr>
        <w:t>o</w:t>
      </w:r>
      <w:r>
        <w:rPr>
          <w:lang w:val="fr-FR"/>
        </w:rPr>
        <w:t> 10/2021 sur l’asile en République d’Albanie, qui est conforme aux cinq directives de l’Union européenne, régit le regroupement familial des personnes réfugiées et bénéficiant de la protection subsidiaire. Elle dispose que les personnes réfugiées ou bénéficiant de la protection subsidiaire doivent soumettre leur demande de regroupement familial à l’autorité responsable de l’asile et des réfugiés.</w:t>
      </w:r>
    </w:p>
    <w:p w14:paraId="7C8F7130" w14:textId="777777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Pour soumettre une demande de regroupement familial à l’autorité responsable de l’asile et des réfugiés, les personnes réfugiées ou bénéficiant de la protection subsidiaire doivent remplir le formulaire de demande spéciale approuvé par l’arrêté du ministre n</w:t>
      </w:r>
      <w:r>
        <w:rPr>
          <w:vertAlign w:val="superscript"/>
          <w:lang w:val="fr-FR"/>
        </w:rPr>
        <w:t>o</w:t>
      </w:r>
      <w:r>
        <w:rPr>
          <w:lang w:val="fr-FR"/>
        </w:rPr>
        <w:t xml:space="preserve"> 249 </w:t>
      </w:r>
      <w:r w:rsidRPr="003F0172">
        <w:rPr>
          <w:lang w:val="fr-FR"/>
        </w:rPr>
        <w:t>du 3</w:t>
      </w:r>
      <w:r>
        <w:rPr>
          <w:lang w:val="fr-FR"/>
        </w:rPr>
        <w:t> </w:t>
      </w:r>
      <w:r w:rsidRPr="003F0172">
        <w:rPr>
          <w:lang w:val="fr-FR"/>
        </w:rPr>
        <w:t>juin 2021, à condition d</w:t>
      </w:r>
      <w:r>
        <w:rPr>
          <w:lang w:val="fr-FR"/>
        </w:rPr>
        <w:t>’</w:t>
      </w:r>
      <w:r w:rsidRPr="003F0172">
        <w:rPr>
          <w:lang w:val="fr-FR"/>
        </w:rPr>
        <w:t>avoir séjourné légalement sur le territoire de la République d</w:t>
      </w:r>
      <w:r>
        <w:rPr>
          <w:lang w:val="fr-FR"/>
        </w:rPr>
        <w:t>’</w:t>
      </w:r>
      <w:r w:rsidRPr="003F0172">
        <w:rPr>
          <w:lang w:val="fr-FR"/>
        </w:rPr>
        <w:t>Albanie pendant 2 (deux) ans au maximum, avant de rejoindre les membres de leur famille.</w:t>
      </w:r>
    </w:p>
    <w:p w14:paraId="25F648E8" w14:textId="777777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Le Programme national en faveur des droits de l</w:t>
      </w:r>
      <w:r>
        <w:rPr>
          <w:lang w:val="fr-FR"/>
        </w:rPr>
        <w:t>’</w:t>
      </w:r>
      <w:r w:rsidRPr="003F0172">
        <w:rPr>
          <w:lang w:val="fr-FR"/>
        </w:rPr>
        <w:t>enfant (2021-2026), document stratégique établi par le Ministère de la santé et de la protection sociale, met en œuvre des mesures visant à fournir des services complets et adaptés et à protéger les droits de l</w:t>
      </w:r>
      <w:r>
        <w:rPr>
          <w:lang w:val="fr-FR"/>
        </w:rPr>
        <w:t>’</w:t>
      </w:r>
      <w:r w:rsidRPr="003F0172">
        <w:rPr>
          <w:lang w:val="fr-FR"/>
        </w:rPr>
        <w:t xml:space="preserve">enfant. </w:t>
      </w:r>
      <w:r w:rsidRPr="003F0172">
        <w:rPr>
          <w:lang w:val="fr-FR"/>
        </w:rPr>
        <w:lastRenderedPageBreak/>
        <w:t>L</w:t>
      </w:r>
      <w:r>
        <w:rPr>
          <w:lang w:val="fr-FR"/>
        </w:rPr>
        <w:t>’</w:t>
      </w:r>
      <w:r w:rsidRPr="003F0172">
        <w:rPr>
          <w:lang w:val="fr-FR"/>
        </w:rPr>
        <w:t>un de ses objectifs stratégiques porte spécifiquement sur l</w:t>
      </w:r>
      <w:r>
        <w:rPr>
          <w:lang w:val="fr-FR"/>
        </w:rPr>
        <w:t>’</w:t>
      </w:r>
      <w:r w:rsidRPr="003F0172">
        <w:rPr>
          <w:lang w:val="fr-FR"/>
        </w:rPr>
        <w:t>élimination de toutes les formes de violence à l</w:t>
      </w:r>
      <w:r>
        <w:rPr>
          <w:lang w:val="fr-FR"/>
        </w:rPr>
        <w:t>’</w:t>
      </w:r>
      <w:r w:rsidRPr="003F0172">
        <w:rPr>
          <w:lang w:val="fr-FR"/>
        </w:rPr>
        <w:t>égard des enfants, y compris les enfants en situation de rue et exploités économiquement.</w:t>
      </w:r>
    </w:p>
    <w:p w14:paraId="7457B988" w14:textId="6681D1D5"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Le Ministère de la santé et de la protection sociale, en tant qu</w:t>
      </w:r>
      <w:r>
        <w:rPr>
          <w:lang w:val="fr-FR"/>
        </w:rPr>
        <w:t>’</w:t>
      </w:r>
      <w:r w:rsidRPr="003F0172">
        <w:rPr>
          <w:lang w:val="fr-FR"/>
        </w:rPr>
        <w:t>organe de coordination, et l</w:t>
      </w:r>
      <w:r>
        <w:rPr>
          <w:lang w:val="fr-FR"/>
        </w:rPr>
        <w:t>’</w:t>
      </w:r>
      <w:r w:rsidRPr="003F0172">
        <w:rPr>
          <w:lang w:val="fr-FR"/>
        </w:rPr>
        <w:t>Agence nationale pour les droits de l</w:t>
      </w:r>
      <w:r>
        <w:rPr>
          <w:lang w:val="fr-FR"/>
        </w:rPr>
        <w:t>’</w:t>
      </w:r>
      <w:r w:rsidRPr="003F0172">
        <w:rPr>
          <w:lang w:val="fr-FR"/>
        </w:rPr>
        <w:t>enfant et la protection de l</w:t>
      </w:r>
      <w:r>
        <w:rPr>
          <w:lang w:val="fr-FR"/>
        </w:rPr>
        <w:t>’</w:t>
      </w:r>
      <w:r w:rsidRPr="003F0172">
        <w:rPr>
          <w:lang w:val="fr-FR"/>
        </w:rPr>
        <w:t>enfance sont chargés de l</w:t>
      </w:r>
      <w:r>
        <w:rPr>
          <w:lang w:val="fr-FR"/>
        </w:rPr>
        <w:t>’</w:t>
      </w:r>
      <w:r w:rsidRPr="003F0172">
        <w:rPr>
          <w:lang w:val="fr-FR"/>
        </w:rPr>
        <w:t>application de la loi n</w:t>
      </w:r>
      <w:r w:rsidRPr="003F0172">
        <w:rPr>
          <w:vertAlign w:val="superscript"/>
          <w:lang w:val="fr-FR"/>
        </w:rPr>
        <w:t>o</w:t>
      </w:r>
      <w:r w:rsidR="00B17EF3">
        <w:rPr>
          <w:lang w:val="fr-FR"/>
        </w:rPr>
        <w:t> </w:t>
      </w:r>
      <w:r w:rsidRPr="003F0172">
        <w:rPr>
          <w:lang w:val="fr-FR"/>
        </w:rPr>
        <w:t>18/2017 relative aux droits et à la protection de l</w:t>
      </w:r>
      <w:r>
        <w:rPr>
          <w:lang w:val="fr-FR"/>
        </w:rPr>
        <w:t>’</w:t>
      </w:r>
      <w:r w:rsidRPr="003F0172">
        <w:rPr>
          <w:lang w:val="fr-FR"/>
        </w:rPr>
        <w:t>enfant. La directive du Ministère de la santé et de la protection sociale n</w:t>
      </w:r>
      <w:r w:rsidRPr="00E803DA">
        <w:rPr>
          <w:vertAlign w:val="superscript"/>
          <w:lang w:val="fr-FR"/>
        </w:rPr>
        <w:t>o</w:t>
      </w:r>
      <w:r>
        <w:rPr>
          <w:lang w:val="fr-FR"/>
        </w:rPr>
        <w:t> </w:t>
      </w:r>
      <w:r w:rsidRPr="003F0172">
        <w:rPr>
          <w:lang w:val="fr-FR"/>
        </w:rPr>
        <w:t>767 du 28</w:t>
      </w:r>
      <w:r>
        <w:rPr>
          <w:lang w:val="fr-FR"/>
        </w:rPr>
        <w:t> </w:t>
      </w:r>
      <w:r w:rsidRPr="003F0172">
        <w:rPr>
          <w:lang w:val="fr-FR"/>
        </w:rPr>
        <w:t>décembre 2023, portant sur la méthode de contrôle de la qualité du travail des structures de protection de l</w:t>
      </w:r>
      <w:r>
        <w:rPr>
          <w:lang w:val="fr-FR"/>
        </w:rPr>
        <w:t>’</w:t>
      </w:r>
      <w:r w:rsidRPr="003F0172">
        <w:rPr>
          <w:lang w:val="fr-FR"/>
        </w:rPr>
        <w:t>enfance à l</w:t>
      </w:r>
      <w:r>
        <w:rPr>
          <w:lang w:val="fr-FR"/>
        </w:rPr>
        <w:t>’</w:t>
      </w:r>
      <w:r w:rsidRPr="003F0172">
        <w:rPr>
          <w:lang w:val="fr-FR"/>
        </w:rPr>
        <w:t>échelon local, a récemment été approuvée, l</w:t>
      </w:r>
      <w:r>
        <w:rPr>
          <w:lang w:val="fr-FR"/>
        </w:rPr>
        <w:t>’</w:t>
      </w:r>
      <w:r w:rsidRPr="003F0172">
        <w:rPr>
          <w:lang w:val="fr-FR"/>
        </w:rPr>
        <w:t>objectif étant d</w:t>
      </w:r>
      <w:r>
        <w:rPr>
          <w:lang w:val="fr-FR"/>
        </w:rPr>
        <w:t>’</w:t>
      </w:r>
      <w:r w:rsidRPr="003F0172">
        <w:rPr>
          <w:lang w:val="fr-FR"/>
        </w:rPr>
        <w:t>améliorer la qualité de la mise en œuvre de la loi. Dans le cadre de cette méthode de contrôle du travail mené par l</w:t>
      </w:r>
      <w:r>
        <w:rPr>
          <w:lang w:val="fr-FR"/>
        </w:rPr>
        <w:t>’</w:t>
      </w:r>
      <w:r w:rsidRPr="003F0172">
        <w:rPr>
          <w:lang w:val="fr-FR"/>
        </w:rPr>
        <w:t>Agence nationale pour les droits de l</w:t>
      </w:r>
      <w:r>
        <w:rPr>
          <w:lang w:val="fr-FR"/>
        </w:rPr>
        <w:t>’</w:t>
      </w:r>
      <w:r w:rsidRPr="003F0172">
        <w:rPr>
          <w:lang w:val="fr-FR"/>
        </w:rPr>
        <w:t>enfant et par les services de protection de l</w:t>
      </w:r>
      <w:r>
        <w:rPr>
          <w:lang w:val="fr-FR"/>
        </w:rPr>
        <w:t>’</w:t>
      </w:r>
      <w:r w:rsidRPr="003F0172">
        <w:rPr>
          <w:lang w:val="fr-FR"/>
        </w:rPr>
        <w:t>enfance, 10</w:t>
      </w:r>
      <w:r>
        <w:rPr>
          <w:lang w:val="fr-FR"/>
        </w:rPr>
        <w:t> </w:t>
      </w:r>
      <w:r w:rsidRPr="003F0172">
        <w:rPr>
          <w:lang w:val="fr-FR"/>
        </w:rPr>
        <w:t>réunions se sont tenues à l</w:t>
      </w:r>
      <w:r>
        <w:rPr>
          <w:lang w:val="fr-FR"/>
        </w:rPr>
        <w:t>’</w:t>
      </w:r>
      <w:r w:rsidRPr="003F0172">
        <w:rPr>
          <w:lang w:val="fr-FR"/>
        </w:rPr>
        <w:t>échelle locale et une activité de promotion à l</w:t>
      </w:r>
      <w:r>
        <w:rPr>
          <w:lang w:val="fr-FR"/>
        </w:rPr>
        <w:t>’</w:t>
      </w:r>
      <w:r w:rsidRPr="003F0172">
        <w:rPr>
          <w:lang w:val="fr-FR"/>
        </w:rPr>
        <w:t>échelle nationale. Un suivi sur le terrain de 200</w:t>
      </w:r>
      <w:r>
        <w:rPr>
          <w:lang w:val="fr-FR"/>
        </w:rPr>
        <w:t> </w:t>
      </w:r>
      <w:r w:rsidRPr="003F0172">
        <w:rPr>
          <w:lang w:val="fr-FR"/>
        </w:rPr>
        <w:t>cas d</w:t>
      </w:r>
      <w:r>
        <w:rPr>
          <w:lang w:val="fr-FR"/>
        </w:rPr>
        <w:t>’</w:t>
      </w:r>
      <w:r w:rsidRPr="003F0172">
        <w:rPr>
          <w:lang w:val="fr-FR"/>
        </w:rPr>
        <w:t>enfants pris en charge par des agents de la protection de l</w:t>
      </w:r>
      <w:r>
        <w:rPr>
          <w:lang w:val="fr-FR"/>
        </w:rPr>
        <w:t>’</w:t>
      </w:r>
      <w:r w:rsidRPr="003F0172">
        <w:rPr>
          <w:lang w:val="fr-FR"/>
        </w:rPr>
        <w:t>enfance a également été assuré selon cette nouvelle méthode.</w:t>
      </w:r>
    </w:p>
    <w:p w14:paraId="64757AA9" w14:textId="77777777" w:rsidR="0078583E" w:rsidRPr="00A01A74" w:rsidRDefault="0078583E" w:rsidP="00A01A74">
      <w:pPr>
        <w:pStyle w:val="SingleTxtG"/>
        <w:numPr>
          <w:ilvl w:val="0"/>
          <w:numId w:val="8"/>
        </w:numPr>
        <w:tabs>
          <w:tab w:val="clear" w:pos="1701"/>
          <w:tab w:val="clear" w:pos="2268"/>
          <w:tab w:val="clear" w:pos="2835"/>
          <w:tab w:val="left" w:pos="567"/>
        </w:tabs>
        <w:suppressAutoHyphens w:val="0"/>
        <w:ind w:left="1134" w:firstLine="0"/>
        <w:rPr>
          <w:spacing w:val="-2"/>
          <w:lang w:val="fr-FR"/>
        </w:rPr>
      </w:pPr>
      <w:r w:rsidRPr="00A01A74">
        <w:rPr>
          <w:spacing w:val="-2"/>
          <w:lang w:val="fr-FR"/>
        </w:rPr>
        <w:t>Les enfants de moins de 16 ans peuvent bénéficier pleinement du système de santé, à commencer par la vaccination et l’immunisation dans le cadre Programme de vaccination national de 0 à 18 ans. Ils ont également accès gratuitement à un bilan de santé et à des visites chez le médecin de famille et chez les médecins spécialistes par l’intermédiaire du système d’aiguillage. En 2019, le Ministère a lancé le programme de remboursement des bandelettes de glycémie pour les enfants et les jeunes diabétiques, de la naissance jusqu’à 25 ans. En avril 2022, le Ministère a lancé le Programme national de dépistage des troubles de la vue, destiné aux enfants de 6 à 14 ans. Il est mis en œuvre en 9</w:t>
      </w:r>
      <w:r w:rsidRPr="00A01A74">
        <w:rPr>
          <w:spacing w:val="-2"/>
          <w:vertAlign w:val="superscript"/>
          <w:lang w:val="fr-FR"/>
        </w:rPr>
        <w:t>e</w:t>
      </w:r>
      <w:r w:rsidRPr="00A01A74">
        <w:rPr>
          <w:spacing w:val="-2"/>
          <w:lang w:val="fr-FR"/>
        </w:rPr>
        <w:t> année dans toutes les écoles publiques d’Albanie. En 2023, le Ministère a lancé un nouveau Programme national de dépistage des problèmes dentaires, qui s’adresse également aux enfants de 6 à 14 ans scolarisés en 9</w:t>
      </w:r>
      <w:r w:rsidRPr="00A01A74">
        <w:rPr>
          <w:spacing w:val="-2"/>
          <w:vertAlign w:val="superscript"/>
          <w:lang w:val="fr-FR"/>
        </w:rPr>
        <w:t>e</w:t>
      </w:r>
      <w:r w:rsidRPr="00A01A74">
        <w:rPr>
          <w:spacing w:val="-2"/>
          <w:lang w:val="fr-FR"/>
        </w:rPr>
        <w:t> année dans les établissements scolaires de tout le pays. En outre, le Ministère entend lancer en 2024 le Programme national de dépistage de la scoliose, un nouveau programme de dépistage pour les enfants de 5 à 14 ans, ainsi que le Programme national de dépistage des troubles auditifs chez les enfants, dès la naissance. Ce dernier sera en phase avec un autre programme mis en œuvre dans les hôpitaux publics auprès des enfants souffrant de troubles de l’audition, proposant le remboursement à 100 % de l’implant cochléaire, financé par le budget de l’État.</w:t>
      </w:r>
    </w:p>
    <w:p w14:paraId="09EF80BC" w14:textId="5D29A045"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Tous les programmes susmentionnés comportent également des activités de promotion et de sensibilisation à l</w:t>
      </w:r>
      <w:r>
        <w:rPr>
          <w:lang w:val="fr-FR"/>
        </w:rPr>
        <w:t>’</w:t>
      </w:r>
      <w:r w:rsidRPr="003F0172">
        <w:rPr>
          <w:lang w:val="fr-FR"/>
        </w:rPr>
        <w:t>importance de la santé et des connaissances en matière de santé chez les enfants. Les enfants sont protégés contre l</w:t>
      </w:r>
      <w:r>
        <w:rPr>
          <w:lang w:val="fr-FR"/>
        </w:rPr>
        <w:t>’</w:t>
      </w:r>
      <w:r w:rsidRPr="003F0172">
        <w:rPr>
          <w:lang w:val="fr-FR"/>
        </w:rPr>
        <w:t>exploitation économique au titre du chapitre</w:t>
      </w:r>
      <w:r w:rsidR="00B17EF3">
        <w:rPr>
          <w:lang w:val="fr-FR"/>
        </w:rPr>
        <w:t> </w:t>
      </w:r>
      <w:r w:rsidRPr="003F0172">
        <w:rPr>
          <w:lang w:val="fr-FR"/>
        </w:rPr>
        <w:t>V de la loi n</w:t>
      </w:r>
      <w:r w:rsidRPr="003F0172">
        <w:rPr>
          <w:vertAlign w:val="superscript"/>
          <w:lang w:val="fr-FR"/>
        </w:rPr>
        <w:t>o</w:t>
      </w:r>
      <w:r w:rsidR="00B17EF3">
        <w:rPr>
          <w:lang w:val="fr-FR"/>
        </w:rPr>
        <w:t> </w:t>
      </w:r>
      <w:r w:rsidRPr="003F0172">
        <w:rPr>
          <w:lang w:val="fr-FR"/>
        </w:rPr>
        <w:t>18/2017 relative aux droits et à la protection de l</w:t>
      </w:r>
      <w:r>
        <w:rPr>
          <w:lang w:val="fr-FR"/>
        </w:rPr>
        <w:t>’</w:t>
      </w:r>
      <w:r w:rsidRPr="003F0172">
        <w:rPr>
          <w:lang w:val="fr-FR"/>
        </w:rPr>
        <w:t>enfant, qui prévoit que cette catégorie d</w:t>
      </w:r>
      <w:r>
        <w:rPr>
          <w:lang w:val="fr-FR"/>
        </w:rPr>
        <w:t>’</w:t>
      </w:r>
      <w:r w:rsidRPr="003F0172">
        <w:rPr>
          <w:lang w:val="fr-FR"/>
        </w:rPr>
        <w:t>enfants doit bénéficier d</w:t>
      </w:r>
      <w:r>
        <w:rPr>
          <w:lang w:val="fr-FR"/>
        </w:rPr>
        <w:t>’</w:t>
      </w:r>
      <w:r w:rsidRPr="003F0172">
        <w:rPr>
          <w:lang w:val="fr-FR"/>
        </w:rPr>
        <w:t>une protection spéciale. Les articles 24 et 6</w:t>
      </w:r>
      <w:r w:rsidR="00B17EF3">
        <w:rPr>
          <w:lang w:val="fr-FR"/>
        </w:rPr>
        <w:t>4</w:t>
      </w:r>
      <w:r w:rsidRPr="003F0172">
        <w:rPr>
          <w:lang w:val="fr-FR"/>
        </w:rPr>
        <w:t xml:space="preserve"> de la loi n</w:t>
      </w:r>
      <w:r w:rsidRPr="003F0172">
        <w:rPr>
          <w:vertAlign w:val="superscript"/>
          <w:lang w:val="fr-FR"/>
        </w:rPr>
        <w:t>o</w:t>
      </w:r>
      <w:r w:rsidRPr="003F0172">
        <w:rPr>
          <w:lang w:val="fr-FR"/>
        </w:rPr>
        <w:t> 18/2017 prévoient que ces enfants doivent être protégés.</w:t>
      </w:r>
    </w:p>
    <w:p w14:paraId="442A6FE2" w14:textId="777777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Conformément au Code pénal, l</w:t>
      </w:r>
      <w:r>
        <w:rPr>
          <w:lang w:val="fr-FR"/>
        </w:rPr>
        <w:t>’</w:t>
      </w:r>
      <w:r w:rsidRPr="003F0172">
        <w:rPr>
          <w:lang w:val="fr-FR"/>
        </w:rPr>
        <w:t>enfant est protégé contre l</w:t>
      </w:r>
      <w:r>
        <w:rPr>
          <w:lang w:val="fr-FR"/>
        </w:rPr>
        <w:t>’</w:t>
      </w:r>
      <w:r w:rsidRPr="003F0172">
        <w:rPr>
          <w:lang w:val="fr-FR"/>
        </w:rPr>
        <w:t>exploitation économique, à savoir l</w:t>
      </w:r>
      <w:r>
        <w:rPr>
          <w:lang w:val="fr-FR"/>
        </w:rPr>
        <w:t>’</w:t>
      </w:r>
      <w:r w:rsidRPr="003F0172">
        <w:rPr>
          <w:lang w:val="fr-FR"/>
        </w:rPr>
        <w:t>exécution de tout travail qui :</w:t>
      </w:r>
    </w:p>
    <w:p w14:paraId="2B1304CC" w14:textId="3E8F828B" w:rsidR="0078583E" w:rsidRPr="003F0172" w:rsidRDefault="00A01A74" w:rsidP="00A01A74">
      <w:pPr>
        <w:pStyle w:val="Bullet1G"/>
        <w:rPr>
          <w:lang w:val="fr-FR"/>
        </w:rPr>
      </w:pPr>
      <w:r w:rsidRPr="00A01A74">
        <w:t>R</w:t>
      </w:r>
      <w:r w:rsidR="0078583E" w:rsidRPr="00A01A74">
        <w:t>eprésente</w:t>
      </w:r>
      <w:r w:rsidR="0078583E" w:rsidRPr="003F0172">
        <w:rPr>
          <w:lang w:val="fr-FR"/>
        </w:rPr>
        <w:t xml:space="preserve"> des risques pour la santé physique et mentale, le bien-être et le développement global</w:t>
      </w:r>
      <w:r w:rsidR="0078583E">
        <w:rPr>
          <w:lang w:val="fr-FR"/>
        </w:rPr>
        <w:t> </w:t>
      </w:r>
      <w:r w:rsidR="0078583E" w:rsidRPr="003F0172">
        <w:rPr>
          <w:lang w:val="fr-FR"/>
        </w:rPr>
        <w:t>;</w:t>
      </w:r>
    </w:p>
    <w:p w14:paraId="13ABDBD5" w14:textId="03C2F496" w:rsidR="0078583E" w:rsidRPr="003F0172" w:rsidRDefault="00A01A74" w:rsidP="006656AF">
      <w:pPr>
        <w:pStyle w:val="Bullet1G"/>
        <w:numPr>
          <w:ilvl w:val="0"/>
          <w:numId w:val="1"/>
        </w:numPr>
        <w:tabs>
          <w:tab w:val="left" w:pos="567"/>
        </w:tabs>
      </w:pPr>
      <w:r>
        <w:rPr>
          <w:lang w:val="fr-FR"/>
        </w:rPr>
        <w:t>P</w:t>
      </w:r>
      <w:r w:rsidR="0078583E" w:rsidRPr="003F0172">
        <w:rPr>
          <w:lang w:val="fr-FR"/>
        </w:rPr>
        <w:t>orte atteinte à l</w:t>
      </w:r>
      <w:r w:rsidR="0078583E">
        <w:rPr>
          <w:lang w:val="fr-FR"/>
        </w:rPr>
        <w:t>’</w:t>
      </w:r>
      <w:r w:rsidR="0078583E" w:rsidRPr="003F0172">
        <w:rPr>
          <w:lang w:val="fr-FR"/>
        </w:rPr>
        <w:t>éducation</w:t>
      </w:r>
      <w:r w:rsidR="0078583E">
        <w:rPr>
          <w:lang w:val="fr-FR"/>
        </w:rPr>
        <w:t> </w:t>
      </w:r>
      <w:r w:rsidR="0078583E" w:rsidRPr="003F0172">
        <w:rPr>
          <w:lang w:val="fr-FR"/>
        </w:rPr>
        <w:t>;</w:t>
      </w:r>
    </w:p>
    <w:p w14:paraId="431D2610" w14:textId="364C3737" w:rsidR="0078583E" w:rsidRPr="003F0172" w:rsidRDefault="00A01A74" w:rsidP="006656AF">
      <w:pPr>
        <w:pStyle w:val="Bullet1G"/>
        <w:numPr>
          <w:ilvl w:val="0"/>
          <w:numId w:val="1"/>
        </w:numPr>
        <w:tabs>
          <w:tab w:val="left" w:pos="567"/>
        </w:tabs>
      </w:pPr>
      <w:r>
        <w:rPr>
          <w:lang w:val="fr-FR"/>
        </w:rPr>
        <w:t>E</w:t>
      </w:r>
      <w:r w:rsidR="0078583E" w:rsidRPr="003F0172">
        <w:rPr>
          <w:lang w:val="fr-FR"/>
        </w:rPr>
        <w:t>st forcé.</w:t>
      </w:r>
    </w:p>
    <w:p w14:paraId="504A09AE" w14:textId="77777777" w:rsidR="0078583E" w:rsidRPr="00820E13" w:rsidRDefault="0078583E" w:rsidP="00A01A74">
      <w:pPr>
        <w:pStyle w:val="SingleTxtG"/>
        <w:widowControl w:val="0"/>
        <w:numPr>
          <w:ilvl w:val="0"/>
          <w:numId w:val="8"/>
        </w:numPr>
        <w:tabs>
          <w:tab w:val="clear" w:pos="1701"/>
          <w:tab w:val="clear" w:pos="2268"/>
          <w:tab w:val="clear" w:pos="2835"/>
          <w:tab w:val="left" w:pos="567"/>
        </w:tabs>
        <w:suppressAutoHyphens w:val="0"/>
        <w:ind w:left="1134" w:firstLine="0"/>
        <w:rPr>
          <w:lang w:val="fr-FR"/>
        </w:rPr>
      </w:pPr>
      <w:r>
        <w:rPr>
          <w:lang w:val="fr-FR"/>
        </w:rPr>
        <w:t>L’emploi des enfants de moins de 16 ans est interdit. Les enfants peuvent effectuer des travaux légers, qui ne nuisent pas à leur santé ni à leur éducation et qui ne les empêchent pas d’être scolarisés, conformément aux dispositions prévues par le Code du travail. Ils sont protégés contre l’exploitation économique, ainsi que contre tout travail forcé au sein de leur famille, à l’école, dans des instituts de réadaptation et de redressement, ou à des fins culturelles, artistiques, sportives, de mannequinat ou de publicité, présentant un risque ou nuisant à leur éducation, à leur santé ou à leur épanouissement physique, mental, spirituel, moral ou social. Toute pratique consistant à forcer un enfant à accomplir les actes susmentionnés, que son parent ou tuteur en ait connaissance ou non, et qu’il s’agisse ou non d’une récompense, est interdite.</w:t>
      </w:r>
    </w:p>
    <w:p w14:paraId="43623832" w14:textId="77777777" w:rsidR="0078583E" w:rsidRPr="00820E13" w:rsidRDefault="0078583E" w:rsidP="00A526E9">
      <w:pPr>
        <w:pStyle w:val="SingleTxtG"/>
        <w:keepNext/>
        <w:keepLines/>
        <w:numPr>
          <w:ilvl w:val="0"/>
          <w:numId w:val="8"/>
        </w:numPr>
        <w:tabs>
          <w:tab w:val="clear" w:pos="1701"/>
          <w:tab w:val="clear" w:pos="2268"/>
          <w:tab w:val="clear" w:pos="2835"/>
          <w:tab w:val="left" w:pos="567"/>
        </w:tabs>
        <w:suppressAutoHyphens w:val="0"/>
        <w:spacing w:after="140"/>
        <w:ind w:left="1134" w:firstLine="0"/>
        <w:rPr>
          <w:lang w:val="fr-FR"/>
        </w:rPr>
      </w:pPr>
      <w:r>
        <w:rPr>
          <w:lang w:val="fr-FR"/>
        </w:rPr>
        <w:lastRenderedPageBreak/>
        <w:t>Lorsqu’un enfant en âge d’être soumis à l’obligation scolaire se soustrait à l’enseignement pour se livrer à des activités interdites par la loi, le personnel éducatif en informe immédiatement son parent ou tuteur, ainsi que l’unité de protection de l’enfance, qui prennent des mesures immédiates pour permettre à l’enfant de retourner à l’école.</w:t>
      </w:r>
    </w:p>
    <w:p w14:paraId="2A12A3CB" w14:textId="0979BD52" w:rsidR="0078583E" w:rsidRPr="00820E13" w:rsidRDefault="0078583E" w:rsidP="00A01A74">
      <w:pPr>
        <w:pStyle w:val="SingleTxtG"/>
        <w:numPr>
          <w:ilvl w:val="0"/>
          <w:numId w:val="8"/>
        </w:numPr>
        <w:tabs>
          <w:tab w:val="clear" w:pos="1701"/>
          <w:tab w:val="clear" w:pos="2268"/>
          <w:tab w:val="clear" w:pos="2835"/>
          <w:tab w:val="left" w:pos="567"/>
        </w:tabs>
        <w:suppressAutoHyphens w:val="0"/>
        <w:spacing w:after="140"/>
        <w:ind w:left="1134" w:firstLine="0"/>
        <w:rPr>
          <w:lang w:val="fr-FR"/>
        </w:rPr>
      </w:pPr>
      <w:r>
        <w:rPr>
          <w:lang w:val="fr-FR"/>
        </w:rPr>
        <w:t>Les structures de protection de l’enfance s’emploient à repérer les cas d’exploitation de l’enfant et à traiter en priorité tout cas signalé, notamment les cas d’enfants en situation de rue. Avec le soutien des organes de la police nationale, elles ont la responsabilité d’entreprendre des actions concrètes pour soustraire l’enfant à la situation d’exploitation économique ou de rue, et sont habilitées à le faire. Après évaluation de chaque cas, l’agent de la protection de l’enfance, en coopération avec l’unité d’évaluation des cas et d’orientation et avec le groupe technique intersectoriel, peut prendre diverses mesures, à inclure dans le plan de protection individuelle. Il peut s’agir, entre autres, des mesures suivantes :</w:t>
      </w:r>
    </w:p>
    <w:p w14:paraId="28225D1E" w14:textId="77777777" w:rsidR="0078583E" w:rsidRPr="00A01A74" w:rsidRDefault="0078583E" w:rsidP="00A01A74">
      <w:pPr>
        <w:pStyle w:val="Bullet1G"/>
        <w:spacing w:after="140"/>
      </w:pPr>
      <w:r w:rsidRPr="00A01A74">
        <w:t>Application de l’une des mesures de protection prévues par la loi ;</w:t>
      </w:r>
    </w:p>
    <w:p w14:paraId="495B0E7B" w14:textId="77777777" w:rsidR="0078583E" w:rsidRPr="00A01A74" w:rsidRDefault="0078583E" w:rsidP="00A01A74">
      <w:pPr>
        <w:pStyle w:val="Bullet1G"/>
        <w:spacing w:after="140"/>
      </w:pPr>
      <w:r w:rsidRPr="00A01A74">
        <w:t>Inscription de l’enfant à l’école et/ou suivi régulier du programme éducatif ;</w:t>
      </w:r>
    </w:p>
    <w:p w14:paraId="45476292" w14:textId="77777777" w:rsidR="0078583E" w:rsidRPr="00A01A74" w:rsidRDefault="0078583E" w:rsidP="00A01A74">
      <w:pPr>
        <w:pStyle w:val="Bullet1G"/>
        <w:spacing w:after="140"/>
      </w:pPr>
      <w:r w:rsidRPr="00A01A74">
        <w:t>Soutien pédagogique, par des enseignants spécialisés ou en classe ;</w:t>
      </w:r>
    </w:p>
    <w:p w14:paraId="5E9D455E" w14:textId="77777777" w:rsidR="0078583E" w:rsidRPr="00A01A74" w:rsidRDefault="0078583E" w:rsidP="00A01A74">
      <w:pPr>
        <w:pStyle w:val="Bullet1G"/>
        <w:spacing w:after="140"/>
      </w:pPr>
      <w:r w:rsidRPr="00A01A74">
        <w:t>Interdiction de fréquenter certains lieux ;</w:t>
      </w:r>
    </w:p>
    <w:p w14:paraId="527B082E" w14:textId="77777777" w:rsidR="0078583E" w:rsidRPr="000130AF" w:rsidRDefault="0078583E" w:rsidP="00A01A74">
      <w:pPr>
        <w:pStyle w:val="Bullet1G"/>
        <w:spacing w:after="140"/>
      </w:pPr>
      <w:r w:rsidRPr="00A01A74">
        <w:t>Conseils psychologiques</w:t>
      </w:r>
      <w:r>
        <w:rPr>
          <w:lang w:val="fr-FR"/>
        </w:rPr>
        <w:t> ;</w:t>
      </w:r>
    </w:p>
    <w:p w14:paraId="54F5AF2A" w14:textId="77777777" w:rsidR="0078583E" w:rsidRPr="000130AF" w:rsidRDefault="0078583E" w:rsidP="006656AF">
      <w:pPr>
        <w:pStyle w:val="Bullet1G"/>
        <w:numPr>
          <w:ilvl w:val="0"/>
          <w:numId w:val="1"/>
        </w:numPr>
        <w:tabs>
          <w:tab w:val="left" w:pos="567"/>
        </w:tabs>
      </w:pPr>
      <w:r>
        <w:rPr>
          <w:lang w:val="fr-FR"/>
        </w:rPr>
        <w:t>Soins médicaux, si nécessaire.</w:t>
      </w:r>
    </w:p>
    <w:p w14:paraId="704DD205"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En fonction de la situation familiale de chaque enfant, si l’agent de la protection de l’enfance remarque qu’un enfant est exploité par des membres de sa famille, il peut faire un signalement des parents auprès de la police et du parquet, ou mettre en place un programme de formation à la parentalité pour les parents. Ce programme peut contenir, entre autres, les éléments suivants :</w:t>
      </w:r>
    </w:p>
    <w:p w14:paraId="747EFC01" w14:textId="77777777" w:rsidR="0078583E" w:rsidRPr="00A01A74" w:rsidRDefault="0078583E" w:rsidP="00A01A74">
      <w:pPr>
        <w:pStyle w:val="Bullet1G"/>
        <w:spacing w:after="140"/>
      </w:pPr>
      <w:r>
        <w:rPr>
          <w:lang w:val="fr-FR"/>
        </w:rPr>
        <w:t xml:space="preserve">Suivi </w:t>
      </w:r>
      <w:r w:rsidRPr="00A01A74">
        <w:t>de</w:t>
      </w:r>
      <w:r>
        <w:rPr>
          <w:lang w:val="fr-FR"/>
        </w:rPr>
        <w:t xml:space="preserve"> cours </w:t>
      </w:r>
      <w:r w:rsidRPr="00A01A74">
        <w:t>de formation à la parentalité ;</w:t>
      </w:r>
    </w:p>
    <w:p w14:paraId="4696ABAC" w14:textId="77777777" w:rsidR="0078583E" w:rsidRPr="00A01A74" w:rsidRDefault="0078583E" w:rsidP="00A01A74">
      <w:pPr>
        <w:pStyle w:val="Bullet1G"/>
        <w:spacing w:after="140"/>
      </w:pPr>
      <w:r w:rsidRPr="00A01A74">
        <w:t>Suivi de cours sur l’alcoolisme ou de programmes sur les stupéfiants et les substances psychotropes ;</w:t>
      </w:r>
    </w:p>
    <w:p w14:paraId="1D44C253" w14:textId="77777777" w:rsidR="0078583E" w:rsidRPr="00A01A74" w:rsidRDefault="0078583E" w:rsidP="00A01A74">
      <w:pPr>
        <w:pStyle w:val="Bullet1G"/>
        <w:spacing w:after="140"/>
      </w:pPr>
      <w:r w:rsidRPr="00A01A74">
        <w:t>Aide à l’enregistrement auprès de l’unité locale compétente et à l’inscription à l’état civil de tous les membres de la famille ;</w:t>
      </w:r>
    </w:p>
    <w:p w14:paraId="71DF9FA6" w14:textId="77777777" w:rsidR="0078583E" w:rsidRPr="00A01A74" w:rsidRDefault="0078583E" w:rsidP="00A01A74">
      <w:pPr>
        <w:pStyle w:val="Bullet1G"/>
        <w:spacing w:after="140"/>
      </w:pPr>
      <w:r w:rsidRPr="00A01A74">
        <w:t>Aide à l’adhésion au régime d’aide économique ;</w:t>
      </w:r>
    </w:p>
    <w:p w14:paraId="2AFC97AC" w14:textId="77777777" w:rsidR="0078583E" w:rsidRPr="00A01A74" w:rsidRDefault="0078583E" w:rsidP="00A01A74">
      <w:pPr>
        <w:pStyle w:val="Bullet1G"/>
        <w:spacing w:after="140"/>
      </w:pPr>
      <w:r w:rsidRPr="00A01A74">
        <w:t>Aide à l’accès au marché du travail ;</w:t>
      </w:r>
    </w:p>
    <w:p w14:paraId="37535868" w14:textId="77777777" w:rsidR="0078583E" w:rsidRPr="00820E13" w:rsidRDefault="0078583E" w:rsidP="00A01A74">
      <w:pPr>
        <w:pStyle w:val="Bullet1G"/>
        <w:rPr>
          <w:lang w:val="fr-FR"/>
        </w:rPr>
      </w:pPr>
      <w:r w:rsidRPr="00A01A74">
        <w:t>Toute autre intervention</w:t>
      </w:r>
      <w:r>
        <w:rPr>
          <w:lang w:val="fr-FR"/>
        </w:rPr>
        <w:t xml:space="preserve"> nécessaire pour améliorer la situation familiale et créer les conditions nécessaires à la protection de l’enfant contre l’exploitation.</w:t>
      </w:r>
    </w:p>
    <w:p w14:paraId="13736D18"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L’agent de la protection de l’enfance est chargé d’assurer la mise en œuvre et le suivi du plan individuel de protection de l’enfance, ainsi que de modifier, d’adapter ou de supprimer toute mesure ou intervention en cas d’évolution de la situation ayant conduit à la mise en place du plan.</w:t>
      </w:r>
    </w:p>
    <w:p w14:paraId="4E2CE6FE"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Concernant les enjeux de protection des enfants contre l’exploitation économique, il convient de citer les règlements d’application de la loi suivants :</w:t>
      </w:r>
    </w:p>
    <w:p w14:paraId="2BA67DBC" w14:textId="77777777" w:rsidR="0078583E" w:rsidRPr="00A01A74" w:rsidRDefault="0078583E" w:rsidP="00A01A74">
      <w:pPr>
        <w:pStyle w:val="Bullet1G"/>
        <w:spacing w:after="140"/>
      </w:pPr>
      <w:r>
        <w:rPr>
          <w:lang w:val="fr-FR"/>
        </w:rPr>
        <w:t>Décision du Conseil des ministres n</w:t>
      </w:r>
      <w:r>
        <w:rPr>
          <w:vertAlign w:val="superscript"/>
          <w:lang w:val="fr-FR"/>
        </w:rPr>
        <w:t>o</w:t>
      </w:r>
      <w:r>
        <w:rPr>
          <w:lang w:val="fr-FR"/>
        </w:rPr>
        <w:t> 129 du 13 mars 2019 sur les procédures de détection</w:t>
      </w:r>
      <w:r w:rsidRPr="00A01A74">
        <w:t>, d’assistance immédiate et d’orientation des enfants victimes de l’exploitation économique, y compris les enfants en situation de rue ;</w:t>
      </w:r>
    </w:p>
    <w:p w14:paraId="2D325882" w14:textId="77777777" w:rsidR="0078583E" w:rsidRPr="00A01A74" w:rsidRDefault="0078583E" w:rsidP="00A01A74">
      <w:pPr>
        <w:pStyle w:val="Bullet1G"/>
        <w:spacing w:after="140"/>
      </w:pPr>
      <w:r w:rsidRPr="00A01A74">
        <w:t>Décision du Conseil des ministres n</w:t>
      </w:r>
      <w:r w:rsidRPr="00A526E9">
        <w:rPr>
          <w:vertAlign w:val="superscript"/>
        </w:rPr>
        <w:t>o</w:t>
      </w:r>
      <w:r w:rsidRPr="00A01A74">
        <w:t> 578 du 3 octobre 2018 sur les procédures d’orientation et de gestion des cas, la conception et le contenu du plan individuel de protection, le financement des dépenses aux fins de sa mise en œuvre, ainsi que la mise en œuvre des mesures de protection ;</w:t>
      </w:r>
    </w:p>
    <w:p w14:paraId="7F7A4A71" w14:textId="77777777" w:rsidR="0078583E" w:rsidRPr="00820E13" w:rsidRDefault="0078583E" w:rsidP="00A01A74">
      <w:pPr>
        <w:pStyle w:val="Bullet1G"/>
        <w:rPr>
          <w:lang w:val="fr-FR"/>
        </w:rPr>
      </w:pPr>
      <w:r w:rsidRPr="00A01A74">
        <w:t>Le Guide à destination des inspecteurs du travail sur le travail inacceptable des enfants en Albanie a été rédigé par l’Inspection du travail en coopération avec l’Agence nationale pour les</w:t>
      </w:r>
      <w:r>
        <w:rPr>
          <w:lang w:val="fr-FR"/>
        </w:rPr>
        <w:t xml:space="preserve"> droits de l’enfant et la protection de l’enfance et avec le soutien de </w:t>
      </w:r>
      <w:r>
        <w:rPr>
          <w:lang w:val="fr-FR"/>
        </w:rPr>
        <w:lastRenderedPageBreak/>
        <w:t>l’Organisation pour la sécurité et la coopération en Europe (OSCE). Il établit un lien fonctionnel de coopération entre les inspecteurs du travail et les agents de la protection de l’enfance à l’échelle locale, aux fins de la détection, de l’orientation et de la protection des enfants victimes d’exploitation économique.</w:t>
      </w:r>
    </w:p>
    <w:p w14:paraId="1186BB61"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Au sein de structures de protection de l’enfance instaurées dans toutes les municipalités, 241 employés sont responsables de la prise en charge des enfants ayant besoin de protection, notamment des enfants dont il a été déterminé qu’ils se trouvaient dans une situation d’exploitation économique. L’Agence nationale pour les droits de l’enfant et la protection de l’enfance a assuré la coordination de formations visant à renforcer les capacités des professionnels en matière de protection des enfants contre l’exploitation économique. Cet organisme recueille auprès des agents locaux de la protection de l’enfance des données sur tous les enfants ayant besoin d’une protection, notamment les enfants en situation de rue et les enfants victimes d’exploitation par le travail.</w:t>
      </w:r>
    </w:p>
    <w:p w14:paraId="78CF221F"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D’après les données statistiques de l’Agence nationale pour les droits et la protection de l’enfance, les agents de protection de l’enfance de chaque municipalité gèrent environ 230 cas d’enfants en situation de rue chaque année, les chiffres les plus élevés étant enregistrés pendant l’été. Pour la période allant de juillet à décembre 2023, les unités de protection de l’enfance signalent que 55 adultes au total, principalement des parents ayant utilisé leurs enfants pour mendier dans la rue, ont fait l’objet de poursuites pour exploitation d’enfants.</w:t>
      </w:r>
    </w:p>
    <w:p w14:paraId="3D5CEDB5" w14:textId="77777777" w:rsidR="0078583E" w:rsidRPr="00820E13" w:rsidRDefault="0078583E" w:rsidP="006656AF">
      <w:pPr>
        <w:pStyle w:val="H23G"/>
        <w:tabs>
          <w:tab w:val="clear" w:pos="851"/>
          <w:tab w:val="left" w:pos="567"/>
        </w:tabs>
        <w:rPr>
          <w:lang w:val="fr-FR"/>
        </w:rPr>
      </w:pPr>
      <w:r>
        <w:rPr>
          <w:lang w:val="fr-FR"/>
        </w:rPr>
        <w:tab/>
      </w:r>
      <w:r>
        <w:rPr>
          <w:lang w:val="fr-FR"/>
        </w:rPr>
        <w:tab/>
      </w:r>
      <w:r>
        <w:rPr>
          <w:bCs/>
          <w:lang w:val="fr-FR"/>
        </w:rPr>
        <w:t>Réponse au paragraphe 19 de la liste de points</w:t>
      </w:r>
    </w:p>
    <w:p w14:paraId="311808B4"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Il ressort des rapports reçus par les unités de protection de l’enfance de toutes les municipalités que les mariages précoces forcés ne sont pas très répandus. Le problème des mariages d’enfants s’est atténué et est récemment devenu un phénomène très rare.</w:t>
      </w:r>
    </w:p>
    <w:p w14:paraId="0212B3F7"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Plusieurs cas de cohabitation de jeunes filles mineures avec des pairs ou des personnes plus âgées ont été constatés. Ils sont notamment l’effet de la négligence parentale, alimentée par la culture traditionnelle ou communautaire. Ces cas sont généralement relevés chez les minorités rom et égyptienne en raison de leur culture, de leurs normes traditionnelles, de la pauvreté, etc. Cependant, une évolution très importante a récemment été observée au sein de ces communautés, dont de nombreuses filles et de nombreux garçons sont désormais sensibilisés, vont à l’école ou suivent une formation professionnelle.</w:t>
      </w:r>
    </w:p>
    <w:p w14:paraId="228EC4A7"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Au sein du système éducatif, des sujets liés à l’élimination des inégalités de genre, des stéréotypes de genre, de la discrimination et du phénomène des mariages précoces et forcés sont abordés lors d’activités </w:t>
      </w:r>
      <w:proofErr w:type="spellStart"/>
      <w:r>
        <w:rPr>
          <w:lang w:val="fr-FR"/>
        </w:rPr>
        <w:t>extrascolaires</w:t>
      </w:r>
      <w:proofErr w:type="spellEnd"/>
      <w:r>
        <w:rPr>
          <w:lang w:val="fr-FR"/>
        </w:rPr>
        <w:t>. Un soutien adéquat est également apporté de sorte que toutes les familles, en particulier celles qui sont aux prises avec des difficultés économiques, puissent envoyer leurs enfants à l’école. En coopération avec les structures éducatives, les unités de protection de l’enfance repèrent les enfants qui ne sont pas inscrits à l’école ou qui ont abandonné leurs études, et elles travaillent avec la famille pour faire en sorte qu’ils s’inscrivent ou retournent à l’école. Les unités de protection de l’enfance collaborent avec les centres de soins de santé afin de promouvoir le signalement des cas de violence domestique ou d’autres faits à signaler pour prévenir le phénomène des mariages précoces.</w:t>
      </w:r>
    </w:p>
    <w:p w14:paraId="5A1AFDCE"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Le Service social de l’État est intervenu pour fournir des services et proposer des bilans médicaux aux filles et aux femmes dans le besoin, ainsi qu’un soutien juridique sous forme de services juridiques et psychologiques. Pour tout problème de santé, notamment sexuelle et procréative, les filles et les femmes sont orientées vers le centre de santé le plus proche de leur lieu de résidence, où elles peuvent bénéficier gratuitement de services de santé et être orientées vers des services spécialisés selon leurs besoins.</w:t>
      </w:r>
    </w:p>
    <w:p w14:paraId="5887AF16" w14:textId="7CD47C01"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En 2022, aucune fille de moins de 18 ans ne s’est mariée en Albanie. Selon les données officielles, 18 782 mariages ont été enregistrés au cours de l’année</w:t>
      </w:r>
      <w:r w:rsidR="00A526E9">
        <w:rPr>
          <w:lang w:val="fr-FR"/>
        </w:rPr>
        <w:t xml:space="preserve"> </w:t>
      </w:r>
      <w:r>
        <w:rPr>
          <w:lang w:val="fr-FR"/>
        </w:rPr>
        <w:t>2022 et, pour la première fois, aucun mariage n’a été célébré avant l’âge de 18 ans (cas de réussite).</w:t>
      </w:r>
    </w:p>
    <w:p w14:paraId="6854C45E" w14:textId="77777777" w:rsidR="0078583E" w:rsidRPr="00820E13" w:rsidRDefault="0078583E" w:rsidP="00A33134">
      <w:pPr>
        <w:pStyle w:val="H1G"/>
        <w:rPr>
          <w:lang w:val="fr-FR"/>
        </w:rPr>
      </w:pPr>
      <w:r>
        <w:rPr>
          <w:lang w:val="fr-FR"/>
        </w:rPr>
        <w:lastRenderedPageBreak/>
        <w:tab/>
      </w:r>
      <w:r>
        <w:rPr>
          <w:lang w:val="fr-FR"/>
        </w:rPr>
        <w:tab/>
        <w:t>Droit à un niveau de vie suffisant (art. 11)</w:t>
      </w:r>
    </w:p>
    <w:p w14:paraId="16FE4123" w14:textId="77777777" w:rsidR="0078583E" w:rsidRPr="00820E13" w:rsidRDefault="0078583E" w:rsidP="00A33134">
      <w:pPr>
        <w:pStyle w:val="H23G"/>
        <w:rPr>
          <w:lang w:val="fr-FR"/>
        </w:rPr>
      </w:pPr>
      <w:r>
        <w:rPr>
          <w:lang w:val="fr-FR"/>
        </w:rPr>
        <w:tab/>
      </w:r>
      <w:r>
        <w:rPr>
          <w:lang w:val="fr-FR"/>
        </w:rPr>
        <w:tab/>
        <w:t>Réponse concernant les paragraphes 21 et 22</w:t>
      </w:r>
    </w:p>
    <w:p w14:paraId="3315A046" w14:textId="45EDC8FB"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Le Ministère de la santé et de la protection sociale a assuré le suivi du </w:t>
      </w:r>
      <w:r w:rsidR="00A526E9">
        <w:rPr>
          <w:lang w:val="fr-FR"/>
        </w:rPr>
        <w:t>P</w:t>
      </w:r>
      <w:r>
        <w:rPr>
          <w:lang w:val="fr-FR"/>
        </w:rPr>
        <w:t>lan d’action national pour l’égalité, l’inclusion et la participation. Ce document stratégique contient un objectif politique relatif au logement social, qui souligne l’importance des conditions de logement des Roms et des Égyptiens en tant que condition préalable à l’inclusion sociale des Roms dans la société. Il est mis en œuvre en coordination avec les institutions responsables de la Stratégie pour le logement social et de la loi n</w:t>
      </w:r>
      <w:r>
        <w:rPr>
          <w:vertAlign w:val="superscript"/>
          <w:lang w:val="fr-FR"/>
        </w:rPr>
        <w:t>o</w:t>
      </w:r>
      <w:r>
        <w:rPr>
          <w:lang w:val="fr-FR"/>
        </w:rPr>
        <w:t> 22/2018 sur les logements sociaux (telle que modifiée).</w:t>
      </w:r>
    </w:p>
    <w:p w14:paraId="5FB27EFC" w14:textId="77777777" w:rsidR="0078583E" w:rsidRPr="00820E13" w:rsidRDefault="0078583E" w:rsidP="00A33134">
      <w:pPr>
        <w:pStyle w:val="H1G"/>
        <w:rPr>
          <w:lang w:val="fr-FR"/>
        </w:rPr>
      </w:pPr>
      <w:r>
        <w:rPr>
          <w:lang w:val="fr-FR"/>
        </w:rPr>
        <w:tab/>
      </w:r>
      <w:r>
        <w:rPr>
          <w:lang w:val="fr-FR"/>
        </w:rPr>
        <w:tab/>
        <w:t>Droit à la santé physique et mentale (art. 12)</w:t>
      </w:r>
    </w:p>
    <w:p w14:paraId="5DBE766B" w14:textId="77777777" w:rsidR="0078583E" w:rsidRPr="00820E13" w:rsidRDefault="0078583E" w:rsidP="00A33134">
      <w:pPr>
        <w:pStyle w:val="H23G"/>
        <w:rPr>
          <w:lang w:val="fr-FR"/>
        </w:rPr>
      </w:pPr>
      <w:r>
        <w:rPr>
          <w:lang w:val="fr-FR"/>
        </w:rPr>
        <w:tab/>
      </w:r>
      <w:r>
        <w:rPr>
          <w:lang w:val="fr-FR"/>
        </w:rPr>
        <w:tab/>
        <w:t>Réponse concernant les paragraphes 23 et 24</w:t>
      </w:r>
    </w:p>
    <w:p w14:paraId="6ED1BDC9" w14:textId="2558C703" w:rsidR="0078583E" w:rsidRPr="00A526E9" w:rsidRDefault="0078583E" w:rsidP="00A01A74">
      <w:pPr>
        <w:pStyle w:val="SingleTxtG"/>
        <w:numPr>
          <w:ilvl w:val="0"/>
          <w:numId w:val="8"/>
        </w:numPr>
        <w:tabs>
          <w:tab w:val="clear" w:pos="1701"/>
          <w:tab w:val="clear" w:pos="2268"/>
          <w:tab w:val="clear" w:pos="2835"/>
          <w:tab w:val="left" w:pos="567"/>
        </w:tabs>
        <w:suppressAutoHyphens w:val="0"/>
        <w:ind w:left="1134" w:firstLine="0"/>
        <w:rPr>
          <w:spacing w:val="2"/>
          <w:lang w:val="fr-FR"/>
        </w:rPr>
      </w:pPr>
      <w:r w:rsidRPr="00A526E9">
        <w:rPr>
          <w:spacing w:val="2"/>
          <w:lang w:val="fr-FR"/>
        </w:rPr>
        <w:t>Comme dans notre programme de gouvernement « Albanie</w:t>
      </w:r>
      <w:r w:rsidR="00A526E9" w:rsidRPr="00A526E9">
        <w:rPr>
          <w:spacing w:val="2"/>
          <w:lang w:val="fr-FR"/>
        </w:rPr>
        <w:t xml:space="preserve"> </w:t>
      </w:r>
      <w:r w:rsidRPr="00A526E9">
        <w:rPr>
          <w:spacing w:val="2"/>
          <w:lang w:val="fr-FR"/>
        </w:rPr>
        <w:t>2030 », la santé est définie dans la Stratégie nationale de santé (2021-2030) comme une politique transversale, l’objectif étant de protéger et de préserver la santé des citoyens, tout en fournissant un traitement efficace pour tous les problèmes rencontrés au cours de la vie. Ces dernières années, nous avons progressé en matière d’accroissement régulier des financements publics de la santé et d’amélioration de la qualité des services de santé. Les programmes de protection de la santé publique ont été renforcés au moyen d’une vaccination sûre et efficace contre les maladies transmissibles et de la mise en œuvre de programmes utiles de dépistage des maladies non transmissibles au sein de la population, en vue d’établir un diagnostic précoce et de fournir un traitement rapide. Des investissements ont été réalisés au profit des soins de santé primaires, notamment la restauration de plus de 400 centres de santé primaire d’ici à 2025.</w:t>
      </w:r>
    </w:p>
    <w:p w14:paraId="7F6ABCD4" w14:textId="5FBC845A"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En outre, nous avons d’abord investi dans la modernisation du réseau d’hôpitaux obstétriques et gynécologiques, à savoir dans des travaux de génie civil et dans de nouveaux équipements médicaux dans </w:t>
      </w:r>
      <w:r w:rsidR="00A526E9">
        <w:rPr>
          <w:lang w:val="fr-FR"/>
        </w:rPr>
        <w:t>6</w:t>
      </w:r>
      <w:r>
        <w:rPr>
          <w:lang w:val="fr-FR"/>
        </w:rPr>
        <w:t xml:space="preserve"> hôpitaux, puis nous avons fait des investissements majeurs dans </w:t>
      </w:r>
      <w:r w:rsidR="00A526E9">
        <w:rPr>
          <w:lang w:val="fr-FR"/>
        </w:rPr>
        <w:t>4</w:t>
      </w:r>
      <w:r>
        <w:rPr>
          <w:lang w:val="fr-FR"/>
        </w:rPr>
        <w:t xml:space="preserve"> hôpitaux pédiatriques. En parallèle, le Ministère est en train d’élaborer la loi sur la santé reproductive et, en 2024, nous lancerons pour la première fois dans l’un de nos hôpitaux publics la procédure de fécondation </w:t>
      </w:r>
      <w:r w:rsidRPr="004C037C">
        <w:rPr>
          <w:i/>
          <w:iCs/>
          <w:lang w:val="fr-FR"/>
        </w:rPr>
        <w:t>in vitro</w:t>
      </w:r>
      <w:r>
        <w:rPr>
          <w:lang w:val="fr-FR"/>
        </w:rPr>
        <w:t>, dont bénéficieront gratuitement tous les couples répondant aux critères d’âge et de santé. Le soutien aux professionnels de santé était et reste une priorité aux fins de l’amélioration des conditions de travail. Des ingénieurs biomédicaux dispensent des formations continues et des formations spécifiques sur le manuel d’utilisation de chaque nouvel équipement médical installé.</w:t>
      </w:r>
    </w:p>
    <w:p w14:paraId="3CDB181D"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La couverture sanitaire universelle reste notre principal objectif et guide les travaux que nous menons pour renforcer le système de santé intégré, mieux nous préparer aux situations d’urgence et y répondre, et améliorer la santé numérique. Pour atteindre cet objectif, </w:t>
      </w:r>
      <w:r w:rsidRPr="006B5E5A">
        <w:rPr>
          <w:lang w:val="fr-FR"/>
        </w:rPr>
        <w:t>nous œuvrons dans le souci constant de</w:t>
      </w:r>
      <w:r>
        <w:rPr>
          <w:lang w:val="fr-FR"/>
        </w:rPr>
        <w:t xml:space="preserve"> mettre à profit des politiques de santé durables ayant une incidence directe sur l’accroissement de la couverture médicale de nos citoyens, en vue d’améliorer la santé et le bien-être de la population et le respect de leurs droits à la santé. Notre action est donc axée sur les objectifs suivants : améliorer la qualité des soins de santé en garantissant à tous les résidents albanais le plein accès aux soins sur la base d’un système financier stable ; accroître l’espérance de vie en bonne santé de la population albanaise ; moderniser les infrastructures et améliorer la sécurité et la qualité des soins hospitaliers ; améliorer la qualité et la sécurité des médicaments, conformément aux normes de l’UE ; mettre au point, intégrer et mieux coordonner les approches des soins de santé ; renforcer la transparence et l’obligation de rendre des comptes ; et rétablir la confiance du public dans le système de soins de santé.</w:t>
      </w:r>
    </w:p>
    <w:p w14:paraId="3C38D731" w14:textId="34581421"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Dans le domaine des médicaments et des services pharmaceutiques, le Ministère de la santé et de la protection sociale entreprend actuellement les dernières démarches juridiques en vue de soumettre au Conseil des ministres la loi modifiée sur les médicaments et les services pharmaceutiques pour approbation. Les nouvelles modifications de la loi qui a été approuvée en 2014 visent à mieux aligner le texte législatif existant sur la directive de l’UE. En outre, le Ministère a approuvé au Parlement la loi modifiée sur les stupéfiants et les </w:t>
      </w:r>
      <w:r>
        <w:rPr>
          <w:lang w:val="fr-FR"/>
        </w:rPr>
        <w:lastRenderedPageBreak/>
        <w:t>substances narcotiques, conformément aux recommandations de la 13</w:t>
      </w:r>
      <w:r>
        <w:rPr>
          <w:vertAlign w:val="superscript"/>
          <w:lang w:val="fr-FR"/>
        </w:rPr>
        <w:t>e</w:t>
      </w:r>
      <w:r>
        <w:rPr>
          <w:lang w:val="fr-FR"/>
        </w:rPr>
        <w:t> réunion du Sous</w:t>
      </w:r>
      <w:r w:rsidR="00A526E9">
        <w:rPr>
          <w:lang w:val="fr-FR"/>
        </w:rPr>
        <w:noBreakHyphen/>
      </w:r>
      <w:r>
        <w:rPr>
          <w:lang w:val="fr-FR"/>
        </w:rPr>
        <w:t>comité de l’UE au titre du chapitre 24 (justice, liberté et sécurité). La loi modifiée sera publiée aux fins de consultation et soumise à l’approbation du Conseil des ministres.</w:t>
      </w:r>
    </w:p>
    <w:p w14:paraId="6BA457A7" w14:textId="64B64BEE"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Depuis 2013, nous avons augmenté de 25 % les fonds dédiés au remboursement des médicaments listés. Nous avons non seulement garanti un ensemble complet de médicaments délivrés gratuitement à tous nos citoyens atteints de maladies chroniques, </w:t>
      </w:r>
      <w:r w:rsidRPr="00FA758A">
        <w:rPr>
          <w:lang w:val="fr-FR"/>
        </w:rPr>
        <w:t xml:space="preserve">mais </w:t>
      </w:r>
      <w:r>
        <w:rPr>
          <w:lang w:val="fr-FR"/>
        </w:rPr>
        <w:t xml:space="preserve">aussi ajouté à la liste de médicaments des thérapies novatrices qui n’étaient pas remboursées il y a </w:t>
      </w:r>
      <w:r w:rsidR="00A526E9">
        <w:rPr>
          <w:lang w:val="fr-FR"/>
        </w:rPr>
        <w:t>huit</w:t>
      </w:r>
      <w:r>
        <w:rPr>
          <w:lang w:val="fr-FR"/>
        </w:rPr>
        <w:t> ans. Nous avons triplé le financement des médicaments pour le traitement du cancer et nous garantissons désormais un traitement gratuit à 100 % aux personnes atteintes d’un cancer du sein ou d’un cancer du sang. En outre, nous avons investi dans la modernisation des services de radiothérapie. Depuis 2019, les enfants atteints de tumeurs cérébrales bénéficient également d’un traitement complet par radiothérapie. Depuis 2014, 600 citoyens non assurés reçoivent un traitement médical à tous les niveaux du système de santé publique, couvert à 100 % par le budget de l’État. Le premier médicament générique disponible sur la liste des médicaments remboursables est délivré gratuitement à 450 000 personnes atteintes de maladies chroniques.</w:t>
      </w:r>
    </w:p>
    <w:p w14:paraId="1AC38E3E"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En 2023, les cotisations de soins de santé s’élèvent à 17 077 milliards de leks et les projections pour les trois prochaines années prévoient une augmentation annuelle progressive des cotisations de santé à un taux moyen de 8 %. Selon les projections, les cotisations de santé s’élèveront à 20 153 milliards de leks</w:t>
      </w:r>
      <w:r w:rsidRPr="004C27F6">
        <w:rPr>
          <w:lang w:val="fr-FR"/>
        </w:rPr>
        <w:t xml:space="preserve"> </w:t>
      </w:r>
      <w:r>
        <w:rPr>
          <w:lang w:val="fr-FR"/>
        </w:rPr>
        <w:t>en 2024, à 18 956 milliards de leks en 2025 et à 19 960 milliards de leks en 2026, soit une augmentation de 16,8 % par rapport à 2023. De surcroît, depuis 2018, outre la procédure centralisée d’achat de médicaments, le Ministère de la santé et de la protection sociale garantit le traitement des patients avec des médicaments brevetés pour des maladies spécifiques, grâce à l’instrument juridique des accords d’accès au marché.</w:t>
      </w:r>
    </w:p>
    <w:p w14:paraId="5B349BA4" w14:textId="77777777" w:rsidR="0078583E" w:rsidRPr="00676B4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Entre 2018 et 2023, de nouveaux médicaments et génériques ont été ajoutés à la liste des médicaments remboursables, ce qui permet de traiter les patients atteints d’un cancer par un éventail plus large de thérapies de groupe. Aujourd’hui, nous </w:t>
      </w:r>
      <w:r w:rsidRPr="00676B43">
        <w:rPr>
          <w:lang w:val="fr-FR"/>
        </w:rPr>
        <w:t>pouvons couvrir à 100</w:t>
      </w:r>
      <w:r>
        <w:rPr>
          <w:lang w:val="fr-FR"/>
        </w:rPr>
        <w:t> </w:t>
      </w:r>
      <w:r w:rsidRPr="00676B43">
        <w:rPr>
          <w:lang w:val="fr-FR"/>
        </w:rPr>
        <w:t>% le traitement médicamenteux complet de première et deuxième intention pour 43</w:t>
      </w:r>
      <w:r>
        <w:rPr>
          <w:lang w:val="fr-FR"/>
        </w:rPr>
        <w:t> </w:t>
      </w:r>
      <w:r w:rsidRPr="00676B43">
        <w:rPr>
          <w:lang w:val="fr-FR"/>
        </w:rPr>
        <w:t>diagnostics.</w:t>
      </w:r>
    </w:p>
    <w:p w14:paraId="0C43C87C" w14:textId="6A0C34A5" w:rsidR="0078583E" w:rsidRPr="00A33134" w:rsidRDefault="0078583E" w:rsidP="00A01A74">
      <w:pPr>
        <w:pStyle w:val="SingleTxtG"/>
        <w:numPr>
          <w:ilvl w:val="0"/>
          <w:numId w:val="8"/>
        </w:numPr>
        <w:tabs>
          <w:tab w:val="clear" w:pos="1701"/>
          <w:tab w:val="clear" w:pos="2268"/>
          <w:tab w:val="clear" w:pos="2835"/>
          <w:tab w:val="left" w:pos="567"/>
        </w:tabs>
        <w:suppressAutoHyphens w:val="0"/>
        <w:ind w:left="1134" w:firstLine="0"/>
        <w:rPr>
          <w:spacing w:val="-2"/>
          <w:lang w:val="fr-FR"/>
        </w:rPr>
      </w:pPr>
      <w:r w:rsidRPr="00A33134">
        <w:rPr>
          <w:spacing w:val="-2"/>
          <w:lang w:val="fr-FR"/>
        </w:rPr>
        <w:t>Approuvée en 2022, la loi modifiée sur les médicaments et les services pharmaceutiques a permis d’apporter des changements. Elle a ainsi introduit la notion d’accords d’accès au marché, qui visent à attirer des sociétés pharmaceutiques qui élaborent des médicaments innovants en trouvant un rapport coût-efficacité équilibré. Autre idée nouvelle, les titulaires locaux d’autorisation de mise sur le marché (AMM) pourront représenter légalement les titulaires d’AMM internationaux, ce qui permettra d’assurer la qualité et l’efficacité des médicaments enregistrés en République d’Albanie, de faire baisser les prix des médicaments et les coûts d’enregistrement, et de faciliter l’accès aux médicaments sur le marché local. En</w:t>
      </w:r>
      <w:r w:rsidR="000043A2">
        <w:rPr>
          <w:spacing w:val="-2"/>
          <w:lang w:val="fr-FR"/>
        </w:rPr>
        <w:t> </w:t>
      </w:r>
      <w:r w:rsidRPr="00A33134">
        <w:rPr>
          <w:spacing w:val="-2"/>
          <w:lang w:val="fr-FR"/>
        </w:rPr>
        <w:t>parallèle, la baisse des coûts de production des médicaments, l’assurance qualité et la fixation de prix plus favorables permettront d’accroître la disponibilité des médicaments sur notre marché et de faire baisser la demande de médicaments.</w:t>
      </w:r>
    </w:p>
    <w:p w14:paraId="1F6EF1B9"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En 2018, nous avons introduit pour la première fois les dispositifs médicaux dans le régime de remboursement. Depuis 2018, tous les enfants et jeunes diabétiques bénéficient gratuitement de bandelettes de glycémie jusqu’à l’âge de 25 ans. En 2022, nous avons décidé d’étendre la tranche d’âge des citoyens pouvant bénéficier du système de remboursement des bandelettes de glycémie mis en œuvre en 2023 pour tous les citoyens albanais de plus de 65 ans. En 2023, 51 483 patients sont concernés, dont 540 patients de 0 à 25 ans et 50 943 patients de plus de 65 ans.</w:t>
      </w:r>
    </w:p>
    <w:p w14:paraId="7E3C1447" w14:textId="77777777" w:rsidR="0078583E" w:rsidRPr="003F0172" w:rsidRDefault="0078583E" w:rsidP="00A33134">
      <w:pPr>
        <w:pStyle w:val="SingleTxtG"/>
        <w:widowControl w:val="0"/>
        <w:numPr>
          <w:ilvl w:val="0"/>
          <w:numId w:val="8"/>
        </w:numPr>
        <w:tabs>
          <w:tab w:val="clear" w:pos="1701"/>
          <w:tab w:val="clear" w:pos="2268"/>
          <w:tab w:val="clear" w:pos="2835"/>
          <w:tab w:val="left" w:pos="567"/>
        </w:tabs>
        <w:suppressAutoHyphens w:val="0"/>
        <w:ind w:left="1134" w:firstLine="0"/>
        <w:rPr>
          <w:lang w:val="fr-FR"/>
        </w:rPr>
      </w:pPr>
      <w:r>
        <w:rPr>
          <w:lang w:val="fr-FR"/>
        </w:rPr>
        <w:t xml:space="preserve">Concernant l’amélioration de la santé de la population, nous continuerons de financer et de développer les dispositifs de santé afin de faciliter l’accès aux traitements médicaux et de fournir davantage de services de santé à proximité du lieu de résidence, en accordant une attention particulière aux groupes vulnérables. S’agissant des soins de santé primaires fournis aux personnes handicapées, aux personnes âgées et aux patients présentant de graves problèmes de santé, nous appliquons depuis 2021 le modèle de soins à domicile et, en 2023, en coopération avec le projet Santé pour tous, le modèle est mis en œuvre dans 59 centres de soins de santé primaires, grâce à des fonds de l’Agence suisse et de l’opérateur national des soins </w:t>
      </w:r>
      <w:r w:rsidRPr="003F0172">
        <w:rPr>
          <w:lang w:val="fr-FR"/>
        </w:rPr>
        <w:t>de santé.</w:t>
      </w:r>
    </w:p>
    <w:p w14:paraId="61E2F255" w14:textId="1FDAEB77"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lastRenderedPageBreak/>
        <w:t>En 2022, nous avons introduit des services psychologiques et sociaux dans le système de soins de santé primaires grâce à l</w:t>
      </w:r>
      <w:r>
        <w:rPr>
          <w:lang w:val="fr-FR"/>
        </w:rPr>
        <w:t>’</w:t>
      </w:r>
      <w:r w:rsidRPr="003F0172">
        <w:rPr>
          <w:lang w:val="fr-FR"/>
        </w:rPr>
        <w:t>introduction d</w:t>
      </w:r>
      <w:r>
        <w:rPr>
          <w:lang w:val="fr-FR"/>
        </w:rPr>
        <w:t>’</w:t>
      </w:r>
      <w:r w:rsidRPr="003F0172">
        <w:rPr>
          <w:lang w:val="fr-FR"/>
        </w:rPr>
        <w:t xml:space="preserve">un modèle intégré de soins </w:t>
      </w:r>
      <w:proofErr w:type="spellStart"/>
      <w:r w:rsidRPr="003F0172">
        <w:rPr>
          <w:lang w:val="fr-FR"/>
        </w:rPr>
        <w:t>sociosanitaires</w:t>
      </w:r>
      <w:proofErr w:type="spellEnd"/>
      <w:r w:rsidRPr="003F0172">
        <w:rPr>
          <w:lang w:val="fr-FR"/>
        </w:rPr>
        <w:t>. Jusqu</w:t>
      </w:r>
      <w:r>
        <w:rPr>
          <w:lang w:val="fr-FR"/>
        </w:rPr>
        <w:t>’</w:t>
      </w:r>
      <w:r w:rsidRPr="003F0172">
        <w:rPr>
          <w:lang w:val="fr-FR"/>
        </w:rPr>
        <w:t>à fin</w:t>
      </w:r>
      <w:r w:rsidR="000043A2">
        <w:rPr>
          <w:lang w:val="fr-FR"/>
        </w:rPr>
        <w:t xml:space="preserve"> </w:t>
      </w:r>
      <w:r w:rsidRPr="003F0172">
        <w:rPr>
          <w:lang w:val="fr-FR"/>
        </w:rPr>
        <w:t>2022, 50</w:t>
      </w:r>
      <w:r>
        <w:rPr>
          <w:lang w:val="fr-FR"/>
        </w:rPr>
        <w:t> </w:t>
      </w:r>
      <w:r w:rsidRPr="003F0172">
        <w:rPr>
          <w:lang w:val="fr-FR"/>
        </w:rPr>
        <w:t>psychologues étaient employés dans les services de soins de santé primaires. En 2023, grâce au recrutement, selon un processus transparent, de 50</w:t>
      </w:r>
      <w:r>
        <w:rPr>
          <w:lang w:val="fr-FR"/>
        </w:rPr>
        <w:t> </w:t>
      </w:r>
      <w:r w:rsidRPr="003F0172">
        <w:rPr>
          <w:lang w:val="fr-FR"/>
        </w:rPr>
        <w:t>travailleurs sociaux/psychologues, de 17</w:t>
      </w:r>
      <w:r>
        <w:rPr>
          <w:lang w:val="fr-FR"/>
        </w:rPr>
        <w:t> </w:t>
      </w:r>
      <w:r w:rsidRPr="003F0172">
        <w:rPr>
          <w:lang w:val="fr-FR"/>
        </w:rPr>
        <w:t>physiothérapeutes et de 17</w:t>
      </w:r>
      <w:r>
        <w:rPr>
          <w:lang w:val="fr-FR"/>
        </w:rPr>
        <w:t> </w:t>
      </w:r>
      <w:r w:rsidRPr="003F0172">
        <w:rPr>
          <w:lang w:val="fr-FR"/>
        </w:rPr>
        <w:t>orthophonistes en soins de santé primaires, nous avons créé 100</w:t>
      </w:r>
      <w:r>
        <w:rPr>
          <w:lang w:val="fr-FR"/>
        </w:rPr>
        <w:t> </w:t>
      </w:r>
      <w:r w:rsidRPr="003F0172">
        <w:rPr>
          <w:lang w:val="fr-FR"/>
        </w:rPr>
        <w:t>centres de soins de santé primaires offrant un modèle intégré de prise en charge sociale et sanitaire.</w:t>
      </w:r>
    </w:p>
    <w:p w14:paraId="5A77A189" w14:textId="318A9EEE"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 xml:space="preserve">Plus de 85 % des besoins de la population en matière de traitement des maladies </w:t>
      </w:r>
      <w:proofErr w:type="spellStart"/>
      <w:r w:rsidRPr="003F0172">
        <w:rPr>
          <w:lang w:val="fr-FR"/>
        </w:rPr>
        <w:t>cardiovasculaires</w:t>
      </w:r>
      <w:proofErr w:type="spellEnd"/>
      <w:r w:rsidRPr="003F0172">
        <w:rPr>
          <w:lang w:val="fr-FR"/>
        </w:rPr>
        <w:t xml:space="preserve"> et rénales sont entièrement couverts par le budget de l</w:t>
      </w:r>
      <w:r>
        <w:rPr>
          <w:lang w:val="fr-FR"/>
        </w:rPr>
        <w:t>’</w:t>
      </w:r>
      <w:r w:rsidRPr="003F0172">
        <w:rPr>
          <w:lang w:val="fr-FR"/>
        </w:rPr>
        <w:t>État et l</w:t>
      </w:r>
      <w:r>
        <w:rPr>
          <w:lang w:val="fr-FR"/>
        </w:rPr>
        <w:t>’</w:t>
      </w:r>
      <w:r w:rsidRPr="003F0172">
        <w:rPr>
          <w:lang w:val="fr-FR"/>
        </w:rPr>
        <w:t>objectif est d</w:t>
      </w:r>
      <w:r>
        <w:rPr>
          <w:lang w:val="fr-FR"/>
        </w:rPr>
        <w:t>’</w:t>
      </w:r>
      <w:r w:rsidRPr="003F0172">
        <w:rPr>
          <w:lang w:val="fr-FR"/>
        </w:rPr>
        <w:t xml:space="preserve">augmenter cette couverture de 5 % </w:t>
      </w:r>
      <w:r>
        <w:rPr>
          <w:lang w:val="fr-FR"/>
        </w:rPr>
        <w:t>d’ici</w:t>
      </w:r>
      <w:r w:rsidRPr="003F0172">
        <w:rPr>
          <w:lang w:val="fr-FR"/>
        </w:rPr>
        <w:t xml:space="preserve"> </w:t>
      </w:r>
      <w:r w:rsidR="000043A2">
        <w:rPr>
          <w:lang w:val="fr-FR"/>
        </w:rPr>
        <w:t xml:space="preserve">à </w:t>
      </w:r>
      <w:r w:rsidRPr="003F0172">
        <w:rPr>
          <w:lang w:val="fr-FR"/>
        </w:rPr>
        <w:t>la fin de l</w:t>
      </w:r>
      <w:r>
        <w:rPr>
          <w:lang w:val="fr-FR"/>
        </w:rPr>
        <w:t>’</w:t>
      </w:r>
      <w:r w:rsidRPr="003F0172">
        <w:rPr>
          <w:lang w:val="fr-FR"/>
        </w:rPr>
        <w:t>année</w:t>
      </w:r>
      <w:r w:rsidR="000043A2">
        <w:rPr>
          <w:lang w:val="fr-FR"/>
        </w:rPr>
        <w:t xml:space="preserve"> </w:t>
      </w:r>
      <w:r w:rsidRPr="003F0172">
        <w:rPr>
          <w:lang w:val="fr-FR"/>
        </w:rPr>
        <w:t>2024 en élargissant le dispositif aux services de santé dédiés à la réadaptation, aux soins palliatifs et aux soins gériatriques.</w:t>
      </w:r>
    </w:p>
    <w:p w14:paraId="3A7CEBDF" w14:textId="77777777" w:rsidR="0078583E" w:rsidRPr="003F0172" w:rsidRDefault="0078583E" w:rsidP="00A33134">
      <w:pPr>
        <w:pStyle w:val="H1G"/>
        <w:rPr>
          <w:lang w:val="fr-FR"/>
        </w:rPr>
      </w:pPr>
      <w:r w:rsidRPr="003F0172">
        <w:rPr>
          <w:lang w:val="fr-FR"/>
        </w:rPr>
        <w:tab/>
      </w:r>
      <w:r w:rsidRPr="003F0172">
        <w:rPr>
          <w:lang w:val="fr-FR"/>
        </w:rPr>
        <w:tab/>
        <w:t>Droit à l</w:t>
      </w:r>
      <w:r>
        <w:rPr>
          <w:lang w:val="fr-FR"/>
        </w:rPr>
        <w:t>’</w:t>
      </w:r>
      <w:r w:rsidRPr="003F0172">
        <w:rPr>
          <w:lang w:val="fr-FR"/>
        </w:rPr>
        <w:t>éducation (art.</w:t>
      </w:r>
      <w:r>
        <w:rPr>
          <w:lang w:val="fr-FR"/>
        </w:rPr>
        <w:t> </w:t>
      </w:r>
      <w:r w:rsidRPr="003F0172">
        <w:rPr>
          <w:lang w:val="fr-FR"/>
        </w:rPr>
        <w:t>13 et 14)</w:t>
      </w:r>
    </w:p>
    <w:p w14:paraId="6571A173" w14:textId="77777777" w:rsidR="0078583E" w:rsidRPr="003F0172" w:rsidRDefault="0078583E" w:rsidP="00A33134">
      <w:pPr>
        <w:pStyle w:val="H23G"/>
        <w:rPr>
          <w:lang w:val="fr-FR"/>
        </w:rPr>
      </w:pPr>
      <w:r w:rsidRPr="003F0172">
        <w:rPr>
          <w:lang w:val="fr-FR"/>
        </w:rPr>
        <w:tab/>
      </w:r>
      <w:r w:rsidRPr="003F0172">
        <w:rPr>
          <w:lang w:val="fr-FR"/>
        </w:rPr>
        <w:tab/>
        <w:t>Réponse au paragraphe</w:t>
      </w:r>
      <w:r>
        <w:rPr>
          <w:lang w:val="fr-FR"/>
        </w:rPr>
        <w:t> </w:t>
      </w:r>
      <w:r w:rsidRPr="003F0172">
        <w:rPr>
          <w:lang w:val="fr-FR"/>
        </w:rPr>
        <w:t>25 de la liste de points</w:t>
      </w:r>
    </w:p>
    <w:p w14:paraId="534BB801" w14:textId="4D7EC123"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Pendant la pandémie de COVID-19, le Ministère de l</w:t>
      </w:r>
      <w:r>
        <w:rPr>
          <w:lang w:val="fr-FR"/>
        </w:rPr>
        <w:t>’</w:t>
      </w:r>
      <w:r w:rsidRPr="003F0172">
        <w:rPr>
          <w:lang w:val="fr-FR"/>
        </w:rPr>
        <w:t>éducation et des sports a accordé une attention particulière au bien-être et à la protection des enfants, en adaptant l</w:t>
      </w:r>
      <w:r>
        <w:rPr>
          <w:lang w:val="fr-FR"/>
        </w:rPr>
        <w:t>’</w:t>
      </w:r>
      <w:r w:rsidRPr="003F0172">
        <w:rPr>
          <w:lang w:val="fr-FR"/>
        </w:rPr>
        <w:t>enseignement à distance pour y associer enseignement et apprentissage, y compris sur les connaissances relatives à la propagation et à la prévention des infections, et en élaborant des lignes directrices relatives à la fermeture et la réouverture des écoles en fonction des besoins en cas d</w:t>
      </w:r>
      <w:r>
        <w:rPr>
          <w:lang w:val="fr-FR"/>
        </w:rPr>
        <w:t>’</w:t>
      </w:r>
      <w:r w:rsidRPr="003F0172">
        <w:rPr>
          <w:lang w:val="fr-FR"/>
        </w:rPr>
        <w:t>augmentation des infections à l</w:t>
      </w:r>
      <w:r>
        <w:rPr>
          <w:lang w:val="fr-FR"/>
        </w:rPr>
        <w:t>’</w:t>
      </w:r>
      <w:r w:rsidRPr="003F0172">
        <w:rPr>
          <w:lang w:val="fr-FR"/>
        </w:rPr>
        <w:t>échelle locale. Afin d</w:t>
      </w:r>
      <w:r>
        <w:rPr>
          <w:lang w:val="fr-FR"/>
        </w:rPr>
        <w:t>’</w:t>
      </w:r>
      <w:r w:rsidRPr="003F0172">
        <w:rPr>
          <w:lang w:val="fr-FR"/>
        </w:rPr>
        <w:t>éviter tout retard d</w:t>
      </w:r>
      <w:r>
        <w:rPr>
          <w:lang w:val="fr-FR"/>
        </w:rPr>
        <w:t>’</w:t>
      </w:r>
      <w:r w:rsidRPr="003F0172">
        <w:rPr>
          <w:lang w:val="fr-FR"/>
        </w:rPr>
        <w:t>apprentissage pour les élèves, ainsi que pour leur permettre de terminer l</w:t>
      </w:r>
      <w:r>
        <w:rPr>
          <w:lang w:val="fr-FR"/>
        </w:rPr>
        <w:t>’</w:t>
      </w:r>
      <w:r w:rsidRPr="003F0172">
        <w:rPr>
          <w:lang w:val="fr-FR"/>
        </w:rPr>
        <w:t>année scolaire après le passage à distance de l</w:t>
      </w:r>
      <w:r>
        <w:rPr>
          <w:lang w:val="fr-FR"/>
        </w:rPr>
        <w:t>’</w:t>
      </w:r>
      <w:r w:rsidRPr="003F0172">
        <w:rPr>
          <w:lang w:val="fr-FR"/>
        </w:rPr>
        <w:t>ensemble du processus d</w:t>
      </w:r>
      <w:r>
        <w:rPr>
          <w:lang w:val="fr-FR"/>
        </w:rPr>
        <w:t>’</w:t>
      </w:r>
      <w:r w:rsidRPr="003F0172">
        <w:rPr>
          <w:lang w:val="fr-FR"/>
        </w:rPr>
        <w:t>enseignement</w:t>
      </w:r>
      <w:r>
        <w:rPr>
          <w:lang w:val="fr-FR"/>
        </w:rPr>
        <w:t>,</w:t>
      </w:r>
      <w:r w:rsidRPr="003F0172">
        <w:rPr>
          <w:lang w:val="fr-FR"/>
        </w:rPr>
        <w:t xml:space="preserve"> </w:t>
      </w:r>
      <w:r>
        <w:rPr>
          <w:lang w:val="fr-FR"/>
        </w:rPr>
        <w:t>l</w:t>
      </w:r>
      <w:r w:rsidRPr="003F0172">
        <w:rPr>
          <w:lang w:val="fr-FR"/>
        </w:rPr>
        <w:t>e Ministère de l</w:t>
      </w:r>
      <w:r>
        <w:rPr>
          <w:lang w:val="fr-FR"/>
        </w:rPr>
        <w:t>’</w:t>
      </w:r>
      <w:r w:rsidRPr="003F0172">
        <w:rPr>
          <w:lang w:val="fr-FR"/>
        </w:rPr>
        <w:t xml:space="preserve">éducation et des sports, en coopération avec les institutions qui en dépendent, a pris les mesures nécessaires. Des sessions </w:t>
      </w:r>
      <w:r>
        <w:rPr>
          <w:lang w:val="fr-FR"/>
        </w:rPr>
        <w:t>pédagogiques</w:t>
      </w:r>
      <w:r w:rsidRPr="003F0172">
        <w:rPr>
          <w:lang w:val="fr-FR"/>
        </w:rPr>
        <w:t xml:space="preserve"> ont ainsi été enregistrées et transmises sur la chaîne </w:t>
      </w:r>
      <w:proofErr w:type="spellStart"/>
      <w:r w:rsidRPr="003F0172">
        <w:rPr>
          <w:i/>
          <w:iCs/>
          <w:lang w:val="fr-FR"/>
        </w:rPr>
        <w:t>RTSh</w:t>
      </w:r>
      <w:proofErr w:type="spellEnd"/>
      <w:r w:rsidRPr="003F0172">
        <w:rPr>
          <w:i/>
          <w:iCs/>
          <w:lang w:val="fr-FR"/>
        </w:rPr>
        <w:t xml:space="preserve"> </w:t>
      </w:r>
      <w:proofErr w:type="spellStart"/>
      <w:r w:rsidRPr="003F0172">
        <w:rPr>
          <w:i/>
          <w:iCs/>
          <w:lang w:val="fr-FR"/>
        </w:rPr>
        <w:t>Shkolla</w:t>
      </w:r>
      <w:proofErr w:type="spellEnd"/>
      <w:r w:rsidRPr="003F0172">
        <w:rPr>
          <w:lang w:val="fr-FR"/>
        </w:rPr>
        <w:t xml:space="preserve"> à la télévision publique, ainsi que sur la </w:t>
      </w:r>
      <w:r>
        <w:rPr>
          <w:lang w:val="fr-FR"/>
        </w:rPr>
        <w:t>chaîne</w:t>
      </w:r>
      <w:r w:rsidRPr="003F0172">
        <w:rPr>
          <w:lang w:val="fr-FR"/>
        </w:rPr>
        <w:t xml:space="preserve"> YouTube officielle du Ministère de l</w:t>
      </w:r>
      <w:r>
        <w:rPr>
          <w:lang w:val="fr-FR"/>
        </w:rPr>
        <w:t>’</w:t>
      </w:r>
      <w:r w:rsidRPr="003F0172">
        <w:rPr>
          <w:lang w:val="fr-FR"/>
        </w:rPr>
        <w:t>éducation et des sports</w:t>
      </w:r>
      <w:r>
        <w:rPr>
          <w:lang w:val="fr-FR"/>
        </w:rPr>
        <w:t> </w:t>
      </w:r>
      <w:r w:rsidRPr="003F0172">
        <w:rPr>
          <w:lang w:val="fr-FR"/>
        </w:rPr>
        <w:t xml:space="preserve">; la </w:t>
      </w:r>
      <w:proofErr w:type="spellStart"/>
      <w:r w:rsidRPr="003F0172">
        <w:rPr>
          <w:lang w:val="fr-FR"/>
        </w:rPr>
        <w:t>plateforme</w:t>
      </w:r>
      <w:proofErr w:type="spellEnd"/>
      <w:r w:rsidRPr="003F0172">
        <w:rPr>
          <w:lang w:val="fr-FR"/>
        </w:rPr>
        <w:t xml:space="preserve"> d</w:t>
      </w:r>
      <w:r>
        <w:rPr>
          <w:lang w:val="fr-FR"/>
        </w:rPr>
        <w:t>’</w:t>
      </w:r>
      <w:r w:rsidRPr="003F0172">
        <w:rPr>
          <w:lang w:val="fr-FR"/>
        </w:rPr>
        <w:t>enseignement en ligne academia.al a été créée</w:t>
      </w:r>
      <w:r>
        <w:rPr>
          <w:lang w:val="fr-FR"/>
        </w:rPr>
        <w:t> </w:t>
      </w:r>
      <w:r w:rsidRPr="003F0172">
        <w:rPr>
          <w:lang w:val="fr-FR"/>
        </w:rPr>
        <w:t>; les enseignants se sont vu proposer des formations visant à renforcer leurs compétences numériques et d</w:t>
      </w:r>
      <w:r>
        <w:rPr>
          <w:lang w:val="fr-FR"/>
        </w:rPr>
        <w:t>’</w:t>
      </w:r>
      <w:r w:rsidRPr="003F0172">
        <w:rPr>
          <w:lang w:val="fr-FR"/>
        </w:rPr>
        <w:t xml:space="preserve">utilisation des réseaux sociaux et de différentes </w:t>
      </w:r>
      <w:proofErr w:type="spellStart"/>
      <w:r w:rsidRPr="003F0172">
        <w:rPr>
          <w:lang w:val="fr-FR"/>
        </w:rPr>
        <w:t>plateformes</w:t>
      </w:r>
      <w:proofErr w:type="spellEnd"/>
      <w:r w:rsidRPr="003F0172">
        <w:rPr>
          <w:lang w:val="fr-FR"/>
        </w:rPr>
        <w:t xml:space="preserve"> en fonction des enseignements et apprentissages</w:t>
      </w:r>
      <w:r>
        <w:rPr>
          <w:lang w:val="fr-FR"/>
        </w:rPr>
        <w:t> </w:t>
      </w:r>
      <w:r w:rsidRPr="003F0172">
        <w:rPr>
          <w:lang w:val="fr-FR"/>
        </w:rPr>
        <w:t xml:space="preserve">; des classes virtuelles ont également pu être créées (Google Classroom, Google </w:t>
      </w:r>
      <w:proofErr w:type="spellStart"/>
      <w:r w:rsidRPr="003F0172">
        <w:rPr>
          <w:lang w:val="fr-FR"/>
        </w:rPr>
        <w:t>Hangout</w:t>
      </w:r>
      <w:proofErr w:type="spellEnd"/>
      <w:r w:rsidRPr="003F0172">
        <w:rPr>
          <w:lang w:val="fr-FR"/>
        </w:rPr>
        <w:t xml:space="preserve">, </w:t>
      </w:r>
      <w:proofErr w:type="spellStart"/>
      <w:r w:rsidRPr="003F0172">
        <w:rPr>
          <w:lang w:val="fr-FR"/>
        </w:rPr>
        <w:t>Edmodo</w:t>
      </w:r>
      <w:proofErr w:type="spellEnd"/>
      <w:r w:rsidRPr="003F0172">
        <w:rPr>
          <w:lang w:val="fr-FR"/>
        </w:rPr>
        <w:t>, Zoom, WhatsApp, etc.). Des tablettes et un accès gratuit à Internet ont été distribués à tous les élèves dans le besoin, et en particulier à ceux venant de zones rurales, afin qu</w:t>
      </w:r>
      <w:r>
        <w:rPr>
          <w:lang w:val="fr-FR"/>
        </w:rPr>
        <w:t>’</w:t>
      </w:r>
      <w:r w:rsidRPr="003F0172">
        <w:rPr>
          <w:lang w:val="fr-FR"/>
        </w:rPr>
        <w:t>ils puissent suivre des cours en ligne et à distance.</w:t>
      </w:r>
    </w:p>
    <w:p w14:paraId="1ADEE88A" w14:textId="1AB0DB9A"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Les lignes directrices fournies aux enseignants par le Ministère de l</w:t>
      </w:r>
      <w:r>
        <w:rPr>
          <w:lang w:val="fr-FR"/>
        </w:rPr>
        <w:t>’</w:t>
      </w:r>
      <w:r w:rsidRPr="003F0172">
        <w:rPr>
          <w:lang w:val="fr-FR"/>
        </w:rPr>
        <w:t>éducation et des sports et l</w:t>
      </w:r>
      <w:r>
        <w:rPr>
          <w:lang w:val="fr-FR"/>
        </w:rPr>
        <w:t>’</w:t>
      </w:r>
      <w:r w:rsidRPr="003F0172">
        <w:rPr>
          <w:lang w:val="fr-FR"/>
        </w:rPr>
        <w:t>Agence d</w:t>
      </w:r>
      <w:r>
        <w:rPr>
          <w:lang w:val="fr-FR"/>
        </w:rPr>
        <w:t>’</w:t>
      </w:r>
      <w:r w:rsidRPr="003F0172">
        <w:rPr>
          <w:lang w:val="fr-FR"/>
        </w:rPr>
        <w:t>assurance qualité dans l</w:t>
      </w:r>
      <w:r>
        <w:rPr>
          <w:lang w:val="fr-FR"/>
        </w:rPr>
        <w:t>’</w:t>
      </w:r>
      <w:r w:rsidRPr="003F0172">
        <w:rPr>
          <w:lang w:val="fr-FR"/>
        </w:rPr>
        <w:t xml:space="preserve">enseignement </w:t>
      </w:r>
      <w:proofErr w:type="spellStart"/>
      <w:r w:rsidRPr="003F0172">
        <w:rPr>
          <w:lang w:val="fr-FR"/>
        </w:rPr>
        <w:t>préuniversitaire</w:t>
      </w:r>
      <w:proofErr w:type="spellEnd"/>
      <w:r w:rsidRPr="003F0172">
        <w:rPr>
          <w:lang w:val="fr-FR"/>
        </w:rPr>
        <w:t xml:space="preserve"> les ont aidés à alléger le contenu de leurs enseignement</w:t>
      </w:r>
      <w:r>
        <w:rPr>
          <w:lang w:val="fr-FR"/>
        </w:rPr>
        <w:t>s</w:t>
      </w:r>
      <w:r w:rsidRPr="003F0172">
        <w:rPr>
          <w:lang w:val="fr-FR"/>
        </w:rPr>
        <w:t>. Ils ont fait preuve de flexibilité et se sont attachés à alléger les contenus proposés afin que les élèves puissent se concentrer davantage sur la réactivation des connaissances acquises et sur l</w:t>
      </w:r>
      <w:r>
        <w:rPr>
          <w:lang w:val="fr-FR"/>
        </w:rPr>
        <w:t>’</w:t>
      </w:r>
      <w:r w:rsidRPr="003F0172">
        <w:rPr>
          <w:lang w:val="fr-FR"/>
        </w:rPr>
        <w:t>acquisition de certaines connaissances et compétences cl</w:t>
      </w:r>
      <w:r w:rsidR="000043A2">
        <w:rPr>
          <w:lang w:val="fr-FR"/>
        </w:rPr>
        <w:t>ef</w:t>
      </w:r>
      <w:r w:rsidRPr="003F0172">
        <w:rPr>
          <w:lang w:val="fr-FR"/>
        </w:rPr>
        <w:t>s. Pour assurer l</w:t>
      </w:r>
      <w:r>
        <w:rPr>
          <w:lang w:val="fr-FR"/>
        </w:rPr>
        <w:t>’</w:t>
      </w:r>
      <w:r w:rsidRPr="003F0172">
        <w:rPr>
          <w:lang w:val="fr-FR"/>
        </w:rPr>
        <w:t>efficacité de l</w:t>
      </w:r>
      <w:r>
        <w:rPr>
          <w:lang w:val="fr-FR"/>
        </w:rPr>
        <w:t>’</w:t>
      </w:r>
      <w:r w:rsidRPr="003F0172">
        <w:rPr>
          <w:lang w:val="fr-FR"/>
        </w:rPr>
        <w:t>enseignement et de l</w:t>
      </w:r>
      <w:r>
        <w:rPr>
          <w:lang w:val="fr-FR"/>
        </w:rPr>
        <w:t>’</w:t>
      </w:r>
      <w:r w:rsidRPr="003F0172">
        <w:rPr>
          <w:lang w:val="fr-FR"/>
        </w:rPr>
        <w:t xml:space="preserve">apprentissage à domicile, les enseignants ont utilisé des messages, des présentations PowerPoint ou des vidéos pour donner des consignes, des devoirs, des exercices, des lectures supplémentaires et de </w:t>
      </w:r>
      <w:r>
        <w:rPr>
          <w:lang w:val="fr-FR"/>
        </w:rPr>
        <w:t xml:space="preserve">courtes </w:t>
      </w:r>
      <w:r w:rsidRPr="003F0172">
        <w:rPr>
          <w:lang w:val="fr-FR"/>
        </w:rPr>
        <w:t>évaluations, entre autres, selon leur matière d</w:t>
      </w:r>
      <w:r>
        <w:rPr>
          <w:lang w:val="fr-FR"/>
        </w:rPr>
        <w:t>’</w:t>
      </w:r>
      <w:r w:rsidRPr="003F0172">
        <w:rPr>
          <w:lang w:val="fr-FR"/>
        </w:rPr>
        <w:t>enseignement et les particularités des disciplines, ainsi que pour répondre aux questions des élèves concernant les enseignements et leurs</w:t>
      </w:r>
      <w:r>
        <w:rPr>
          <w:lang w:val="fr-FR"/>
        </w:rPr>
        <w:t xml:space="preserve"> difficultés ou incertitudes.</w:t>
      </w:r>
    </w:p>
    <w:p w14:paraId="748BB85E" w14:textId="33003599"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Entre le 1</w:t>
      </w:r>
      <w:r>
        <w:rPr>
          <w:vertAlign w:val="superscript"/>
          <w:lang w:val="fr-FR"/>
        </w:rPr>
        <w:t>er</w:t>
      </w:r>
      <w:r>
        <w:rPr>
          <w:lang w:val="fr-FR"/>
        </w:rPr>
        <w:t xml:space="preserve"> et le 24 septembre 2021, des heures d’enseignement supplémentaires ont été proposées dans tous les établissements d’enseignement </w:t>
      </w:r>
      <w:proofErr w:type="spellStart"/>
      <w:r>
        <w:rPr>
          <w:lang w:val="fr-FR"/>
        </w:rPr>
        <w:t>préuniversitaire</w:t>
      </w:r>
      <w:proofErr w:type="spellEnd"/>
      <w:r>
        <w:rPr>
          <w:lang w:val="fr-FR"/>
        </w:rPr>
        <w:t xml:space="preserve">, conformément aux lignes directrices de l’Agence d’assurance qualité dans l’enseignement </w:t>
      </w:r>
      <w:proofErr w:type="spellStart"/>
      <w:r>
        <w:rPr>
          <w:lang w:val="fr-FR"/>
        </w:rPr>
        <w:t>préuniversitaire</w:t>
      </w:r>
      <w:proofErr w:type="spellEnd"/>
      <w:r>
        <w:rPr>
          <w:lang w:val="fr-FR"/>
        </w:rPr>
        <w:t xml:space="preserve"> portant sur le perfectionnement des élèves et leurs résultats liés à la situation engendrée par la pandémie de COVID-19, qui visent à renforcer et à améliorer les résultats des élèves présentant des lacunes détectées au cours de l’année scolaire précédente. Pendant les heures supplémentaires d’enseignement, les élèves ayant des capacités limitées ont fait l’objet d’une attention particulière. Les établissements scolaires ont en outre mis en place un programme inclusif comprenant des activités de loisirs et sportives pour les élèves. Au cours de l’année</w:t>
      </w:r>
      <w:r w:rsidR="000043A2">
        <w:rPr>
          <w:lang w:val="fr-FR"/>
        </w:rPr>
        <w:t xml:space="preserve"> </w:t>
      </w:r>
      <w:r>
        <w:rPr>
          <w:lang w:val="fr-FR"/>
        </w:rPr>
        <w:t xml:space="preserve">2021-2022, pour faire face à l’évolution de la situation engendrée par la pandémie de COVID-19, le Ministère de l’éducation et des sports a préparé trois scénarios (enseignement à l’école, enseignement mixte et enseignement en ligne), que les établissements scolaires </w:t>
      </w:r>
      <w:r>
        <w:rPr>
          <w:lang w:val="fr-FR"/>
        </w:rPr>
        <w:lastRenderedPageBreak/>
        <w:t>pouvaient utiliser de manière flexible en fonction de l’évolution de</w:t>
      </w:r>
      <w:r w:rsidRPr="00A82F8A">
        <w:rPr>
          <w:lang w:val="fr-FR"/>
        </w:rPr>
        <w:t xml:space="preserve"> la pandémie dans certains domaines</w:t>
      </w:r>
      <w:r>
        <w:rPr>
          <w:lang w:val="fr-FR"/>
        </w:rPr>
        <w:t xml:space="preserve">. Les lignes directrices du Ministère de l’éducation et des sports et de l’Agence d’assurance qualité dans l’enseignement </w:t>
      </w:r>
      <w:proofErr w:type="spellStart"/>
      <w:r>
        <w:rPr>
          <w:lang w:val="fr-FR"/>
        </w:rPr>
        <w:t>préuniversitaire</w:t>
      </w:r>
      <w:proofErr w:type="spellEnd"/>
      <w:r>
        <w:rPr>
          <w:lang w:val="fr-FR"/>
        </w:rPr>
        <w:t xml:space="preserve"> ont aidé les établissements scolaires à prendre des mesures temporaires sur le déroulement de l’enseignement et de l’apprentissage afin de proposer des solutions de remplacement plus appropriées compte tenu de l’état des écoles et de la situation après la COVID-19.</w:t>
      </w:r>
    </w:p>
    <w:p w14:paraId="2F2CDDDE"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Les lignes directrices sur l’année scolaire dans le système d’enseignement </w:t>
      </w:r>
      <w:proofErr w:type="spellStart"/>
      <w:r>
        <w:rPr>
          <w:lang w:val="fr-FR"/>
        </w:rPr>
        <w:t>préuniversitaire</w:t>
      </w:r>
      <w:proofErr w:type="spellEnd"/>
      <w:r>
        <w:rPr>
          <w:lang w:val="fr-FR"/>
        </w:rPr>
        <w:t xml:space="preserve"> donnent des pistes aux directeurs des établissements concernés pour mettre en œuvre efficacement des politiques et initiatives du Ministère de l’éducation et des sports et créer un environnement convivial et inclusif pour les élèves. Dans ce document, des instructions sont également données aux établissements pour inscrire prioritairement les enfants ayant des besoins spéciaux, réduire l’abandon scolaire, le harcèlement, la violence et l’extrémisme, favoriser l’égalité des genres et mener des activités de sensibilisation à ces phénomènes. Ces lignes directrices prévoient également que des mesures soient prises pour créer un environnement scolaire externe et interne sûr, en coopération avec les parents et la collectivité, afin de protéger la santé des élèves et du personnel sur la base des protocoles relatifs à la pandémie de COVID-19.</w:t>
      </w:r>
    </w:p>
    <w:p w14:paraId="674860E4"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Concernant la protection des enfants contre la violence, le harcèlement, l’extrémisme, la traite des personnes et l’éducation au développement durable :</w:t>
      </w:r>
    </w:p>
    <w:p w14:paraId="5EBA0376" w14:textId="77777777" w:rsidR="0078583E" w:rsidRPr="00820E13" w:rsidRDefault="0078583E" w:rsidP="00A33134">
      <w:pPr>
        <w:pStyle w:val="Bullet1G"/>
        <w:rPr>
          <w:lang w:val="fr-FR"/>
        </w:rPr>
      </w:pPr>
      <w:r>
        <w:rPr>
          <w:lang w:val="fr-FR"/>
        </w:rPr>
        <w:t xml:space="preserve">Une réforme des programmes d’études axés sur les compétences a été engagée dans l’enseignement </w:t>
      </w:r>
      <w:proofErr w:type="spellStart"/>
      <w:r>
        <w:rPr>
          <w:lang w:val="fr-FR"/>
        </w:rPr>
        <w:t>préuniversitaire</w:t>
      </w:r>
      <w:proofErr w:type="spellEnd"/>
      <w:r>
        <w:rPr>
          <w:lang w:val="fr-FR"/>
        </w:rPr>
        <w:t xml:space="preserve"> (à partir de 2014) pour doter les élèves des compétences de demain. Une fois réformés, les programmes d’études axés sur les compétences (de la classe préparatoire à la 12</w:t>
      </w:r>
      <w:r>
        <w:rPr>
          <w:vertAlign w:val="superscript"/>
          <w:lang w:val="fr-FR"/>
        </w:rPr>
        <w:t>e</w:t>
      </w:r>
      <w:r>
        <w:rPr>
          <w:lang w:val="fr-FR"/>
        </w:rPr>
        <w:t xml:space="preserve"> année) visent à faire acquérir aux élèves des compétences d’apprentissage tout au long de la vie, à les préparer au marché du travail et à leur permettre de relever les défis à venir. Ces programmes permettent aux élèves d’acquérir les connaissances et les compétences nécessaires pour promouvoir le développement durable, y compris les droits de l’homme, l’égalité des genres et le soutien à une culture de la paix, la citoyenneté mondiale et l’appréciation de la diversité des cultures et de la contribution apportée par la culture au développement durable. L’inclusion de matières </w:t>
      </w:r>
      <w:proofErr w:type="spellStart"/>
      <w:r>
        <w:rPr>
          <w:lang w:val="fr-FR"/>
        </w:rPr>
        <w:t>extrascolaires</w:t>
      </w:r>
      <w:proofErr w:type="spellEnd"/>
      <w:r>
        <w:rPr>
          <w:lang w:val="fr-FR"/>
        </w:rPr>
        <w:t xml:space="preserve"> telles que l’environnement, le développement durable, l’interdépendance, la coexistence pacifique, les droits de l’homme, l’identité nationale et la connaissance des cultures </w:t>
      </w:r>
      <w:r w:rsidRPr="00425466">
        <w:rPr>
          <w:lang w:val="fr-FR"/>
        </w:rPr>
        <w:t>dans toutes les disciplines/tous les domaines d</w:t>
      </w:r>
      <w:r>
        <w:rPr>
          <w:lang w:val="fr-FR"/>
        </w:rPr>
        <w:t>’</w:t>
      </w:r>
      <w:r w:rsidRPr="00425466">
        <w:rPr>
          <w:lang w:val="fr-FR"/>
        </w:rPr>
        <w:t>apprentissage</w:t>
      </w:r>
      <w:r>
        <w:rPr>
          <w:lang w:val="fr-FR"/>
        </w:rPr>
        <w:t xml:space="preserve"> a permis de renforcer les compétences des enseignants, des auteurs de manuels scolaires et d’autres parties prenantes au moyen de différentes activités.</w:t>
      </w:r>
    </w:p>
    <w:p w14:paraId="2123B0A4" w14:textId="7FA6DA4E" w:rsidR="0078583E" w:rsidRPr="00820E13" w:rsidRDefault="0078583E" w:rsidP="00A33134">
      <w:pPr>
        <w:pStyle w:val="Bullet1G"/>
        <w:rPr>
          <w:lang w:val="fr-FR"/>
        </w:rPr>
      </w:pPr>
      <w:r>
        <w:rPr>
          <w:lang w:val="fr-FR"/>
        </w:rPr>
        <w:t>La création d’un système permettant de détecter, de prévenir et de signaler la violence, le harcèlement, l’extrémisme violent et la minimisation du discours de haine à l’école est au centre des préoccupations du Ministère de l’éducation et des sports. En</w:t>
      </w:r>
      <w:r w:rsidR="000043A2">
        <w:rPr>
          <w:lang w:val="fr-FR"/>
        </w:rPr>
        <w:t> </w:t>
      </w:r>
      <w:r>
        <w:rPr>
          <w:lang w:val="fr-FR"/>
        </w:rPr>
        <w:t xml:space="preserve">coopération avec ses </w:t>
      </w:r>
      <w:r w:rsidRPr="00A33134">
        <w:t>partenaires</w:t>
      </w:r>
      <w:r>
        <w:rPr>
          <w:lang w:val="fr-FR"/>
        </w:rPr>
        <w:t>, le Ministère a rédigé des protocoles inclusifs de prévention et de signalement de tous les types de violence (physique, psychologique, sexuelle, négligence, abus sexuel, exploitation), de l’homophobie, du harcèlement, du langage haineux et de l’extrémisme à l’école.</w:t>
      </w:r>
    </w:p>
    <w:p w14:paraId="713C5732" w14:textId="77777777" w:rsidR="0078583E" w:rsidRPr="00820E13" w:rsidRDefault="0078583E" w:rsidP="00A33134">
      <w:pPr>
        <w:pStyle w:val="Bullet1G"/>
        <w:rPr>
          <w:lang w:val="fr-FR"/>
        </w:rPr>
      </w:pPr>
      <w:r>
        <w:rPr>
          <w:lang w:val="fr-FR"/>
        </w:rPr>
        <w:t xml:space="preserve">Les travailleurs </w:t>
      </w:r>
      <w:proofErr w:type="spellStart"/>
      <w:r>
        <w:rPr>
          <w:lang w:val="fr-FR"/>
        </w:rPr>
        <w:t>psychosociaux</w:t>
      </w:r>
      <w:proofErr w:type="spellEnd"/>
      <w:r>
        <w:rPr>
          <w:lang w:val="fr-FR"/>
        </w:rPr>
        <w:t xml:space="preserve"> et les agents de sécurité des établissements d’enseignement </w:t>
      </w:r>
      <w:proofErr w:type="spellStart"/>
      <w:r>
        <w:rPr>
          <w:lang w:val="fr-FR"/>
        </w:rPr>
        <w:t>préuniversitaire</w:t>
      </w:r>
      <w:proofErr w:type="spellEnd"/>
      <w:r>
        <w:rPr>
          <w:lang w:val="fr-FR"/>
        </w:rPr>
        <w:t xml:space="preserve"> mènent différentes campagnes de sensibilisation et d’information visant à prévenir les phénomènes de violence à l’intérieur et à l’extérieur des établissements scolaires, en tenant compte de toutes les formes qu’ils peuvent prendre. Le mécanisme coordonné de signalement des cas de violence au sein des </w:t>
      </w:r>
      <w:r w:rsidRPr="00A33134">
        <w:t>familles</w:t>
      </w:r>
      <w:r>
        <w:rPr>
          <w:lang w:val="fr-FR"/>
        </w:rPr>
        <w:t xml:space="preserve"> est en place dans chaque municipalité, l’objectif étant de traiter et de prévenir les cas concernés.</w:t>
      </w:r>
    </w:p>
    <w:p w14:paraId="32EA0E47" w14:textId="77777777" w:rsidR="0078583E" w:rsidRPr="00820E13" w:rsidRDefault="0078583E" w:rsidP="00A33134">
      <w:pPr>
        <w:pStyle w:val="Bullet1G"/>
        <w:rPr>
          <w:lang w:val="fr-FR"/>
        </w:rPr>
      </w:pPr>
      <w:r>
        <w:rPr>
          <w:lang w:val="fr-FR"/>
        </w:rPr>
        <w:t>Aux fins de la prévention de la violence dans les établissements scolaires, le Ministère de l’éducation et des sports a publié la directive n</w:t>
      </w:r>
      <w:r w:rsidRPr="00E803DA">
        <w:rPr>
          <w:vertAlign w:val="superscript"/>
          <w:lang w:val="fr-FR"/>
        </w:rPr>
        <w:t>o</w:t>
      </w:r>
      <w:r>
        <w:rPr>
          <w:lang w:val="fr-FR"/>
        </w:rPr>
        <w:t xml:space="preserve"> 23 du 21 novembre 2023 définissant les poursuites pénales qui </w:t>
      </w:r>
      <w:r w:rsidRPr="00A33134">
        <w:t>font</w:t>
      </w:r>
      <w:r>
        <w:rPr>
          <w:lang w:val="fr-FR"/>
        </w:rPr>
        <w:t xml:space="preserve"> obstacle à un emploi au sein du système éducatif </w:t>
      </w:r>
      <w:proofErr w:type="spellStart"/>
      <w:r>
        <w:rPr>
          <w:lang w:val="fr-FR"/>
        </w:rPr>
        <w:t>préuniversitaire</w:t>
      </w:r>
      <w:proofErr w:type="spellEnd"/>
      <w:r>
        <w:rPr>
          <w:lang w:val="fr-FR"/>
        </w:rPr>
        <w:t>. Elle détermine les cas dans lesquels une personne ne peut pas se présenter à un concours pour travailler en tant qu’enseignant ou pour occuper tout autre poste en lien avec un établissement scolaire.</w:t>
      </w:r>
    </w:p>
    <w:p w14:paraId="58329009" w14:textId="77777777" w:rsidR="0078583E" w:rsidRPr="00820E13" w:rsidRDefault="0078583E" w:rsidP="00A33134">
      <w:pPr>
        <w:pStyle w:val="H1G"/>
        <w:spacing w:before="380" w:after="260"/>
        <w:rPr>
          <w:lang w:val="fr-FR"/>
        </w:rPr>
      </w:pPr>
      <w:r>
        <w:rPr>
          <w:lang w:val="fr-FR"/>
        </w:rPr>
        <w:lastRenderedPageBreak/>
        <w:tab/>
      </w:r>
      <w:r>
        <w:rPr>
          <w:lang w:val="fr-FR"/>
        </w:rPr>
        <w:tab/>
        <w:t>Droits culturels (art. 15)</w:t>
      </w:r>
    </w:p>
    <w:p w14:paraId="26CC85BC" w14:textId="77777777" w:rsidR="0078583E" w:rsidRPr="00820E13" w:rsidRDefault="0078583E" w:rsidP="00A33134">
      <w:pPr>
        <w:pStyle w:val="H23G"/>
        <w:spacing w:after="140"/>
        <w:rPr>
          <w:lang w:val="fr-FR"/>
        </w:rPr>
      </w:pPr>
      <w:r>
        <w:rPr>
          <w:lang w:val="fr-FR"/>
        </w:rPr>
        <w:tab/>
      </w:r>
      <w:r>
        <w:rPr>
          <w:lang w:val="fr-FR"/>
        </w:rPr>
        <w:tab/>
        <w:t>Réponse au paragraphe 26 de la liste de points</w:t>
      </w:r>
    </w:p>
    <w:p w14:paraId="0F333652" w14:textId="6672AE53" w:rsidR="0078583E" w:rsidRPr="00820E13" w:rsidRDefault="0078583E" w:rsidP="00A33134">
      <w:pPr>
        <w:pStyle w:val="SingleTxtG"/>
        <w:numPr>
          <w:ilvl w:val="0"/>
          <w:numId w:val="8"/>
        </w:numPr>
        <w:tabs>
          <w:tab w:val="clear" w:pos="1701"/>
          <w:tab w:val="clear" w:pos="2268"/>
          <w:tab w:val="clear" w:pos="2835"/>
          <w:tab w:val="left" w:pos="567"/>
        </w:tabs>
        <w:suppressAutoHyphens w:val="0"/>
        <w:spacing w:after="140"/>
        <w:ind w:left="1134" w:firstLine="0"/>
        <w:rPr>
          <w:lang w:val="fr-FR"/>
        </w:rPr>
      </w:pPr>
      <w:r>
        <w:rPr>
          <w:lang w:val="fr-FR"/>
        </w:rPr>
        <w:t xml:space="preserve">Le Ministère de l’éducation et des sports s’attache à soutenir l’éducation des enfants issus des minorités nationales. Au sein du système éducatif </w:t>
      </w:r>
      <w:proofErr w:type="spellStart"/>
      <w:r>
        <w:rPr>
          <w:lang w:val="fr-FR"/>
        </w:rPr>
        <w:t>préuniversitaire</w:t>
      </w:r>
      <w:proofErr w:type="spellEnd"/>
      <w:r>
        <w:rPr>
          <w:lang w:val="fr-FR"/>
        </w:rPr>
        <w:t xml:space="preserve"> public, des établissements proposent des cours aux élèves issus des minorités nationales grecque et macédonienne. Actuellement, les établissements dans lesquels sont inscrits des membres de la minorité grecque dépendant des bureaux locaux d’éducation </w:t>
      </w:r>
      <w:proofErr w:type="spellStart"/>
      <w:r>
        <w:rPr>
          <w:lang w:val="fr-FR"/>
        </w:rPr>
        <w:t>préuniversitaire</w:t>
      </w:r>
      <w:proofErr w:type="spellEnd"/>
      <w:r>
        <w:rPr>
          <w:lang w:val="fr-FR"/>
        </w:rPr>
        <w:t xml:space="preserve"> de </w:t>
      </w:r>
      <w:proofErr w:type="spellStart"/>
      <w:r>
        <w:rPr>
          <w:lang w:val="fr-FR"/>
        </w:rPr>
        <w:t>Finiq</w:t>
      </w:r>
      <w:r w:rsidR="00CA78F8">
        <w:rPr>
          <w:lang w:val="fr-FR"/>
        </w:rPr>
        <w:noBreakHyphen/>
      </w:r>
      <w:r>
        <w:rPr>
          <w:lang w:val="fr-FR"/>
        </w:rPr>
        <w:t>Dropull</w:t>
      </w:r>
      <w:proofErr w:type="spellEnd"/>
      <w:r>
        <w:rPr>
          <w:lang w:val="fr-FR"/>
        </w:rPr>
        <w:t>, de Gjirokastër-</w:t>
      </w:r>
      <w:proofErr w:type="spellStart"/>
      <w:r>
        <w:rPr>
          <w:lang w:val="fr-FR"/>
        </w:rPr>
        <w:t>Libohovë</w:t>
      </w:r>
      <w:proofErr w:type="spellEnd"/>
      <w:r>
        <w:rPr>
          <w:lang w:val="fr-FR"/>
        </w:rPr>
        <w:t xml:space="preserve"> et de Sarandë-Delvinë-</w:t>
      </w:r>
      <w:proofErr w:type="spellStart"/>
      <w:r>
        <w:rPr>
          <w:lang w:val="fr-FR"/>
        </w:rPr>
        <w:t>Konispol</w:t>
      </w:r>
      <w:proofErr w:type="spellEnd"/>
      <w:r>
        <w:rPr>
          <w:lang w:val="fr-FR"/>
        </w:rPr>
        <w:t xml:space="preserve">, tandis que les établissements accueillant des membres de la minorité macédonienne dépendent du Bureau local d’éducation </w:t>
      </w:r>
      <w:proofErr w:type="spellStart"/>
      <w:r>
        <w:rPr>
          <w:lang w:val="fr-FR"/>
        </w:rPr>
        <w:t>préuniversitaire</w:t>
      </w:r>
      <w:proofErr w:type="spellEnd"/>
      <w:r>
        <w:rPr>
          <w:lang w:val="fr-FR"/>
        </w:rPr>
        <w:t xml:space="preserve"> de Korçë-</w:t>
      </w:r>
      <w:proofErr w:type="spellStart"/>
      <w:r>
        <w:rPr>
          <w:lang w:val="fr-FR"/>
        </w:rPr>
        <w:t>Pustec</w:t>
      </w:r>
      <w:proofErr w:type="spellEnd"/>
      <w:r>
        <w:rPr>
          <w:lang w:val="fr-FR"/>
        </w:rPr>
        <w:t>.</w:t>
      </w:r>
    </w:p>
    <w:p w14:paraId="3AB7A408" w14:textId="265EE3E5" w:rsidR="0078583E" w:rsidRPr="00820E13" w:rsidRDefault="0078583E" w:rsidP="00A33134">
      <w:pPr>
        <w:pStyle w:val="SingleTxtG"/>
        <w:numPr>
          <w:ilvl w:val="0"/>
          <w:numId w:val="8"/>
        </w:numPr>
        <w:tabs>
          <w:tab w:val="clear" w:pos="1701"/>
          <w:tab w:val="clear" w:pos="2268"/>
          <w:tab w:val="clear" w:pos="2835"/>
          <w:tab w:val="left" w:pos="567"/>
        </w:tabs>
        <w:suppressAutoHyphens w:val="0"/>
        <w:spacing w:after="140"/>
        <w:ind w:left="1134" w:firstLine="0"/>
        <w:rPr>
          <w:lang w:val="fr-FR"/>
        </w:rPr>
      </w:pPr>
      <w:r>
        <w:rPr>
          <w:lang w:val="fr-FR"/>
        </w:rPr>
        <w:t>L’article 10 de la loi n</w:t>
      </w:r>
      <w:r>
        <w:rPr>
          <w:vertAlign w:val="superscript"/>
          <w:lang w:val="fr-FR"/>
        </w:rPr>
        <w:t>o</w:t>
      </w:r>
      <w:r w:rsidR="00CA78F8">
        <w:rPr>
          <w:lang w:val="fr-FR"/>
        </w:rPr>
        <w:t> </w:t>
      </w:r>
      <w:r>
        <w:rPr>
          <w:lang w:val="fr-FR"/>
        </w:rPr>
        <w:t xml:space="preserve">69/2012 relative au système d’enseignement </w:t>
      </w:r>
      <w:proofErr w:type="spellStart"/>
      <w:r>
        <w:rPr>
          <w:lang w:val="fr-FR"/>
        </w:rPr>
        <w:t>préuniversitaire</w:t>
      </w:r>
      <w:proofErr w:type="spellEnd"/>
      <w:r>
        <w:rPr>
          <w:lang w:val="fr-FR"/>
        </w:rPr>
        <w:t xml:space="preserve"> en République d’Albanie (telle que modifiée) prévoit que des modalités particulières doivent être mises en place pour que les personnes appartenant à des minorités nationales puissent apprendre leur langue maternelle, leur histoire et leur culture, sur la base de plans et de programmes d’enseignement. Compte tenu des nouveaux programmes, les textes suivants ont donc été approuvés :</w:t>
      </w:r>
    </w:p>
    <w:p w14:paraId="321CA23F" w14:textId="77777777" w:rsidR="0078583E" w:rsidRPr="00820E13" w:rsidRDefault="0078583E" w:rsidP="00A33134">
      <w:pPr>
        <w:pStyle w:val="Bullet1G"/>
        <w:spacing w:after="140"/>
        <w:rPr>
          <w:lang w:val="fr-FR"/>
        </w:rPr>
      </w:pPr>
      <w:r>
        <w:rPr>
          <w:lang w:val="fr-FR"/>
        </w:rPr>
        <w:t>Ligne directrice n</w:t>
      </w:r>
      <w:r>
        <w:rPr>
          <w:vertAlign w:val="superscript"/>
          <w:lang w:val="fr-FR"/>
        </w:rPr>
        <w:t>o</w:t>
      </w:r>
      <w:r>
        <w:rPr>
          <w:lang w:val="fr-FR"/>
        </w:rPr>
        <w:t xml:space="preserve"> 20 du 19 juillet 2022 fixant les matières enseignées en langue albanaise et dans la langue maternelle des élèves issus des minorités nationales dans le cadre de </w:t>
      </w:r>
      <w:r w:rsidRPr="00A33134">
        <w:t>l’enseignement</w:t>
      </w:r>
      <w:r>
        <w:rPr>
          <w:lang w:val="fr-FR"/>
        </w:rPr>
        <w:t xml:space="preserve"> de base en Albanie ;</w:t>
      </w:r>
    </w:p>
    <w:p w14:paraId="0F890E7A" w14:textId="77777777" w:rsidR="0078583E" w:rsidRPr="00820E13" w:rsidRDefault="0078583E" w:rsidP="00A33134">
      <w:pPr>
        <w:pStyle w:val="Bullet1G"/>
        <w:spacing w:after="140"/>
        <w:rPr>
          <w:lang w:val="fr-FR"/>
        </w:rPr>
      </w:pPr>
      <w:r>
        <w:rPr>
          <w:lang w:val="fr-FR"/>
        </w:rPr>
        <w:t xml:space="preserve">Ligne </w:t>
      </w:r>
      <w:r w:rsidRPr="00A33134">
        <w:t>directrice</w:t>
      </w:r>
      <w:r>
        <w:rPr>
          <w:lang w:val="fr-FR"/>
        </w:rPr>
        <w:t xml:space="preserve"> n</w:t>
      </w:r>
      <w:r>
        <w:rPr>
          <w:vertAlign w:val="superscript"/>
          <w:lang w:val="fr-FR"/>
        </w:rPr>
        <w:t>o</w:t>
      </w:r>
      <w:r>
        <w:rPr>
          <w:lang w:val="fr-FR"/>
        </w:rPr>
        <w:t> 531 du 9 septembre 2022 relative à l’établissement du plan d’enseignement des minorités nationales dans le cadre de l’enseignement de base.</w:t>
      </w:r>
    </w:p>
    <w:p w14:paraId="17FD0BA8" w14:textId="77777777" w:rsidR="0078583E" w:rsidRPr="00820E13" w:rsidRDefault="0078583E" w:rsidP="00A33134">
      <w:pPr>
        <w:pStyle w:val="SingleTxtG"/>
        <w:numPr>
          <w:ilvl w:val="0"/>
          <w:numId w:val="8"/>
        </w:numPr>
        <w:tabs>
          <w:tab w:val="clear" w:pos="1701"/>
          <w:tab w:val="clear" w:pos="2268"/>
          <w:tab w:val="clear" w:pos="2835"/>
          <w:tab w:val="left" w:pos="567"/>
        </w:tabs>
        <w:suppressAutoHyphens w:val="0"/>
        <w:spacing w:after="140"/>
        <w:ind w:left="1134" w:firstLine="0"/>
        <w:rPr>
          <w:lang w:val="fr-FR"/>
        </w:rPr>
      </w:pPr>
      <w:r>
        <w:rPr>
          <w:lang w:val="fr-FR"/>
        </w:rPr>
        <w:t>Grâce aux lignes directrices susmentionnées, 70 % des disciplines ont pu être enseignées aux élèves appartenant aux minorités grecque et macédonienne dans leur langue maternelle dans le cadre de l’éducation de base.</w:t>
      </w:r>
    </w:p>
    <w:p w14:paraId="61B4DB62" w14:textId="77777777" w:rsidR="0078583E" w:rsidRPr="00820E13" w:rsidRDefault="0078583E" w:rsidP="00A33134">
      <w:pPr>
        <w:pStyle w:val="SingleTxtG"/>
        <w:numPr>
          <w:ilvl w:val="0"/>
          <w:numId w:val="8"/>
        </w:numPr>
        <w:tabs>
          <w:tab w:val="clear" w:pos="1701"/>
          <w:tab w:val="clear" w:pos="2268"/>
          <w:tab w:val="clear" w:pos="2835"/>
          <w:tab w:val="left" w:pos="567"/>
        </w:tabs>
        <w:suppressAutoHyphens w:val="0"/>
        <w:spacing w:after="140"/>
        <w:ind w:left="1134" w:firstLine="0"/>
        <w:rPr>
          <w:lang w:val="fr-FR"/>
        </w:rPr>
      </w:pPr>
      <w:r>
        <w:rPr>
          <w:lang w:val="fr-FR"/>
        </w:rPr>
        <w:t>En application de la loi n</w:t>
      </w:r>
      <w:r>
        <w:rPr>
          <w:vertAlign w:val="superscript"/>
          <w:lang w:val="fr-FR"/>
        </w:rPr>
        <w:t>o</w:t>
      </w:r>
      <w:r>
        <w:rPr>
          <w:lang w:val="fr-FR"/>
        </w:rPr>
        <w:t xml:space="preserve"> 69/2012 relative au système d’enseignement </w:t>
      </w:r>
      <w:proofErr w:type="spellStart"/>
      <w:r>
        <w:rPr>
          <w:lang w:val="fr-FR"/>
        </w:rPr>
        <w:t>préuniversitaire</w:t>
      </w:r>
      <w:proofErr w:type="spellEnd"/>
      <w:r>
        <w:rPr>
          <w:lang w:val="fr-FR"/>
        </w:rPr>
        <w:t xml:space="preserve"> en République d’Albanie (telle que modifiée), les élèves appartenant à des minorités nationales se voient garantir les conditions nécessaires à l’apprentissage de la langue albanaise et à la connaissance de l’histoire et de la culture albanaises, l’objectif étant qu’ils puissent participer activement et sur un pied d’égalité à la vie économique, sociale, politique et culturelle de la République d’Albanie et être évalués lors des examens nationaux de l’éducation de base en langue albanaise, dans leur propre langue et, s’ils le souhaitent, dans une langue étrangère.</w:t>
      </w:r>
    </w:p>
    <w:p w14:paraId="72513702" w14:textId="1E5461D2" w:rsidR="0078583E" w:rsidRPr="00A33134" w:rsidRDefault="0078583E" w:rsidP="00A33134">
      <w:pPr>
        <w:pStyle w:val="SingleTxtG"/>
        <w:numPr>
          <w:ilvl w:val="0"/>
          <w:numId w:val="8"/>
        </w:numPr>
        <w:tabs>
          <w:tab w:val="clear" w:pos="1701"/>
          <w:tab w:val="clear" w:pos="2268"/>
          <w:tab w:val="clear" w:pos="2835"/>
          <w:tab w:val="left" w:pos="567"/>
        </w:tabs>
        <w:suppressAutoHyphens w:val="0"/>
        <w:spacing w:after="140"/>
        <w:ind w:left="1134" w:firstLine="0"/>
        <w:rPr>
          <w:spacing w:val="3"/>
          <w:lang w:val="fr-FR"/>
        </w:rPr>
      </w:pPr>
      <w:r w:rsidRPr="00A33134">
        <w:rPr>
          <w:spacing w:val="3"/>
          <w:lang w:val="fr-FR"/>
        </w:rPr>
        <w:t>Dans les orientations applicables à l’année scolaire</w:t>
      </w:r>
      <w:r w:rsidR="00CA78F8">
        <w:rPr>
          <w:spacing w:val="3"/>
          <w:lang w:val="fr-FR"/>
        </w:rPr>
        <w:t xml:space="preserve"> </w:t>
      </w:r>
      <w:r w:rsidRPr="00A33134">
        <w:rPr>
          <w:spacing w:val="3"/>
          <w:lang w:val="fr-FR"/>
        </w:rPr>
        <w:t>2023</w:t>
      </w:r>
      <w:r w:rsidR="00CA78F8">
        <w:rPr>
          <w:spacing w:val="3"/>
          <w:lang w:val="fr-FR"/>
        </w:rPr>
        <w:t>/</w:t>
      </w:r>
      <w:r w:rsidRPr="00A33134">
        <w:rPr>
          <w:spacing w:val="3"/>
          <w:lang w:val="fr-FR"/>
        </w:rPr>
        <w:t xml:space="preserve">24, les établissements d’enseignement où sont inscrits des élèves issus des minorités ethniques sont invités à aider ces élèves à suivre et terminer leurs études, et à organiser des activités de promotion de la langue, de la culture et des traditions de la minorité concernée. Afin de soutenir les établissements d’enseignement </w:t>
      </w:r>
      <w:proofErr w:type="spellStart"/>
      <w:r w:rsidRPr="00A33134">
        <w:rPr>
          <w:spacing w:val="3"/>
          <w:lang w:val="fr-FR"/>
        </w:rPr>
        <w:t>préuniversitaire</w:t>
      </w:r>
      <w:proofErr w:type="spellEnd"/>
      <w:r w:rsidRPr="00A33134">
        <w:rPr>
          <w:spacing w:val="3"/>
          <w:lang w:val="fr-FR"/>
        </w:rPr>
        <w:t xml:space="preserve"> où sont scolarisés des élèves de la minorité ethnique grecque, le Bureau local d’éducation </w:t>
      </w:r>
      <w:proofErr w:type="spellStart"/>
      <w:r w:rsidRPr="00A33134">
        <w:rPr>
          <w:spacing w:val="3"/>
          <w:lang w:val="fr-FR"/>
        </w:rPr>
        <w:t>préuniversitaire</w:t>
      </w:r>
      <w:proofErr w:type="spellEnd"/>
      <w:r w:rsidRPr="00A33134">
        <w:rPr>
          <w:spacing w:val="3"/>
          <w:lang w:val="fr-FR"/>
        </w:rPr>
        <w:t xml:space="preserve"> spécial (</w:t>
      </w:r>
      <w:proofErr w:type="spellStart"/>
      <w:r w:rsidRPr="00A33134">
        <w:rPr>
          <w:spacing w:val="3"/>
          <w:lang w:val="fr-FR"/>
        </w:rPr>
        <w:t>Finiq</w:t>
      </w:r>
      <w:r w:rsidR="00A33134">
        <w:rPr>
          <w:spacing w:val="3"/>
          <w:lang w:val="fr-FR"/>
        </w:rPr>
        <w:noBreakHyphen/>
      </w:r>
      <w:r w:rsidRPr="00A33134">
        <w:rPr>
          <w:spacing w:val="3"/>
          <w:lang w:val="fr-FR"/>
        </w:rPr>
        <w:t>Dropull</w:t>
      </w:r>
      <w:proofErr w:type="spellEnd"/>
      <w:r w:rsidRPr="00A33134">
        <w:rPr>
          <w:spacing w:val="3"/>
          <w:lang w:val="fr-FR"/>
        </w:rPr>
        <w:t>), dirigé par des membres de la minorité ethnique grecque, a été mis en place en 2019. Dans les lignes directrices n</w:t>
      </w:r>
      <w:r w:rsidRPr="00A33134">
        <w:rPr>
          <w:spacing w:val="3"/>
          <w:vertAlign w:val="superscript"/>
          <w:lang w:val="fr-FR"/>
        </w:rPr>
        <w:t>o</w:t>
      </w:r>
      <w:r w:rsidRPr="00A33134">
        <w:rPr>
          <w:spacing w:val="3"/>
          <w:lang w:val="fr-FR"/>
        </w:rPr>
        <w:t xml:space="preserve"> 14 du 10 juillet 2023 fixant le nombre d’élèves par classe et les heures d’enseignement dans les établissements d’enseignement </w:t>
      </w:r>
      <w:proofErr w:type="spellStart"/>
      <w:r w:rsidRPr="00A33134">
        <w:rPr>
          <w:spacing w:val="3"/>
          <w:lang w:val="fr-FR"/>
        </w:rPr>
        <w:t>préuniversitaires</w:t>
      </w:r>
      <w:proofErr w:type="spellEnd"/>
      <w:r w:rsidRPr="00A33134">
        <w:rPr>
          <w:spacing w:val="3"/>
          <w:lang w:val="fr-FR"/>
        </w:rPr>
        <w:t>, il est établi que, de la 1</w:t>
      </w:r>
      <w:r w:rsidRPr="00A33134">
        <w:rPr>
          <w:spacing w:val="3"/>
          <w:vertAlign w:val="superscript"/>
          <w:lang w:val="fr-FR"/>
        </w:rPr>
        <w:t>re</w:t>
      </w:r>
      <w:r w:rsidRPr="00A33134">
        <w:rPr>
          <w:spacing w:val="3"/>
          <w:lang w:val="fr-FR"/>
        </w:rPr>
        <w:t xml:space="preserve"> à la 9</w:t>
      </w:r>
      <w:r w:rsidRPr="00A33134">
        <w:rPr>
          <w:spacing w:val="3"/>
          <w:vertAlign w:val="superscript"/>
          <w:lang w:val="fr-FR"/>
        </w:rPr>
        <w:t>e</w:t>
      </w:r>
      <w:r w:rsidRPr="00A33134">
        <w:rPr>
          <w:spacing w:val="3"/>
          <w:lang w:val="fr-FR"/>
        </w:rPr>
        <w:t> année, l’apprentissage des minorités nationales se fait dans des classes spéciales, quel que soit le nombre d’élèves par classe. Cela permet d’ouvrir des classes composées d’élèves issus de minorités ethniques, quel que soit le nombre d’élèves.</w:t>
      </w:r>
    </w:p>
    <w:p w14:paraId="30B843F5" w14:textId="0BC0A3E9"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 xml:space="preserve">Les enseignants issus de minorités ethniques reçoivent chaque année une formation dispensée par l’Agence pour l’assurance qualité de l’enseignement </w:t>
      </w:r>
      <w:proofErr w:type="spellStart"/>
      <w:r>
        <w:rPr>
          <w:lang w:val="fr-FR"/>
        </w:rPr>
        <w:t>préuniversitaire</w:t>
      </w:r>
      <w:proofErr w:type="spellEnd"/>
      <w:r>
        <w:rPr>
          <w:lang w:val="fr-FR"/>
        </w:rPr>
        <w:t xml:space="preserve"> portant sur l’enseignement des programmes d’études axés sur les compétences. Depuis 2015, les manuels scolaires dans la langue maternelle des minorités grecque et macédonienne sont renouvelés en fonction des nouveaux programmes d’études axés sur les compétences. En</w:t>
      </w:r>
      <w:r w:rsidR="00A33134">
        <w:rPr>
          <w:lang w:val="fr-FR"/>
        </w:rPr>
        <w:t> </w:t>
      </w:r>
      <w:r>
        <w:rPr>
          <w:lang w:val="fr-FR"/>
        </w:rPr>
        <w:t>application de la décision du Conseil des ministres n</w:t>
      </w:r>
      <w:r>
        <w:rPr>
          <w:vertAlign w:val="superscript"/>
          <w:lang w:val="fr-FR"/>
        </w:rPr>
        <w:t>o</w:t>
      </w:r>
      <w:r>
        <w:rPr>
          <w:lang w:val="fr-FR"/>
        </w:rPr>
        <w:t xml:space="preserve"> 227 du 17 avril 2019 sur la préparation, l’impression et la distribution de manuels scolaires pour l’éducation de base des élèves de l’enseignement </w:t>
      </w:r>
      <w:proofErr w:type="spellStart"/>
      <w:r>
        <w:rPr>
          <w:lang w:val="fr-FR"/>
        </w:rPr>
        <w:t>préuniversitaire</w:t>
      </w:r>
      <w:proofErr w:type="spellEnd"/>
      <w:r>
        <w:rPr>
          <w:lang w:val="fr-FR"/>
        </w:rPr>
        <w:t xml:space="preserve"> public appartenant à des minorités, des manuels en </w:t>
      </w:r>
      <w:r>
        <w:rPr>
          <w:lang w:val="fr-FR"/>
        </w:rPr>
        <w:lastRenderedPageBreak/>
        <w:t>langue maternelle ont été préparés, imprimés, publiés et distribués par le Ministère de l’Éducation et des sports pour l’année scolaire</w:t>
      </w:r>
      <w:r w:rsidR="00CA78F8">
        <w:rPr>
          <w:lang w:val="fr-FR"/>
        </w:rPr>
        <w:t xml:space="preserve"> </w:t>
      </w:r>
      <w:r>
        <w:rPr>
          <w:lang w:val="fr-FR"/>
        </w:rPr>
        <w:t>2023</w:t>
      </w:r>
      <w:r w:rsidR="00CA78F8">
        <w:rPr>
          <w:lang w:val="fr-FR"/>
        </w:rPr>
        <w:t>/</w:t>
      </w:r>
      <w:r>
        <w:rPr>
          <w:lang w:val="fr-FR"/>
        </w:rPr>
        <w:t>24. Des manuels financés par le budget de l’État sont distribués gratuitement aux élèves issus des minorités nationales.</w:t>
      </w:r>
    </w:p>
    <w:p w14:paraId="2813EE24" w14:textId="7777777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En ce qui concerne les mesures de soutien aux enfants dans le besoin, les textes suivants ont été approuvés :</w:t>
      </w:r>
    </w:p>
    <w:p w14:paraId="1FA39048" w14:textId="26398098" w:rsidR="0078583E" w:rsidRPr="00820E13" w:rsidRDefault="0078583E" w:rsidP="00A33134">
      <w:pPr>
        <w:pStyle w:val="Bullet1G"/>
        <w:rPr>
          <w:lang w:val="fr-FR"/>
        </w:rPr>
      </w:pPr>
      <w:r>
        <w:rPr>
          <w:lang w:val="fr-FR"/>
        </w:rPr>
        <w:t>La décision sur les minorités locales n</w:t>
      </w:r>
      <w:r>
        <w:rPr>
          <w:vertAlign w:val="superscript"/>
          <w:lang w:val="fr-FR"/>
        </w:rPr>
        <w:t>o</w:t>
      </w:r>
      <w:r>
        <w:rPr>
          <w:lang w:val="fr-FR"/>
        </w:rPr>
        <w:t xml:space="preserve"> 511 du Conseil des ministres du 27 juillet 2022 portant modification de la </w:t>
      </w:r>
      <w:r w:rsidRPr="00406A14">
        <w:rPr>
          <w:lang w:val="fr-FR"/>
        </w:rPr>
        <w:t>décision n</w:t>
      </w:r>
      <w:r w:rsidRPr="00406A14">
        <w:rPr>
          <w:vertAlign w:val="superscript"/>
          <w:lang w:val="fr-FR"/>
        </w:rPr>
        <w:t>o</w:t>
      </w:r>
      <w:r>
        <w:rPr>
          <w:lang w:val="fr-FR"/>
        </w:rPr>
        <w:t> </w:t>
      </w:r>
      <w:r w:rsidRPr="00406A14">
        <w:rPr>
          <w:lang w:val="fr-FR"/>
        </w:rPr>
        <w:t>666 du 10 octobre 2019 du Conseil des ministres relative aux quotas financiers alloués à la nourriture dans les réfectoires et les dortoirs, fixant les critères d</w:t>
      </w:r>
      <w:r>
        <w:rPr>
          <w:lang w:val="fr-FR"/>
        </w:rPr>
        <w:t>’</w:t>
      </w:r>
      <w:r w:rsidRPr="00406A14">
        <w:rPr>
          <w:lang w:val="fr-FR"/>
        </w:rPr>
        <w:t>obtention des bourses et aides financières pour les élèves de l</w:t>
      </w:r>
      <w:r>
        <w:rPr>
          <w:lang w:val="fr-FR"/>
        </w:rPr>
        <w:t>’</w:t>
      </w:r>
      <w:r w:rsidRPr="00406A14">
        <w:rPr>
          <w:lang w:val="fr-FR"/>
        </w:rPr>
        <w:t xml:space="preserve">enseignement </w:t>
      </w:r>
      <w:proofErr w:type="spellStart"/>
      <w:r w:rsidRPr="00406A14">
        <w:rPr>
          <w:lang w:val="fr-FR"/>
        </w:rPr>
        <w:t>préuniversitaire</w:t>
      </w:r>
      <w:proofErr w:type="spellEnd"/>
      <w:r w:rsidRPr="00406A14">
        <w:rPr>
          <w:lang w:val="fr-FR"/>
        </w:rPr>
        <w:t xml:space="preserve"> dans les établissements publics</w:t>
      </w:r>
      <w:r w:rsidRPr="005E3E76">
        <w:rPr>
          <w:lang w:val="fr-FR"/>
        </w:rPr>
        <w:t xml:space="preserve"> </w:t>
      </w:r>
      <w:r>
        <w:rPr>
          <w:lang w:val="fr-FR"/>
        </w:rPr>
        <w:t xml:space="preserve">(telle que modifiée) établit entre autres que : « Les groupes d’élèves vulnérables bénéficient, conformément au paragraphe 1 de la présente décision, du soutien d’un employé spécifiquement nommé par les établissements locaux d’enseignement </w:t>
      </w:r>
      <w:proofErr w:type="spellStart"/>
      <w:r>
        <w:rPr>
          <w:lang w:val="fr-FR"/>
        </w:rPr>
        <w:t>préuniversitaire</w:t>
      </w:r>
      <w:proofErr w:type="spellEnd"/>
      <w:r>
        <w:rPr>
          <w:lang w:val="fr-FR"/>
        </w:rPr>
        <w:t xml:space="preserve"> pour être médiateur de ces groupes, chargé de les accompagner, à des fins de sensibilisation et </w:t>
      </w:r>
      <w:r w:rsidRPr="00A33134">
        <w:t>d’amélioration</w:t>
      </w:r>
      <w:r>
        <w:rPr>
          <w:lang w:val="fr-FR"/>
        </w:rPr>
        <w:t xml:space="preserve"> de leur accès à l’éducation. Les médiateurs servent à améliorer la communication et la coopération entre les groupes vulnérables et les établissements d’enseignement </w:t>
      </w:r>
      <w:proofErr w:type="spellStart"/>
      <w:r>
        <w:rPr>
          <w:lang w:val="fr-FR"/>
        </w:rPr>
        <w:t>préuniversitaire</w:t>
      </w:r>
      <w:proofErr w:type="spellEnd"/>
      <w:r>
        <w:rPr>
          <w:lang w:val="fr-FR"/>
        </w:rPr>
        <w:t>, en vue d’améliorer l’accès au processus d’apprentissage. »</w:t>
      </w:r>
      <w:r w:rsidR="00CA78F8">
        <w:rPr>
          <w:lang w:val="fr-FR"/>
        </w:rPr>
        <w:t>.</w:t>
      </w:r>
    </w:p>
    <w:p w14:paraId="60E2CC48" w14:textId="04A53A0F" w:rsidR="0078583E" w:rsidRPr="00820E13" w:rsidRDefault="0078583E" w:rsidP="00A33134">
      <w:pPr>
        <w:pStyle w:val="Bullet1G"/>
        <w:rPr>
          <w:lang w:val="fr-FR"/>
        </w:rPr>
      </w:pPr>
      <w:r>
        <w:rPr>
          <w:lang w:val="fr-FR"/>
        </w:rPr>
        <w:t xml:space="preserve">Les établissements locaux responsables de l’enseignement </w:t>
      </w:r>
      <w:proofErr w:type="spellStart"/>
      <w:r>
        <w:rPr>
          <w:lang w:val="fr-FR"/>
        </w:rPr>
        <w:t>préuniversitaire</w:t>
      </w:r>
      <w:proofErr w:type="spellEnd"/>
      <w:r>
        <w:rPr>
          <w:lang w:val="fr-FR"/>
        </w:rPr>
        <w:t xml:space="preserve"> au titre du premier paragraphe de la présente décision proposent aux élèves roms et égyptiens des programmes spécifiques après les heures de cours pour qu’ils puissent faire leurs </w:t>
      </w:r>
      <w:r w:rsidRPr="00A33134">
        <w:t>devoirs</w:t>
      </w:r>
      <w:r>
        <w:rPr>
          <w:lang w:val="fr-FR"/>
        </w:rPr>
        <w:t xml:space="preserve"> ou suivre des cours épanouissants supplémentaires. Les enfants dans le besoin bénéficient également de manuels gratuits, conformément à la décision du Conseil des ministres n</w:t>
      </w:r>
      <w:r>
        <w:rPr>
          <w:vertAlign w:val="superscript"/>
          <w:lang w:val="fr-FR"/>
        </w:rPr>
        <w:t>o</w:t>
      </w:r>
      <w:r>
        <w:rPr>
          <w:lang w:val="fr-FR"/>
        </w:rPr>
        <w:t xml:space="preserve"> 486 du 17 juin 2020 relative à la publication, à la distribution et à la vente de manuels scolaires au sein du système d’enseignement </w:t>
      </w:r>
      <w:proofErr w:type="spellStart"/>
      <w:r>
        <w:rPr>
          <w:lang w:val="fr-FR"/>
        </w:rPr>
        <w:t>préuniversitaire</w:t>
      </w:r>
      <w:proofErr w:type="spellEnd"/>
      <w:r>
        <w:rPr>
          <w:lang w:val="fr-FR"/>
        </w:rPr>
        <w:t xml:space="preserve"> (telle que modifiée).</w:t>
      </w:r>
    </w:p>
    <w:p w14:paraId="77C3D3D9" w14:textId="0E283482" w:rsidR="0078583E" w:rsidRPr="00820E13" w:rsidRDefault="0078583E" w:rsidP="00A33134">
      <w:pPr>
        <w:pStyle w:val="Bullet1G"/>
        <w:rPr>
          <w:lang w:val="fr-FR"/>
        </w:rPr>
      </w:pPr>
      <w:r>
        <w:rPr>
          <w:lang w:val="fr-FR"/>
        </w:rPr>
        <w:t>D’autre part, la ligne directrice n</w:t>
      </w:r>
      <w:r>
        <w:rPr>
          <w:vertAlign w:val="superscript"/>
          <w:lang w:val="fr-FR"/>
        </w:rPr>
        <w:t>o</w:t>
      </w:r>
      <w:r w:rsidR="00CA78F8">
        <w:rPr>
          <w:lang w:val="fr-FR"/>
        </w:rPr>
        <w:t> </w:t>
      </w:r>
      <w:r>
        <w:rPr>
          <w:lang w:val="fr-FR"/>
        </w:rPr>
        <w:t>25 du 1</w:t>
      </w:r>
      <w:r>
        <w:rPr>
          <w:vertAlign w:val="superscript"/>
          <w:lang w:val="fr-FR"/>
        </w:rPr>
        <w:t>er</w:t>
      </w:r>
      <w:r>
        <w:rPr>
          <w:lang w:val="fr-FR"/>
        </w:rPr>
        <w:t xml:space="preserve"> décembre 2023 du Ministre de l’éducation et </w:t>
      </w:r>
      <w:proofErr w:type="gramStart"/>
      <w:r>
        <w:rPr>
          <w:lang w:val="fr-FR"/>
        </w:rPr>
        <w:t>des sports relative</w:t>
      </w:r>
      <w:proofErr w:type="gramEnd"/>
      <w:r>
        <w:rPr>
          <w:lang w:val="fr-FR"/>
        </w:rPr>
        <w:t xml:space="preserve"> au pilotage du dispositif de remplacement des enseignants et ses missions dans les établissements publics d’enseignement </w:t>
      </w:r>
      <w:proofErr w:type="spellStart"/>
      <w:r>
        <w:rPr>
          <w:lang w:val="fr-FR"/>
        </w:rPr>
        <w:t>préuniversitaire</w:t>
      </w:r>
      <w:proofErr w:type="spellEnd"/>
      <w:r>
        <w:rPr>
          <w:lang w:val="fr-FR"/>
        </w:rPr>
        <w:t xml:space="preserve"> vise à ce qu’un </w:t>
      </w:r>
      <w:r w:rsidRPr="00A33134">
        <w:t>enseignant</w:t>
      </w:r>
      <w:r>
        <w:rPr>
          <w:lang w:val="fr-FR"/>
        </w:rPr>
        <w:t xml:space="preserve"> mis à disposition remplace les enseignants absents pour des raisons de santé ou parce qu’ils sont en congé administratif ou sans solde. Cet enseignant remplaçant effectuera en outre des heures supplémentaires avec les élèves ayant de faibles résultats dans certaines matières, selon les demandes.</w:t>
      </w:r>
    </w:p>
    <w:p w14:paraId="2EA3290A" w14:textId="77777777" w:rsidR="0078583E" w:rsidRPr="00820E13" w:rsidRDefault="0078583E" w:rsidP="006656AF">
      <w:pPr>
        <w:pStyle w:val="H23G"/>
        <w:tabs>
          <w:tab w:val="clear" w:pos="851"/>
          <w:tab w:val="left" w:pos="567"/>
        </w:tabs>
        <w:rPr>
          <w:lang w:val="fr-FR"/>
        </w:rPr>
      </w:pPr>
      <w:r>
        <w:rPr>
          <w:lang w:val="fr-FR"/>
        </w:rPr>
        <w:tab/>
      </w:r>
      <w:r>
        <w:rPr>
          <w:lang w:val="fr-FR"/>
        </w:rPr>
        <w:tab/>
      </w:r>
      <w:r>
        <w:rPr>
          <w:bCs/>
          <w:lang w:val="fr-FR"/>
        </w:rPr>
        <w:t>Réponse au paragraphe 27 de la liste de points</w:t>
      </w:r>
    </w:p>
    <w:p w14:paraId="446A2C30" w14:textId="0AC9DF2F"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La Stratégie nationale pour la science, la technologie et l’innovation (2017-2022) a été approuvée par la décision du Conseil des ministres n</w:t>
      </w:r>
      <w:r>
        <w:rPr>
          <w:vertAlign w:val="superscript"/>
          <w:lang w:val="fr-FR"/>
        </w:rPr>
        <w:t>o</w:t>
      </w:r>
      <w:r>
        <w:rPr>
          <w:lang w:val="fr-FR"/>
        </w:rPr>
        <w:t> 710 du 1</w:t>
      </w:r>
      <w:r>
        <w:rPr>
          <w:vertAlign w:val="superscript"/>
          <w:lang w:val="fr-FR"/>
        </w:rPr>
        <w:t>er</w:t>
      </w:r>
      <w:r>
        <w:rPr>
          <w:lang w:val="fr-FR"/>
        </w:rPr>
        <w:t> décembre 2017. Elle</w:t>
      </w:r>
      <w:r w:rsidR="00CA78F8">
        <w:rPr>
          <w:lang w:val="fr-FR"/>
        </w:rPr>
        <w:t> </w:t>
      </w:r>
      <w:r>
        <w:rPr>
          <w:lang w:val="fr-FR"/>
        </w:rPr>
        <w:t xml:space="preserve">s’accompagne d’un </w:t>
      </w:r>
      <w:r w:rsidR="00CA78F8">
        <w:rPr>
          <w:lang w:val="fr-FR"/>
        </w:rPr>
        <w:t>P</w:t>
      </w:r>
      <w:r>
        <w:rPr>
          <w:lang w:val="fr-FR"/>
        </w:rPr>
        <w:t>lan d’action qui définit les activités les plus importantes menées au cours de la période de prolongement de cette stratégie 2017-2022, par l’intermédiaire de la structure institutionnelle faisant partie de l’écosystème de la recherche scientifique en Albanie, des institutions décisionnaires, des institutions d’exécution/de financement, des universités, des instituts de recherche scientifique, des entreprises et des organisations à but non lucratif.</w:t>
      </w:r>
    </w:p>
    <w:p w14:paraId="382E192F" w14:textId="177FD579" w:rsidR="0078583E" w:rsidRPr="003F0172"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Pr>
          <w:lang w:val="fr-FR"/>
        </w:rPr>
        <w:t>La Stratégie nationale pour la science, la technologie et l’innovation (2017</w:t>
      </w:r>
      <w:r w:rsidR="00CA78F8">
        <w:rPr>
          <w:lang w:val="fr-FR"/>
        </w:rPr>
        <w:noBreakHyphen/>
      </w:r>
      <w:r>
        <w:rPr>
          <w:lang w:val="fr-FR"/>
        </w:rPr>
        <w:t>2022) s’articule autour de 4 priorités stratégiques, 8 buts stratégiques et 20 objectifs, dont les progrès sont censés être mesurés selon la réalisation de 45 produits et la concrétisation de 16 </w:t>
      </w:r>
      <w:r w:rsidRPr="003F0172">
        <w:rPr>
          <w:lang w:val="fr-FR"/>
        </w:rPr>
        <w:t>indicateurs de résultat</w:t>
      </w:r>
      <w:r>
        <w:rPr>
          <w:lang w:val="fr-FR"/>
        </w:rPr>
        <w:t>s</w:t>
      </w:r>
      <w:r w:rsidRPr="003F0172">
        <w:rPr>
          <w:lang w:val="fr-FR"/>
        </w:rPr>
        <w:t xml:space="preserve"> sur une période de cinq ans. Tout au long de son exécution, la </w:t>
      </w:r>
      <w:r w:rsidR="00CA78F8">
        <w:rPr>
          <w:lang w:val="fr-FR"/>
        </w:rPr>
        <w:t>S</w:t>
      </w:r>
      <w:r w:rsidRPr="003F0172">
        <w:rPr>
          <w:lang w:val="fr-FR"/>
        </w:rPr>
        <w:t>tratégie fait l</w:t>
      </w:r>
      <w:r>
        <w:rPr>
          <w:lang w:val="fr-FR"/>
        </w:rPr>
        <w:t>’</w:t>
      </w:r>
      <w:r w:rsidRPr="003F0172">
        <w:rPr>
          <w:lang w:val="fr-FR"/>
        </w:rPr>
        <w:t>objet d</w:t>
      </w:r>
      <w:r>
        <w:rPr>
          <w:lang w:val="fr-FR"/>
        </w:rPr>
        <w:t>’</w:t>
      </w:r>
      <w:r w:rsidRPr="003F0172">
        <w:rPr>
          <w:lang w:val="fr-FR"/>
        </w:rPr>
        <w:t>un suivi et d</w:t>
      </w:r>
      <w:r>
        <w:rPr>
          <w:lang w:val="fr-FR"/>
        </w:rPr>
        <w:t>’</w:t>
      </w:r>
      <w:r w:rsidRPr="003F0172">
        <w:rPr>
          <w:lang w:val="fr-FR"/>
        </w:rPr>
        <w:t>une évaluation conformément à un plan de suivi. Le suivi et l</w:t>
      </w:r>
      <w:r>
        <w:rPr>
          <w:lang w:val="fr-FR"/>
        </w:rPr>
        <w:t>’</w:t>
      </w:r>
      <w:r w:rsidRPr="003F0172">
        <w:rPr>
          <w:lang w:val="fr-FR"/>
        </w:rPr>
        <w:t>évaluation reposent sur un ensemble d</w:t>
      </w:r>
      <w:r>
        <w:rPr>
          <w:lang w:val="fr-FR"/>
        </w:rPr>
        <w:t>’</w:t>
      </w:r>
      <w:r w:rsidRPr="003F0172">
        <w:rPr>
          <w:lang w:val="fr-FR"/>
        </w:rPr>
        <w:t>indicateurs permettant de mesurer l</w:t>
      </w:r>
      <w:r>
        <w:rPr>
          <w:lang w:val="fr-FR"/>
        </w:rPr>
        <w:t>’</w:t>
      </w:r>
      <w:r w:rsidRPr="003F0172">
        <w:rPr>
          <w:lang w:val="fr-FR"/>
        </w:rPr>
        <w:t xml:space="preserve">efficacité de la </w:t>
      </w:r>
      <w:r w:rsidR="00CA78F8">
        <w:rPr>
          <w:lang w:val="fr-FR"/>
        </w:rPr>
        <w:t>S</w:t>
      </w:r>
      <w:r w:rsidRPr="003F0172">
        <w:rPr>
          <w:lang w:val="fr-FR"/>
        </w:rPr>
        <w:t>tratégie (réalisation des politiques, des buts et des objectifs stratégiques, et leur impact sur la société), ainsi que sur une série d</w:t>
      </w:r>
      <w:r>
        <w:rPr>
          <w:lang w:val="fr-FR"/>
        </w:rPr>
        <w:t>’</w:t>
      </w:r>
      <w:r w:rsidRPr="003F0172">
        <w:rPr>
          <w:lang w:val="fr-FR"/>
        </w:rPr>
        <w:t xml:space="preserve">indicateurs mesurant la mise en œuvre des activités dans le cadre du </w:t>
      </w:r>
      <w:r w:rsidR="00CA78F8">
        <w:rPr>
          <w:lang w:val="fr-FR"/>
        </w:rPr>
        <w:t>P</w:t>
      </w:r>
      <w:r w:rsidRPr="003F0172">
        <w:rPr>
          <w:lang w:val="fr-FR"/>
        </w:rPr>
        <w:t>lan d</w:t>
      </w:r>
      <w:r>
        <w:rPr>
          <w:lang w:val="fr-FR"/>
        </w:rPr>
        <w:t>’</w:t>
      </w:r>
      <w:r w:rsidRPr="003F0172">
        <w:rPr>
          <w:lang w:val="fr-FR"/>
        </w:rPr>
        <w:t>action.</w:t>
      </w:r>
    </w:p>
    <w:p w14:paraId="5B89018E" w14:textId="7379CE46" w:rsidR="0078583E" w:rsidRPr="003F0172" w:rsidRDefault="0078583E" w:rsidP="00A33134">
      <w:pPr>
        <w:pStyle w:val="SingleTxtG"/>
        <w:keepNext/>
        <w:keepLines/>
        <w:numPr>
          <w:ilvl w:val="0"/>
          <w:numId w:val="8"/>
        </w:numPr>
        <w:tabs>
          <w:tab w:val="clear" w:pos="1701"/>
          <w:tab w:val="clear" w:pos="2268"/>
          <w:tab w:val="clear" w:pos="2835"/>
          <w:tab w:val="left" w:pos="567"/>
        </w:tabs>
        <w:suppressAutoHyphens w:val="0"/>
        <w:ind w:left="1134" w:firstLine="0"/>
        <w:rPr>
          <w:lang w:val="fr-FR"/>
        </w:rPr>
      </w:pPr>
      <w:r w:rsidRPr="003F0172">
        <w:rPr>
          <w:lang w:val="fr-FR"/>
        </w:rPr>
        <w:lastRenderedPageBreak/>
        <w:t>La Stratégie nationale pour la science, la technologie et l</w:t>
      </w:r>
      <w:r>
        <w:rPr>
          <w:lang w:val="fr-FR"/>
        </w:rPr>
        <w:t>’</w:t>
      </w:r>
      <w:r w:rsidRPr="003F0172">
        <w:rPr>
          <w:lang w:val="fr-FR"/>
        </w:rPr>
        <w:t>innovation (2017</w:t>
      </w:r>
      <w:r w:rsidR="00CA78F8">
        <w:rPr>
          <w:lang w:val="fr-FR"/>
        </w:rPr>
        <w:noBreakHyphen/>
      </w:r>
      <w:r w:rsidRPr="003F0172">
        <w:rPr>
          <w:lang w:val="fr-FR"/>
        </w:rPr>
        <w:t>2022) reprend les six priorités de l</w:t>
      </w:r>
      <w:r>
        <w:rPr>
          <w:lang w:val="fr-FR"/>
        </w:rPr>
        <w:t>’</w:t>
      </w:r>
      <w:r w:rsidRPr="003F0172">
        <w:rPr>
          <w:lang w:val="fr-FR"/>
        </w:rPr>
        <w:t>Espace européen de la recherche. Elle s</w:t>
      </w:r>
      <w:r>
        <w:rPr>
          <w:lang w:val="fr-FR"/>
        </w:rPr>
        <w:t>’</w:t>
      </w:r>
      <w:r w:rsidRPr="003F0172">
        <w:rPr>
          <w:lang w:val="fr-FR"/>
        </w:rPr>
        <w:t>appuie également sur les priorités définies dans Action</w:t>
      </w:r>
      <w:r>
        <w:rPr>
          <w:lang w:val="fr-FR"/>
        </w:rPr>
        <w:t> </w:t>
      </w:r>
      <w:r w:rsidRPr="003F0172">
        <w:rPr>
          <w:lang w:val="fr-FR"/>
        </w:rPr>
        <w:t>21, puis dans le Programme de développement durable à l</w:t>
      </w:r>
      <w:r>
        <w:rPr>
          <w:lang w:val="fr-FR"/>
        </w:rPr>
        <w:t>’</w:t>
      </w:r>
      <w:r w:rsidRPr="003F0172">
        <w:rPr>
          <w:lang w:val="fr-FR"/>
        </w:rPr>
        <w:t>horizon</w:t>
      </w:r>
      <w:r>
        <w:rPr>
          <w:lang w:val="fr-FR"/>
        </w:rPr>
        <w:t> </w:t>
      </w:r>
      <w:r w:rsidRPr="003F0172">
        <w:rPr>
          <w:lang w:val="fr-FR"/>
        </w:rPr>
        <w:t>2030 des Nations</w:t>
      </w:r>
      <w:r w:rsidR="00CA78F8">
        <w:rPr>
          <w:lang w:val="fr-FR"/>
        </w:rPr>
        <w:t> </w:t>
      </w:r>
      <w:r w:rsidRPr="003F0172">
        <w:rPr>
          <w:lang w:val="fr-FR"/>
        </w:rPr>
        <w:t>Unies. Les rapports de suivi font état de plusieurs réalisations dans le domaine de la science, de la technologie et de l</w:t>
      </w:r>
      <w:r>
        <w:rPr>
          <w:lang w:val="fr-FR"/>
        </w:rPr>
        <w:t>’</w:t>
      </w:r>
      <w:r w:rsidRPr="003F0172">
        <w:rPr>
          <w:lang w:val="fr-FR"/>
        </w:rPr>
        <w:t>innovation :</w:t>
      </w:r>
    </w:p>
    <w:p w14:paraId="320D8A7D" w14:textId="77777777" w:rsidR="0078583E" w:rsidRPr="00A33134" w:rsidRDefault="0078583E" w:rsidP="00A33134">
      <w:pPr>
        <w:pStyle w:val="Bullet1G"/>
      </w:pPr>
      <w:r w:rsidRPr="00A33134">
        <w:t>Rédaction du document de recommandations sur la réforme du système institutionnel de la recherche scientifique en Albanie ;</w:t>
      </w:r>
    </w:p>
    <w:p w14:paraId="4C86B873" w14:textId="77777777" w:rsidR="0078583E" w:rsidRPr="00A33134" w:rsidRDefault="0078583E" w:rsidP="00A33134">
      <w:pPr>
        <w:pStyle w:val="Bullet1G"/>
      </w:pPr>
      <w:r w:rsidRPr="00A33134">
        <w:t>Financement de 6 projets, dans les 6 domaines des programmes nationaux de recherche et de développement, ainsi que de 15 projets de recherche scientifique ;</w:t>
      </w:r>
    </w:p>
    <w:p w14:paraId="675EE1DA" w14:textId="77777777" w:rsidR="0078583E" w:rsidRPr="00A33134" w:rsidRDefault="0078583E" w:rsidP="00A33134">
      <w:pPr>
        <w:pStyle w:val="Bullet1G"/>
      </w:pPr>
      <w:r w:rsidRPr="00A33134">
        <w:t>Création d’une base de données sur les étudiants qui étudient à l’étranger et les citoyens étrangers d’origine albanaise qui bénéficient de bourses d’études de la République d’Albanie ;</w:t>
      </w:r>
    </w:p>
    <w:p w14:paraId="3E0B4C60" w14:textId="354B29C2" w:rsidR="0078583E" w:rsidRPr="00A33134" w:rsidRDefault="0078583E" w:rsidP="00A33134">
      <w:pPr>
        <w:pStyle w:val="Bullet1G"/>
      </w:pPr>
      <w:r w:rsidRPr="00A33134">
        <w:t>Approbation (par la décision n</w:t>
      </w:r>
      <w:r w:rsidRPr="00CA78F8">
        <w:rPr>
          <w:vertAlign w:val="superscript"/>
        </w:rPr>
        <w:t>o</w:t>
      </w:r>
      <w:r w:rsidRPr="00A33134">
        <w:t> 165 du 21 mars 2018)</w:t>
      </w:r>
      <w:r w:rsidR="00CA78F8">
        <w:t xml:space="preserve"> </w:t>
      </w:r>
      <w:r w:rsidRPr="00A33134">
        <w:t>de la méthode d’évaluation de l’activité de recherche scientifique des unités de base des établissements d’enseignement supérieur ;</w:t>
      </w:r>
    </w:p>
    <w:p w14:paraId="527DD318" w14:textId="77777777" w:rsidR="0078583E" w:rsidRPr="00A33134" w:rsidRDefault="0078583E" w:rsidP="00A33134">
      <w:pPr>
        <w:pStyle w:val="Bullet1G"/>
      </w:pPr>
      <w:r w:rsidRPr="00A33134">
        <w:t>Approbation de la demande de création du registre national des revues scientifiques et des critères que doivent respecter les revues pour être enregistrées dans le registre national de la République d’Albanie ;</w:t>
      </w:r>
    </w:p>
    <w:p w14:paraId="40181FDA" w14:textId="1FBAB58E" w:rsidR="0078583E" w:rsidRPr="00A33134" w:rsidRDefault="0078583E" w:rsidP="00A33134">
      <w:pPr>
        <w:pStyle w:val="Bullet1G"/>
      </w:pPr>
      <w:r w:rsidRPr="00A33134">
        <w:t>Mise en place du portail de la recherche scientifique (research-scientific.arsimi.gov) dont l’objectif est de collecter, d’analyser et de traiter les données au service du développement et de l’amélioration de la qualité de la recherche scientifique dans le pays ;</w:t>
      </w:r>
    </w:p>
    <w:p w14:paraId="788AC9C1" w14:textId="5126FDDA" w:rsidR="0078583E" w:rsidRPr="00A33134" w:rsidRDefault="0078583E" w:rsidP="00A33134">
      <w:pPr>
        <w:pStyle w:val="Bullet1G"/>
      </w:pPr>
      <w:r w:rsidRPr="00A33134">
        <w:t>Approbation de la loi n</w:t>
      </w:r>
      <w:r w:rsidRPr="00CA78F8">
        <w:rPr>
          <w:vertAlign w:val="superscript"/>
        </w:rPr>
        <w:t>o</w:t>
      </w:r>
      <w:r w:rsidR="00CA78F8">
        <w:t> </w:t>
      </w:r>
      <w:r w:rsidRPr="00A33134">
        <w:t>25/2022 sur le soutien aux start-ups et leur création ;</w:t>
      </w:r>
    </w:p>
    <w:p w14:paraId="7F6AEFF7" w14:textId="77777777" w:rsidR="0078583E" w:rsidRPr="00A33134" w:rsidRDefault="0078583E" w:rsidP="00A33134">
      <w:pPr>
        <w:pStyle w:val="Bullet1G"/>
      </w:pPr>
      <w:r w:rsidRPr="00A33134">
        <w:t>Le Gouvernement albanais a mis à disposition un fonds total de 194 000 000 leks pour soutenir les petites et moyennes entreprises, dans le cadre d’une coopération accrue entre la communauté de la recherche scientifique et les entreprises ;</w:t>
      </w:r>
    </w:p>
    <w:p w14:paraId="4484C480" w14:textId="77777777" w:rsidR="0078583E" w:rsidRPr="003F0172" w:rsidRDefault="0078583E" w:rsidP="00A33134">
      <w:pPr>
        <w:pStyle w:val="Bullet1G"/>
        <w:rPr>
          <w:lang w:val="fr-FR"/>
        </w:rPr>
      </w:pPr>
      <w:r w:rsidRPr="00A33134">
        <w:t>La Direction générale de la propriété industrielle a signé plusieurs accords avec des établissements d’enseignement supérieur en Albanie, afin de déterminer les moyens et les modalités permettant de mieux faire connaître le concept de propriété industrielle et intellectuelle</w:t>
      </w:r>
      <w:r w:rsidRPr="003F0172">
        <w:rPr>
          <w:lang w:val="fr-FR"/>
        </w:rPr>
        <w:t xml:space="preserve"> dans son ensemble, d</w:t>
      </w:r>
      <w:r>
        <w:rPr>
          <w:lang w:val="fr-FR"/>
        </w:rPr>
        <w:t>’</w:t>
      </w:r>
      <w:r w:rsidRPr="003F0172">
        <w:rPr>
          <w:lang w:val="fr-FR"/>
        </w:rPr>
        <w:t>informer et de sensibiliser les étudiants et le personnel universitaire participant à la recherche et aux travaux scientifiques.</w:t>
      </w:r>
    </w:p>
    <w:p w14:paraId="34734063" w14:textId="1B52ADB7" w:rsidR="0078583E" w:rsidRPr="00820E13" w:rsidRDefault="0078583E" w:rsidP="00A01A74">
      <w:pPr>
        <w:pStyle w:val="SingleTxtG"/>
        <w:numPr>
          <w:ilvl w:val="0"/>
          <w:numId w:val="8"/>
        </w:numPr>
        <w:tabs>
          <w:tab w:val="clear" w:pos="1701"/>
          <w:tab w:val="clear" w:pos="2268"/>
          <w:tab w:val="clear" w:pos="2835"/>
          <w:tab w:val="left" w:pos="567"/>
        </w:tabs>
        <w:suppressAutoHyphens w:val="0"/>
        <w:ind w:left="1134" w:firstLine="0"/>
        <w:rPr>
          <w:lang w:val="fr-FR"/>
        </w:rPr>
      </w:pPr>
      <w:r w:rsidRPr="003F0172">
        <w:rPr>
          <w:lang w:val="fr-FR"/>
        </w:rPr>
        <w:t>Le rapport d</w:t>
      </w:r>
      <w:r>
        <w:rPr>
          <w:lang w:val="fr-FR"/>
        </w:rPr>
        <w:t>’</w:t>
      </w:r>
      <w:r w:rsidRPr="003F0172">
        <w:rPr>
          <w:lang w:val="fr-FR"/>
        </w:rPr>
        <w:t>évaluation a mis</w:t>
      </w:r>
      <w:r>
        <w:rPr>
          <w:lang w:val="fr-FR"/>
        </w:rPr>
        <w:t xml:space="preserve"> en évidence certains enseignements tirés de la mise en œuvre de la Stratégie nationale pour la science, la technologie et l’innovation (2017</w:t>
      </w:r>
      <w:r w:rsidR="002004EC">
        <w:rPr>
          <w:lang w:val="fr-FR"/>
        </w:rPr>
        <w:noBreakHyphen/>
      </w:r>
      <w:r>
        <w:rPr>
          <w:lang w:val="fr-FR"/>
        </w:rPr>
        <w:t xml:space="preserve">2022), grâce à laquelle plusieurs recommandations ont été formulées sur les questions qui devraient être abordées dans la nouvelle </w:t>
      </w:r>
      <w:r w:rsidR="002004EC">
        <w:rPr>
          <w:lang w:val="fr-FR"/>
        </w:rPr>
        <w:t>S</w:t>
      </w:r>
      <w:r>
        <w:rPr>
          <w:lang w:val="fr-FR"/>
        </w:rPr>
        <w:t>tratégie</w:t>
      </w:r>
      <w:r w:rsidR="002004EC">
        <w:rPr>
          <w:lang w:val="fr-FR"/>
        </w:rPr>
        <w:t xml:space="preserve"> </w:t>
      </w:r>
      <w:r>
        <w:rPr>
          <w:lang w:val="fr-FR"/>
        </w:rPr>
        <w:t>2023</w:t>
      </w:r>
      <w:r w:rsidR="002004EC">
        <w:rPr>
          <w:lang w:val="fr-FR"/>
        </w:rPr>
        <w:noBreakHyphen/>
      </w:r>
      <w:r>
        <w:rPr>
          <w:lang w:val="fr-FR"/>
        </w:rPr>
        <w:t>2030 :</w:t>
      </w:r>
    </w:p>
    <w:p w14:paraId="4479E04B" w14:textId="77777777" w:rsidR="0078583E" w:rsidRPr="00A33134" w:rsidRDefault="0078583E" w:rsidP="00A33134">
      <w:pPr>
        <w:pStyle w:val="Bullet1G"/>
      </w:pPr>
      <w:r>
        <w:rPr>
          <w:lang w:val="fr-FR"/>
        </w:rPr>
        <w:t xml:space="preserve">Définition du cadre juridique régissant la science, l’accent étant mis sur l’adoption de la loi pour la science et sur l’élaboration des règlements relatifs au cadre réglementaire </w:t>
      </w:r>
      <w:r w:rsidRPr="00A33134">
        <w:t>prévoyant l’octroi de subventions conjointes entre la communauté des chercheurs scientifiques et les entreprises ;</w:t>
      </w:r>
    </w:p>
    <w:p w14:paraId="129E7E48" w14:textId="77777777" w:rsidR="0078583E" w:rsidRPr="00A33134" w:rsidRDefault="0078583E" w:rsidP="00A33134">
      <w:pPr>
        <w:pStyle w:val="Bullet1G"/>
      </w:pPr>
      <w:r w:rsidRPr="00A33134">
        <w:t>Révision du fonds budgétaire prévu dans le programme budgétaire à mi-parcours conformément à la stratégie visant à obtenir des fonds publics pour la recherche scientifique à hauteur de 1 % du PIB ;</w:t>
      </w:r>
    </w:p>
    <w:p w14:paraId="655F4C3F" w14:textId="77777777" w:rsidR="0078583E" w:rsidRPr="00A33134" w:rsidRDefault="0078583E" w:rsidP="00A33134">
      <w:pPr>
        <w:pStyle w:val="Bullet1G"/>
      </w:pPr>
      <w:r w:rsidRPr="00A33134">
        <w:t>Inclusion dans les plans annuels des unités couvrant le domaine de la recherche scientifique au sein des institutions du Ministère de l’éducation et des sports et des organismes rattachés ;</w:t>
      </w:r>
    </w:p>
    <w:p w14:paraId="13FD00A7" w14:textId="77777777" w:rsidR="0078583E" w:rsidRPr="00A33134" w:rsidRDefault="0078583E" w:rsidP="00A33134">
      <w:pPr>
        <w:pStyle w:val="Bullet1G"/>
      </w:pPr>
      <w:r w:rsidRPr="00A33134">
        <w:t>Renforcement de la coopération et du partage d’informations entre les unités couvrant le secteur de la recherche scientifique au sein des institutions du Ministère de l’éducation et des sports et des organismes rattachés ;</w:t>
      </w:r>
    </w:p>
    <w:p w14:paraId="6C0ED27E" w14:textId="77777777" w:rsidR="0078583E" w:rsidRPr="00820E13" w:rsidRDefault="0078583E" w:rsidP="00A33134">
      <w:pPr>
        <w:pStyle w:val="Bullet1G"/>
        <w:rPr>
          <w:lang w:val="fr-FR"/>
        </w:rPr>
      </w:pPr>
      <w:r w:rsidRPr="00A33134">
        <w:t>Intégration des buts, des objectifs stratégiques et des produits dans le programme budgétaire à</w:t>
      </w:r>
      <w:r>
        <w:rPr>
          <w:lang w:val="fr-FR"/>
        </w:rPr>
        <w:t xml:space="preserve"> mi-parcours portant sur la recherche scientifique ;</w:t>
      </w:r>
    </w:p>
    <w:p w14:paraId="0FAE2516" w14:textId="77777777" w:rsidR="0078583E" w:rsidRPr="00A33134" w:rsidRDefault="0078583E" w:rsidP="00A33134">
      <w:pPr>
        <w:pStyle w:val="Bullet1G"/>
      </w:pPr>
      <w:r>
        <w:rPr>
          <w:lang w:val="fr-FR"/>
        </w:rPr>
        <w:lastRenderedPageBreak/>
        <w:t xml:space="preserve">Évaluation et amélioration de l’infrastructure nationale de recherche scientifique au moyen de la </w:t>
      </w:r>
      <w:r w:rsidRPr="00A33134">
        <w:t>création de la carte nationale de l’infrastructure de recherche scientifique ainsi que du plan d’investissement national pour l’infrastructure de recherche ;</w:t>
      </w:r>
    </w:p>
    <w:p w14:paraId="26D17378" w14:textId="77777777" w:rsidR="0078583E" w:rsidRPr="00A33134" w:rsidRDefault="0078583E" w:rsidP="00A33134">
      <w:pPr>
        <w:pStyle w:val="Bullet1G"/>
      </w:pPr>
      <w:r w:rsidRPr="00A33134">
        <w:t>Suivi des mesures visant à garantir le libre accès en ligne à toutes les publications scientifiques financées par des fonds publics ;</w:t>
      </w:r>
    </w:p>
    <w:p w14:paraId="4C477818" w14:textId="77777777" w:rsidR="0078583E" w:rsidRPr="00A33134" w:rsidRDefault="0078583E" w:rsidP="00A33134">
      <w:pPr>
        <w:pStyle w:val="Bullet1G"/>
      </w:pPr>
      <w:r w:rsidRPr="00A33134">
        <w:t>Révision des règlements portant création de mécanismes juridiques et d’incitation fiscale en faveur du financement de la recherche scientifique par les entreprises ;</w:t>
      </w:r>
    </w:p>
    <w:p w14:paraId="6CD6FEB7" w14:textId="7E607C68" w:rsidR="0078583E" w:rsidRPr="00A33134" w:rsidRDefault="0078583E" w:rsidP="00A33134">
      <w:pPr>
        <w:pStyle w:val="Bullet1G"/>
      </w:pPr>
      <w:r w:rsidRPr="00A33134">
        <w:t>Mesures visant à améliorer l’inclusion de l’Albanie dans le programme Horizon Europe et la coopération avec les partenaires européens autour de recherches communes</w:t>
      </w:r>
      <w:r w:rsidR="002004EC">
        <w:t xml:space="preserve"> </w:t>
      </w:r>
      <w:r w:rsidRPr="00A33134">
        <w:t>à l’échelle internationale ;</w:t>
      </w:r>
    </w:p>
    <w:p w14:paraId="0EF6B60F" w14:textId="28CCD73A" w:rsidR="0078583E" w:rsidRPr="00820E13" w:rsidRDefault="0078583E" w:rsidP="00A33134">
      <w:pPr>
        <w:pStyle w:val="Bullet1G"/>
        <w:rPr>
          <w:lang w:val="fr-FR"/>
        </w:rPr>
      </w:pPr>
      <w:r w:rsidRPr="00A33134">
        <w:t>Tous les enseignements tirés de la Stratégie nationale pour la science, la technologie et l’innovation</w:t>
      </w:r>
      <w:r>
        <w:rPr>
          <w:lang w:val="fr-FR"/>
        </w:rPr>
        <w:t xml:space="preserve"> (2017-2022) ont été inclus dans l’édition</w:t>
      </w:r>
      <w:r w:rsidR="002004EC">
        <w:rPr>
          <w:lang w:val="fr-FR"/>
        </w:rPr>
        <w:t xml:space="preserve"> </w:t>
      </w:r>
      <w:r>
        <w:rPr>
          <w:lang w:val="fr-FR"/>
        </w:rPr>
        <w:t>2023-2030 de la même stratégie.</w:t>
      </w:r>
    </w:p>
    <w:p w14:paraId="0E27C5A8" w14:textId="65465DCA" w:rsidR="007327FE" w:rsidRPr="0078583E" w:rsidRDefault="0078583E" w:rsidP="006656AF">
      <w:pPr>
        <w:pStyle w:val="SingleTxtG"/>
        <w:tabs>
          <w:tab w:val="clear" w:pos="1701"/>
          <w:tab w:val="clear" w:pos="2268"/>
          <w:tab w:val="clear" w:pos="2835"/>
          <w:tab w:val="left" w:pos="567"/>
        </w:tabs>
        <w:spacing w:before="240" w:after="0"/>
        <w:jc w:val="center"/>
        <w:rPr>
          <w:u w:val="single"/>
          <w:lang w:val="fr-FR"/>
        </w:rPr>
      </w:pPr>
      <w:r>
        <w:rPr>
          <w:u w:val="single"/>
          <w:lang w:val="fr-FR"/>
        </w:rPr>
        <w:tab/>
      </w:r>
      <w:r>
        <w:rPr>
          <w:u w:val="single"/>
          <w:lang w:val="fr-FR"/>
        </w:rPr>
        <w:tab/>
      </w:r>
      <w:r>
        <w:rPr>
          <w:u w:val="single"/>
          <w:lang w:val="fr-FR"/>
        </w:rPr>
        <w:tab/>
      </w:r>
      <w:r w:rsidR="00887156">
        <w:rPr>
          <w:u w:val="single"/>
          <w:lang w:val="fr-FR"/>
        </w:rPr>
        <w:tab/>
      </w:r>
    </w:p>
    <w:sectPr w:rsidR="007327FE" w:rsidRPr="0078583E" w:rsidSect="007327FE">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20E74" w14:textId="77777777" w:rsidR="002501BE" w:rsidRDefault="002501BE" w:rsidP="00F95C08">
      <w:pPr>
        <w:spacing w:line="240" w:lineRule="auto"/>
      </w:pPr>
    </w:p>
  </w:endnote>
  <w:endnote w:type="continuationSeparator" w:id="0">
    <w:p w14:paraId="24B4FF09" w14:textId="77777777" w:rsidR="002501BE" w:rsidRPr="00AC3823" w:rsidRDefault="002501BE" w:rsidP="00AC3823">
      <w:pPr>
        <w:pStyle w:val="Pieddepage"/>
      </w:pPr>
    </w:p>
  </w:endnote>
  <w:endnote w:type="continuationNotice" w:id="1">
    <w:p w14:paraId="399BC1DA" w14:textId="77777777" w:rsidR="002501BE" w:rsidRDefault="002501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3EAC9" w14:textId="4FD0F757" w:rsidR="00B21A8D" w:rsidRPr="00B21A8D" w:rsidRDefault="00B21A8D" w:rsidP="00B21A8D">
    <w:pPr>
      <w:pStyle w:val="Pieddepage"/>
      <w:tabs>
        <w:tab w:val="right" w:pos="9638"/>
      </w:tabs>
    </w:pPr>
    <w:r w:rsidRPr="00B21A8D">
      <w:rPr>
        <w:b/>
        <w:sz w:val="18"/>
      </w:rPr>
      <w:fldChar w:fldCharType="begin"/>
    </w:r>
    <w:r w:rsidRPr="00B21A8D">
      <w:rPr>
        <w:b/>
        <w:sz w:val="18"/>
      </w:rPr>
      <w:instrText xml:space="preserve"> PAGE  \* MERGEFORMAT </w:instrText>
    </w:r>
    <w:r w:rsidRPr="00B21A8D">
      <w:rPr>
        <w:b/>
        <w:sz w:val="18"/>
      </w:rPr>
      <w:fldChar w:fldCharType="separate"/>
    </w:r>
    <w:r w:rsidRPr="00B21A8D">
      <w:rPr>
        <w:b/>
        <w:noProof/>
        <w:sz w:val="18"/>
      </w:rPr>
      <w:t>2</w:t>
    </w:r>
    <w:r w:rsidRPr="00B21A8D">
      <w:rPr>
        <w:b/>
        <w:sz w:val="18"/>
      </w:rPr>
      <w:fldChar w:fldCharType="end"/>
    </w:r>
    <w:r>
      <w:rPr>
        <w:b/>
        <w:sz w:val="18"/>
      </w:rPr>
      <w:tab/>
    </w:r>
    <w:r>
      <w:t>GE.24-04842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28D32" w14:textId="437C01BD" w:rsidR="00B21A8D" w:rsidRPr="00B21A8D" w:rsidRDefault="00B21A8D" w:rsidP="00B21A8D">
    <w:pPr>
      <w:pStyle w:val="Pieddepage"/>
      <w:tabs>
        <w:tab w:val="right" w:pos="9638"/>
      </w:tabs>
      <w:rPr>
        <w:b/>
        <w:sz w:val="18"/>
      </w:rPr>
    </w:pPr>
    <w:r>
      <w:t>GE.24-04842</w:t>
    </w:r>
    <w:r>
      <w:tab/>
    </w:r>
    <w:r w:rsidRPr="00B21A8D">
      <w:rPr>
        <w:b/>
        <w:sz w:val="18"/>
      </w:rPr>
      <w:fldChar w:fldCharType="begin"/>
    </w:r>
    <w:r w:rsidRPr="00B21A8D">
      <w:rPr>
        <w:b/>
        <w:sz w:val="18"/>
      </w:rPr>
      <w:instrText xml:space="preserve"> PAGE  \* MERGEFORMAT </w:instrText>
    </w:r>
    <w:r w:rsidRPr="00B21A8D">
      <w:rPr>
        <w:b/>
        <w:sz w:val="18"/>
      </w:rPr>
      <w:fldChar w:fldCharType="separate"/>
    </w:r>
    <w:r w:rsidRPr="00B21A8D">
      <w:rPr>
        <w:b/>
        <w:noProof/>
        <w:sz w:val="18"/>
      </w:rPr>
      <w:t>3</w:t>
    </w:r>
    <w:r w:rsidRPr="00B21A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3261A" w14:textId="7DC0D8A2" w:rsidR="0080236C" w:rsidRPr="00B21A8D" w:rsidRDefault="00B21A8D" w:rsidP="00B21A8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7EAA4B9" wp14:editId="15A8729C">
          <wp:simplePos x="0" y="0"/>
          <wp:positionH relativeFrom="margin">
            <wp:posOffset>4319905</wp:posOffset>
          </wp:positionH>
          <wp:positionV relativeFrom="margin">
            <wp:posOffset>9144000</wp:posOffset>
          </wp:positionV>
          <wp:extent cx="1105200" cy="234000"/>
          <wp:effectExtent l="0" t="0" r="0" b="0"/>
          <wp:wrapNone/>
          <wp:docPr id="1408865242" name="Image 140886524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24-04842  (F)</w:t>
    </w:r>
    <w:r>
      <w:rPr>
        <w:noProof/>
        <w:sz w:val="20"/>
      </w:rPr>
      <w:drawing>
        <wp:anchor distT="0" distB="0" distL="114300" distR="114300" simplePos="0" relativeHeight="251660288" behindDoc="0" locked="0" layoutInCell="1" allowOverlap="1" wp14:anchorId="1C342336" wp14:editId="309DD6F0">
          <wp:simplePos x="0" y="0"/>
          <wp:positionH relativeFrom="margin">
            <wp:posOffset>5489575</wp:posOffset>
          </wp:positionH>
          <wp:positionV relativeFrom="margin">
            <wp:posOffset>8891905</wp:posOffset>
          </wp:positionV>
          <wp:extent cx="628650" cy="628650"/>
          <wp:effectExtent l="0" t="0" r="0" b="0"/>
          <wp:wrapNone/>
          <wp:docPr id="16505554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210624    240624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8C3F9" w14:textId="36A8CB60" w:rsidR="00FA1B22" w:rsidRPr="00FA1B22" w:rsidRDefault="00FA1B22" w:rsidP="00FA1B22">
    <w:pPr>
      <w:pStyle w:val="Pieddepage"/>
    </w:pPr>
    <w:r>
      <w:rPr>
        <w:noProof/>
      </w:rPr>
      <mc:AlternateContent>
        <mc:Choice Requires="wps">
          <w:drawing>
            <wp:anchor distT="0" distB="0" distL="114300" distR="114300" simplePos="0" relativeHeight="251662336" behindDoc="0" locked="0" layoutInCell="1" allowOverlap="1" wp14:anchorId="048EFE57" wp14:editId="0DE0698E">
              <wp:simplePos x="0" y="0"/>
              <wp:positionH relativeFrom="margin">
                <wp:posOffset>-431800</wp:posOffset>
              </wp:positionH>
              <wp:positionV relativeFrom="margin">
                <wp:posOffset>0</wp:posOffset>
              </wp:positionV>
              <wp:extent cx="215900" cy="6120130"/>
              <wp:effectExtent l="0" t="0" r="0" b="0"/>
              <wp:wrapNone/>
              <wp:docPr id="1157729525"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0E31546" w14:textId="3FAD7A5D" w:rsidR="00FA1B22" w:rsidRDefault="00FA1B22" w:rsidP="000E3B16">
                          <w:pPr>
                            <w:pStyle w:val="Pieddepage"/>
                            <w:tabs>
                              <w:tab w:val="right" w:pos="9638"/>
                            </w:tabs>
                          </w:pPr>
                          <w:r w:rsidRPr="00B21A8D">
                            <w:rPr>
                              <w:b/>
                              <w:sz w:val="18"/>
                            </w:rPr>
                            <w:fldChar w:fldCharType="begin"/>
                          </w:r>
                          <w:r w:rsidRPr="00B21A8D">
                            <w:rPr>
                              <w:b/>
                              <w:sz w:val="18"/>
                            </w:rPr>
                            <w:instrText xml:space="preserve"> PAGE  \* MERGEFORMAT </w:instrText>
                          </w:r>
                          <w:r w:rsidRPr="00B21A8D">
                            <w:rPr>
                              <w:b/>
                              <w:sz w:val="18"/>
                            </w:rPr>
                            <w:fldChar w:fldCharType="separate"/>
                          </w:r>
                          <w:r>
                            <w:rPr>
                              <w:b/>
                              <w:sz w:val="18"/>
                            </w:rPr>
                            <w:t>10</w:t>
                          </w:r>
                          <w:r w:rsidRPr="00B21A8D">
                            <w:rPr>
                              <w:b/>
                              <w:sz w:val="18"/>
                            </w:rPr>
                            <w:fldChar w:fldCharType="end"/>
                          </w:r>
                          <w:r>
                            <w:rPr>
                              <w:b/>
                              <w:sz w:val="18"/>
                            </w:rPr>
                            <w:tab/>
                          </w:r>
                          <w:r>
                            <w:t>GE.24-04842</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48EFE57" id="_x0000_t202" coordsize="21600,21600" o:spt="202" path="m,l,21600r21600,l21600,xe">
              <v:stroke joinstyle="miter"/>
              <v:path gradientshapeok="t" o:connecttype="rect"/>
            </v:shapetype>
            <v:shape id="Zone de texte 2"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0E31546" w14:textId="3FAD7A5D" w:rsidR="00FA1B22" w:rsidRDefault="00FA1B22" w:rsidP="000E3B16">
                    <w:pPr>
                      <w:pStyle w:val="Pieddepage"/>
                      <w:tabs>
                        <w:tab w:val="right" w:pos="9638"/>
                      </w:tabs>
                    </w:pPr>
                    <w:r w:rsidRPr="00B21A8D">
                      <w:rPr>
                        <w:b/>
                        <w:sz w:val="18"/>
                      </w:rPr>
                      <w:fldChar w:fldCharType="begin"/>
                    </w:r>
                    <w:r w:rsidRPr="00B21A8D">
                      <w:rPr>
                        <w:b/>
                        <w:sz w:val="18"/>
                      </w:rPr>
                      <w:instrText xml:space="preserve"> PAGE  \* MERGEFORMAT </w:instrText>
                    </w:r>
                    <w:r w:rsidRPr="00B21A8D">
                      <w:rPr>
                        <w:b/>
                        <w:sz w:val="18"/>
                      </w:rPr>
                      <w:fldChar w:fldCharType="separate"/>
                    </w:r>
                    <w:r>
                      <w:rPr>
                        <w:b/>
                        <w:sz w:val="18"/>
                      </w:rPr>
                      <w:t>10</w:t>
                    </w:r>
                    <w:r w:rsidRPr="00B21A8D">
                      <w:rPr>
                        <w:b/>
                        <w:sz w:val="18"/>
                      </w:rPr>
                      <w:fldChar w:fldCharType="end"/>
                    </w:r>
                    <w:r>
                      <w:rPr>
                        <w:b/>
                        <w:sz w:val="18"/>
                      </w:rPr>
                      <w:tab/>
                    </w:r>
                    <w:r>
                      <w:t>GE.24-04842</w:t>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FD081" w14:textId="3851E2F8" w:rsidR="00FA1B22" w:rsidRPr="00FA1B22" w:rsidRDefault="00FA1B22" w:rsidP="00FA1B22">
    <w:pPr>
      <w:pStyle w:val="Pieddepage"/>
    </w:pPr>
    <w:r>
      <w:rPr>
        <w:noProof/>
      </w:rPr>
      <mc:AlternateContent>
        <mc:Choice Requires="wps">
          <w:drawing>
            <wp:anchor distT="0" distB="0" distL="114300" distR="114300" simplePos="0" relativeHeight="251664384" behindDoc="0" locked="0" layoutInCell="1" allowOverlap="1" wp14:anchorId="387D1026" wp14:editId="3B126E51">
              <wp:simplePos x="0" y="0"/>
              <wp:positionH relativeFrom="margin">
                <wp:posOffset>-431800</wp:posOffset>
              </wp:positionH>
              <wp:positionV relativeFrom="margin">
                <wp:posOffset>0</wp:posOffset>
              </wp:positionV>
              <wp:extent cx="215900" cy="6120130"/>
              <wp:effectExtent l="0" t="0" r="0" b="0"/>
              <wp:wrapNone/>
              <wp:docPr id="51041445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124E3F6" w14:textId="57C5280B" w:rsidR="00FA1B22" w:rsidRDefault="00FA1B22" w:rsidP="000E3B16">
                          <w:pPr>
                            <w:pStyle w:val="Pieddepage"/>
                            <w:tabs>
                              <w:tab w:val="right" w:pos="9638"/>
                            </w:tabs>
                          </w:pPr>
                          <w:r>
                            <w:t>GE.24-04842</w:t>
                          </w:r>
                          <w:r>
                            <w:tab/>
                          </w:r>
                          <w:r w:rsidRPr="00B21A8D">
                            <w:rPr>
                              <w:b/>
                              <w:sz w:val="18"/>
                            </w:rPr>
                            <w:fldChar w:fldCharType="begin"/>
                          </w:r>
                          <w:r w:rsidRPr="00B21A8D">
                            <w:rPr>
                              <w:b/>
                              <w:sz w:val="18"/>
                            </w:rPr>
                            <w:instrText xml:space="preserve"> PAGE  \* MERGEFORMAT </w:instrText>
                          </w:r>
                          <w:r w:rsidRPr="00B21A8D">
                            <w:rPr>
                              <w:b/>
                              <w:sz w:val="18"/>
                            </w:rPr>
                            <w:fldChar w:fldCharType="separate"/>
                          </w:r>
                          <w:r>
                            <w:rPr>
                              <w:b/>
                              <w:sz w:val="18"/>
                            </w:rPr>
                            <w:t>11</w:t>
                          </w:r>
                          <w:r w:rsidRPr="00B21A8D">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87D1026" id="_x0000_t202" coordsize="21600,21600" o:spt="202" path="m,l,21600r21600,l21600,xe">
              <v:stroke joinstyle="miter"/>
              <v:path gradientshapeok="t" o:connecttype="rect"/>
            </v:shapetype>
            <v:shape id="Zone de texte 4"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124E3F6" w14:textId="57C5280B" w:rsidR="00FA1B22" w:rsidRDefault="00FA1B22" w:rsidP="000E3B16">
                    <w:pPr>
                      <w:pStyle w:val="Pieddepage"/>
                      <w:tabs>
                        <w:tab w:val="right" w:pos="9638"/>
                      </w:tabs>
                    </w:pPr>
                    <w:r>
                      <w:t>GE.24-04842</w:t>
                    </w:r>
                    <w:r>
                      <w:tab/>
                    </w:r>
                    <w:r w:rsidRPr="00B21A8D">
                      <w:rPr>
                        <w:b/>
                        <w:sz w:val="18"/>
                      </w:rPr>
                      <w:fldChar w:fldCharType="begin"/>
                    </w:r>
                    <w:r w:rsidRPr="00B21A8D">
                      <w:rPr>
                        <w:b/>
                        <w:sz w:val="18"/>
                      </w:rPr>
                      <w:instrText xml:space="preserve"> PAGE  \* MERGEFORMAT </w:instrText>
                    </w:r>
                    <w:r w:rsidRPr="00B21A8D">
                      <w:rPr>
                        <w:b/>
                        <w:sz w:val="18"/>
                      </w:rPr>
                      <w:fldChar w:fldCharType="separate"/>
                    </w:r>
                    <w:r>
                      <w:rPr>
                        <w:b/>
                        <w:sz w:val="18"/>
                      </w:rPr>
                      <w:t>11</w:t>
                    </w:r>
                    <w:r w:rsidRPr="00B21A8D">
                      <w:rPr>
                        <w:b/>
                        <w:sz w:val="18"/>
                      </w:rPr>
                      <w:fldChar w:fldCharType="end"/>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E0DC6" w14:textId="5AA9CE6E" w:rsidR="007327FE" w:rsidRPr="007327FE" w:rsidRDefault="007327FE" w:rsidP="007327FE">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rsidRPr="007327FE">
      <w:t>GE.24-04842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2E28CC" w14:textId="324439FF" w:rsidR="007327FE" w:rsidRPr="007327FE" w:rsidRDefault="007327FE" w:rsidP="007327FE">
    <w:pPr>
      <w:pStyle w:val="Pieddepage"/>
      <w:tabs>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424B1" w14:textId="77777777" w:rsidR="002501BE" w:rsidRPr="00AC3823" w:rsidRDefault="002501BE" w:rsidP="00AC3823">
      <w:pPr>
        <w:pStyle w:val="Pieddepage"/>
        <w:tabs>
          <w:tab w:val="right" w:pos="2155"/>
        </w:tabs>
        <w:spacing w:after="80" w:line="240" w:lineRule="atLeast"/>
        <w:ind w:left="680"/>
        <w:rPr>
          <w:u w:val="single"/>
        </w:rPr>
      </w:pPr>
      <w:r>
        <w:rPr>
          <w:u w:val="single"/>
        </w:rPr>
        <w:tab/>
      </w:r>
    </w:p>
  </w:footnote>
  <w:footnote w:type="continuationSeparator" w:id="0">
    <w:p w14:paraId="68F61219" w14:textId="77777777" w:rsidR="002501BE" w:rsidRPr="00AC3823" w:rsidRDefault="002501BE" w:rsidP="00AC3823">
      <w:pPr>
        <w:pStyle w:val="Pieddepage"/>
        <w:tabs>
          <w:tab w:val="right" w:pos="2155"/>
        </w:tabs>
        <w:spacing w:after="80" w:line="240" w:lineRule="atLeast"/>
        <w:ind w:left="680"/>
        <w:rPr>
          <w:u w:val="single"/>
        </w:rPr>
      </w:pPr>
      <w:r>
        <w:rPr>
          <w:u w:val="single"/>
        </w:rPr>
        <w:tab/>
      </w:r>
    </w:p>
  </w:footnote>
  <w:footnote w:type="continuationNotice" w:id="1">
    <w:p w14:paraId="6ED18984" w14:textId="77777777" w:rsidR="002501BE" w:rsidRPr="00AC3823" w:rsidRDefault="002501BE">
      <w:pPr>
        <w:spacing w:line="240" w:lineRule="auto"/>
        <w:rPr>
          <w:sz w:val="2"/>
          <w:szCs w:val="2"/>
        </w:rPr>
      </w:pPr>
    </w:p>
  </w:footnote>
  <w:footnote w:id="2">
    <w:p w14:paraId="4B4D3D62" w14:textId="287EA96F" w:rsidR="006656AF" w:rsidRPr="006656AF" w:rsidRDefault="006656AF">
      <w:pPr>
        <w:pStyle w:val="Notedebasdepage"/>
        <w:rPr>
          <w:lang w:val="fr-FR"/>
        </w:rPr>
      </w:pPr>
      <w:r>
        <w:rPr>
          <w:rStyle w:val="Appelnotedebasdep"/>
        </w:rPr>
        <w:tab/>
      </w:r>
      <w:r w:rsidRPr="006656A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BDF2975" w14:textId="5044835F" w:rsidR="006656AF" w:rsidRPr="006656AF" w:rsidRDefault="00D15740">
      <w:pPr>
        <w:pStyle w:val="Notedebasdepage"/>
        <w:rPr>
          <w:lang w:val="fr-FR"/>
        </w:rPr>
      </w:pPr>
      <w:r>
        <w:t>‘</w:t>
      </w:r>
      <w:r w:rsidR="006656AF">
        <w:rPr>
          <w:rStyle w:val="Appelnotedebasdep"/>
        </w:rPr>
        <w:tab/>
      </w:r>
      <w:r w:rsidR="006656AF" w:rsidRPr="006656AF">
        <w:rPr>
          <w:rStyle w:val="Appelnotedebasdep"/>
          <w:sz w:val="20"/>
          <w:vertAlign w:val="baseline"/>
        </w:rPr>
        <w:t>**</w:t>
      </w:r>
      <w:r w:rsidR="006656AF">
        <w:rPr>
          <w:rStyle w:val="Appelnotedebasdep"/>
          <w:sz w:val="20"/>
          <w:vertAlign w:val="baseline"/>
        </w:rPr>
        <w:tab/>
      </w:r>
      <w:r w:rsidR="006656AF">
        <w:rPr>
          <w:lang w:val="fr-FR"/>
        </w:rPr>
        <w:t>L’annexe du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6DD93" w14:textId="316C9A61" w:rsidR="00B21A8D" w:rsidRPr="00B21A8D" w:rsidRDefault="000F67BF">
    <w:pPr>
      <w:pStyle w:val="En-tte"/>
    </w:pPr>
    <w:r>
      <w:fldChar w:fldCharType="begin"/>
    </w:r>
    <w:r>
      <w:instrText xml:space="preserve"> TITLE  \* MERGEFORMAT </w:instrText>
    </w:r>
    <w:r>
      <w:fldChar w:fldCharType="separate"/>
    </w:r>
    <w:r>
      <w:t>E/C.12/ALB/RQ/4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37E8A" w14:textId="669D5295" w:rsidR="00B21A8D" w:rsidRPr="00B21A8D" w:rsidRDefault="000F67BF" w:rsidP="00B21A8D">
    <w:pPr>
      <w:pStyle w:val="En-tte"/>
      <w:jc w:val="right"/>
    </w:pPr>
    <w:r>
      <w:fldChar w:fldCharType="begin"/>
    </w:r>
    <w:r>
      <w:instrText xml:space="preserve"> TITLE  \* MERGEFORMAT </w:instrText>
    </w:r>
    <w:r>
      <w:fldChar w:fldCharType="separate"/>
    </w:r>
    <w:r>
      <w:t>E/C.12/ALB/RQ/4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3B6D7" w14:textId="6DBC8BFA" w:rsidR="00FA1B22" w:rsidRPr="00FA1B22" w:rsidRDefault="00FA1B22" w:rsidP="00FA1B22">
    <w:r>
      <w:rPr>
        <w:noProof/>
      </w:rPr>
      <mc:AlternateContent>
        <mc:Choice Requires="wps">
          <w:drawing>
            <wp:anchor distT="0" distB="0" distL="114300" distR="114300" simplePos="0" relativeHeight="251661312" behindDoc="0" locked="0" layoutInCell="1" allowOverlap="1" wp14:anchorId="7552E9A8" wp14:editId="08161D4E">
              <wp:simplePos x="0" y="0"/>
              <wp:positionH relativeFrom="page">
                <wp:posOffset>9935845</wp:posOffset>
              </wp:positionH>
              <wp:positionV relativeFrom="margin">
                <wp:posOffset>0</wp:posOffset>
              </wp:positionV>
              <wp:extent cx="215900" cy="6120130"/>
              <wp:effectExtent l="0" t="0" r="0" b="0"/>
              <wp:wrapNone/>
              <wp:docPr id="689925055"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6368B8E" w14:textId="0EB0F36F" w:rsidR="00FA1B22" w:rsidRPr="00B21A8D" w:rsidRDefault="000F67BF" w:rsidP="00FA1B22">
                          <w:pPr>
                            <w:pStyle w:val="En-tte"/>
                          </w:pPr>
                          <w:r>
                            <w:fldChar w:fldCharType="begin"/>
                          </w:r>
                          <w:r>
                            <w:instrText xml:space="preserve"> TITLE  \* MERGEFORMAT </w:instrText>
                          </w:r>
                          <w:r>
                            <w:fldChar w:fldCharType="separate"/>
                          </w:r>
                          <w:r>
                            <w:t>E/C.12/ALB/RQ/4</w:t>
                          </w:r>
                          <w:r>
                            <w:fldChar w:fldCharType="end"/>
                          </w:r>
                        </w:p>
                        <w:p w14:paraId="4CFFCE02" w14:textId="77777777" w:rsidR="00FA1B22" w:rsidRDefault="00FA1B2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552E9A8" id="_x0000_t202" coordsize="21600,21600" o:spt="202" path="m,l,21600r21600,l21600,xe">
              <v:stroke joinstyle="miter"/>
              <v:path gradientshapeok="t" o:connecttype="rect"/>
            </v:shapetype>
            <v:shape id="Zone de texte 1"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56368B8E" w14:textId="0EB0F36F" w:rsidR="00FA1B22" w:rsidRPr="00B21A8D" w:rsidRDefault="000F67BF" w:rsidP="00FA1B22">
                    <w:pPr>
                      <w:pStyle w:val="En-tte"/>
                    </w:pPr>
                    <w:r>
                      <w:fldChar w:fldCharType="begin"/>
                    </w:r>
                    <w:r>
                      <w:instrText xml:space="preserve"> TITLE  \* MERGEFORMAT </w:instrText>
                    </w:r>
                    <w:r>
                      <w:fldChar w:fldCharType="separate"/>
                    </w:r>
                    <w:r>
                      <w:t>E/C.12/ALB/RQ/4</w:t>
                    </w:r>
                    <w:r>
                      <w:fldChar w:fldCharType="end"/>
                    </w:r>
                  </w:p>
                  <w:p w14:paraId="4CFFCE02" w14:textId="77777777" w:rsidR="00FA1B22" w:rsidRDefault="00FA1B22"/>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9DA29" w14:textId="22A88F52" w:rsidR="00FA1B22" w:rsidRPr="00FA1B22" w:rsidRDefault="00FA1B22" w:rsidP="00FA1B22">
    <w:r>
      <w:rPr>
        <w:noProof/>
      </w:rPr>
      <mc:AlternateContent>
        <mc:Choice Requires="wps">
          <w:drawing>
            <wp:anchor distT="0" distB="0" distL="114300" distR="114300" simplePos="0" relativeHeight="251663360" behindDoc="0" locked="0" layoutInCell="1" allowOverlap="1" wp14:anchorId="378F1402" wp14:editId="0C6482B3">
              <wp:simplePos x="0" y="0"/>
              <wp:positionH relativeFrom="page">
                <wp:posOffset>9935845</wp:posOffset>
              </wp:positionH>
              <wp:positionV relativeFrom="margin">
                <wp:posOffset>0</wp:posOffset>
              </wp:positionV>
              <wp:extent cx="215900" cy="6120130"/>
              <wp:effectExtent l="0" t="0" r="0" b="0"/>
              <wp:wrapNone/>
              <wp:docPr id="1640561266"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704134D" w14:textId="4A9BC110" w:rsidR="00FA1B22" w:rsidRPr="00B21A8D" w:rsidRDefault="000F67BF" w:rsidP="00FA1B22">
                          <w:pPr>
                            <w:pStyle w:val="En-tte"/>
                            <w:jc w:val="right"/>
                          </w:pPr>
                          <w:r>
                            <w:fldChar w:fldCharType="begin"/>
                          </w:r>
                          <w:r>
                            <w:instrText xml:space="preserve"> TITLE  \* MERGEFORMAT </w:instrText>
                          </w:r>
                          <w:r>
                            <w:fldChar w:fldCharType="separate"/>
                          </w:r>
                          <w:r>
                            <w:t>E/C.12/ALB/RQ/4</w:t>
                          </w:r>
                          <w:r>
                            <w:fldChar w:fldCharType="end"/>
                          </w:r>
                        </w:p>
                        <w:p w14:paraId="74EA7DA5" w14:textId="77777777" w:rsidR="00FA1B22" w:rsidRDefault="00FA1B2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78F1402" id="_x0000_t202" coordsize="21600,21600" o:spt="202" path="m,l,21600r21600,l21600,xe">
              <v:stroke joinstyle="miter"/>
              <v:path gradientshapeok="t" o:connecttype="rect"/>
            </v:shapetype>
            <v:shape id="Zone de texte 3"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6704134D" w14:textId="4A9BC110" w:rsidR="00FA1B22" w:rsidRPr="00B21A8D" w:rsidRDefault="000F67BF" w:rsidP="00FA1B22">
                    <w:pPr>
                      <w:pStyle w:val="En-tte"/>
                      <w:jc w:val="right"/>
                    </w:pPr>
                    <w:r>
                      <w:fldChar w:fldCharType="begin"/>
                    </w:r>
                    <w:r>
                      <w:instrText xml:space="preserve"> TITLE  \* MERGEFORMAT </w:instrText>
                    </w:r>
                    <w:r>
                      <w:fldChar w:fldCharType="separate"/>
                    </w:r>
                    <w:r>
                      <w:t>E/C.12/ALB/RQ/4</w:t>
                    </w:r>
                    <w:r>
                      <w:fldChar w:fldCharType="end"/>
                    </w:r>
                  </w:p>
                  <w:p w14:paraId="74EA7DA5" w14:textId="77777777" w:rsidR="00FA1B22" w:rsidRDefault="00FA1B22"/>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98550" w14:textId="17BBF3FB" w:rsidR="007327FE" w:rsidRPr="007327FE" w:rsidRDefault="00B5476E" w:rsidP="007327FE">
    <w:pPr>
      <w:pStyle w:val="En-tte"/>
    </w:pPr>
    <w:fldSimple w:instr=" TITLE  \* MERGEFORMAT ">
      <w:r w:rsidR="000F67BF">
        <w:t>E/C.12/ALB/RQ/4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CE470" w14:textId="26CD19FD" w:rsidR="007327FE" w:rsidRPr="007327FE" w:rsidRDefault="00B5476E" w:rsidP="007327FE">
    <w:pPr>
      <w:pStyle w:val="En-tte"/>
      <w:jc w:val="right"/>
    </w:pPr>
    <w:fldSimple w:instr=" TITLE  \* MERGEFORMAT ">
      <w:r w:rsidR="000F67BF">
        <w:t>E/C.12/ALB/RQ/4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A6A0F5F"/>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0C24AC0"/>
    <w:multiLevelType w:val="hybridMultilevel"/>
    <w:tmpl w:val="14AA2CC0"/>
    <w:lvl w:ilvl="0" w:tplc="35C2C4D2">
      <w:start w:val="1"/>
      <w:numFmt w:val="decimal"/>
      <w:lvlText w:val="%1."/>
      <w:lvlJc w:val="left"/>
      <w:pPr>
        <w:ind w:left="5606" w:hanging="360"/>
      </w:pPr>
      <w:rPr>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63806DA"/>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5"/>
  </w:num>
  <w:num w:numId="2" w16cid:durableId="1143691190">
    <w:abstractNumId w:val="3"/>
  </w:num>
  <w:num w:numId="3" w16cid:durableId="47455014">
    <w:abstractNumId w:val="5"/>
  </w:num>
  <w:num w:numId="4" w16cid:durableId="955334470">
    <w:abstractNumId w:val="3"/>
  </w:num>
  <w:num w:numId="5" w16cid:durableId="2097170360">
    <w:abstractNumId w:val="0"/>
  </w:num>
  <w:num w:numId="6" w16cid:durableId="802962023">
    <w:abstractNumId w:val="4"/>
  </w:num>
  <w:num w:numId="7" w16cid:durableId="1295140763">
    <w:abstractNumId w:val="1"/>
  </w:num>
  <w:num w:numId="8" w16cid:durableId="893587017">
    <w:abstractNumId w:val="2"/>
  </w:num>
  <w:num w:numId="9" w16cid:durableId="88280435">
    <w:abstractNumId w:val="5"/>
  </w:num>
  <w:num w:numId="10" w16cid:durableId="32597918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1BE"/>
    <w:rsid w:val="000043A2"/>
    <w:rsid w:val="00017F94"/>
    <w:rsid w:val="00023842"/>
    <w:rsid w:val="0002432E"/>
    <w:rsid w:val="00027531"/>
    <w:rsid w:val="000334F9"/>
    <w:rsid w:val="00073B9D"/>
    <w:rsid w:val="0007796D"/>
    <w:rsid w:val="000B7790"/>
    <w:rsid w:val="000E3B16"/>
    <w:rsid w:val="000F67BF"/>
    <w:rsid w:val="00111F2F"/>
    <w:rsid w:val="00112C5A"/>
    <w:rsid w:val="00114026"/>
    <w:rsid w:val="00125C2B"/>
    <w:rsid w:val="0014365E"/>
    <w:rsid w:val="00176178"/>
    <w:rsid w:val="001C3868"/>
    <w:rsid w:val="001D72BF"/>
    <w:rsid w:val="001F525A"/>
    <w:rsid w:val="002004EC"/>
    <w:rsid w:val="00223272"/>
    <w:rsid w:val="0024779E"/>
    <w:rsid w:val="002501BE"/>
    <w:rsid w:val="002515E3"/>
    <w:rsid w:val="00266ACE"/>
    <w:rsid w:val="002832AC"/>
    <w:rsid w:val="002D7C93"/>
    <w:rsid w:val="00337D74"/>
    <w:rsid w:val="003A0909"/>
    <w:rsid w:val="0041101C"/>
    <w:rsid w:val="00441C3B"/>
    <w:rsid w:val="00446FE5"/>
    <w:rsid w:val="00452396"/>
    <w:rsid w:val="00491244"/>
    <w:rsid w:val="004E468C"/>
    <w:rsid w:val="004F72B9"/>
    <w:rsid w:val="005505B7"/>
    <w:rsid w:val="005550FD"/>
    <w:rsid w:val="00573BE5"/>
    <w:rsid w:val="00586ED3"/>
    <w:rsid w:val="00596AA9"/>
    <w:rsid w:val="00606E42"/>
    <w:rsid w:val="00646189"/>
    <w:rsid w:val="006656AF"/>
    <w:rsid w:val="006C40BA"/>
    <w:rsid w:val="007104DD"/>
    <w:rsid w:val="0071601D"/>
    <w:rsid w:val="007327FE"/>
    <w:rsid w:val="00740E54"/>
    <w:rsid w:val="00780206"/>
    <w:rsid w:val="0078583E"/>
    <w:rsid w:val="007A62E6"/>
    <w:rsid w:val="007C1326"/>
    <w:rsid w:val="007C76B3"/>
    <w:rsid w:val="007F326F"/>
    <w:rsid w:val="0080236C"/>
    <w:rsid w:val="0080684C"/>
    <w:rsid w:val="00851C74"/>
    <w:rsid w:val="00871C75"/>
    <w:rsid w:val="008776DC"/>
    <w:rsid w:val="00887156"/>
    <w:rsid w:val="008F7A95"/>
    <w:rsid w:val="00967489"/>
    <w:rsid w:val="009705C8"/>
    <w:rsid w:val="00986BC6"/>
    <w:rsid w:val="00997502"/>
    <w:rsid w:val="009C1CF4"/>
    <w:rsid w:val="009E29DF"/>
    <w:rsid w:val="00A01A74"/>
    <w:rsid w:val="00A30353"/>
    <w:rsid w:val="00A33134"/>
    <w:rsid w:val="00A526E9"/>
    <w:rsid w:val="00AA42FA"/>
    <w:rsid w:val="00AC3823"/>
    <w:rsid w:val="00AC4DF0"/>
    <w:rsid w:val="00AE323C"/>
    <w:rsid w:val="00AF290F"/>
    <w:rsid w:val="00B00181"/>
    <w:rsid w:val="00B00B0D"/>
    <w:rsid w:val="00B10A18"/>
    <w:rsid w:val="00B17EF3"/>
    <w:rsid w:val="00B21A8D"/>
    <w:rsid w:val="00B367C7"/>
    <w:rsid w:val="00B5476E"/>
    <w:rsid w:val="00B67B10"/>
    <w:rsid w:val="00B765F7"/>
    <w:rsid w:val="00BA0CA9"/>
    <w:rsid w:val="00BC3819"/>
    <w:rsid w:val="00C02897"/>
    <w:rsid w:val="00C0366F"/>
    <w:rsid w:val="00CA78F8"/>
    <w:rsid w:val="00D15740"/>
    <w:rsid w:val="00D3439C"/>
    <w:rsid w:val="00D75300"/>
    <w:rsid w:val="00DB1831"/>
    <w:rsid w:val="00DC6B7B"/>
    <w:rsid w:val="00DD3BFD"/>
    <w:rsid w:val="00DF6678"/>
    <w:rsid w:val="00E072F2"/>
    <w:rsid w:val="00E74B98"/>
    <w:rsid w:val="00EB135E"/>
    <w:rsid w:val="00EF054A"/>
    <w:rsid w:val="00EF2E22"/>
    <w:rsid w:val="00F61DCE"/>
    <w:rsid w:val="00F660DF"/>
    <w:rsid w:val="00F95C08"/>
    <w:rsid w:val="00FA1B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92AD6"/>
  <w15:docId w15:val="{FAE40157-9365-4278-9AE0-D9D8400D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3"/>
      </w:numPr>
      <w:spacing w:after="120"/>
      <w:ind w:right="1134"/>
      <w:jc w:val="both"/>
    </w:pPr>
  </w:style>
  <w:style w:type="paragraph" w:customStyle="1" w:styleId="Bullet2G">
    <w:name w:val="_Bullet 2_G"/>
    <w:basedOn w:val="Normal"/>
    <w:qFormat/>
    <w:rsid w:val="001C3868"/>
    <w:pPr>
      <w:numPr>
        <w:numId w:val="4"/>
      </w:numPr>
      <w:spacing w:after="120"/>
      <w:ind w:right="1134"/>
      <w:jc w:val="both"/>
    </w:pPr>
  </w:style>
  <w:style w:type="paragraph" w:customStyle="1" w:styleId="ParNoG">
    <w:name w:val="_ParNo_G"/>
    <w:basedOn w:val="Normal"/>
    <w:qFormat/>
    <w:rsid w:val="001C3868"/>
    <w:pPr>
      <w:numPr>
        <w:numId w:val="5"/>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21A8D"/>
    <w:rPr>
      <w:rFonts w:ascii="Times New Roman" w:eastAsiaTheme="minorHAnsi" w:hAnsi="Times New Roman" w:cs="Times New Roman"/>
      <w:sz w:val="20"/>
      <w:szCs w:val="20"/>
      <w:lang w:eastAsia="en-US"/>
    </w:rPr>
  </w:style>
  <w:style w:type="paragraph" w:styleId="Rvision">
    <w:name w:val="Revision"/>
    <w:hidden/>
    <w:uiPriority w:val="99"/>
    <w:semiHidden/>
    <w:rsid w:val="00B21A8D"/>
    <w:pPr>
      <w:spacing w:after="0" w:line="240" w:lineRule="auto"/>
    </w:pPr>
    <w:rPr>
      <w:rFonts w:ascii="Times New Roman" w:hAnsi="Times New Roman" w:cs="Times New Roman"/>
      <w:sz w:val="20"/>
      <w:szCs w:val="20"/>
      <w:lang w:val="en-GB" w:eastAsia="en-US"/>
    </w:rPr>
  </w:style>
  <w:style w:type="paragraph" w:customStyle="1" w:styleId="ParaNoG">
    <w:name w:val="_ParaNo._G"/>
    <w:basedOn w:val="SingleTxtG"/>
    <w:rsid w:val="00780206"/>
    <w:pPr>
      <w:tabs>
        <w:tab w:val="clear" w:pos="2835"/>
        <w:tab w:val="num" w:pos="0"/>
      </w:tabs>
      <w:kinsoku/>
      <w:overflowPunct/>
      <w:autoSpaceDE/>
      <w:autoSpaceDN/>
      <w:adjustRightInd/>
      <w:snapToGrid/>
    </w:pPr>
    <w:rPr>
      <w:rFonts w:eastAsia="SimSun"/>
      <w:lang w:val="en-GB" w:eastAsia="zh-CN"/>
    </w:rPr>
  </w:style>
  <w:style w:type="numbering" w:styleId="111111">
    <w:name w:val="Outline List 2"/>
    <w:basedOn w:val="Aucuneliste"/>
    <w:semiHidden/>
    <w:rsid w:val="00780206"/>
    <w:pPr>
      <w:numPr>
        <w:numId w:val="6"/>
      </w:numPr>
    </w:pPr>
  </w:style>
  <w:style w:type="numbering" w:styleId="1ai">
    <w:name w:val="Outline List 1"/>
    <w:basedOn w:val="Aucuneliste"/>
    <w:semiHidden/>
    <w:rsid w:val="00780206"/>
    <w:pPr>
      <w:numPr>
        <w:numId w:val="7"/>
      </w:numPr>
    </w:pPr>
  </w:style>
  <w:style w:type="character" w:styleId="Titredulivre">
    <w:name w:val="Book Title"/>
    <w:basedOn w:val="Policepardfaut"/>
    <w:uiPriority w:val="33"/>
    <w:rsid w:val="00780206"/>
    <w:rPr>
      <w:b/>
      <w:bCs/>
      <w:smallCaps/>
      <w:spacing w:val="5"/>
    </w:rPr>
  </w:style>
  <w:style w:type="character" w:styleId="Marquedecommentaire">
    <w:name w:val="annotation reference"/>
    <w:basedOn w:val="Policepardfaut"/>
    <w:uiPriority w:val="99"/>
    <w:semiHidden/>
    <w:unhideWhenUsed/>
    <w:rsid w:val="00780206"/>
    <w:rPr>
      <w:sz w:val="16"/>
      <w:szCs w:val="16"/>
    </w:rPr>
  </w:style>
  <w:style w:type="paragraph" w:styleId="Commentaire">
    <w:name w:val="annotation text"/>
    <w:basedOn w:val="Normal"/>
    <w:link w:val="CommentaireCar"/>
    <w:uiPriority w:val="99"/>
    <w:unhideWhenUsed/>
    <w:rsid w:val="0078020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78020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80206"/>
    <w:rPr>
      <w:b/>
      <w:bCs/>
    </w:rPr>
  </w:style>
  <w:style w:type="character" w:customStyle="1" w:styleId="ObjetducommentaireCar">
    <w:name w:val="Objet du commentaire Car"/>
    <w:basedOn w:val="CommentaireCar"/>
    <w:link w:val="Objetducommentaire"/>
    <w:uiPriority w:val="99"/>
    <w:semiHidden/>
    <w:rsid w:val="00780206"/>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780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undp.org/albania/publications/mapping-social-services-albania-0." TargetMode="Externa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www.inspektoriatipunes.gov.al"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34</Pages>
  <Words>17874</Words>
  <Characters>98307</Characters>
  <Application>Microsoft Office Word</Application>
  <DocSecurity>0</DocSecurity>
  <Lines>819</Lines>
  <Paragraphs>231</Paragraphs>
  <ScaleCrop>false</ScaleCrop>
  <HeadingPairs>
    <vt:vector size="2" baseType="variant">
      <vt:variant>
        <vt:lpstr>Titre</vt:lpstr>
      </vt:variant>
      <vt:variant>
        <vt:i4>1</vt:i4>
      </vt:variant>
    </vt:vector>
  </HeadingPairs>
  <TitlesOfParts>
    <vt:vector size="1" baseType="lpstr">
      <vt:lpstr>E/C.12/ALB/RQ/4</vt:lpstr>
    </vt:vector>
  </TitlesOfParts>
  <Company>DCM</Company>
  <LinksUpToDate>false</LinksUpToDate>
  <CharactersWithSpaces>115950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E/C.12/ALB/RQ/4</dc:title>
  <dc:subject/>
  <dc:creator>Estelle-Delphine DITTA</dc:creator>
  <cp:keywords/>
  <cp:lastModifiedBy>Estelle-Delphine DITTA</cp:lastModifiedBy>
  <cp:revision>3</cp:revision>
  <cp:lastPrinted>2024-06-24T14:03:00Z</cp:lastPrinted>
  <dcterms:created xsi:type="dcterms:W3CDTF">2024-06-24T14:03:00Z</dcterms:created>
  <dcterms:modified xsi:type="dcterms:W3CDTF">2024-06-24T14:06:00Z</dcterms:modified>
</cp:coreProperties>
</file>