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9729412" w14:textId="77777777" w:rsidTr="00BC3629">
        <w:trPr>
          <w:trHeight w:hRule="exact" w:val="851"/>
        </w:trPr>
        <w:tc>
          <w:tcPr>
            <w:tcW w:w="142" w:type="dxa"/>
            <w:tcBorders>
              <w:bottom w:val="single" w:sz="4" w:space="0" w:color="auto"/>
            </w:tcBorders>
          </w:tcPr>
          <w:p w14:paraId="2BBF0DE6" w14:textId="77777777" w:rsidR="002D5AAC" w:rsidRDefault="002D5AAC" w:rsidP="00A56C7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B84EE5F"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5B986BC" w14:textId="3B086E27" w:rsidR="002D5AAC" w:rsidRDefault="00A56C78" w:rsidP="00A56C78">
            <w:pPr>
              <w:jc w:val="right"/>
            </w:pPr>
            <w:r w:rsidRPr="00A56C78">
              <w:rPr>
                <w:sz w:val="40"/>
              </w:rPr>
              <w:t>CCPR</w:t>
            </w:r>
            <w:r>
              <w:t>/C/139/2/Add.3</w:t>
            </w:r>
          </w:p>
        </w:tc>
      </w:tr>
      <w:tr w:rsidR="002D5AAC" w:rsidRPr="008B08C7" w14:paraId="466B6258" w14:textId="77777777" w:rsidTr="00BC3629">
        <w:trPr>
          <w:trHeight w:hRule="exact" w:val="2835"/>
        </w:trPr>
        <w:tc>
          <w:tcPr>
            <w:tcW w:w="1280" w:type="dxa"/>
            <w:gridSpan w:val="2"/>
            <w:tcBorders>
              <w:top w:val="single" w:sz="4" w:space="0" w:color="auto"/>
              <w:bottom w:val="single" w:sz="12" w:space="0" w:color="auto"/>
            </w:tcBorders>
          </w:tcPr>
          <w:p w14:paraId="0BA72BBE" w14:textId="77777777" w:rsidR="002D5AAC" w:rsidRDefault="002E5067" w:rsidP="00BC3629">
            <w:pPr>
              <w:spacing w:before="120"/>
              <w:jc w:val="center"/>
            </w:pPr>
            <w:r>
              <w:rPr>
                <w:noProof/>
                <w:lang w:val="fr-CH" w:eastAsia="fr-CH"/>
              </w:rPr>
              <w:drawing>
                <wp:inline distT="0" distB="0" distL="0" distR="0" wp14:anchorId="7DE0CD8D" wp14:editId="343AA63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45CA27"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C7CDA26" w14:textId="77777777" w:rsidR="002D5AAC" w:rsidRPr="008B08C7" w:rsidRDefault="00A56C78" w:rsidP="00BC3629">
            <w:pPr>
              <w:spacing w:before="240"/>
              <w:rPr>
                <w:lang w:val="en-US"/>
              </w:rPr>
            </w:pPr>
            <w:r w:rsidRPr="008B08C7">
              <w:rPr>
                <w:lang w:val="en-US"/>
              </w:rPr>
              <w:t>Distr.: General</w:t>
            </w:r>
          </w:p>
          <w:p w14:paraId="523ACB7A" w14:textId="77777777" w:rsidR="00A56C78" w:rsidRPr="008B08C7" w:rsidRDefault="00A56C78" w:rsidP="00A56C78">
            <w:pPr>
              <w:spacing w:line="240" w:lineRule="exact"/>
              <w:rPr>
                <w:lang w:val="en-US"/>
              </w:rPr>
            </w:pPr>
            <w:r w:rsidRPr="008B08C7">
              <w:rPr>
                <w:lang w:val="en-US"/>
              </w:rPr>
              <w:t>21 November 2023</w:t>
            </w:r>
          </w:p>
          <w:p w14:paraId="75197954" w14:textId="77777777" w:rsidR="00A56C78" w:rsidRPr="008B08C7" w:rsidRDefault="00A56C78" w:rsidP="00A56C78">
            <w:pPr>
              <w:spacing w:line="240" w:lineRule="exact"/>
              <w:rPr>
                <w:lang w:val="en-US"/>
              </w:rPr>
            </w:pPr>
            <w:r w:rsidRPr="008B08C7">
              <w:rPr>
                <w:lang w:val="en-US"/>
              </w:rPr>
              <w:t>Russian</w:t>
            </w:r>
          </w:p>
          <w:p w14:paraId="3B690180" w14:textId="421EDC65" w:rsidR="00A56C78" w:rsidRPr="008B08C7" w:rsidRDefault="00A56C78" w:rsidP="00A56C78">
            <w:pPr>
              <w:spacing w:line="240" w:lineRule="exact"/>
              <w:rPr>
                <w:lang w:val="en-US"/>
              </w:rPr>
            </w:pPr>
            <w:r w:rsidRPr="008B08C7">
              <w:rPr>
                <w:lang w:val="en-US"/>
              </w:rPr>
              <w:t>Original: English</w:t>
            </w:r>
          </w:p>
        </w:tc>
      </w:tr>
    </w:tbl>
    <w:p w14:paraId="053A0714" w14:textId="77777777" w:rsidR="00A56C78" w:rsidRPr="00A56C78" w:rsidRDefault="00A56C78" w:rsidP="00A56C78">
      <w:pPr>
        <w:spacing w:before="120"/>
        <w:rPr>
          <w:b/>
          <w:bCs/>
          <w:color w:val="000000" w:themeColor="text1"/>
          <w:sz w:val="24"/>
          <w:szCs w:val="24"/>
        </w:rPr>
      </w:pPr>
      <w:r w:rsidRPr="00A56C78">
        <w:rPr>
          <w:b/>
          <w:bCs/>
          <w:sz w:val="24"/>
          <w:szCs w:val="24"/>
        </w:rPr>
        <w:t>Комитет по правам человека</w:t>
      </w:r>
    </w:p>
    <w:p w14:paraId="2941E840" w14:textId="0C07163B" w:rsidR="00A56C78" w:rsidRPr="00A553D3" w:rsidRDefault="00A56C78" w:rsidP="00A56C78">
      <w:pPr>
        <w:pStyle w:val="HChG"/>
      </w:pPr>
      <w:r>
        <w:tab/>
      </w:r>
      <w:r>
        <w:tab/>
      </w:r>
      <w:r>
        <w:rPr>
          <w:bCs/>
        </w:rPr>
        <w:t>Доклад о последующих действиях в связи с</w:t>
      </w:r>
      <w:r w:rsidR="00797BA6">
        <w:rPr>
          <w:bCs/>
          <w:lang w:val="en-US"/>
        </w:rPr>
        <w:t> </w:t>
      </w:r>
      <w:r>
        <w:rPr>
          <w:bCs/>
        </w:rPr>
        <w:t>заключительными замечаниями Комитета по правам человека</w:t>
      </w:r>
      <w:r w:rsidRPr="00A27076">
        <w:rPr>
          <w:b w:val="0"/>
          <w:sz w:val="20"/>
          <w:szCs w:val="16"/>
        </w:rPr>
        <w:footnoteReference w:customMarkFollows="1" w:id="1"/>
        <w:t>*</w:t>
      </w:r>
      <w:bookmarkStart w:id="0" w:name="_Toc506807534"/>
      <w:bookmarkEnd w:id="0"/>
    </w:p>
    <w:p w14:paraId="60779978" w14:textId="77777777" w:rsidR="00A56C78" w:rsidRPr="00A553D3" w:rsidRDefault="00A56C78" w:rsidP="00A56C78">
      <w:pPr>
        <w:pStyle w:val="H23G"/>
        <w:rPr>
          <w:rFonts w:eastAsia="SimSun"/>
        </w:rPr>
      </w:pPr>
      <w:r>
        <w:tab/>
      </w:r>
      <w:r>
        <w:tab/>
        <w:t>Добавление</w:t>
      </w:r>
    </w:p>
    <w:p w14:paraId="67476F9A" w14:textId="39395C3E" w:rsidR="00A56C78" w:rsidRPr="00A553D3" w:rsidRDefault="00A56C78" w:rsidP="00A56C78">
      <w:pPr>
        <w:pStyle w:val="HChG"/>
      </w:pPr>
      <w:r>
        <w:tab/>
      </w:r>
      <w:r>
        <w:tab/>
      </w:r>
      <w:r>
        <w:rPr>
          <w:bCs/>
        </w:rPr>
        <w:t>Оценка информации о последующих действиях в связи с</w:t>
      </w:r>
      <w:r w:rsidR="00797BA6">
        <w:rPr>
          <w:bCs/>
          <w:lang w:val="en-US"/>
        </w:rPr>
        <w:t> </w:t>
      </w:r>
      <w:r>
        <w:rPr>
          <w:bCs/>
        </w:rPr>
        <w:t>заключительными замечаниями по Мавритании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A56C78" w:rsidRPr="00A56C78" w14:paraId="1EC16F4E" w14:textId="77777777" w:rsidTr="00A56C78">
        <w:trPr>
          <w:tblHeader/>
        </w:trPr>
        <w:tc>
          <w:tcPr>
            <w:tcW w:w="3685" w:type="dxa"/>
            <w:shd w:val="clear" w:color="auto" w:fill="auto"/>
          </w:tcPr>
          <w:p w14:paraId="14509F09" w14:textId="68948B0A" w:rsidR="00A56C78" w:rsidRPr="00A56C78" w:rsidRDefault="00A56C78" w:rsidP="00797BA6">
            <w:pPr>
              <w:spacing w:after="120"/>
              <w:ind w:left="57"/>
            </w:pPr>
            <w:r>
              <w:rPr>
                <w:i/>
                <w:iCs/>
              </w:rPr>
              <w:t xml:space="preserve">Заключительные замечания </w:t>
            </w:r>
            <w:r w:rsidR="00797BA6">
              <w:rPr>
                <w:i/>
                <w:iCs/>
              </w:rPr>
              <w:br/>
            </w:r>
            <w:r>
              <w:rPr>
                <w:i/>
                <w:iCs/>
              </w:rPr>
              <w:t>(126-я сессия):</w:t>
            </w:r>
          </w:p>
        </w:tc>
        <w:tc>
          <w:tcPr>
            <w:tcW w:w="3685" w:type="dxa"/>
            <w:shd w:val="clear" w:color="auto" w:fill="auto"/>
          </w:tcPr>
          <w:p w14:paraId="73F1CFE5" w14:textId="156E6C73" w:rsidR="00A56C78" w:rsidRPr="00A56C78" w:rsidRDefault="009C2BE0" w:rsidP="00797BA6">
            <w:pPr>
              <w:spacing w:after="120"/>
              <w:ind w:left="57"/>
            </w:pPr>
            <w:hyperlink r:id="rId8" w:history="1">
              <w:r w:rsidR="00A56C78" w:rsidRPr="00A56C78">
                <w:rPr>
                  <w:rStyle w:val="af1"/>
                </w:rPr>
                <w:t>CCPR/C/MRT/CO/2</w:t>
              </w:r>
            </w:hyperlink>
            <w:r w:rsidR="00A56C78">
              <w:t>, 19 июля 2019 года</w:t>
            </w:r>
          </w:p>
        </w:tc>
      </w:tr>
      <w:tr w:rsidR="00A56C78" w:rsidRPr="00A56C78" w14:paraId="6A572B41" w14:textId="77777777" w:rsidTr="00A56C78">
        <w:trPr>
          <w:tblHeader/>
        </w:trPr>
        <w:tc>
          <w:tcPr>
            <w:tcW w:w="3685" w:type="dxa"/>
            <w:shd w:val="clear" w:color="auto" w:fill="auto"/>
          </w:tcPr>
          <w:p w14:paraId="41C13A44" w14:textId="758A6C34" w:rsidR="00A56C78" w:rsidRPr="00A56C78" w:rsidRDefault="00A56C78" w:rsidP="00797BA6">
            <w:pPr>
              <w:spacing w:after="120"/>
              <w:ind w:left="57"/>
            </w:pPr>
            <w:r>
              <w:rPr>
                <w:i/>
                <w:iCs/>
              </w:rPr>
              <w:t>Пункты, предусматривающие последующую деятельность:</w:t>
            </w:r>
          </w:p>
        </w:tc>
        <w:tc>
          <w:tcPr>
            <w:tcW w:w="3685" w:type="dxa"/>
            <w:shd w:val="clear" w:color="auto" w:fill="auto"/>
          </w:tcPr>
          <w:p w14:paraId="2CE50E02" w14:textId="3D9FC79D" w:rsidR="00A56C78" w:rsidRPr="00A56C78" w:rsidRDefault="00A56C78" w:rsidP="00797BA6">
            <w:pPr>
              <w:spacing w:after="120"/>
              <w:ind w:left="57"/>
            </w:pPr>
            <w:r>
              <w:t>11, 21 и 43</w:t>
            </w:r>
          </w:p>
        </w:tc>
      </w:tr>
      <w:tr w:rsidR="00A56C78" w:rsidRPr="00A56C78" w14:paraId="07E123DC" w14:textId="77777777" w:rsidTr="00A56C78">
        <w:trPr>
          <w:tblHeader/>
        </w:trPr>
        <w:tc>
          <w:tcPr>
            <w:tcW w:w="3685" w:type="dxa"/>
            <w:shd w:val="clear" w:color="auto" w:fill="auto"/>
          </w:tcPr>
          <w:p w14:paraId="4ED95398" w14:textId="29F2567A" w:rsidR="00A56C78" w:rsidRPr="00A56C78" w:rsidRDefault="00A56C78" w:rsidP="00797BA6">
            <w:pPr>
              <w:spacing w:after="120"/>
              <w:ind w:left="57"/>
            </w:pPr>
            <w:r>
              <w:rPr>
                <w:i/>
                <w:iCs/>
              </w:rPr>
              <w:t>Информация, полученная от государства-участника:</w:t>
            </w:r>
          </w:p>
        </w:tc>
        <w:tc>
          <w:tcPr>
            <w:tcW w:w="3685" w:type="dxa"/>
            <w:shd w:val="clear" w:color="auto" w:fill="auto"/>
          </w:tcPr>
          <w:p w14:paraId="0268C1D8" w14:textId="5CFE25BB" w:rsidR="00A56C78" w:rsidRPr="00A56C78" w:rsidRDefault="009C2BE0" w:rsidP="00797BA6">
            <w:pPr>
              <w:spacing w:after="120"/>
              <w:ind w:left="57"/>
            </w:pPr>
            <w:hyperlink r:id="rId9" w:history="1">
              <w:r w:rsidR="00A56C78" w:rsidRPr="00A56C78">
                <w:rPr>
                  <w:rStyle w:val="af1"/>
                </w:rPr>
                <w:t>CCPR/C/MRT/FCO/2</w:t>
              </w:r>
            </w:hyperlink>
            <w:r w:rsidR="00A56C78">
              <w:t>, 5 января 2022 г</w:t>
            </w:r>
            <w:r w:rsidR="008B08C7">
              <w:t>ода</w:t>
            </w:r>
          </w:p>
        </w:tc>
      </w:tr>
      <w:tr w:rsidR="00A56C78" w:rsidRPr="00A56C78" w14:paraId="016BB169" w14:textId="77777777" w:rsidTr="00A56C78">
        <w:trPr>
          <w:tblHeader/>
        </w:trPr>
        <w:tc>
          <w:tcPr>
            <w:tcW w:w="3685" w:type="dxa"/>
            <w:shd w:val="clear" w:color="auto" w:fill="auto"/>
          </w:tcPr>
          <w:p w14:paraId="0F09F49B" w14:textId="325D7FF8" w:rsidR="00A56C78" w:rsidRPr="00A56C78" w:rsidRDefault="00A56C78" w:rsidP="00797BA6">
            <w:pPr>
              <w:spacing w:after="120"/>
              <w:ind w:left="57"/>
            </w:pPr>
            <w:r>
              <w:rPr>
                <w:i/>
                <w:iCs/>
              </w:rPr>
              <w:t>Информация, полученная от заинтересованных сторон:</w:t>
            </w:r>
          </w:p>
        </w:tc>
        <w:tc>
          <w:tcPr>
            <w:tcW w:w="3685" w:type="dxa"/>
            <w:shd w:val="clear" w:color="auto" w:fill="auto"/>
          </w:tcPr>
          <w:p w14:paraId="0BF998E8" w14:textId="70A7CA5E" w:rsidR="00A56C78" w:rsidRPr="00A56C78" w:rsidRDefault="009C2BE0" w:rsidP="00797BA6">
            <w:pPr>
              <w:spacing w:after="120"/>
              <w:ind w:left="57"/>
            </w:pPr>
            <w:hyperlink r:id="rId10" w:history="1">
              <w:r w:rsidR="00A56C78" w:rsidRPr="00A56C78">
                <w:rPr>
                  <w:rStyle w:val="af1"/>
                </w:rPr>
                <w:t>Представление 10 неправительственных организаций при поддержке Центра гражданских и политических прав (представление НПО № 1)</w:t>
              </w:r>
            </w:hyperlink>
            <w:r w:rsidR="00A56C78">
              <w:t>, май 2022 г</w:t>
            </w:r>
            <w:r w:rsidR="008B08C7">
              <w:t>ода</w:t>
            </w:r>
            <w:r w:rsidR="00A56C78">
              <w:t xml:space="preserve">; </w:t>
            </w:r>
            <w:hyperlink r:id="rId11" w:history="1">
              <w:r w:rsidR="00A56C78" w:rsidRPr="00A56C78">
                <w:rPr>
                  <w:rStyle w:val="af1"/>
                </w:rPr>
                <w:t>представление организаций «Защитники прав человека» и «Мавританская сеть по правам человека в США» (представление НПО № 2)</w:t>
              </w:r>
            </w:hyperlink>
            <w:r w:rsidR="00A56C78">
              <w:t>, 27 июля 2021 г</w:t>
            </w:r>
            <w:r w:rsidR="008B08C7">
              <w:t>ода</w:t>
            </w:r>
          </w:p>
        </w:tc>
      </w:tr>
      <w:tr w:rsidR="00A56C78" w:rsidRPr="00A56C78" w14:paraId="52FCF1D4" w14:textId="77777777" w:rsidTr="00A56C78">
        <w:trPr>
          <w:tblHeader/>
        </w:trPr>
        <w:tc>
          <w:tcPr>
            <w:tcW w:w="3685" w:type="dxa"/>
            <w:shd w:val="clear" w:color="auto" w:fill="auto"/>
          </w:tcPr>
          <w:p w14:paraId="3C0C2A5A" w14:textId="7328C6D2" w:rsidR="00A56C78" w:rsidRPr="00A56C78" w:rsidRDefault="00A56C78" w:rsidP="00797BA6">
            <w:pPr>
              <w:spacing w:after="120"/>
              <w:ind w:left="57"/>
            </w:pPr>
            <w:r>
              <w:rPr>
                <w:i/>
                <w:iCs/>
              </w:rPr>
              <w:t>Оценка Комитета:</w:t>
            </w:r>
            <w:r>
              <w:tab/>
            </w:r>
          </w:p>
        </w:tc>
        <w:tc>
          <w:tcPr>
            <w:tcW w:w="3685" w:type="dxa"/>
            <w:shd w:val="clear" w:color="auto" w:fill="auto"/>
          </w:tcPr>
          <w:p w14:paraId="39C1984F" w14:textId="584AB46E" w:rsidR="00A56C78" w:rsidRPr="00A56C78" w:rsidRDefault="00A56C78" w:rsidP="00797BA6">
            <w:pPr>
              <w:spacing w:after="120"/>
              <w:ind w:left="57"/>
            </w:pPr>
            <w:r>
              <w:t>11 [С ], 21 [B] [C] и 43 [С] [Е]</w:t>
            </w:r>
          </w:p>
        </w:tc>
      </w:tr>
    </w:tbl>
    <w:p w14:paraId="22D2B182" w14:textId="77777777" w:rsidR="00A56C78" w:rsidRPr="00A553D3" w:rsidRDefault="00A56C78" w:rsidP="00A56C78">
      <w:pPr>
        <w:pStyle w:val="H1G"/>
      </w:pPr>
      <w:r>
        <w:tab/>
      </w:r>
      <w:r>
        <w:tab/>
      </w:r>
      <w:r>
        <w:rPr>
          <w:bCs/>
        </w:rPr>
        <w:t>Пункт 11: борьба с безнаказанностью и совершенными в прошлом нарушениями прав человека</w:t>
      </w:r>
    </w:p>
    <w:p w14:paraId="07F07F4D" w14:textId="59A92A11" w:rsidR="00A56C78" w:rsidRPr="00A56C78" w:rsidRDefault="00A56C78" w:rsidP="00A56C78">
      <w:pPr>
        <w:pStyle w:val="SingleTxtG"/>
        <w:rPr>
          <w:rFonts w:eastAsiaTheme="minorEastAsia"/>
          <w:b/>
          <w:bCs/>
        </w:rPr>
      </w:pPr>
      <w:r w:rsidRPr="00A56C78">
        <w:rPr>
          <w:b/>
          <w:bCs/>
        </w:rPr>
        <w:tab/>
        <w:t xml:space="preserve">Государству-участнику следует предпринять все необходимые шаги для окончательного урегулирования гуманитарных последствий событий </w:t>
      </w:r>
      <w:r w:rsidR="00797BA6">
        <w:rPr>
          <w:b/>
          <w:bCs/>
        </w:rPr>
        <w:br/>
      </w:r>
      <w:r w:rsidRPr="00A56C78">
        <w:rPr>
          <w:b/>
          <w:bCs/>
        </w:rPr>
        <w:t>1989–1991 годов, в частности отменить Закон № 93</w:t>
      </w:r>
      <w:r w:rsidR="00797BA6" w:rsidRPr="00797BA6">
        <w:rPr>
          <w:b/>
          <w:bCs/>
        </w:rPr>
        <w:t>–</w:t>
      </w:r>
      <w:r w:rsidRPr="00A56C78">
        <w:rPr>
          <w:b/>
          <w:bCs/>
        </w:rPr>
        <w:t>23, чтобы установить факты преступлений, привлечь к ответственности и соответствующим образом наказать виновных, а также предоставить полную компенсацию всем жертвам и их бенефициарам.</w:t>
      </w:r>
      <w:bookmarkStart w:id="1" w:name="_Hlk143246506"/>
      <w:bookmarkEnd w:id="1"/>
    </w:p>
    <w:p w14:paraId="305073DB" w14:textId="77777777" w:rsidR="00A56C78" w:rsidRPr="00A553D3" w:rsidRDefault="00A56C78" w:rsidP="00A56C78">
      <w:pPr>
        <w:pStyle w:val="H23G"/>
        <w:rPr>
          <w:rFonts w:eastAsiaTheme="minorEastAsia"/>
        </w:rPr>
      </w:pPr>
      <w:r>
        <w:lastRenderedPageBreak/>
        <w:tab/>
      </w:r>
      <w:r>
        <w:tab/>
      </w:r>
      <w:r>
        <w:rPr>
          <w:bCs/>
        </w:rPr>
        <w:t>Резюме информации, полученной от государства-участника</w:t>
      </w:r>
    </w:p>
    <w:p w14:paraId="19796BF5" w14:textId="2217B7C5" w:rsidR="00A56C78" w:rsidRPr="00A553D3" w:rsidRDefault="00A56C78" w:rsidP="00A56C78">
      <w:pPr>
        <w:pStyle w:val="SingleTxtG"/>
        <w:rPr>
          <w:bCs/>
        </w:rPr>
      </w:pPr>
      <w:r>
        <w:tab/>
        <w:t xml:space="preserve">Значительные усилия были предприняты для интеграции репатриантов, включая строительство базовой инфраструктуры и развитие сельскохозяйственных районов, финансирование микропроектов и приносящих доход видов деятельности, реинтеграцию бывших государственных служащих и распределение земельных участков под жилищное строительство. Между правительством и родственниками жертв </w:t>
      </w:r>
      <w:r w:rsidRPr="00A56C78">
        <w:t>было</w:t>
      </w:r>
      <w:r>
        <w:t xml:space="preserve"> подписано рамочное соглашение об урегулировании военной составляющей нерешенных гуманитарных вопросов, которое в 2009 году было реализовано комиссией по урегулированию нерешенных гуманитарных вопросов. </w:t>
      </w:r>
      <w:r w:rsidR="00797BA6">
        <w:br/>
      </w:r>
      <w:r>
        <w:t>В соглашении были закреплены основные принципы правосудия переходного периода: поддержание памяти, нахождение истины и возмещение ущерба.</w:t>
      </w:r>
    </w:p>
    <w:p w14:paraId="622F4FD9" w14:textId="77777777" w:rsidR="00A56C78" w:rsidRPr="00A553D3" w:rsidRDefault="00A56C78" w:rsidP="00A56C78">
      <w:pPr>
        <w:pStyle w:val="H23G"/>
        <w:rPr>
          <w:rFonts w:eastAsiaTheme="minorEastAsia"/>
        </w:rPr>
      </w:pPr>
      <w:r>
        <w:tab/>
      </w:r>
      <w:r>
        <w:tab/>
      </w:r>
      <w:r>
        <w:rPr>
          <w:bCs/>
        </w:rPr>
        <w:t>Резюме информации, полученной от заинтересованных сторон</w:t>
      </w:r>
    </w:p>
    <w:p w14:paraId="4C171A5D" w14:textId="77777777" w:rsidR="00A56C78" w:rsidRPr="00A553D3" w:rsidRDefault="00A56C78" w:rsidP="00A56C78">
      <w:pPr>
        <w:pStyle w:val="H4G"/>
        <w:rPr>
          <w:rFonts w:eastAsiaTheme="minorEastAsia"/>
        </w:rPr>
      </w:pPr>
      <w:bookmarkStart w:id="2" w:name="_Hlk143504873"/>
      <w:r>
        <w:tab/>
      </w:r>
      <w:r>
        <w:tab/>
      </w:r>
      <w:r>
        <w:rPr>
          <w:iCs/>
        </w:rPr>
        <w:t>Представление НПО № 1</w:t>
      </w:r>
    </w:p>
    <w:bookmarkEnd w:id="2"/>
    <w:p w14:paraId="2D5B3628" w14:textId="01E1DED0" w:rsidR="00A56C78" w:rsidRPr="00A553D3" w:rsidRDefault="00A56C78" w:rsidP="00A56C78">
      <w:pPr>
        <w:pStyle w:val="SingleTxtG"/>
      </w:pPr>
      <w:r>
        <w:tab/>
        <w:t xml:space="preserve">Не было предпринято никаких шагов по отмене Закона об амнистии </w:t>
      </w:r>
      <w:r w:rsidR="00797BA6">
        <w:br/>
      </w:r>
      <w:r>
        <w:t>(Закон № 93–23 от 14 июня 1993 г.), по проведению независимых расследований безнаказанности за совершенные в прошлом преступления и нарушения прав человека, а также по обеспечению полного возмещения ущерба всем жертвам и их бенефициарам. Принятые меры имели множество недостатков, включая отсутствие правовой базы, недостаток прозрачности и независимости от правительства, произвольную и недостаточную реинтеграцию бывших государственных служащих и непредоставление семьям жертв доступа к установленным местам захоронения. Беженцы, вернувшиеся из Сенегала в период с 1992 по 2000 год, а также те, кто вернулся в рамках трехстороннего соглашения в период с 2008 по 2012 год, столкнулись с рядом проблем, в том числе в отношении возвращения сельскохозяйственных земель, обычных земельных прав и оформления документов о гражданском состоянии. По оценкам, 14 000 беженцев в Сенегале и 10 000 в Мали не смогли зарегистрироваться в рамках трехстороннего соглашения.</w:t>
      </w:r>
    </w:p>
    <w:p w14:paraId="1F39643D" w14:textId="434E0E84" w:rsidR="00A56C78" w:rsidRPr="00A553D3" w:rsidRDefault="00A56C78" w:rsidP="00A56C78">
      <w:pPr>
        <w:pStyle w:val="H4G"/>
        <w:rPr>
          <w:rFonts w:eastAsiaTheme="minorEastAsia"/>
        </w:rPr>
      </w:pPr>
      <w:r>
        <w:tab/>
      </w:r>
      <w:r>
        <w:tab/>
      </w:r>
      <w:r>
        <w:rPr>
          <w:iCs/>
        </w:rPr>
        <w:t>Представление НПО №</w:t>
      </w:r>
      <w:r w:rsidR="008B08C7">
        <w:rPr>
          <w:iCs/>
        </w:rPr>
        <w:t xml:space="preserve"> </w:t>
      </w:r>
      <w:r>
        <w:rPr>
          <w:iCs/>
        </w:rPr>
        <w:t>2</w:t>
      </w:r>
    </w:p>
    <w:p w14:paraId="77C74B7A" w14:textId="545D8BF5" w:rsidR="00A56C78" w:rsidRPr="00A553D3" w:rsidRDefault="00A56C78" w:rsidP="00A56C78">
      <w:pPr>
        <w:pStyle w:val="SingleTxtG"/>
      </w:pPr>
      <w:r>
        <w:tab/>
        <w:t>Чернокожие мавританцы продолжают испытывать структурную дискриминацию, о чем свидетельствуют правительственные ограничения на деятельность ассоциаций жертв. В ноябре 2020 года в Нуакшоте и Бабабе прошли акции протеста родственников лиц, погибших во время событий 1989–1991 годов, которые призвали правительство отменить Закон об амнистии. Власти арестовали более 40 человек и вскоре отпустили их. Чернокожие мавританцы до сих пор не могут вернуть себе право собственности на землю, которую местные власти отобрали у них в 1980-х годах и перераспределили в пользу бейданов.</w:t>
      </w:r>
    </w:p>
    <w:p w14:paraId="33A786ED" w14:textId="77777777" w:rsidR="00A56C78" w:rsidRPr="00A553D3" w:rsidRDefault="00A56C78" w:rsidP="00A56C78">
      <w:pPr>
        <w:pStyle w:val="H23G"/>
        <w:rPr>
          <w:rFonts w:eastAsiaTheme="minorEastAsia"/>
        </w:rPr>
      </w:pPr>
      <w:r>
        <w:tab/>
      </w:r>
      <w:r>
        <w:tab/>
      </w:r>
      <w:r>
        <w:rPr>
          <w:bCs/>
        </w:rPr>
        <w:t>Оценка Комитета</w:t>
      </w:r>
    </w:p>
    <w:p w14:paraId="3CEFF276" w14:textId="77777777" w:rsidR="00A56C78" w:rsidRPr="00A553D3" w:rsidRDefault="00A56C78" w:rsidP="00A56C78">
      <w:pPr>
        <w:pStyle w:val="SingleTxtG"/>
      </w:pPr>
      <w:r>
        <w:t>[C]</w:t>
      </w:r>
    </w:p>
    <w:p w14:paraId="5C3573D4" w14:textId="7E037427" w:rsidR="00A56C78" w:rsidRPr="00A553D3" w:rsidRDefault="00A56C78" w:rsidP="00A56C78">
      <w:pPr>
        <w:pStyle w:val="SingleTxtG"/>
      </w:pPr>
      <w:r>
        <w:tab/>
        <w:t>Комитет сожалеет, что после принятия заключительных замечаний не было принято никаких новых мер по выполнению рекомендации Комитета. Комитет выражает особое сожаление в связи с отсутствием мер по отмене Закона № 93</w:t>
      </w:r>
      <w:r w:rsidR="00797BA6" w:rsidRPr="00797BA6">
        <w:t>–</w:t>
      </w:r>
      <w:r>
        <w:t>23 с целью установления фактов преступлений, привлечения к ответственности и соответствующего наказания виновных, а также предоставления полной компенсации всем жертвам и их бенефициарам. Комитет повторяет свою рекомендацию и просит представить дополнительную информацию о мерах, принятых для обеспечения эффективной и справедливой реинтеграции беженцев, в частности в том, что касается предоставления документов о гражданском состоянии и реституции сельскохозяйственных земель.</w:t>
      </w:r>
    </w:p>
    <w:p w14:paraId="09A9797D" w14:textId="77777777" w:rsidR="00A56C78" w:rsidRPr="00A553D3" w:rsidRDefault="00A56C78" w:rsidP="00A56C78">
      <w:pPr>
        <w:pStyle w:val="H1G"/>
        <w:pageBreakBefore/>
      </w:pPr>
      <w:r>
        <w:lastRenderedPageBreak/>
        <w:tab/>
      </w:r>
      <w:r>
        <w:tab/>
      </w:r>
      <w:r>
        <w:rPr>
          <w:bCs/>
        </w:rPr>
        <w:t>Пункт 21: насилие в отношении женщин и девочек</w:t>
      </w:r>
    </w:p>
    <w:p w14:paraId="45A67259" w14:textId="5C09A756" w:rsidR="00A56C78" w:rsidRPr="00A553D3" w:rsidRDefault="00A56C78" w:rsidP="00A56C78">
      <w:pPr>
        <w:pStyle w:val="SingleTxtG"/>
        <w:rPr>
          <w:b/>
          <w:bCs/>
        </w:rPr>
      </w:pPr>
      <w:r>
        <w:rPr>
          <w:b/>
          <w:bCs/>
        </w:rPr>
        <w:tab/>
        <w:t>Государству-участнику следует:</w:t>
      </w:r>
    </w:p>
    <w:p w14:paraId="1D7D942E" w14:textId="05A1B814" w:rsidR="00A56C78" w:rsidRPr="00A56C78" w:rsidRDefault="00A56C78" w:rsidP="00A56C78">
      <w:pPr>
        <w:pStyle w:val="SingleTxtG"/>
        <w:rPr>
          <w:b/>
          <w:bCs/>
        </w:rPr>
      </w:pPr>
      <w:r>
        <w:tab/>
      </w:r>
      <w:r w:rsidRPr="00A56C78">
        <w:rPr>
          <w:b/>
          <w:bCs/>
        </w:rPr>
        <w:t>a)</w:t>
      </w:r>
      <w:r w:rsidRPr="00A56C78">
        <w:rPr>
          <w:b/>
          <w:bCs/>
        </w:rPr>
        <w:tab/>
        <w:t>внести в законодательство поправки, запрещающие практику калечащих операций на женских половых органах в отношении всех женщин и девочек;</w:t>
      </w:r>
    </w:p>
    <w:p w14:paraId="75AA6600" w14:textId="281F8114" w:rsidR="00A56C78" w:rsidRPr="00A56C78" w:rsidRDefault="00A56C78" w:rsidP="00A56C78">
      <w:pPr>
        <w:pStyle w:val="SingleTxtG"/>
        <w:rPr>
          <w:b/>
          <w:bCs/>
        </w:rPr>
      </w:pPr>
      <w:r w:rsidRPr="00A56C78">
        <w:rPr>
          <w:b/>
          <w:bCs/>
        </w:rPr>
        <w:tab/>
        <w:t>b)</w:t>
      </w:r>
      <w:r w:rsidRPr="00A56C78">
        <w:rPr>
          <w:b/>
          <w:bCs/>
        </w:rPr>
        <w:tab/>
        <w:t>обеспечить оперативное расследование и судебное преследование всех случаев калечащих операций на женских половых органах, соответствующее наказание виновных и соучастников, а также доступ жертв к социальным и медицинским услугам;</w:t>
      </w:r>
    </w:p>
    <w:p w14:paraId="2517FE2B" w14:textId="5BA79D60" w:rsidR="00A56C78" w:rsidRPr="00A56C78" w:rsidRDefault="00A56C78" w:rsidP="00A56C78">
      <w:pPr>
        <w:pStyle w:val="SingleTxtG"/>
        <w:rPr>
          <w:b/>
          <w:bCs/>
        </w:rPr>
      </w:pPr>
      <w:r w:rsidRPr="00A56C78">
        <w:rPr>
          <w:b/>
          <w:bCs/>
        </w:rPr>
        <w:tab/>
        <w:t>c)</w:t>
      </w:r>
      <w:r w:rsidRPr="00A56C78">
        <w:rPr>
          <w:b/>
          <w:bCs/>
        </w:rPr>
        <w:tab/>
        <w:t>усилить информационно-просветительские и образовательные программы с целью искоренения этой практики;</w:t>
      </w:r>
    </w:p>
    <w:p w14:paraId="247E8E51" w14:textId="484D6628" w:rsidR="00A56C78" w:rsidRPr="00A553D3" w:rsidRDefault="00A56C78" w:rsidP="00A56C78">
      <w:pPr>
        <w:pStyle w:val="SingleTxtG"/>
        <w:rPr>
          <w:b/>
          <w:bCs/>
        </w:rPr>
      </w:pPr>
      <w:r w:rsidRPr="00A56C78">
        <w:rPr>
          <w:b/>
          <w:bCs/>
        </w:rPr>
        <w:tab/>
        <w:t>d)</w:t>
      </w:r>
      <w:r w:rsidRPr="00A56C78">
        <w:rPr>
          <w:b/>
          <w:bCs/>
        </w:rPr>
        <w:tab/>
      </w:r>
      <w:r>
        <w:rPr>
          <w:b/>
          <w:bCs/>
        </w:rPr>
        <w:t>внести изменения в Кодекс о личном статусе, запрещающие во всех без исключения случаях вступление в брак до 18 лет, и принять все необходимые меры для ликвидации детских браков.</w:t>
      </w:r>
      <w:r>
        <w:t xml:space="preserve"> </w:t>
      </w:r>
    </w:p>
    <w:p w14:paraId="262672F9" w14:textId="77777777" w:rsidR="00A56C78" w:rsidRPr="00A553D3" w:rsidRDefault="00A56C78" w:rsidP="00A56C78">
      <w:pPr>
        <w:pStyle w:val="H23G"/>
        <w:rPr>
          <w:rFonts w:eastAsiaTheme="minorEastAsia"/>
        </w:rPr>
      </w:pPr>
      <w:r>
        <w:tab/>
      </w:r>
      <w:r>
        <w:tab/>
      </w:r>
      <w:r>
        <w:rPr>
          <w:bCs/>
        </w:rPr>
        <w:t>Резюме информации, полученной от государства-участника</w:t>
      </w:r>
      <w:bookmarkStart w:id="3" w:name="_Hlk124687106"/>
    </w:p>
    <w:p w14:paraId="2C15811E" w14:textId="2CC8DD27" w:rsidR="00A56C78" w:rsidRPr="00A553D3" w:rsidRDefault="00A56C78" w:rsidP="00A56C78">
      <w:pPr>
        <w:pStyle w:val="SingleTxtG"/>
      </w:pPr>
      <w:r>
        <w:tab/>
        <w:t>Широкую огласку среди медицинского персонала получил Закон № 2017</w:t>
      </w:r>
      <w:r w:rsidR="00797BA6" w:rsidRPr="00797BA6">
        <w:t>–</w:t>
      </w:r>
      <w:r>
        <w:t>025 «О репродуктивном здоровье», согласно которому калечащие операции на женских половых органах являются уголовным преступлением. Калечащие операции на женских половых органах также перечислены в статье 79 Закона № 2018</w:t>
      </w:r>
      <w:r w:rsidR="00797BA6" w:rsidRPr="00797BA6">
        <w:t>–</w:t>
      </w:r>
      <w:r>
        <w:t>024 «Кодекс законов о защите детей», согласно которой жестокое, бесчеловечное или унижающее достоинство обращение включает наносящее вред иссечение и все другие подобные практики, применяемые к девочкам, а также негативные обычаи, культурные и социальные практики, наносящие вред физической неприкосновенности, здоровью или достоинству ребенка. Кроме того, статья 12 Кодекса «О судебной защите детей» предусматривает уголовную ответственность и наказание за любое повреждение половых органов девочки путем инфибуляции, десенсибилизации или любым другим способом, приводящим к причинению вреда ребенку. Наказание ужесточается, если преступник принадлежит к медицинской или парамедицинской профессии. Законопроект «О противодействии насилию в отношении женщин и девочек», одобренный Советом Министров, определит в качестве наказуемых калечащие операции на женских половых органах и все другие практики, наносящие вред здоровью женщин и девочек.</w:t>
      </w:r>
    </w:p>
    <w:p w14:paraId="50071A63" w14:textId="41B8A66A" w:rsidR="00A56C78" w:rsidRPr="00A553D3" w:rsidRDefault="00A56C78" w:rsidP="00A56C78">
      <w:pPr>
        <w:pStyle w:val="SingleTxtG"/>
      </w:pPr>
      <w:r>
        <w:tab/>
        <w:t>В целях борьбы с насилием в отношении женщин, в частности с калечащими операциями на женских половых органах, правительство создало обширную институциональную базу, приняло специальную национальную стратегию и план действий по борьбе с калечащими операциями на женских половых органах, а также внедрило типовой регламент для более эффективного реагирования и оказания комплексной помощи жертвам гендерного насилия. Национальная программа репродуктивного здоровья включает в себя компонент по лечению свищей и интеграции женщин со свищами в общество с помощью деятельности, приносящей доход, и материальной помощи. В рамках реализации национальной стратегии по борьбе с калечащими операциями на женских половых органах был проведен ряд информационно-просветительских и обучающих мероприятий, в результате которых сотни общин в регионах, где калечащие операции на женских половых органах широко распространены, взяли на себя обязательство покончить с этой практикой. Также были проведены информационно-просветительские кампании по проблеме детских браков.</w:t>
      </w:r>
    </w:p>
    <w:p w14:paraId="3B8C3489" w14:textId="77777777" w:rsidR="00A56C78" w:rsidRPr="00A553D3" w:rsidRDefault="00A56C78" w:rsidP="00A56C78">
      <w:pPr>
        <w:pStyle w:val="H23G"/>
        <w:rPr>
          <w:rFonts w:eastAsiaTheme="minorEastAsia"/>
        </w:rPr>
      </w:pPr>
      <w:r>
        <w:tab/>
      </w:r>
      <w:r>
        <w:tab/>
      </w:r>
      <w:r>
        <w:rPr>
          <w:bCs/>
        </w:rPr>
        <w:t>Резюме информации, полученной от заинтересованных сторон</w:t>
      </w:r>
    </w:p>
    <w:bookmarkEnd w:id="3"/>
    <w:p w14:paraId="0CC84D2E" w14:textId="77777777" w:rsidR="00A56C78" w:rsidRPr="00A553D3" w:rsidRDefault="00A56C78" w:rsidP="00A56C78">
      <w:pPr>
        <w:pStyle w:val="H4G"/>
        <w:rPr>
          <w:rFonts w:eastAsiaTheme="minorEastAsia"/>
        </w:rPr>
      </w:pPr>
      <w:r>
        <w:tab/>
      </w:r>
      <w:r>
        <w:tab/>
      </w:r>
      <w:r>
        <w:rPr>
          <w:iCs/>
        </w:rPr>
        <w:t>Представления НПО № 1 и № 2</w:t>
      </w:r>
    </w:p>
    <w:p w14:paraId="7B459647" w14:textId="1F48BB1D" w:rsidR="00A56C78" w:rsidRPr="00A553D3" w:rsidRDefault="00A56C78" w:rsidP="00A56C78">
      <w:pPr>
        <w:pStyle w:val="SingleTxtG"/>
      </w:pPr>
      <w:r>
        <w:tab/>
        <w:t xml:space="preserve">В представлении НПО № 1 подчеркиваются недостатки в применении существующего законодательства по борьбе с калечащими операциями на женских половых органах и отмечается, что в последнее время не было зарегистрировано ни </w:t>
      </w:r>
      <w:r>
        <w:lastRenderedPageBreak/>
        <w:t xml:space="preserve">одного случая судебного преследования в этой области. В представлении НПО № 2 подчеркивается отсутствие политической воли, отмечается, что законопроект </w:t>
      </w:r>
      <w:r w:rsidR="000A4B90">
        <w:br/>
      </w:r>
      <w:r>
        <w:t xml:space="preserve">«О противодействии насилию в отношении женщин и девочек», предусматривающий уголовную ответственность за эту практику во всех случаях, так и не был принят несмотря на то, что находится в разработке с 2012 года. В обоих представлениях НПО отмечается, что калечащие операции на женских половых органах по-прежнему широко практикуются, и подчеркивается недостаточность информационно-просветительских кампаний. В представлении НПО № 2 указано, что в </w:t>
      </w:r>
      <w:r w:rsidR="000A4B90">
        <w:br/>
      </w:r>
      <w:r>
        <w:t xml:space="preserve">2019–2021 годах </w:t>
      </w:r>
      <w:r w:rsidRPr="006D3668">
        <w:t xml:space="preserve">из-за халатности властей </w:t>
      </w:r>
      <w:r>
        <w:t>количество случаев увеличилось.</w:t>
      </w:r>
    </w:p>
    <w:p w14:paraId="37A32751" w14:textId="7E6550BA" w:rsidR="00A56C78" w:rsidRPr="00A553D3" w:rsidRDefault="00A56C78" w:rsidP="00A56C78">
      <w:pPr>
        <w:pStyle w:val="SingleTxtG"/>
      </w:pPr>
      <w:r>
        <w:tab/>
        <w:t xml:space="preserve">В обоих представлениях НПО указывается, что государство-участник не внесло поправки в Кодекс о личном статусе, запрещающие вступление в брак до 18 лет во всех без исключения случаях. В представлении НПО № 2 указано, что попытки обновить текст Кодекса о личном статусе не увенчались успехом, несмотря на два законопроекта, поддержанных правительством. В нем также подчеркивается тот факт, что детские браки по-прежнему широко практикуются, что в интересах сохранения семейной чести преобладает безнаказанность, а давление со стороны традиционных сил и религиозных экстремистов способствует распространенности этой практики. </w:t>
      </w:r>
    </w:p>
    <w:p w14:paraId="09281C48" w14:textId="77777777" w:rsidR="00A56C78" w:rsidRPr="00A553D3" w:rsidRDefault="00A56C78" w:rsidP="00A56C78">
      <w:pPr>
        <w:pStyle w:val="H23G"/>
        <w:spacing w:line="240" w:lineRule="atLeast"/>
      </w:pPr>
      <w:r>
        <w:tab/>
      </w:r>
      <w:r>
        <w:tab/>
      </w:r>
      <w:r>
        <w:rPr>
          <w:bCs/>
        </w:rPr>
        <w:t>Оценка Комитета</w:t>
      </w:r>
    </w:p>
    <w:p w14:paraId="62D19F11" w14:textId="77777777" w:rsidR="00A56C78" w:rsidRPr="00A553D3" w:rsidRDefault="00A56C78" w:rsidP="00A56C78">
      <w:pPr>
        <w:pStyle w:val="SingleTxtG"/>
      </w:pPr>
      <w:r>
        <w:t>[В]: a) и c)</w:t>
      </w:r>
    </w:p>
    <w:p w14:paraId="1ED02FC3" w14:textId="6F401ABB" w:rsidR="00A56C78" w:rsidRPr="00A553D3" w:rsidRDefault="00A56C78" w:rsidP="00A56C78">
      <w:pPr>
        <w:pStyle w:val="SingleTxtG"/>
      </w:pPr>
      <w:r>
        <w:tab/>
        <w:t xml:space="preserve">Комитет приветствует принятие Советом Министров 6 мая 2020 года законопроекта </w:t>
      </w:r>
      <w:r w:rsidR="000A4B90">
        <w:t>«</w:t>
      </w:r>
      <w:r>
        <w:t>О противодействии насилию в отношении женщин и девочек</w:t>
      </w:r>
      <w:r w:rsidR="000A4B90">
        <w:t>»</w:t>
      </w:r>
      <w:r>
        <w:t xml:space="preserve">, согласно которому калечащие операции на женских половых органах будут караться по закону во всех случаях. Тем не менее Комитет обеспокоен тем, что законопроект до сих пор не принят Национальным собранием, что подтверждается сообщениями о том, что Национальное собрание отклонило два предыдущих проекта из-за их </w:t>
      </w:r>
      <w:r w:rsidR="000A4B90">
        <w:t>«</w:t>
      </w:r>
      <w:r>
        <w:t>несоответствия исламу</w:t>
      </w:r>
      <w:r w:rsidR="000A4B90">
        <w:t>»</w:t>
      </w:r>
      <w:r>
        <w:t>. Комитет просит представить дополнительную информацию по этому вопросу.</w:t>
      </w:r>
    </w:p>
    <w:p w14:paraId="33C5047D" w14:textId="4146ACDF" w:rsidR="00A56C78" w:rsidRPr="00A553D3" w:rsidRDefault="00A56C78" w:rsidP="00A56C78">
      <w:pPr>
        <w:pStyle w:val="SingleTxtG"/>
      </w:pPr>
      <w:r>
        <w:tab/>
        <w:t>Отмечая меры, принятые для просвещения и повышения осведомленности о проблеме калечащих операций на женских половых органах, Комитет сожалеет, что общий характер представленной информации не позволяет должным образом оценить выполнение рекомендации. Он просит предоставить информацию о принятых мерах с указанием конкретных дат и количественных показателей.</w:t>
      </w:r>
    </w:p>
    <w:p w14:paraId="2849EF2D" w14:textId="77777777" w:rsidR="00A56C78" w:rsidRPr="00A553D3" w:rsidRDefault="00A56C78" w:rsidP="00A56C78">
      <w:pPr>
        <w:pStyle w:val="SingleTxtG"/>
      </w:pPr>
      <w:r>
        <w:t>[С]: b) и d)</w:t>
      </w:r>
    </w:p>
    <w:p w14:paraId="37695AEE" w14:textId="4F62B10A" w:rsidR="00A56C78" w:rsidRPr="00A553D3" w:rsidRDefault="00A56C78" w:rsidP="00A56C78">
      <w:pPr>
        <w:pStyle w:val="SingleTxtG"/>
      </w:pPr>
      <w:r>
        <w:tab/>
        <w:t xml:space="preserve">Комитет сожалеет об отсутствии информации о расследованиях и привлечении виновных к уголовной ответственности и повторяет свою рекомендацию в этом отношении. Принимая к сведению представленную информацию о медицинских и социальных услугах, предоставляемых жертвам, Комитет выражает сожаление в связи с тем, что общий характер представленной информации не позволяет должным образом оценить выполнение этой части рекомендации, и поэтому также повторяет свою рекомендацию в этом отношении. </w:t>
      </w:r>
    </w:p>
    <w:p w14:paraId="5FD21E2C" w14:textId="182EB828" w:rsidR="00A56C78" w:rsidRPr="00A553D3" w:rsidRDefault="00A56C78" w:rsidP="00A56C78">
      <w:pPr>
        <w:pStyle w:val="SingleTxtG"/>
      </w:pPr>
      <w:r>
        <w:tab/>
        <w:t>Принимая к сведению информацию государства-участника о проведении информационно-просветительских кампаний по борьбе с детскими браками, Комитет сожалеет, что представленная информация носит слишком общий характер, чтобы можно было должным образом оценить выполнение данной рекомендации. Комитет принимает к сведению сообщения о том, что детские браки по-прежнему широко практикуются и что поддерживаемые правительством законопроекты, направленные на внесение поправок в Кодекс о личном статусе с целью запретить все без исключения браки в возрасте до 18 лет, не увенчались успехом. Комитет повторяет свою рекомендацию и просит предоставить дополнительную и конкретную информацию о мерах, принимаемых для борьбы с детскими браками.</w:t>
      </w:r>
    </w:p>
    <w:p w14:paraId="1ADC634A" w14:textId="77777777" w:rsidR="00A56C78" w:rsidRPr="00A553D3" w:rsidRDefault="00A56C78" w:rsidP="00A56C78">
      <w:pPr>
        <w:pStyle w:val="H1G"/>
        <w:pageBreakBefore/>
      </w:pPr>
      <w:r>
        <w:lastRenderedPageBreak/>
        <w:tab/>
      </w:r>
      <w:r>
        <w:tab/>
      </w:r>
      <w:r>
        <w:rPr>
          <w:bCs/>
        </w:rPr>
        <w:t>Пункт 43: свобода слова и защита правозащитников</w:t>
      </w:r>
    </w:p>
    <w:p w14:paraId="13D9D78A" w14:textId="535BA31B" w:rsidR="00A56C78" w:rsidRPr="00A553D3" w:rsidRDefault="00A56C78" w:rsidP="00A56C78">
      <w:pPr>
        <w:pStyle w:val="SingleTxtG"/>
        <w:rPr>
          <w:b/>
          <w:bCs/>
        </w:rPr>
      </w:pPr>
      <w:r>
        <w:rPr>
          <w:b/>
          <w:bCs/>
        </w:rPr>
        <w:tab/>
        <w:t>Государству-участнику следует:</w:t>
      </w:r>
    </w:p>
    <w:p w14:paraId="272E91D1" w14:textId="2D0FB3F1" w:rsidR="00A56C78" w:rsidRPr="00A56C78" w:rsidRDefault="00A56C78" w:rsidP="00A56C78">
      <w:pPr>
        <w:pStyle w:val="SingleTxtG"/>
        <w:rPr>
          <w:b/>
          <w:bCs/>
        </w:rPr>
      </w:pPr>
      <w:r>
        <w:tab/>
      </w:r>
      <w:r w:rsidRPr="00A56C78">
        <w:rPr>
          <w:b/>
          <w:bCs/>
        </w:rPr>
        <w:t>a)</w:t>
      </w:r>
      <w:r w:rsidRPr="00A56C78">
        <w:rPr>
          <w:b/>
          <w:bCs/>
        </w:rPr>
        <w:tab/>
        <w:t>внести изменения в вышеупомянутые законы [Закон о криминализации дискриминации, Закон о киберпреступности, Закон о борьбе с терроризмом и Закон о свободе печати] с целью приведения их в соответствие со статьями 18 и 19 Пакта;</w:t>
      </w:r>
    </w:p>
    <w:p w14:paraId="409CB9BF" w14:textId="198E76AA" w:rsidR="00A56C78" w:rsidRPr="00A56C78" w:rsidRDefault="00A56C78" w:rsidP="00A56C78">
      <w:pPr>
        <w:pStyle w:val="SingleTxtG"/>
        <w:rPr>
          <w:b/>
          <w:bCs/>
        </w:rPr>
      </w:pPr>
      <w:r w:rsidRPr="00A56C78">
        <w:rPr>
          <w:b/>
          <w:bCs/>
        </w:rPr>
        <w:tab/>
        <w:t>b)</w:t>
      </w:r>
      <w:r w:rsidRPr="00A56C78">
        <w:rPr>
          <w:b/>
          <w:bCs/>
        </w:rPr>
        <w:tab/>
        <w:t>воздерживаться от запугивания, притеснения, задержания, заключения под стражу и привлечения к ответственности правозащитников, осуществляющих свое право на свободное выражение мнений, за не имеющие четкой квалификации правонарушения</w:t>
      </w:r>
      <w:r w:rsidR="000A4B90">
        <w:rPr>
          <w:b/>
          <w:bCs/>
        </w:rPr>
        <w:t>;</w:t>
      </w:r>
    </w:p>
    <w:p w14:paraId="578E9E6A" w14:textId="4597192C" w:rsidR="00A56C78" w:rsidRPr="00A56C78" w:rsidRDefault="00A56C78" w:rsidP="00A56C78">
      <w:pPr>
        <w:pStyle w:val="SingleTxtG"/>
        <w:rPr>
          <w:b/>
          <w:bCs/>
        </w:rPr>
      </w:pPr>
      <w:r w:rsidRPr="00A56C78">
        <w:rPr>
          <w:b/>
          <w:bCs/>
        </w:rPr>
        <w:tab/>
        <w:t>c)</w:t>
      </w:r>
      <w:r w:rsidRPr="00A56C78">
        <w:rPr>
          <w:b/>
          <w:bCs/>
        </w:rPr>
        <w:tab/>
        <w:t>безоговорочно освободить всех правозащитников, подвергающихся произвольному задержанию;</w:t>
      </w:r>
    </w:p>
    <w:p w14:paraId="15603408" w14:textId="50AD91C3" w:rsidR="00A56C78" w:rsidRPr="00A553D3" w:rsidRDefault="00A56C78" w:rsidP="00A56C78">
      <w:pPr>
        <w:pStyle w:val="SingleTxtG"/>
        <w:rPr>
          <w:rFonts w:eastAsiaTheme="minorEastAsia"/>
          <w:b/>
          <w:bCs/>
        </w:rPr>
      </w:pPr>
      <w:r w:rsidRPr="00A56C78">
        <w:rPr>
          <w:b/>
          <w:bCs/>
        </w:rPr>
        <w:tab/>
        <w:t>d)</w:t>
      </w:r>
      <w:r w:rsidRPr="00A56C78">
        <w:rPr>
          <w:b/>
          <w:bCs/>
        </w:rPr>
        <w:tab/>
        <w:t>обеспечить скорейшее проведение тщательного и беспристрастного расследования</w:t>
      </w:r>
      <w:r>
        <w:rPr>
          <w:b/>
          <w:bCs/>
        </w:rPr>
        <w:t xml:space="preserve"> всех нарушений прав человека, совершенных в отношении правозащитников, привлечение виновных к ответственности и вынесение им наказаний, соразмерных тяжести совершенных ими деяний, а также возмещение ущерба пострадавшим.</w:t>
      </w:r>
    </w:p>
    <w:p w14:paraId="26B8E37C" w14:textId="77777777" w:rsidR="00A56C78" w:rsidRPr="00A553D3" w:rsidRDefault="00A56C78" w:rsidP="00A56C78">
      <w:pPr>
        <w:pStyle w:val="H23G"/>
        <w:rPr>
          <w:rFonts w:eastAsiaTheme="minorEastAsia"/>
        </w:rPr>
      </w:pPr>
      <w:r>
        <w:tab/>
      </w:r>
      <w:r>
        <w:tab/>
      </w:r>
      <w:r>
        <w:rPr>
          <w:bCs/>
        </w:rPr>
        <w:t>Резюме информации, полученной от государства-участника</w:t>
      </w:r>
    </w:p>
    <w:p w14:paraId="1DFBD7F4" w14:textId="2DBDCB72" w:rsidR="00A56C78" w:rsidRPr="00A553D3" w:rsidRDefault="00A56C78" w:rsidP="00A56C78">
      <w:pPr>
        <w:pStyle w:val="SingleTxtG"/>
      </w:pPr>
      <w:r>
        <w:tab/>
        <w:t>a)</w:t>
      </w:r>
      <w:r>
        <w:tab/>
        <w:t>Законы о дискриминации, киберпреступности, борьбе с терроризмом и свободе прессы являются неотъемлемой частью действующего национального законодательства. Они находятся в соответствии с Конституцией. Тем не менее правительство приступило к проведению продолжающегося в настоящее время исследования по приведению национального законодательства в соответствие с ратифицированными Мавританией международными документами по правам человека. В нем будут выделены области, в которых можно улучшить соблюдение требований, а также составлена «дорожная карта» по гармонизации для всех государственных ведомств, инициирующих принятие законов.</w:t>
      </w:r>
    </w:p>
    <w:p w14:paraId="61985F31" w14:textId="6A2D9361" w:rsidR="00A56C78" w:rsidRPr="00A553D3" w:rsidRDefault="00A56C78" w:rsidP="00A56C78">
      <w:pPr>
        <w:pStyle w:val="SingleTxtG"/>
      </w:pPr>
      <w:r>
        <w:tab/>
        <w:t>b)</w:t>
      </w:r>
      <w:r>
        <w:tab/>
        <w:t>Правозащитные объединения, как и все другие объединения, в настоящее время регулируются недавно принятым Законом № 2021</w:t>
      </w:r>
      <w:r w:rsidR="000A4B90">
        <w:t>–</w:t>
      </w:r>
      <w:r>
        <w:t xml:space="preserve">004 «Об объединениях, фондах и сетях». Правозащитники и члены признанных организаций защищены законом и осуществляют свою деятельность свободно, без ограничений или запугивания. </w:t>
      </w:r>
    </w:p>
    <w:p w14:paraId="2D88B371" w14:textId="60547353" w:rsidR="00A56C78" w:rsidRPr="00A553D3" w:rsidRDefault="00A56C78" w:rsidP="00A56C78">
      <w:pPr>
        <w:pStyle w:val="SingleTxtG"/>
      </w:pPr>
      <w:r>
        <w:tab/>
        <w:t>c)</w:t>
      </w:r>
      <w:r>
        <w:tab/>
        <w:t>В настоящее время ни один правозащитник не лишен свободы и не находится в произвольном заключении. Мохамед Шейх Ульд Мхаитир был окончательно освобожден.</w:t>
      </w:r>
    </w:p>
    <w:p w14:paraId="7058CB51" w14:textId="22D919D6" w:rsidR="00A56C78" w:rsidRPr="00A553D3" w:rsidRDefault="00A56C78" w:rsidP="00A56C78">
      <w:pPr>
        <w:pStyle w:val="SingleTxtG"/>
      </w:pPr>
      <w:r>
        <w:tab/>
        <w:t>d)</w:t>
      </w:r>
      <w:r>
        <w:tab/>
        <w:t>Информация представлена не была.</w:t>
      </w:r>
    </w:p>
    <w:p w14:paraId="197CD764" w14:textId="77777777" w:rsidR="00A56C78" w:rsidRPr="00A553D3" w:rsidRDefault="00A56C78" w:rsidP="00A56C78">
      <w:pPr>
        <w:pStyle w:val="H23G"/>
      </w:pPr>
      <w:r>
        <w:tab/>
      </w:r>
      <w:r>
        <w:tab/>
      </w:r>
      <w:r>
        <w:rPr>
          <w:bCs/>
        </w:rPr>
        <w:t>Резюме информации, полученной от заинтересованных сторон</w:t>
      </w:r>
    </w:p>
    <w:p w14:paraId="655FDFA2" w14:textId="77777777" w:rsidR="00A56C78" w:rsidRPr="00A553D3" w:rsidRDefault="00A56C78" w:rsidP="00A56C78">
      <w:pPr>
        <w:pStyle w:val="H4G"/>
        <w:rPr>
          <w:b/>
        </w:rPr>
      </w:pPr>
      <w:r>
        <w:tab/>
      </w:r>
      <w:r>
        <w:tab/>
      </w:r>
      <w:r>
        <w:rPr>
          <w:iCs/>
        </w:rPr>
        <w:t>Представление НПО № 1</w:t>
      </w:r>
    </w:p>
    <w:p w14:paraId="2A132E8F" w14:textId="3B2B6C11" w:rsidR="00A56C78" w:rsidRPr="00A553D3" w:rsidRDefault="00A56C78" w:rsidP="00A56C78">
      <w:pPr>
        <w:pStyle w:val="SingleTxtG"/>
      </w:pPr>
      <w:r>
        <w:tab/>
        <w:t>Хотя принятие Закона № 2021</w:t>
      </w:r>
      <w:r w:rsidR="000A4B90">
        <w:t>–</w:t>
      </w:r>
      <w:r>
        <w:t>004 «Об ассоциациях, фондах и сетях» можно только приветствовать, угроза свободе слова остается значительной, поскольку ассоциации подвергаются риску приостановления деятельности или роспуска в соответствии с широко сформулированными статьями этого закона.</w:t>
      </w:r>
    </w:p>
    <w:p w14:paraId="3CEDDC39" w14:textId="2D39F3D1" w:rsidR="00A56C78" w:rsidRPr="00A553D3" w:rsidRDefault="00A56C78" w:rsidP="00A56C78">
      <w:pPr>
        <w:pStyle w:val="SingleTxtG"/>
      </w:pPr>
      <w:r>
        <w:tab/>
        <w:t xml:space="preserve">Принятый 9 ноября 2021 года Закон «О защите государственных символов, об уголовной ответственности за посягательства на авторитет государства и честь гражданина» является разрушающим свободу. Он нарушает Конституцию и международные договоры, стороной которых является Мавритания. Он позволяет властям произвольно арестовывать правозащитников, борющихся с разного рода нарушениями, и закрепляет лишение права на свободу слова и свободу в целом. Гражданское пространство в стране опасно сокращается. Эти нарушения прав человека подтверждают обеспечение защиты действий силовых структур, которые </w:t>
      </w:r>
      <w:r>
        <w:lastRenderedPageBreak/>
        <w:t>совершенно безнаказанно применяют бесчеловечное и унижающее достоинство обращение.</w:t>
      </w:r>
    </w:p>
    <w:p w14:paraId="0C2639FF" w14:textId="77777777" w:rsidR="00A56C78" w:rsidRPr="00A553D3" w:rsidRDefault="00A56C78" w:rsidP="00A56C78">
      <w:pPr>
        <w:pStyle w:val="H4G"/>
        <w:rPr>
          <w:rFonts w:eastAsiaTheme="minorEastAsia"/>
        </w:rPr>
      </w:pPr>
      <w:r>
        <w:tab/>
      </w:r>
      <w:r>
        <w:tab/>
      </w:r>
      <w:r>
        <w:rPr>
          <w:iCs/>
        </w:rPr>
        <w:t>Представление НПО № 2</w:t>
      </w:r>
    </w:p>
    <w:p w14:paraId="318BA376" w14:textId="234B7191" w:rsidR="00A56C78" w:rsidRPr="00A553D3" w:rsidRDefault="00A56C78" w:rsidP="00A56C78">
      <w:pPr>
        <w:pStyle w:val="SingleTxtG"/>
      </w:pPr>
      <w:r>
        <w:tab/>
        <w:t>Уголовный кодекс по-прежнему криминализирует деятельность, связанную со свободой слова, а вероотступничество и богохульство караются смертной казнью. Вместо того чтобы внести поправки в слишком широкие и неточные постановления, 24 июня 2020 года Парламент принял новый закон о противодействии манипулированию информацией. Он направлен на предотвращение манипулирования информацией, публикации ложных новостей и создания фальшивых цифровых идентификаторов, особенно в период выборов и во время медицинских кризисов, и предусматривает суровые тюремные сроки и денежные штрафы. Незадолго до его принятия власти арестовали и задержали нескольких человек за выражение мнения о реакции правительства на ситуацию с коронавирусной инфекцией (COVID-19).</w:t>
      </w:r>
    </w:p>
    <w:p w14:paraId="550AA5B5" w14:textId="20509CF2" w:rsidR="00A56C78" w:rsidRPr="00A553D3" w:rsidRDefault="00A56C78" w:rsidP="00A56C78">
      <w:pPr>
        <w:pStyle w:val="SingleTxtG"/>
        <w:rPr>
          <w:b/>
        </w:rPr>
      </w:pPr>
      <w:r>
        <w:tab/>
        <w:t>Несмотря на то, что законопроект об НПО смягчает ограничения на деятельность религиозных организаций, он не соответствует международным стандартам в области свободы объединений. Несмотря на прогресс в разработке законопроекта, правительство по-прежнему преследует и произвольно арестовывает лиц, связанных с вызывающими неоднозначную реакцию ассоциациями, используя слишком широкие и неточные законы. На момент написания статьи отсутствовала информация о текущих или недавних расследованиях нарушений прав человека в отношении правозащитников.</w:t>
      </w:r>
    </w:p>
    <w:p w14:paraId="1483E14E" w14:textId="77777777" w:rsidR="00A56C78" w:rsidRPr="00A553D3" w:rsidRDefault="00A56C78" w:rsidP="00A56C78">
      <w:pPr>
        <w:pStyle w:val="H23G"/>
        <w:spacing w:line="240" w:lineRule="atLeast"/>
      </w:pPr>
      <w:r>
        <w:tab/>
      </w:r>
      <w:r>
        <w:tab/>
      </w:r>
      <w:r>
        <w:rPr>
          <w:bCs/>
        </w:rPr>
        <w:t>Оценка Комитета</w:t>
      </w:r>
    </w:p>
    <w:p w14:paraId="22672AEE" w14:textId="77777777" w:rsidR="00A56C78" w:rsidRPr="00A553D3" w:rsidRDefault="00A56C78" w:rsidP="00A56C78">
      <w:pPr>
        <w:pStyle w:val="SingleTxtG"/>
      </w:pPr>
      <w:r>
        <w:t>[C]: c) и d)</w:t>
      </w:r>
    </w:p>
    <w:p w14:paraId="6AE6ABC6" w14:textId="73894605" w:rsidR="00A56C78" w:rsidRPr="00A553D3" w:rsidRDefault="00A56C78" w:rsidP="00A56C78">
      <w:pPr>
        <w:pStyle w:val="SingleTxtG"/>
      </w:pPr>
      <w:r>
        <w:tab/>
        <w:t xml:space="preserve">Отмечая заявление государства-участника о том, что в настоящее время ни один правозащитник не лишен свободы и не подвергается произвольному </w:t>
      </w:r>
      <w:r w:rsidR="00115D81">
        <w:t>заключению</w:t>
      </w:r>
      <w:r>
        <w:t>, Комитет принимает к сведению сообщения, свидетельствующие о неоднократных произвольных арестах и задержаниях правозащитников. Он повторяет свою рекомендацию, поскольку правозащитники по-прежнему регулярно, хотя и временно, подвергаются задержаниям.</w:t>
      </w:r>
    </w:p>
    <w:p w14:paraId="2E58B76D" w14:textId="0B169630" w:rsidR="00A56C78" w:rsidRPr="00A553D3" w:rsidRDefault="00A56C78" w:rsidP="00A56C78">
      <w:pPr>
        <w:pStyle w:val="SingleTxtG"/>
      </w:pPr>
      <w:r>
        <w:tab/>
        <w:t>Комитет выражает сожаление по поводу отсутствия информации от государства-участника о расследованиях и надлежащем наказании за предполагаемые нарушения прав человека в отношении правозащитников. Комитет повторяет свою рекомендацию и просит государство-участник представить конкретную информацию по этому вопросу в своем следующем периодическом докладе.</w:t>
      </w:r>
    </w:p>
    <w:p w14:paraId="1C81AB0A" w14:textId="77777777" w:rsidR="00A56C78" w:rsidRPr="00A553D3" w:rsidRDefault="00A56C78" w:rsidP="00A56C78">
      <w:pPr>
        <w:pStyle w:val="SingleTxtG"/>
      </w:pPr>
      <w:r>
        <w:t>[E]: a) и b)</w:t>
      </w:r>
    </w:p>
    <w:p w14:paraId="358B5B53" w14:textId="7C8C66CE" w:rsidR="00A56C78" w:rsidRPr="00A553D3" w:rsidRDefault="00A56C78" w:rsidP="00A56C78">
      <w:pPr>
        <w:pStyle w:val="SingleTxtG"/>
      </w:pPr>
      <w:r>
        <w:tab/>
        <w:t xml:space="preserve">Комитет сожалеет, что государство-участник, как представляется, приняло меры, противоречащие его рекомендации, в виде недавно принятых законов, таких как </w:t>
      </w:r>
      <w:r w:rsidRPr="00582814">
        <w:t xml:space="preserve">принятый 9 ноября 2021 года </w:t>
      </w:r>
      <w:r>
        <w:t>Закон «О защите государственных символов, об уголовной ответственности за посягательства на авторитет государства и честь гражданина» и</w:t>
      </w:r>
      <w:r w:rsidRPr="00582814">
        <w:t xml:space="preserve"> принятый 24 июня 2020 года</w:t>
      </w:r>
      <w:r>
        <w:t xml:space="preserve"> Закон «О борьбе с манипулированием информацией».</w:t>
      </w:r>
    </w:p>
    <w:p w14:paraId="3E3B5DF0" w14:textId="3150F5F5" w:rsidR="00A56C78" w:rsidRPr="00A553D3" w:rsidRDefault="00A56C78" w:rsidP="00A56C78">
      <w:pPr>
        <w:pStyle w:val="SingleTxtG"/>
      </w:pPr>
      <w:r>
        <w:tab/>
        <w:t>Принимая к сведению заявление государства-участника о том, что правозащитники защищены законом и занимаются своей деятельностью свободно, без ограничений и запугиваний, Комитет обеспокоен подробными сообщениями, свидетельствующими о продолжающихся запугиваниях, произвольных арестах, задержаниях и преследованиях правозащитников за осуществление их права на свободу выражения на основании нечетких определений правонарушений. Комитет повторяет свою рекомендацию.</w:t>
      </w:r>
    </w:p>
    <w:p w14:paraId="068F916A" w14:textId="77777777" w:rsidR="00A56C78" w:rsidRPr="00A553D3" w:rsidRDefault="00A56C78" w:rsidP="00A56C78">
      <w:pPr>
        <w:pStyle w:val="SingleTxtG"/>
      </w:pPr>
      <w:r w:rsidRPr="00582814">
        <w:rPr>
          <w:b/>
          <w:bCs/>
        </w:rPr>
        <w:t>Рекомендуемые действия</w:t>
      </w:r>
      <w:r w:rsidRPr="000A4B90">
        <w:t>:</w:t>
      </w:r>
      <w:r>
        <w:t xml:space="preserve">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4CCA3F16" w14:textId="77777777" w:rsidR="00A56C78" w:rsidRPr="00A553D3" w:rsidRDefault="00A56C78" w:rsidP="00A56C78">
      <w:pPr>
        <w:pStyle w:val="SingleTxtG"/>
      </w:pPr>
      <w:r>
        <w:rPr>
          <w:b/>
          <w:bCs/>
        </w:rPr>
        <w:lastRenderedPageBreak/>
        <w:t>Сроки представления следующего периодического доклада</w:t>
      </w:r>
      <w:r>
        <w:t>: 2028 год (страновой обзор в 2029 году в соответствии с планируемым циклом обзора).</w:t>
      </w:r>
    </w:p>
    <w:p w14:paraId="20A89174" w14:textId="2DCCDDE5" w:rsidR="00A56C78" w:rsidRPr="00A56C78" w:rsidRDefault="00A56C78" w:rsidP="00A56C78">
      <w:pPr>
        <w:spacing w:before="240"/>
        <w:jc w:val="center"/>
        <w:rPr>
          <w:u w:val="single"/>
        </w:rPr>
      </w:pPr>
      <w:r>
        <w:rPr>
          <w:u w:val="single"/>
        </w:rPr>
        <w:tab/>
      </w:r>
      <w:r>
        <w:rPr>
          <w:u w:val="single"/>
        </w:rPr>
        <w:tab/>
      </w:r>
      <w:r>
        <w:rPr>
          <w:u w:val="single"/>
        </w:rPr>
        <w:tab/>
      </w:r>
    </w:p>
    <w:p w14:paraId="3078DC66" w14:textId="77777777" w:rsidR="00381C24" w:rsidRPr="00BC18B2" w:rsidRDefault="00381C24" w:rsidP="0075523D"/>
    <w:sectPr w:rsidR="00381C24" w:rsidRPr="00BC18B2" w:rsidSect="00A56C78">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2003A" w14:textId="77777777" w:rsidR="00D806D7" w:rsidRPr="00A312BC" w:rsidRDefault="00D806D7" w:rsidP="00A312BC"/>
  </w:endnote>
  <w:endnote w:type="continuationSeparator" w:id="0">
    <w:p w14:paraId="6C838846" w14:textId="77777777" w:rsidR="00D806D7" w:rsidRPr="00A312BC" w:rsidRDefault="00D806D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1230" w14:textId="65B0E5CA" w:rsidR="00A56C78" w:rsidRPr="00A56C78" w:rsidRDefault="00A56C78">
    <w:pPr>
      <w:pStyle w:val="a8"/>
    </w:pPr>
    <w:r w:rsidRPr="00A56C78">
      <w:rPr>
        <w:b/>
        <w:sz w:val="18"/>
      </w:rPr>
      <w:fldChar w:fldCharType="begin"/>
    </w:r>
    <w:r w:rsidRPr="00A56C78">
      <w:rPr>
        <w:b/>
        <w:sz w:val="18"/>
      </w:rPr>
      <w:instrText xml:space="preserve"> PAGE  \* MERGEFORMAT </w:instrText>
    </w:r>
    <w:r w:rsidRPr="00A56C78">
      <w:rPr>
        <w:b/>
        <w:sz w:val="18"/>
      </w:rPr>
      <w:fldChar w:fldCharType="separate"/>
    </w:r>
    <w:r w:rsidRPr="00A56C78">
      <w:rPr>
        <w:b/>
        <w:noProof/>
        <w:sz w:val="18"/>
      </w:rPr>
      <w:t>2</w:t>
    </w:r>
    <w:r w:rsidRPr="00A56C78">
      <w:rPr>
        <w:b/>
        <w:sz w:val="18"/>
      </w:rPr>
      <w:fldChar w:fldCharType="end"/>
    </w:r>
    <w:r>
      <w:rPr>
        <w:b/>
        <w:sz w:val="18"/>
      </w:rPr>
      <w:tab/>
    </w:r>
    <w:r>
      <w:t>GE.23-21855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D959" w14:textId="2B98CA62" w:rsidR="00A56C78" w:rsidRPr="00A56C78" w:rsidRDefault="00A56C78" w:rsidP="00A56C78">
    <w:pPr>
      <w:pStyle w:val="a8"/>
      <w:tabs>
        <w:tab w:val="clear" w:pos="9639"/>
        <w:tab w:val="right" w:pos="9638"/>
      </w:tabs>
      <w:rPr>
        <w:b/>
        <w:sz w:val="18"/>
      </w:rPr>
    </w:pPr>
    <w:r>
      <w:t>GE.23-21855</w:t>
    </w:r>
    <w:r>
      <w:tab/>
    </w:r>
    <w:r w:rsidRPr="00A56C78">
      <w:rPr>
        <w:b/>
        <w:sz w:val="18"/>
      </w:rPr>
      <w:fldChar w:fldCharType="begin"/>
    </w:r>
    <w:r w:rsidRPr="00A56C78">
      <w:rPr>
        <w:b/>
        <w:sz w:val="18"/>
      </w:rPr>
      <w:instrText xml:space="preserve"> PAGE  \* MERGEFORMAT </w:instrText>
    </w:r>
    <w:r w:rsidRPr="00A56C78">
      <w:rPr>
        <w:b/>
        <w:sz w:val="18"/>
      </w:rPr>
      <w:fldChar w:fldCharType="separate"/>
    </w:r>
    <w:r w:rsidRPr="00A56C78">
      <w:rPr>
        <w:b/>
        <w:noProof/>
        <w:sz w:val="18"/>
      </w:rPr>
      <w:t>3</w:t>
    </w:r>
    <w:r w:rsidRPr="00A56C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ABA7C" w14:textId="4D35C8FD" w:rsidR="00042B72" w:rsidRPr="00115D81" w:rsidRDefault="00A56C78" w:rsidP="00A56C7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EC144C1" wp14:editId="2086D16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23-21855  (R)</w:t>
    </w:r>
    <w:r>
      <w:rPr>
        <w:noProof/>
      </w:rPr>
      <w:drawing>
        <wp:anchor distT="0" distB="0" distL="114300" distR="114300" simplePos="0" relativeHeight="251659264" behindDoc="0" locked="0" layoutInCell="1" allowOverlap="1" wp14:anchorId="6A848503" wp14:editId="421B662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5D81">
      <w:rPr>
        <w:lang w:val="en-US"/>
      </w:rPr>
      <w:t xml:space="preserve">  271123  080124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664F7" w14:textId="77777777" w:rsidR="00D806D7" w:rsidRPr="001075E9" w:rsidRDefault="00D806D7" w:rsidP="001075E9">
      <w:pPr>
        <w:tabs>
          <w:tab w:val="right" w:pos="2155"/>
        </w:tabs>
        <w:spacing w:after="80" w:line="240" w:lineRule="auto"/>
        <w:ind w:left="680"/>
        <w:rPr>
          <w:u w:val="single"/>
        </w:rPr>
      </w:pPr>
      <w:r>
        <w:rPr>
          <w:u w:val="single"/>
        </w:rPr>
        <w:tab/>
      </w:r>
    </w:p>
  </w:footnote>
  <w:footnote w:type="continuationSeparator" w:id="0">
    <w:p w14:paraId="0D9B9791" w14:textId="77777777" w:rsidR="00D806D7" w:rsidRDefault="00D806D7" w:rsidP="00407B78">
      <w:pPr>
        <w:tabs>
          <w:tab w:val="right" w:pos="2155"/>
        </w:tabs>
        <w:spacing w:after="80"/>
        <w:ind w:left="680"/>
        <w:rPr>
          <w:u w:val="single"/>
        </w:rPr>
      </w:pPr>
      <w:r>
        <w:rPr>
          <w:u w:val="single"/>
        </w:rPr>
        <w:tab/>
      </w:r>
    </w:p>
  </w:footnote>
  <w:footnote w:id="1">
    <w:p w14:paraId="05E315F3" w14:textId="410619C7" w:rsidR="00A56C78" w:rsidRPr="00A553D3" w:rsidRDefault="00A56C78" w:rsidP="00A56C78">
      <w:pPr>
        <w:pStyle w:val="ad"/>
      </w:pPr>
      <w:r>
        <w:tab/>
      </w:r>
      <w:r w:rsidRPr="00A56C78">
        <w:rPr>
          <w:sz w:val="20"/>
        </w:rPr>
        <w:t>*</w:t>
      </w:r>
      <w:r>
        <w:tab/>
        <w:t xml:space="preserve">Принято Комитетом на его 139-й сессии (9 октября </w:t>
      </w:r>
      <w:r w:rsidR="00797BA6" w:rsidRPr="00797BA6">
        <w:t xml:space="preserve">— </w:t>
      </w:r>
      <w:r>
        <w:t>3 ноября 2023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0A46E" w14:textId="22AABDDD" w:rsidR="00A56C78" w:rsidRPr="00A56C78" w:rsidRDefault="009C2BE0">
    <w:pPr>
      <w:pStyle w:val="a5"/>
    </w:pPr>
    <w:r>
      <w:fldChar w:fldCharType="begin"/>
    </w:r>
    <w:r>
      <w:instrText xml:space="preserve"> TITLE  \* MERGEFORMAT </w:instrText>
    </w:r>
    <w:r>
      <w:fldChar w:fldCharType="separate"/>
    </w:r>
    <w:r>
      <w:t>CCPR/C/139/2/Add.3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A8FF1" w14:textId="11387355" w:rsidR="00A56C78" w:rsidRPr="00A56C78" w:rsidRDefault="009C2BE0" w:rsidP="00A56C78">
    <w:pPr>
      <w:pStyle w:val="a5"/>
      <w:jc w:val="right"/>
    </w:pPr>
    <w:r>
      <w:fldChar w:fldCharType="begin"/>
    </w:r>
    <w:r>
      <w:instrText xml:space="preserve"> TITLE  \* MERGEFORMAT </w:instrText>
    </w:r>
    <w:r>
      <w:fldChar w:fldCharType="separate"/>
    </w:r>
    <w:r>
      <w:t>CCPR/C/139/2/Add.3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6D7"/>
    <w:rsid w:val="00033EE1"/>
    <w:rsid w:val="000358F2"/>
    <w:rsid w:val="00042B72"/>
    <w:rsid w:val="000442DE"/>
    <w:rsid w:val="000558BD"/>
    <w:rsid w:val="000A4B90"/>
    <w:rsid w:val="000B57E7"/>
    <w:rsid w:val="000B6373"/>
    <w:rsid w:val="000F09DF"/>
    <w:rsid w:val="000F61B2"/>
    <w:rsid w:val="001075E9"/>
    <w:rsid w:val="00115D81"/>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5F60E6"/>
    <w:rsid w:val="00666B97"/>
    <w:rsid w:val="00681A10"/>
    <w:rsid w:val="006A1ED8"/>
    <w:rsid w:val="006C2031"/>
    <w:rsid w:val="006D461A"/>
    <w:rsid w:val="006F35EE"/>
    <w:rsid w:val="007021FF"/>
    <w:rsid w:val="007117DB"/>
    <w:rsid w:val="00712895"/>
    <w:rsid w:val="0075523D"/>
    <w:rsid w:val="00757357"/>
    <w:rsid w:val="00787D3A"/>
    <w:rsid w:val="00791B9D"/>
    <w:rsid w:val="00797BA6"/>
    <w:rsid w:val="00825F8D"/>
    <w:rsid w:val="00834B71"/>
    <w:rsid w:val="0086445C"/>
    <w:rsid w:val="00894693"/>
    <w:rsid w:val="008A08D7"/>
    <w:rsid w:val="008B08C7"/>
    <w:rsid w:val="008B6909"/>
    <w:rsid w:val="00906890"/>
    <w:rsid w:val="00911BE4"/>
    <w:rsid w:val="00931A71"/>
    <w:rsid w:val="00951972"/>
    <w:rsid w:val="009608F3"/>
    <w:rsid w:val="0098257B"/>
    <w:rsid w:val="009918E2"/>
    <w:rsid w:val="009A24AC"/>
    <w:rsid w:val="009C2BE0"/>
    <w:rsid w:val="009D21FD"/>
    <w:rsid w:val="009F4259"/>
    <w:rsid w:val="00A14DA8"/>
    <w:rsid w:val="00A312BC"/>
    <w:rsid w:val="00A34D07"/>
    <w:rsid w:val="00A56C78"/>
    <w:rsid w:val="00A81779"/>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806D7"/>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36799"/>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D2729"/>
  <w15:docId w15:val="{7B8E0219-8D12-4B89-BC7B-83DB56BD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A56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MRT/CO/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MRT%2F45340&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MRT%2F51348&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MRT%2FFCO%2F2&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2334</Words>
  <Characters>16199</Characters>
  <Application>Microsoft Office Word</Application>
  <DocSecurity>0</DocSecurity>
  <Lines>311</Lines>
  <Paragraphs>94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CCPR/C/139/2/Add.3</vt:lpstr>
      <vt:lpstr>A/</vt:lpstr>
      <vt:lpstr>A/</vt:lpstr>
    </vt:vector>
  </TitlesOfParts>
  <Company>DCM</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CCPR/C/139/2/Add.3</dc:title>
  <dc:subject/>
  <dc:creator>No author</dc:creator>
  <cp:keywords/>
  <cp:lastModifiedBy>No author</cp:lastModifiedBy>
  <cp:revision>3</cp:revision>
  <cp:lastPrinted>2024-01-08T10:47:00Z</cp:lastPrinted>
  <dcterms:created xsi:type="dcterms:W3CDTF">2024-01-08T10:47:00Z</dcterms:created>
  <dcterms:modified xsi:type="dcterms:W3CDTF">2024-01-08T10:47:00Z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