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rPr>
          <w:rFonts w:cs="Times New Roman"/>
          <w:szCs w:val="22"/>
          <w:lang w:eastAsia="en-US"/>
        </w:rPr>
      </w:pP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CAT/C/58/Add.1</w:t>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5 October 2005</w:t>
      </w:r>
      <w:r>
        <w:fldChar w:fldCharType="end"/>
      </w:r>
      <w:r>
        <w:fldChar w:fldCharType="end"/>
      </w:r>
    </w:p>
    <w:p w:rsidR="00000000" w:rsidRDefault="00000000">
      <w:pPr>
        <w:framePr w:w="4025" w:h="2075" w:hSpace="180" w:wrap="around" w:vAnchor="text" w:hAnchor="page" w:x="851" w:y="-2399" w:anchorLock="1"/>
        <w:bidi w:val="0"/>
        <w:spacing w:before="0" w:after="0"/>
        <w:jc w:val="left"/>
        <w:rPr>
          <w:rFonts w:cs="Times New Roman"/>
          <w:szCs w:val="22"/>
          <w:lang w:eastAsia="en-US"/>
        </w:rPr>
      </w:pP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line="380" w:lineRule="exact"/>
        <w:jc w:val="both"/>
        <w:rPr>
          <w:szCs w:val="22"/>
          <w:lang w:eastAsia="en-US"/>
        </w:rPr>
      </w:pPr>
      <w:r>
        <w:rPr>
          <w:szCs w:val="36"/>
          <w:rtl/>
          <w:lang w:eastAsia="en-US"/>
        </w:rPr>
        <w:t>ل</w:t>
      </w:r>
      <w:r>
        <w:rPr>
          <w:rFonts w:hint="cs"/>
          <w:szCs w:val="36"/>
          <w:rtl/>
          <w:lang w:eastAsia="en-US"/>
        </w:rPr>
        <w:t>جن</w:t>
      </w:r>
      <w:r>
        <w:rPr>
          <w:szCs w:val="36"/>
          <w:rtl/>
          <w:lang w:eastAsia="en-US"/>
        </w:rPr>
        <w:t xml:space="preserve">ة </w:t>
      </w:r>
      <w:r>
        <w:rPr>
          <w:rFonts w:hint="cs"/>
          <w:szCs w:val="36"/>
          <w:rtl/>
          <w:lang w:eastAsia="en-US"/>
        </w:rPr>
        <w:t>مناهضة التعذيب</w:t>
      </w:r>
    </w:p>
    <w:p w:rsidR="00000000" w:rsidRDefault="00000000">
      <w:pPr>
        <w:spacing w:before="0" w:line="380" w:lineRule="exact"/>
        <w:jc w:val="center"/>
        <w:rPr>
          <w:rFonts w:hint="cs"/>
          <w:b/>
          <w:bCs/>
          <w:sz w:val="36"/>
          <w:szCs w:val="36"/>
          <w:rtl/>
          <w:lang w:eastAsia="en-US"/>
        </w:rPr>
      </w:pPr>
      <w:r>
        <w:rPr>
          <w:rFonts w:hint="cs"/>
          <w:b/>
          <w:bCs/>
          <w:sz w:val="36"/>
          <w:szCs w:val="36"/>
          <w:rtl/>
          <w:lang w:eastAsia="en-US"/>
        </w:rPr>
        <w:t>النظر في التقارير المقدمة من الدول الأطراف</w:t>
      </w:r>
      <w:r>
        <w:rPr>
          <w:b/>
          <w:bCs/>
          <w:sz w:val="36"/>
          <w:szCs w:val="36"/>
          <w:rtl/>
          <w:lang w:eastAsia="en-US"/>
        </w:rPr>
        <w:br/>
      </w:r>
      <w:r>
        <w:rPr>
          <w:rFonts w:hint="cs"/>
          <w:b/>
          <w:bCs/>
          <w:sz w:val="36"/>
          <w:szCs w:val="36"/>
          <w:rtl/>
          <w:lang w:eastAsia="en-US"/>
        </w:rPr>
        <w:t>بموجب المادة 19 من الاتفاقية</w:t>
      </w:r>
    </w:p>
    <w:p w:rsidR="00000000" w:rsidRDefault="00000000">
      <w:pPr>
        <w:spacing w:before="0" w:line="380" w:lineRule="exact"/>
        <w:jc w:val="center"/>
        <w:rPr>
          <w:rFonts w:hint="cs"/>
          <w:b/>
          <w:bCs/>
          <w:rtl/>
          <w:lang w:eastAsia="en-US"/>
        </w:rPr>
      </w:pPr>
      <w:r>
        <w:rPr>
          <w:rFonts w:hint="cs"/>
          <w:b/>
          <w:bCs/>
          <w:rtl/>
          <w:lang w:eastAsia="en-US"/>
        </w:rPr>
        <w:t>التقارير الأولية للدول الأطراف المقرر تقديمها في عام 2000</w:t>
      </w:r>
    </w:p>
    <w:p w:rsidR="00000000" w:rsidRDefault="00000000">
      <w:pPr>
        <w:spacing w:before="0" w:line="380" w:lineRule="exact"/>
        <w:jc w:val="center"/>
        <w:rPr>
          <w:rFonts w:hint="cs"/>
          <w:b/>
          <w:bCs/>
          <w:sz w:val="36"/>
          <w:szCs w:val="36"/>
          <w:rtl/>
          <w:lang w:eastAsia="en-US"/>
        </w:rPr>
      </w:pPr>
      <w:r>
        <w:rPr>
          <w:rFonts w:hint="cs"/>
          <w:b/>
          <w:bCs/>
          <w:sz w:val="36"/>
          <w:szCs w:val="36"/>
          <w:rtl/>
          <w:lang w:eastAsia="en-US"/>
        </w:rPr>
        <w:t>إضافـة</w:t>
      </w:r>
    </w:p>
    <w:p w:rsidR="00000000" w:rsidRDefault="00000000">
      <w:pPr>
        <w:spacing w:before="0" w:line="380" w:lineRule="exact"/>
        <w:jc w:val="center"/>
        <w:rPr>
          <w:rFonts w:hint="cs"/>
          <w:b/>
          <w:bCs/>
          <w:sz w:val="36"/>
          <w:szCs w:val="36"/>
          <w:rtl/>
          <w:lang w:eastAsia="en-US"/>
        </w:rPr>
      </w:pPr>
      <w:r>
        <w:rPr>
          <w:rFonts w:hint="cs"/>
          <w:b/>
          <w:bCs/>
          <w:sz w:val="36"/>
          <w:szCs w:val="36"/>
          <w:rtl/>
          <w:lang w:eastAsia="en-US"/>
        </w:rPr>
        <w:t>قطـر</w:t>
      </w:r>
    </w:p>
    <w:p w:rsidR="00000000" w:rsidRDefault="00000000">
      <w:pPr>
        <w:spacing w:before="0" w:after="0" w:line="380" w:lineRule="exact"/>
        <w:ind w:firstLine="7303"/>
        <w:jc w:val="both"/>
        <w:rPr>
          <w:rFonts w:hint="cs"/>
          <w:rtl/>
          <w:lang w:eastAsia="en-US"/>
        </w:rPr>
      </w:pPr>
      <w:r>
        <w:rPr>
          <w:rFonts w:hint="cs"/>
          <w:rtl/>
          <w:lang w:eastAsia="en-US"/>
        </w:rPr>
        <w:t>[9 شباط/فبراير 2005]</w:t>
      </w:r>
    </w:p>
    <w:p w:rsidR="00000000" w:rsidRDefault="00000000">
      <w:pPr>
        <w:spacing w:before="0" w:line="380" w:lineRule="exact"/>
        <w:ind w:firstLine="7302"/>
        <w:jc w:val="both"/>
        <w:rPr>
          <w:rFonts w:hint="cs"/>
          <w:rtl/>
          <w:lang w:eastAsia="en-US"/>
        </w:rPr>
      </w:pPr>
      <w:r>
        <w:rPr>
          <w:rFonts w:hint="cs"/>
          <w:rtl/>
          <w:lang w:eastAsia="en-US"/>
        </w:rPr>
        <w:t>[الأصل: بالعربية]</w:t>
      </w:r>
    </w:p>
    <w:p w:rsidR="00000000" w:rsidRDefault="00000000">
      <w:pPr>
        <w:spacing w:before="120" w:after="120" w:line="360" w:lineRule="exact"/>
        <w:jc w:val="center"/>
        <w:rPr>
          <w:b/>
          <w:bCs/>
          <w:szCs w:val="28"/>
          <w:rtl/>
          <w:lang w:eastAsia="en-US"/>
        </w:rPr>
      </w:pPr>
      <w:r>
        <w:rPr>
          <w:noProof/>
          <w:rtl/>
          <w:lang w:val="ar-SA"/>
        </w:rPr>
        <w:br w:type="page"/>
      </w:r>
      <w:r>
        <w:rPr>
          <w:b/>
          <w:bCs/>
          <w:sz w:val="36"/>
          <w:szCs w:val="36"/>
          <w:rtl/>
          <w:lang w:eastAsia="en-US"/>
        </w:rPr>
        <w:t>المحتويات</w:t>
      </w:r>
    </w:p>
    <w:p w:rsidR="00000000" w:rsidRDefault="00000000">
      <w:pPr>
        <w:tabs>
          <w:tab w:val="left" w:pos="7194"/>
          <w:tab w:val="right" w:pos="9354"/>
        </w:tabs>
        <w:spacing w:before="0" w:after="0" w:line="360" w:lineRule="exact"/>
        <w:jc w:val="both"/>
        <w:rPr>
          <w:i/>
          <w:iCs/>
          <w:rtl/>
          <w:lang w:eastAsia="en-US"/>
        </w:rPr>
      </w:pPr>
      <w:r>
        <w:rPr>
          <w:i/>
          <w:iCs/>
          <w:rtl/>
          <w:lang w:eastAsia="en-US"/>
        </w:rPr>
        <w:tab/>
      </w:r>
      <w:r>
        <w:rPr>
          <w:i/>
          <w:iCs/>
          <w:rtl/>
          <w:lang w:eastAsia="en-US"/>
        </w:rPr>
        <w:tab/>
        <w:t>الصفحة</w:t>
      </w:r>
    </w:p>
    <w:p w:rsidR="00000000" w:rsidRDefault="00000000">
      <w:pPr>
        <w:tabs>
          <w:tab w:val="left" w:pos="822"/>
          <w:tab w:val="left" w:leader="dot" w:pos="8112"/>
          <w:tab w:val="center" w:pos="9043"/>
        </w:tabs>
        <w:spacing w:before="0" w:after="0" w:line="360" w:lineRule="exact"/>
        <w:jc w:val="both"/>
        <w:rPr>
          <w:rFonts w:hint="cs"/>
          <w:rtl/>
          <w:lang w:eastAsia="en-US"/>
        </w:rPr>
      </w:pPr>
      <w:r>
        <w:rPr>
          <w:rFonts w:hint="cs"/>
          <w:rtl/>
          <w:lang w:eastAsia="en-US"/>
        </w:rPr>
        <w:t>مقدمة</w:t>
      </w:r>
      <w:r>
        <w:rPr>
          <w:rFonts w:hint="cs"/>
          <w:rtl/>
          <w:lang w:eastAsia="en-US"/>
        </w:rPr>
        <w:tab/>
      </w:r>
      <w:r>
        <w:rPr>
          <w:rFonts w:hint="cs"/>
          <w:rtl/>
          <w:lang w:eastAsia="en-US"/>
        </w:rPr>
        <w:tab/>
      </w:r>
      <w:r>
        <w:rPr>
          <w:rFonts w:hint="cs"/>
          <w:rtl/>
          <w:lang w:eastAsia="en-US"/>
        </w:rPr>
        <w:tab/>
        <w:t>3</w:t>
      </w:r>
    </w:p>
    <w:p w:rsidR="00000000" w:rsidRDefault="00000000">
      <w:pPr>
        <w:tabs>
          <w:tab w:val="left" w:pos="822"/>
          <w:tab w:val="left" w:pos="1389"/>
          <w:tab w:val="left" w:pos="1956"/>
          <w:tab w:val="left" w:leader="dot" w:pos="7014"/>
          <w:tab w:val="left" w:pos="7371"/>
          <w:tab w:val="center" w:pos="9043"/>
        </w:tabs>
        <w:spacing w:before="120" w:after="120" w:line="360" w:lineRule="exact"/>
        <w:jc w:val="center"/>
        <w:rPr>
          <w:rFonts w:hint="cs"/>
          <w:sz w:val="30"/>
          <w:rtl/>
          <w:lang w:eastAsia="en-US"/>
        </w:rPr>
      </w:pPr>
      <w:r>
        <w:rPr>
          <w:rFonts w:hint="cs"/>
          <w:sz w:val="36"/>
          <w:szCs w:val="36"/>
          <w:rtl/>
          <w:lang w:eastAsia="en-US"/>
        </w:rPr>
        <w:t>القسم الأول</w:t>
      </w:r>
    </w:p>
    <w:p w:rsidR="00000000" w:rsidRDefault="00000000">
      <w:pPr>
        <w:tabs>
          <w:tab w:val="left" w:pos="822"/>
          <w:tab w:val="left" w:pos="1389"/>
          <w:tab w:val="left" w:pos="1956"/>
          <w:tab w:val="left" w:leader="dot" w:pos="8112"/>
          <w:tab w:val="center" w:pos="9043"/>
        </w:tabs>
        <w:spacing w:before="120" w:after="120" w:line="360" w:lineRule="exact"/>
        <w:jc w:val="both"/>
        <w:rPr>
          <w:rFonts w:hint="cs"/>
          <w:sz w:val="30"/>
          <w:rtl/>
          <w:lang w:eastAsia="en-US"/>
        </w:rPr>
      </w:pPr>
      <w:r>
        <w:rPr>
          <w:rFonts w:hint="cs"/>
          <w:sz w:val="30"/>
          <w:rtl/>
          <w:lang w:eastAsia="en-US"/>
        </w:rPr>
        <w:t>وصف عام للإطار التشريعي والمؤسسي للحماية</w:t>
      </w:r>
      <w:r>
        <w:rPr>
          <w:rFonts w:hint="cs"/>
          <w:sz w:val="30"/>
          <w:rtl/>
          <w:lang w:eastAsia="en-US"/>
        </w:rPr>
        <w:tab/>
      </w:r>
      <w:r>
        <w:rPr>
          <w:rFonts w:hint="cs"/>
          <w:sz w:val="30"/>
          <w:rtl/>
          <w:lang w:eastAsia="en-US"/>
        </w:rPr>
        <w:tab/>
        <w:t>4</w:t>
      </w:r>
    </w:p>
    <w:p w:rsidR="00000000" w:rsidRDefault="00000000">
      <w:pPr>
        <w:tabs>
          <w:tab w:val="left" w:pos="822"/>
          <w:tab w:val="left" w:pos="1389"/>
          <w:tab w:val="left" w:pos="1956"/>
          <w:tab w:val="left" w:leader="dot" w:pos="8112"/>
          <w:tab w:val="center" w:pos="9043"/>
        </w:tabs>
        <w:spacing w:before="120" w:after="120" w:line="360" w:lineRule="exact"/>
        <w:jc w:val="both"/>
        <w:rPr>
          <w:rFonts w:hint="cs"/>
          <w:sz w:val="30"/>
          <w:rtl/>
          <w:lang w:eastAsia="en-US"/>
        </w:rPr>
      </w:pPr>
      <w:r>
        <w:rPr>
          <w:rFonts w:hint="cs"/>
          <w:sz w:val="30"/>
          <w:rtl/>
          <w:lang w:eastAsia="en-US"/>
        </w:rPr>
        <w:tab/>
        <w:t>ألف -</w:t>
      </w:r>
      <w:r>
        <w:rPr>
          <w:rFonts w:hint="cs"/>
          <w:sz w:val="30"/>
          <w:rtl/>
          <w:lang w:eastAsia="en-US"/>
        </w:rPr>
        <w:tab/>
        <w:t>سلطات التحقيق</w:t>
      </w:r>
      <w:r>
        <w:rPr>
          <w:rFonts w:hint="cs"/>
          <w:sz w:val="30"/>
          <w:rtl/>
          <w:lang w:eastAsia="en-US"/>
        </w:rPr>
        <w:tab/>
      </w:r>
      <w:r>
        <w:rPr>
          <w:rFonts w:hint="cs"/>
          <w:sz w:val="30"/>
          <w:rtl/>
          <w:lang w:eastAsia="en-US"/>
        </w:rPr>
        <w:tab/>
        <w:t>4</w:t>
      </w:r>
    </w:p>
    <w:p w:rsidR="00000000" w:rsidRDefault="00000000">
      <w:pPr>
        <w:tabs>
          <w:tab w:val="left" w:pos="822"/>
          <w:tab w:val="left" w:pos="1389"/>
          <w:tab w:val="left" w:pos="1956"/>
          <w:tab w:val="left" w:leader="dot" w:pos="8112"/>
          <w:tab w:val="center" w:pos="9043"/>
        </w:tabs>
        <w:spacing w:before="120" w:after="120" w:line="360" w:lineRule="exact"/>
        <w:jc w:val="both"/>
        <w:rPr>
          <w:rFonts w:hint="cs"/>
          <w:sz w:val="30"/>
          <w:rtl/>
          <w:lang w:eastAsia="en-US"/>
        </w:rPr>
      </w:pPr>
      <w:r>
        <w:rPr>
          <w:rFonts w:hint="cs"/>
          <w:sz w:val="30"/>
          <w:rtl/>
          <w:lang w:eastAsia="en-US"/>
        </w:rPr>
        <w:tab/>
        <w:t>باء-</w:t>
      </w:r>
      <w:r>
        <w:rPr>
          <w:rFonts w:hint="cs"/>
          <w:sz w:val="30"/>
          <w:rtl/>
          <w:lang w:eastAsia="en-US"/>
        </w:rPr>
        <w:tab/>
        <w:t>النظام القضائي</w:t>
      </w:r>
      <w:r>
        <w:rPr>
          <w:rFonts w:hint="cs"/>
          <w:sz w:val="30"/>
          <w:rtl/>
          <w:lang w:eastAsia="en-US"/>
        </w:rPr>
        <w:tab/>
      </w:r>
      <w:r>
        <w:rPr>
          <w:rFonts w:hint="cs"/>
          <w:sz w:val="30"/>
          <w:rtl/>
          <w:lang w:eastAsia="en-US"/>
        </w:rPr>
        <w:tab/>
        <w:t>5</w:t>
      </w:r>
    </w:p>
    <w:p w:rsidR="00000000" w:rsidRDefault="00000000">
      <w:pPr>
        <w:tabs>
          <w:tab w:val="left" w:pos="822"/>
          <w:tab w:val="left" w:pos="1389"/>
          <w:tab w:val="left" w:pos="1956"/>
          <w:tab w:val="left" w:leader="dot" w:pos="8112"/>
          <w:tab w:val="center" w:pos="9043"/>
        </w:tabs>
        <w:spacing w:before="120" w:after="120" w:line="360" w:lineRule="exact"/>
        <w:jc w:val="both"/>
        <w:rPr>
          <w:rFonts w:hint="cs"/>
          <w:sz w:val="30"/>
          <w:rtl/>
          <w:lang w:eastAsia="en-US"/>
        </w:rPr>
      </w:pPr>
      <w:r>
        <w:rPr>
          <w:rFonts w:hint="cs"/>
          <w:sz w:val="30"/>
          <w:rtl/>
          <w:lang w:eastAsia="en-US"/>
        </w:rPr>
        <w:tab/>
        <w:t>جيم -</w:t>
      </w:r>
      <w:r>
        <w:rPr>
          <w:rFonts w:hint="cs"/>
          <w:sz w:val="30"/>
          <w:rtl/>
          <w:lang w:eastAsia="en-US"/>
        </w:rPr>
        <w:tab/>
        <w:t>السجون</w:t>
      </w:r>
      <w:r>
        <w:rPr>
          <w:rFonts w:hint="cs"/>
          <w:sz w:val="30"/>
          <w:rtl/>
          <w:lang w:eastAsia="en-US"/>
        </w:rPr>
        <w:tab/>
      </w:r>
      <w:r>
        <w:rPr>
          <w:rFonts w:hint="cs"/>
          <w:sz w:val="30"/>
          <w:rtl/>
          <w:lang w:eastAsia="en-US"/>
        </w:rPr>
        <w:tab/>
        <w:t>6</w:t>
      </w:r>
    </w:p>
    <w:p w:rsidR="00000000" w:rsidRDefault="00000000">
      <w:pPr>
        <w:tabs>
          <w:tab w:val="left" w:pos="822"/>
          <w:tab w:val="left" w:pos="1389"/>
          <w:tab w:val="left" w:pos="1956"/>
          <w:tab w:val="left" w:leader="dot" w:pos="8112"/>
          <w:tab w:val="center" w:pos="9043"/>
        </w:tabs>
        <w:spacing w:before="120" w:after="120" w:line="360" w:lineRule="exact"/>
        <w:jc w:val="both"/>
        <w:rPr>
          <w:rFonts w:hint="cs"/>
          <w:sz w:val="30"/>
          <w:rtl/>
          <w:lang w:eastAsia="en-US"/>
        </w:rPr>
      </w:pPr>
      <w:r>
        <w:rPr>
          <w:rFonts w:hint="cs"/>
          <w:sz w:val="30"/>
          <w:rtl/>
          <w:lang w:eastAsia="en-US"/>
        </w:rPr>
        <w:tab/>
        <w:t>دال-</w:t>
      </w:r>
      <w:r>
        <w:rPr>
          <w:rFonts w:hint="cs"/>
          <w:sz w:val="30"/>
          <w:rtl/>
          <w:lang w:eastAsia="en-US"/>
        </w:rPr>
        <w:tab/>
        <w:t>الضمانات الإجرائية لصالح الموقوفين</w:t>
      </w:r>
      <w:r>
        <w:rPr>
          <w:rFonts w:hint="cs"/>
          <w:sz w:val="30"/>
          <w:rtl/>
          <w:lang w:eastAsia="en-US"/>
        </w:rPr>
        <w:tab/>
      </w:r>
      <w:r>
        <w:rPr>
          <w:rFonts w:hint="cs"/>
          <w:sz w:val="30"/>
          <w:rtl/>
          <w:lang w:eastAsia="en-US"/>
        </w:rPr>
        <w:tab/>
        <w:t>11</w:t>
      </w:r>
    </w:p>
    <w:p w:rsidR="00000000" w:rsidRDefault="00000000">
      <w:pPr>
        <w:tabs>
          <w:tab w:val="left" w:pos="822"/>
          <w:tab w:val="left" w:pos="1389"/>
          <w:tab w:val="left" w:pos="1956"/>
          <w:tab w:val="left" w:leader="dot" w:pos="8112"/>
          <w:tab w:val="center" w:pos="9043"/>
        </w:tabs>
        <w:spacing w:before="120" w:after="120" w:line="360" w:lineRule="exact"/>
        <w:jc w:val="both"/>
        <w:rPr>
          <w:rFonts w:hint="cs"/>
          <w:sz w:val="30"/>
          <w:rtl/>
          <w:lang w:eastAsia="en-US"/>
        </w:rPr>
      </w:pPr>
      <w:r>
        <w:rPr>
          <w:rFonts w:hint="cs"/>
          <w:sz w:val="30"/>
          <w:rtl/>
          <w:lang w:eastAsia="en-US"/>
        </w:rPr>
        <w:tab/>
        <w:t>هاء-</w:t>
      </w:r>
      <w:r>
        <w:rPr>
          <w:rFonts w:hint="cs"/>
          <w:sz w:val="30"/>
          <w:rtl/>
          <w:lang w:eastAsia="en-US"/>
        </w:rPr>
        <w:tab/>
        <w:t>نشر الاتفاقية</w:t>
      </w:r>
      <w:r>
        <w:rPr>
          <w:rFonts w:hint="cs"/>
          <w:sz w:val="30"/>
          <w:rtl/>
          <w:lang w:eastAsia="en-US"/>
        </w:rPr>
        <w:tab/>
      </w:r>
      <w:r>
        <w:rPr>
          <w:rFonts w:hint="cs"/>
          <w:sz w:val="30"/>
          <w:rtl/>
          <w:lang w:eastAsia="en-US"/>
        </w:rPr>
        <w:tab/>
        <w:t>12</w:t>
      </w:r>
    </w:p>
    <w:p w:rsidR="00000000" w:rsidRDefault="00000000">
      <w:pPr>
        <w:tabs>
          <w:tab w:val="left" w:pos="822"/>
          <w:tab w:val="left" w:pos="1389"/>
          <w:tab w:val="left" w:pos="1956"/>
          <w:tab w:val="left" w:leader="dot" w:pos="8112"/>
          <w:tab w:val="center" w:pos="9043"/>
        </w:tabs>
        <w:spacing w:before="120" w:after="120" w:line="360" w:lineRule="exact"/>
        <w:jc w:val="center"/>
        <w:rPr>
          <w:rFonts w:hint="cs"/>
          <w:sz w:val="36"/>
          <w:szCs w:val="36"/>
          <w:rtl/>
          <w:lang w:eastAsia="en-US"/>
        </w:rPr>
      </w:pPr>
      <w:r>
        <w:rPr>
          <w:rFonts w:hint="cs"/>
          <w:sz w:val="36"/>
          <w:szCs w:val="36"/>
          <w:rtl/>
          <w:lang w:eastAsia="en-US"/>
        </w:rPr>
        <w:t>القسم الثاني</w:t>
      </w:r>
    </w:p>
    <w:p w:rsidR="00000000" w:rsidRDefault="00000000">
      <w:pPr>
        <w:tabs>
          <w:tab w:val="left" w:pos="822"/>
          <w:tab w:val="left" w:pos="1389"/>
          <w:tab w:val="left" w:pos="1956"/>
          <w:tab w:val="left" w:leader="dot" w:pos="8112"/>
          <w:tab w:val="center" w:pos="9043"/>
        </w:tabs>
        <w:spacing w:before="120" w:after="120" w:line="360" w:lineRule="exact"/>
        <w:jc w:val="both"/>
        <w:rPr>
          <w:rFonts w:hint="cs"/>
          <w:sz w:val="30"/>
          <w:rtl/>
          <w:lang w:eastAsia="en-US"/>
        </w:rPr>
      </w:pPr>
      <w:r>
        <w:rPr>
          <w:rFonts w:hint="cs"/>
          <w:sz w:val="30"/>
          <w:rtl/>
          <w:lang w:eastAsia="en-US"/>
        </w:rPr>
        <w:t>أحكام الاتفاقية التفصيلية وتطبيقها في دولة قطر</w:t>
      </w:r>
      <w:r>
        <w:rPr>
          <w:rFonts w:hint="cs"/>
          <w:sz w:val="30"/>
          <w:rtl/>
          <w:lang w:eastAsia="en-US"/>
        </w:rPr>
        <w:tab/>
      </w:r>
      <w:r>
        <w:rPr>
          <w:rFonts w:hint="cs"/>
          <w:sz w:val="30"/>
          <w:rtl/>
          <w:lang w:eastAsia="en-US"/>
        </w:rPr>
        <w:tab/>
        <w:t>13</w:t>
      </w:r>
    </w:p>
    <w:p w:rsidR="00000000" w:rsidRDefault="00000000">
      <w:pPr>
        <w:tabs>
          <w:tab w:val="left" w:pos="822"/>
          <w:tab w:val="left" w:pos="1389"/>
          <w:tab w:val="left" w:leader="dot" w:pos="8112"/>
          <w:tab w:val="center" w:pos="9043"/>
        </w:tabs>
        <w:spacing w:before="120" w:after="120" w:line="340" w:lineRule="exact"/>
        <w:jc w:val="both"/>
        <w:rPr>
          <w:rFonts w:hint="cs"/>
          <w:sz w:val="30"/>
          <w:rtl/>
          <w:lang w:eastAsia="en-US"/>
        </w:rPr>
      </w:pPr>
      <w:r>
        <w:rPr>
          <w:rFonts w:hint="cs"/>
          <w:sz w:val="30"/>
          <w:rtl/>
          <w:lang w:eastAsia="en-US"/>
        </w:rPr>
        <w:tab/>
        <w:t>المادة 1</w:t>
      </w:r>
      <w:r>
        <w:rPr>
          <w:rFonts w:hint="cs"/>
          <w:sz w:val="30"/>
          <w:rtl/>
          <w:lang w:eastAsia="en-US"/>
        </w:rPr>
        <w:tab/>
      </w:r>
      <w:r>
        <w:rPr>
          <w:rFonts w:hint="cs"/>
          <w:sz w:val="30"/>
          <w:rtl/>
          <w:lang w:eastAsia="en-US"/>
        </w:rPr>
        <w:tab/>
        <w:t>13</w:t>
      </w:r>
    </w:p>
    <w:p w:rsidR="00000000" w:rsidRDefault="00000000">
      <w:pPr>
        <w:tabs>
          <w:tab w:val="left" w:pos="822"/>
          <w:tab w:val="left" w:pos="1389"/>
          <w:tab w:val="left" w:leader="dot" w:pos="8112"/>
          <w:tab w:val="center" w:pos="9043"/>
        </w:tabs>
        <w:spacing w:before="120" w:after="120" w:line="340" w:lineRule="exact"/>
        <w:jc w:val="both"/>
        <w:rPr>
          <w:rFonts w:hint="cs"/>
          <w:sz w:val="30"/>
          <w:rtl/>
          <w:lang w:eastAsia="en-US"/>
        </w:rPr>
      </w:pPr>
      <w:r>
        <w:rPr>
          <w:rFonts w:hint="cs"/>
          <w:sz w:val="30"/>
          <w:rtl/>
          <w:lang w:eastAsia="en-US"/>
        </w:rPr>
        <w:tab/>
        <w:t>المادة 2</w:t>
      </w:r>
      <w:r>
        <w:rPr>
          <w:rFonts w:hint="cs"/>
          <w:sz w:val="30"/>
          <w:rtl/>
          <w:lang w:eastAsia="en-US"/>
        </w:rPr>
        <w:tab/>
      </w:r>
      <w:r>
        <w:rPr>
          <w:rFonts w:hint="cs"/>
          <w:sz w:val="30"/>
          <w:rtl/>
          <w:lang w:eastAsia="en-US"/>
        </w:rPr>
        <w:tab/>
        <w:t>14</w:t>
      </w:r>
    </w:p>
    <w:p w:rsidR="00000000" w:rsidRDefault="00000000">
      <w:pPr>
        <w:tabs>
          <w:tab w:val="left" w:pos="822"/>
          <w:tab w:val="left" w:pos="1389"/>
          <w:tab w:val="left" w:leader="dot" w:pos="8112"/>
          <w:tab w:val="center" w:pos="9043"/>
        </w:tabs>
        <w:spacing w:before="120" w:after="120" w:line="340" w:lineRule="exact"/>
        <w:jc w:val="both"/>
        <w:rPr>
          <w:rFonts w:hint="cs"/>
          <w:sz w:val="30"/>
          <w:rtl/>
          <w:lang w:eastAsia="en-US"/>
        </w:rPr>
      </w:pPr>
      <w:r>
        <w:rPr>
          <w:rFonts w:hint="cs"/>
          <w:sz w:val="30"/>
          <w:rtl/>
          <w:lang w:eastAsia="en-US"/>
        </w:rPr>
        <w:tab/>
        <w:t>المادة 3</w:t>
      </w:r>
      <w:r>
        <w:rPr>
          <w:rFonts w:hint="cs"/>
          <w:sz w:val="30"/>
          <w:rtl/>
          <w:lang w:eastAsia="en-US"/>
        </w:rPr>
        <w:tab/>
      </w:r>
      <w:r>
        <w:rPr>
          <w:rFonts w:hint="cs"/>
          <w:sz w:val="30"/>
          <w:rtl/>
          <w:lang w:eastAsia="en-US"/>
        </w:rPr>
        <w:tab/>
        <w:t>15</w:t>
      </w:r>
    </w:p>
    <w:p w:rsidR="00000000" w:rsidRDefault="00000000">
      <w:pPr>
        <w:tabs>
          <w:tab w:val="left" w:pos="822"/>
          <w:tab w:val="left" w:pos="1389"/>
          <w:tab w:val="left" w:leader="dot" w:pos="8112"/>
          <w:tab w:val="center" w:pos="9043"/>
        </w:tabs>
        <w:spacing w:before="120" w:after="120" w:line="340" w:lineRule="exact"/>
        <w:jc w:val="both"/>
        <w:rPr>
          <w:rFonts w:hint="cs"/>
          <w:sz w:val="30"/>
          <w:rtl/>
          <w:lang w:eastAsia="en-US"/>
        </w:rPr>
      </w:pPr>
      <w:r>
        <w:rPr>
          <w:rFonts w:hint="cs"/>
          <w:sz w:val="30"/>
          <w:rtl/>
          <w:lang w:eastAsia="en-US"/>
        </w:rPr>
        <w:tab/>
        <w:t>المادة 4</w:t>
      </w:r>
      <w:r>
        <w:rPr>
          <w:rFonts w:hint="cs"/>
          <w:sz w:val="30"/>
          <w:rtl/>
          <w:lang w:eastAsia="en-US"/>
        </w:rPr>
        <w:tab/>
      </w:r>
      <w:r>
        <w:rPr>
          <w:rFonts w:hint="cs"/>
          <w:sz w:val="30"/>
          <w:rtl/>
          <w:lang w:eastAsia="en-US"/>
        </w:rPr>
        <w:tab/>
        <w:t>15</w:t>
      </w:r>
    </w:p>
    <w:p w:rsidR="00000000" w:rsidRDefault="00000000">
      <w:pPr>
        <w:tabs>
          <w:tab w:val="left" w:pos="822"/>
          <w:tab w:val="left" w:pos="1389"/>
          <w:tab w:val="left" w:leader="dot" w:pos="8112"/>
          <w:tab w:val="center" w:pos="9043"/>
        </w:tabs>
        <w:spacing w:before="120" w:after="120" w:line="340" w:lineRule="exact"/>
        <w:jc w:val="both"/>
        <w:rPr>
          <w:rFonts w:hint="cs"/>
          <w:sz w:val="30"/>
          <w:rtl/>
          <w:lang w:eastAsia="en-US"/>
        </w:rPr>
      </w:pPr>
      <w:r>
        <w:rPr>
          <w:rFonts w:hint="cs"/>
          <w:sz w:val="30"/>
          <w:rtl/>
          <w:lang w:eastAsia="en-US"/>
        </w:rPr>
        <w:tab/>
        <w:t>المادة 5</w:t>
      </w:r>
      <w:r>
        <w:rPr>
          <w:rFonts w:hint="cs"/>
          <w:sz w:val="30"/>
          <w:rtl/>
          <w:lang w:eastAsia="en-US"/>
        </w:rPr>
        <w:tab/>
      </w:r>
      <w:r>
        <w:rPr>
          <w:rFonts w:hint="cs"/>
          <w:sz w:val="30"/>
          <w:rtl/>
          <w:lang w:eastAsia="en-US"/>
        </w:rPr>
        <w:tab/>
        <w:t>16</w:t>
      </w:r>
    </w:p>
    <w:p w:rsidR="00000000" w:rsidRDefault="00000000">
      <w:pPr>
        <w:tabs>
          <w:tab w:val="left" w:pos="822"/>
          <w:tab w:val="left" w:pos="1389"/>
          <w:tab w:val="left" w:leader="dot" w:pos="8112"/>
          <w:tab w:val="center" w:pos="9043"/>
        </w:tabs>
        <w:spacing w:before="120" w:after="120" w:line="340" w:lineRule="exact"/>
        <w:jc w:val="both"/>
        <w:rPr>
          <w:rFonts w:hint="cs"/>
          <w:sz w:val="30"/>
          <w:rtl/>
          <w:lang w:eastAsia="en-US"/>
        </w:rPr>
      </w:pPr>
      <w:r>
        <w:rPr>
          <w:rFonts w:hint="cs"/>
          <w:sz w:val="30"/>
          <w:rtl/>
          <w:lang w:eastAsia="en-US"/>
        </w:rPr>
        <w:tab/>
        <w:t>المادة 6</w:t>
      </w:r>
      <w:r>
        <w:rPr>
          <w:rFonts w:hint="cs"/>
          <w:sz w:val="30"/>
          <w:rtl/>
          <w:lang w:eastAsia="en-US"/>
        </w:rPr>
        <w:tab/>
      </w:r>
      <w:r>
        <w:rPr>
          <w:rFonts w:hint="cs"/>
          <w:sz w:val="30"/>
          <w:rtl/>
          <w:lang w:eastAsia="en-US"/>
        </w:rPr>
        <w:tab/>
        <w:t>18</w:t>
      </w:r>
    </w:p>
    <w:p w:rsidR="00000000" w:rsidRDefault="00000000">
      <w:pPr>
        <w:tabs>
          <w:tab w:val="left" w:pos="822"/>
          <w:tab w:val="left" w:pos="1389"/>
          <w:tab w:val="left" w:leader="dot" w:pos="8112"/>
          <w:tab w:val="center" w:pos="9043"/>
        </w:tabs>
        <w:spacing w:before="120" w:after="120" w:line="340" w:lineRule="exact"/>
        <w:jc w:val="both"/>
        <w:rPr>
          <w:rFonts w:hint="cs"/>
          <w:sz w:val="30"/>
          <w:rtl/>
          <w:lang w:eastAsia="en-US"/>
        </w:rPr>
      </w:pPr>
      <w:r>
        <w:rPr>
          <w:rFonts w:hint="cs"/>
          <w:sz w:val="30"/>
          <w:rtl/>
          <w:lang w:eastAsia="en-US"/>
        </w:rPr>
        <w:tab/>
        <w:t>المادة 7</w:t>
      </w:r>
      <w:r>
        <w:rPr>
          <w:rFonts w:hint="cs"/>
          <w:sz w:val="30"/>
          <w:rtl/>
          <w:lang w:eastAsia="en-US"/>
        </w:rPr>
        <w:tab/>
      </w:r>
      <w:r>
        <w:rPr>
          <w:rFonts w:hint="cs"/>
          <w:sz w:val="30"/>
          <w:rtl/>
          <w:lang w:eastAsia="en-US"/>
        </w:rPr>
        <w:tab/>
        <w:t>18</w:t>
      </w:r>
    </w:p>
    <w:p w:rsidR="00000000" w:rsidRDefault="00000000">
      <w:pPr>
        <w:tabs>
          <w:tab w:val="left" w:pos="822"/>
          <w:tab w:val="left" w:pos="1389"/>
          <w:tab w:val="left" w:leader="dot" w:pos="8112"/>
          <w:tab w:val="center" w:pos="9043"/>
        </w:tabs>
        <w:spacing w:before="120" w:after="120" w:line="340" w:lineRule="exact"/>
        <w:jc w:val="both"/>
        <w:rPr>
          <w:rFonts w:hint="cs"/>
          <w:sz w:val="30"/>
          <w:rtl/>
          <w:lang w:eastAsia="en-US"/>
        </w:rPr>
      </w:pPr>
      <w:r>
        <w:rPr>
          <w:rFonts w:hint="cs"/>
          <w:sz w:val="30"/>
          <w:rtl/>
          <w:lang w:eastAsia="en-US"/>
        </w:rPr>
        <w:tab/>
        <w:t>المادة 8</w:t>
      </w:r>
      <w:r>
        <w:rPr>
          <w:rFonts w:hint="cs"/>
          <w:sz w:val="30"/>
          <w:rtl/>
          <w:lang w:eastAsia="en-US"/>
        </w:rPr>
        <w:tab/>
      </w:r>
      <w:r>
        <w:rPr>
          <w:rFonts w:hint="cs"/>
          <w:sz w:val="30"/>
          <w:rtl/>
          <w:lang w:eastAsia="en-US"/>
        </w:rPr>
        <w:tab/>
        <w:t>19</w:t>
      </w:r>
    </w:p>
    <w:p w:rsidR="00000000" w:rsidRDefault="00000000">
      <w:pPr>
        <w:tabs>
          <w:tab w:val="left" w:pos="822"/>
          <w:tab w:val="left" w:pos="1389"/>
          <w:tab w:val="left" w:leader="dot" w:pos="8112"/>
          <w:tab w:val="center" w:pos="9043"/>
        </w:tabs>
        <w:spacing w:before="120" w:after="120" w:line="340" w:lineRule="exact"/>
        <w:jc w:val="both"/>
        <w:rPr>
          <w:rFonts w:hint="cs"/>
          <w:sz w:val="30"/>
          <w:rtl/>
          <w:lang w:eastAsia="en-US"/>
        </w:rPr>
      </w:pPr>
      <w:r>
        <w:rPr>
          <w:rFonts w:hint="cs"/>
          <w:sz w:val="30"/>
          <w:rtl/>
          <w:lang w:eastAsia="en-US"/>
        </w:rPr>
        <w:tab/>
        <w:t>المادة 9</w:t>
      </w:r>
      <w:r>
        <w:rPr>
          <w:rFonts w:hint="cs"/>
          <w:sz w:val="30"/>
          <w:rtl/>
          <w:lang w:eastAsia="en-US"/>
        </w:rPr>
        <w:tab/>
      </w:r>
      <w:r>
        <w:rPr>
          <w:rFonts w:hint="cs"/>
          <w:sz w:val="30"/>
          <w:rtl/>
          <w:lang w:eastAsia="en-US"/>
        </w:rPr>
        <w:tab/>
        <w:t>20</w:t>
      </w:r>
    </w:p>
    <w:p w:rsidR="00000000" w:rsidRDefault="00000000">
      <w:pPr>
        <w:tabs>
          <w:tab w:val="left" w:pos="822"/>
          <w:tab w:val="left" w:pos="1389"/>
          <w:tab w:val="left" w:leader="dot" w:pos="8112"/>
          <w:tab w:val="center" w:pos="9043"/>
        </w:tabs>
        <w:spacing w:before="120" w:after="120" w:line="340" w:lineRule="exact"/>
        <w:jc w:val="both"/>
        <w:rPr>
          <w:rFonts w:hint="cs"/>
          <w:sz w:val="30"/>
          <w:rtl/>
          <w:lang w:eastAsia="en-US"/>
        </w:rPr>
      </w:pPr>
      <w:r>
        <w:rPr>
          <w:rFonts w:hint="cs"/>
          <w:sz w:val="30"/>
          <w:rtl/>
          <w:lang w:eastAsia="en-US"/>
        </w:rPr>
        <w:tab/>
        <w:t>المادة 10</w:t>
      </w:r>
      <w:r>
        <w:rPr>
          <w:rFonts w:hint="cs"/>
          <w:sz w:val="30"/>
          <w:rtl/>
          <w:lang w:eastAsia="en-US"/>
        </w:rPr>
        <w:tab/>
      </w:r>
      <w:r>
        <w:rPr>
          <w:rFonts w:hint="cs"/>
          <w:sz w:val="30"/>
          <w:rtl/>
          <w:lang w:eastAsia="en-US"/>
        </w:rPr>
        <w:tab/>
        <w:t>21</w:t>
      </w:r>
    </w:p>
    <w:p w:rsidR="00000000" w:rsidRDefault="00000000">
      <w:pPr>
        <w:tabs>
          <w:tab w:val="left" w:pos="822"/>
          <w:tab w:val="left" w:pos="1389"/>
          <w:tab w:val="left" w:leader="dot" w:pos="8112"/>
          <w:tab w:val="center" w:pos="9043"/>
        </w:tabs>
        <w:spacing w:before="120" w:after="120" w:line="340" w:lineRule="exact"/>
        <w:jc w:val="both"/>
        <w:rPr>
          <w:rFonts w:hint="cs"/>
          <w:sz w:val="30"/>
          <w:rtl/>
          <w:lang w:eastAsia="en-US"/>
        </w:rPr>
      </w:pPr>
      <w:r>
        <w:rPr>
          <w:rFonts w:hint="cs"/>
          <w:sz w:val="30"/>
          <w:rtl/>
          <w:lang w:eastAsia="en-US"/>
        </w:rPr>
        <w:tab/>
        <w:t>المادة 11</w:t>
      </w:r>
      <w:r>
        <w:rPr>
          <w:rFonts w:hint="cs"/>
          <w:sz w:val="30"/>
          <w:rtl/>
          <w:lang w:eastAsia="en-US"/>
        </w:rPr>
        <w:tab/>
      </w:r>
      <w:r>
        <w:rPr>
          <w:rFonts w:hint="cs"/>
          <w:sz w:val="30"/>
          <w:rtl/>
          <w:lang w:eastAsia="en-US"/>
        </w:rPr>
        <w:tab/>
        <w:t>22</w:t>
      </w:r>
    </w:p>
    <w:p w:rsidR="00000000" w:rsidRDefault="00000000">
      <w:pPr>
        <w:tabs>
          <w:tab w:val="left" w:pos="822"/>
          <w:tab w:val="left" w:pos="1389"/>
          <w:tab w:val="left" w:leader="dot" w:pos="8112"/>
          <w:tab w:val="center" w:pos="9043"/>
        </w:tabs>
        <w:spacing w:before="120" w:after="120" w:line="340" w:lineRule="exact"/>
        <w:jc w:val="both"/>
        <w:rPr>
          <w:rFonts w:hint="cs"/>
          <w:sz w:val="30"/>
          <w:rtl/>
          <w:lang w:eastAsia="en-US"/>
        </w:rPr>
      </w:pPr>
      <w:r>
        <w:rPr>
          <w:rFonts w:hint="cs"/>
          <w:sz w:val="30"/>
          <w:rtl/>
          <w:lang w:eastAsia="en-US"/>
        </w:rPr>
        <w:tab/>
        <w:t>المادة 12</w:t>
      </w:r>
      <w:r>
        <w:rPr>
          <w:rFonts w:hint="cs"/>
          <w:sz w:val="30"/>
          <w:rtl/>
          <w:lang w:eastAsia="en-US"/>
        </w:rPr>
        <w:tab/>
      </w:r>
      <w:r>
        <w:rPr>
          <w:rFonts w:hint="cs"/>
          <w:sz w:val="30"/>
          <w:rtl/>
          <w:lang w:eastAsia="en-US"/>
        </w:rPr>
        <w:tab/>
        <w:t>22</w:t>
      </w:r>
    </w:p>
    <w:p w:rsidR="00000000" w:rsidRDefault="00000000">
      <w:pPr>
        <w:tabs>
          <w:tab w:val="left" w:pos="822"/>
          <w:tab w:val="left" w:pos="1389"/>
          <w:tab w:val="left" w:leader="dot" w:pos="8112"/>
          <w:tab w:val="center" w:pos="9043"/>
        </w:tabs>
        <w:spacing w:before="120" w:after="120" w:line="340" w:lineRule="exact"/>
        <w:jc w:val="both"/>
        <w:rPr>
          <w:rFonts w:hint="cs"/>
          <w:sz w:val="30"/>
          <w:rtl/>
          <w:lang w:eastAsia="en-US"/>
        </w:rPr>
      </w:pPr>
      <w:r>
        <w:rPr>
          <w:rFonts w:hint="cs"/>
          <w:sz w:val="30"/>
          <w:rtl/>
          <w:lang w:eastAsia="en-US"/>
        </w:rPr>
        <w:tab/>
        <w:t>المادة 13</w:t>
      </w:r>
      <w:r>
        <w:rPr>
          <w:rFonts w:hint="cs"/>
          <w:sz w:val="30"/>
          <w:rtl/>
          <w:lang w:eastAsia="en-US"/>
        </w:rPr>
        <w:tab/>
      </w:r>
      <w:r>
        <w:rPr>
          <w:rFonts w:hint="cs"/>
          <w:sz w:val="30"/>
          <w:rtl/>
          <w:lang w:eastAsia="en-US"/>
        </w:rPr>
        <w:tab/>
        <w:t>22</w:t>
      </w:r>
    </w:p>
    <w:p w:rsidR="00000000" w:rsidRDefault="00000000">
      <w:pPr>
        <w:tabs>
          <w:tab w:val="left" w:pos="822"/>
          <w:tab w:val="left" w:pos="1389"/>
          <w:tab w:val="left" w:leader="dot" w:pos="8112"/>
          <w:tab w:val="center" w:pos="9043"/>
        </w:tabs>
        <w:spacing w:before="120" w:after="120" w:line="340" w:lineRule="exact"/>
        <w:jc w:val="both"/>
        <w:rPr>
          <w:rFonts w:hint="cs"/>
          <w:sz w:val="30"/>
          <w:rtl/>
          <w:lang w:eastAsia="en-US"/>
        </w:rPr>
      </w:pPr>
      <w:r>
        <w:rPr>
          <w:rFonts w:hint="cs"/>
          <w:sz w:val="30"/>
          <w:rtl/>
          <w:lang w:eastAsia="en-US"/>
        </w:rPr>
        <w:tab/>
        <w:t>المادة 14</w:t>
      </w:r>
      <w:r>
        <w:rPr>
          <w:rFonts w:hint="cs"/>
          <w:sz w:val="30"/>
          <w:rtl/>
          <w:lang w:eastAsia="en-US"/>
        </w:rPr>
        <w:tab/>
      </w:r>
      <w:r>
        <w:rPr>
          <w:rFonts w:hint="cs"/>
          <w:sz w:val="30"/>
          <w:rtl/>
          <w:lang w:eastAsia="en-US"/>
        </w:rPr>
        <w:tab/>
        <w:t>23</w:t>
      </w:r>
    </w:p>
    <w:p w:rsidR="00000000" w:rsidRDefault="00000000">
      <w:pPr>
        <w:tabs>
          <w:tab w:val="left" w:pos="822"/>
          <w:tab w:val="left" w:pos="1389"/>
          <w:tab w:val="left" w:leader="dot" w:pos="8112"/>
          <w:tab w:val="center" w:pos="9043"/>
        </w:tabs>
        <w:spacing w:before="120" w:after="120" w:line="340" w:lineRule="exact"/>
        <w:jc w:val="both"/>
        <w:rPr>
          <w:rFonts w:hint="cs"/>
          <w:sz w:val="30"/>
          <w:rtl/>
          <w:lang w:eastAsia="en-US"/>
        </w:rPr>
      </w:pPr>
      <w:r>
        <w:rPr>
          <w:rFonts w:hint="cs"/>
          <w:sz w:val="30"/>
          <w:rtl/>
          <w:lang w:eastAsia="en-US"/>
        </w:rPr>
        <w:tab/>
        <w:t>المادة 15</w:t>
      </w:r>
      <w:r>
        <w:rPr>
          <w:rFonts w:hint="cs"/>
          <w:sz w:val="30"/>
          <w:rtl/>
          <w:lang w:eastAsia="en-US"/>
        </w:rPr>
        <w:tab/>
      </w:r>
      <w:r>
        <w:rPr>
          <w:rFonts w:hint="cs"/>
          <w:sz w:val="30"/>
          <w:rtl/>
          <w:lang w:eastAsia="en-US"/>
        </w:rPr>
        <w:tab/>
        <w:t>23</w:t>
      </w:r>
    </w:p>
    <w:p w:rsidR="00000000" w:rsidRDefault="00000000">
      <w:pPr>
        <w:tabs>
          <w:tab w:val="left" w:pos="822"/>
          <w:tab w:val="left" w:pos="1389"/>
          <w:tab w:val="left" w:leader="dot" w:pos="8112"/>
          <w:tab w:val="center" w:pos="9043"/>
        </w:tabs>
        <w:spacing w:before="120" w:after="120" w:line="340" w:lineRule="exact"/>
        <w:jc w:val="both"/>
        <w:rPr>
          <w:rFonts w:hint="cs"/>
          <w:sz w:val="30"/>
          <w:rtl/>
          <w:lang w:eastAsia="en-US"/>
        </w:rPr>
      </w:pPr>
      <w:r>
        <w:rPr>
          <w:rFonts w:hint="cs"/>
          <w:sz w:val="30"/>
          <w:rtl/>
          <w:lang w:eastAsia="en-US"/>
        </w:rPr>
        <w:tab/>
        <w:t>المادة 16</w:t>
      </w:r>
      <w:r>
        <w:rPr>
          <w:rFonts w:hint="cs"/>
          <w:sz w:val="30"/>
          <w:rtl/>
          <w:lang w:eastAsia="en-US"/>
        </w:rPr>
        <w:tab/>
      </w:r>
      <w:r>
        <w:rPr>
          <w:rFonts w:hint="cs"/>
          <w:sz w:val="30"/>
          <w:rtl/>
          <w:lang w:eastAsia="en-US"/>
        </w:rPr>
        <w:tab/>
        <w:t>23</w:t>
      </w:r>
    </w:p>
    <w:p w:rsidR="00000000" w:rsidRDefault="00000000">
      <w:pPr>
        <w:spacing w:before="120" w:after="120" w:line="340" w:lineRule="exact"/>
        <w:jc w:val="center"/>
        <w:rPr>
          <w:rFonts w:hint="cs"/>
          <w:b/>
          <w:bCs/>
          <w:noProof/>
          <w:rtl/>
          <w:lang w:val="ar-SA"/>
        </w:rPr>
      </w:pPr>
      <w:r>
        <w:rPr>
          <w:noProof/>
          <w:rtl/>
          <w:lang w:val="ar-SA"/>
        </w:rPr>
        <w:br w:type="page"/>
      </w:r>
      <w:r>
        <w:rPr>
          <w:b/>
          <w:bCs/>
          <w:noProof/>
          <w:rtl/>
          <w:lang w:val="ar-SA"/>
        </w:rPr>
        <w:t>مقدم</w:t>
      </w:r>
      <w:r>
        <w:rPr>
          <w:rFonts w:hint="cs"/>
          <w:b/>
          <w:bCs/>
          <w:noProof/>
          <w:rtl/>
          <w:lang w:val="ar-SA" w:bidi="ar-QA"/>
        </w:rPr>
        <w:t>ـ</w:t>
      </w:r>
      <w:r>
        <w:rPr>
          <w:b/>
          <w:bCs/>
          <w:noProof/>
          <w:rtl/>
          <w:lang w:val="ar-SA"/>
        </w:rPr>
        <w:t>ة</w:t>
      </w:r>
    </w:p>
    <w:p w:rsidR="00000000" w:rsidRDefault="00000000">
      <w:pPr>
        <w:spacing w:before="0" w:line="380" w:lineRule="exact"/>
        <w:jc w:val="both"/>
        <w:rPr>
          <w:rtl/>
          <w:lang w:eastAsia="en-US"/>
        </w:rPr>
      </w:pPr>
      <w:r>
        <w:rPr>
          <w:rFonts w:hint="cs"/>
          <w:rtl/>
          <w:lang w:eastAsia="en-US"/>
        </w:rPr>
        <w:tab/>
      </w:r>
      <w:r>
        <w:rPr>
          <w:rtl/>
          <w:lang w:eastAsia="en-US"/>
        </w:rPr>
        <w:t xml:space="preserve">تأكيداً من دولة قطر </w:t>
      </w:r>
      <w:r>
        <w:rPr>
          <w:rFonts w:hint="cs"/>
          <w:rtl/>
          <w:lang w:eastAsia="en-US"/>
        </w:rPr>
        <w:t xml:space="preserve">وحرصاً منها </w:t>
      </w:r>
      <w:r>
        <w:rPr>
          <w:rtl/>
          <w:lang w:eastAsia="en-US"/>
        </w:rPr>
        <w:t>على صون وحماية كرامة الإنسان وعدم تعرضه لأي نوع من أنواع التعذيب أو المعاملة القاسية أو المهينة</w:t>
      </w:r>
      <w:r>
        <w:rPr>
          <w:rFonts w:hint="cs"/>
          <w:rtl/>
          <w:lang w:eastAsia="en-US"/>
        </w:rPr>
        <w:t xml:space="preserve"> أو اللاإنساني</w:t>
      </w:r>
      <w:r>
        <w:rPr>
          <w:rFonts w:hint="eastAsia"/>
          <w:rtl/>
          <w:lang w:eastAsia="en-US"/>
        </w:rPr>
        <w:t>ة</w:t>
      </w:r>
      <w:r>
        <w:rPr>
          <w:rtl/>
          <w:lang w:eastAsia="en-US"/>
        </w:rPr>
        <w:t xml:space="preserve"> وإيماناً منها بمبادئ ميثاق الأمم المتحدة والتي تؤكد على إيمان شعوب الأمم المتحدة بالحقوق الأساسية للإنسان وبكرامة الفرد، فقد انضمت دولة قطر إلى اتفاقية الأمم المتحدة لمناهضة التعذيب وغيره من ضروب المعاملة القاسية أو اللاإنسانية أو المهينة في </w:t>
      </w:r>
      <w:r>
        <w:rPr>
          <w:rFonts w:hint="cs"/>
          <w:rtl/>
          <w:lang w:eastAsia="en-US"/>
        </w:rPr>
        <w:t>9 شباط/فبراير 2000.</w:t>
      </w:r>
    </w:p>
    <w:p w:rsidR="00000000" w:rsidRDefault="00000000">
      <w:pPr>
        <w:spacing w:before="0" w:line="380" w:lineRule="exact"/>
        <w:jc w:val="both"/>
        <w:rPr>
          <w:rtl/>
          <w:lang w:eastAsia="en-US"/>
        </w:rPr>
      </w:pPr>
      <w:r>
        <w:rPr>
          <w:rFonts w:hint="cs"/>
          <w:rtl/>
          <w:lang w:eastAsia="en-US"/>
        </w:rPr>
        <w:tab/>
      </w:r>
      <w:r>
        <w:rPr>
          <w:rtl/>
          <w:lang w:eastAsia="en-US"/>
        </w:rPr>
        <w:t xml:space="preserve">وقد أصبحت هذه الاتفاقية نافذة في حق الدولة بعد شهر من تاريخ إيداع وثيقة الانضمام أي </w:t>
      </w:r>
      <w:r>
        <w:rPr>
          <w:rFonts w:hint="cs"/>
          <w:rtl/>
          <w:lang w:eastAsia="en-US"/>
        </w:rPr>
        <w:t xml:space="preserve">في 10 شباط/فبراير 2001، </w:t>
      </w:r>
      <w:r>
        <w:rPr>
          <w:rtl/>
          <w:lang w:eastAsia="en-US"/>
        </w:rPr>
        <w:t xml:space="preserve">وذلك استناداً إلى الفقرة 2 من المادة 27 من الاتفاقية والتي تنص على أن </w:t>
      </w:r>
      <w:r>
        <w:rPr>
          <w:rFonts w:hint="cs"/>
          <w:rtl/>
          <w:lang w:eastAsia="en-US"/>
        </w:rPr>
        <w:t xml:space="preserve">يبدأ </w:t>
      </w:r>
      <w:r>
        <w:rPr>
          <w:rtl/>
          <w:lang w:eastAsia="en-US"/>
        </w:rPr>
        <w:t>نفاذ الاتفاقية لكل دولة تصدق عليها أو تن</w:t>
      </w:r>
      <w:r>
        <w:rPr>
          <w:rFonts w:hint="cs"/>
          <w:rtl/>
          <w:lang w:eastAsia="en-US"/>
        </w:rPr>
        <w:t>ض</w:t>
      </w:r>
      <w:r>
        <w:rPr>
          <w:rtl/>
          <w:lang w:eastAsia="en-US"/>
        </w:rPr>
        <w:t>م إليها بعد 30 يوماً من إيداع صك التصديق أو الانضمام الخاص بها.</w:t>
      </w:r>
    </w:p>
    <w:p w:rsidR="00000000" w:rsidRDefault="00000000">
      <w:pPr>
        <w:spacing w:before="0" w:line="380" w:lineRule="exact"/>
        <w:jc w:val="both"/>
        <w:rPr>
          <w:rFonts w:hint="cs"/>
          <w:spacing w:val="4"/>
          <w:rtl/>
          <w:lang w:eastAsia="en-US"/>
        </w:rPr>
      </w:pPr>
      <w:r>
        <w:rPr>
          <w:rFonts w:hint="cs"/>
          <w:rtl/>
          <w:lang w:eastAsia="en-US"/>
        </w:rPr>
        <w:tab/>
      </w:r>
      <w:r>
        <w:rPr>
          <w:spacing w:val="4"/>
          <w:rtl/>
          <w:lang w:eastAsia="en-US"/>
        </w:rPr>
        <w:t xml:space="preserve">وبانضمام دولة قطر إلى هذه الاتفاقية فإنها أصبحت بمثابة قانون داخلي تطبقه المحاكم </w:t>
      </w:r>
      <w:proofErr w:type="spellStart"/>
      <w:r>
        <w:rPr>
          <w:spacing w:val="4"/>
          <w:rtl/>
          <w:lang w:eastAsia="en-US"/>
        </w:rPr>
        <w:t>العدلية</w:t>
      </w:r>
      <w:proofErr w:type="spellEnd"/>
      <w:r>
        <w:rPr>
          <w:spacing w:val="4"/>
          <w:rtl/>
          <w:lang w:eastAsia="en-US"/>
        </w:rPr>
        <w:t xml:space="preserve"> وذلك إذا وقع أي فعل يخالف أحكامها، حيث </w:t>
      </w:r>
      <w:r>
        <w:rPr>
          <w:rFonts w:hint="cs"/>
          <w:spacing w:val="4"/>
          <w:rtl/>
          <w:lang w:eastAsia="en-US"/>
        </w:rPr>
        <w:t>إ</w:t>
      </w:r>
      <w:r>
        <w:rPr>
          <w:spacing w:val="4"/>
          <w:rtl/>
          <w:lang w:eastAsia="en-US"/>
        </w:rPr>
        <w:t>ن المادة</w:t>
      </w:r>
      <w:r>
        <w:rPr>
          <w:rFonts w:hint="cs"/>
          <w:spacing w:val="4"/>
          <w:rtl/>
          <w:lang w:eastAsia="en-US"/>
        </w:rPr>
        <w:t xml:space="preserve"> </w:t>
      </w:r>
      <w:r>
        <w:rPr>
          <w:spacing w:val="4"/>
          <w:rtl/>
          <w:lang w:eastAsia="en-US"/>
        </w:rPr>
        <w:t>68 من</w:t>
      </w:r>
      <w:r>
        <w:rPr>
          <w:rFonts w:hint="cs"/>
          <w:spacing w:val="4"/>
          <w:rtl/>
          <w:lang w:eastAsia="en-US"/>
        </w:rPr>
        <w:t xml:space="preserve"> ال</w:t>
      </w:r>
      <w:r>
        <w:rPr>
          <w:spacing w:val="4"/>
          <w:rtl/>
          <w:lang w:eastAsia="en-US"/>
        </w:rPr>
        <w:t xml:space="preserve">دستور </w:t>
      </w:r>
      <w:r>
        <w:rPr>
          <w:rFonts w:hint="cs"/>
          <w:spacing w:val="4"/>
          <w:rtl/>
          <w:lang w:eastAsia="en-US"/>
        </w:rPr>
        <w:t>الدائم ل</w:t>
      </w:r>
      <w:r>
        <w:rPr>
          <w:spacing w:val="4"/>
          <w:rtl/>
          <w:lang w:eastAsia="en-US"/>
        </w:rPr>
        <w:t>دولة قطر</w:t>
      </w:r>
      <w:r>
        <w:rPr>
          <w:rFonts w:hint="cs"/>
          <w:spacing w:val="4"/>
          <w:rtl/>
          <w:lang w:eastAsia="en-US"/>
        </w:rPr>
        <w:t xml:space="preserve">، وكذلك المادة 24 من النظام الأساسي المؤقت المعدل </w:t>
      </w:r>
      <w:r>
        <w:rPr>
          <w:spacing w:val="4"/>
          <w:rtl/>
          <w:lang w:eastAsia="en-US"/>
        </w:rPr>
        <w:t>تنص</w:t>
      </w:r>
      <w:r>
        <w:rPr>
          <w:rFonts w:hint="cs"/>
          <w:spacing w:val="4"/>
          <w:rtl/>
          <w:lang w:eastAsia="en-US"/>
        </w:rPr>
        <w:t>ان</w:t>
      </w:r>
      <w:r>
        <w:rPr>
          <w:spacing w:val="4"/>
          <w:rtl/>
          <w:lang w:eastAsia="en-US"/>
        </w:rPr>
        <w:t xml:space="preserve"> على أن تكون للمعاهدة قوة القانون بعد التصديق أو الانضمام إليها من قبل الدولة.</w:t>
      </w:r>
    </w:p>
    <w:p w:rsidR="00000000" w:rsidRDefault="00000000">
      <w:pPr>
        <w:spacing w:before="0" w:line="380" w:lineRule="exact"/>
        <w:jc w:val="both"/>
        <w:rPr>
          <w:noProof/>
          <w:rtl/>
          <w:lang w:val="ar-SA"/>
        </w:rPr>
      </w:pPr>
    </w:p>
    <w:p w:rsidR="00000000" w:rsidRDefault="00000000">
      <w:pPr>
        <w:spacing w:before="0" w:line="380" w:lineRule="exact"/>
        <w:jc w:val="center"/>
        <w:rPr>
          <w:rFonts w:hint="cs"/>
          <w:b/>
          <w:bCs/>
          <w:noProof/>
          <w:sz w:val="36"/>
          <w:szCs w:val="36"/>
          <w:rtl/>
          <w:lang w:val="ar-SA"/>
        </w:rPr>
      </w:pPr>
      <w:r>
        <w:rPr>
          <w:noProof/>
          <w:rtl/>
          <w:lang w:val="ar-SA"/>
        </w:rPr>
        <w:br w:type="page"/>
      </w:r>
      <w:r>
        <w:rPr>
          <w:rFonts w:hint="cs"/>
          <w:b/>
          <w:bCs/>
          <w:noProof/>
          <w:sz w:val="36"/>
          <w:szCs w:val="36"/>
          <w:rtl/>
          <w:lang w:val="ar-SA"/>
        </w:rPr>
        <w:t>القسم الأول</w:t>
      </w:r>
    </w:p>
    <w:p w:rsidR="00000000" w:rsidRDefault="00000000">
      <w:pPr>
        <w:spacing w:before="0" w:line="380" w:lineRule="exact"/>
        <w:jc w:val="center"/>
        <w:rPr>
          <w:rFonts w:hint="cs"/>
          <w:b/>
          <w:bCs/>
          <w:noProof/>
          <w:rtl/>
          <w:lang w:val="ar-SA"/>
        </w:rPr>
      </w:pPr>
      <w:r>
        <w:rPr>
          <w:rFonts w:hint="cs"/>
          <w:b/>
          <w:bCs/>
          <w:noProof/>
          <w:rtl/>
          <w:lang w:val="ar-SA"/>
        </w:rPr>
        <w:t>وصف عام للإطار التشريعي والمؤسسي للحماية</w:t>
      </w:r>
    </w:p>
    <w:p w:rsidR="00000000" w:rsidRDefault="00000000">
      <w:pPr>
        <w:spacing w:before="0" w:line="380" w:lineRule="exact"/>
        <w:jc w:val="both"/>
        <w:rPr>
          <w:rFonts w:hint="cs"/>
          <w:rtl/>
          <w:lang w:eastAsia="en-US"/>
        </w:rPr>
      </w:pPr>
      <w:r>
        <w:rPr>
          <w:rFonts w:hint="cs"/>
          <w:rtl/>
          <w:lang w:eastAsia="en-US"/>
        </w:rPr>
        <w:t>1-</w:t>
      </w:r>
      <w:r>
        <w:rPr>
          <w:rFonts w:hint="cs"/>
          <w:rtl/>
          <w:lang w:eastAsia="en-US"/>
        </w:rPr>
        <w:tab/>
        <w:t>إن الفهم السليم لنظام الحماية من التعذيب لا يتأتى إلا من خلال إطار يحدد القوانين والهيئات المعنية بالحماية من التعذيب على الصعيد الوطني.</w:t>
      </w:r>
    </w:p>
    <w:p w:rsidR="00000000" w:rsidRDefault="00000000">
      <w:pPr>
        <w:spacing w:before="0" w:line="380" w:lineRule="exact"/>
        <w:jc w:val="center"/>
        <w:rPr>
          <w:rFonts w:hint="cs"/>
          <w:b/>
          <w:bCs/>
          <w:noProof/>
          <w:rtl/>
          <w:lang w:val="ar-SA"/>
        </w:rPr>
      </w:pPr>
      <w:r>
        <w:rPr>
          <w:rFonts w:hint="cs"/>
          <w:b/>
          <w:bCs/>
          <w:noProof/>
          <w:rtl/>
          <w:lang w:val="ar-SA"/>
        </w:rPr>
        <w:t>سلطات التحقيق</w:t>
      </w:r>
    </w:p>
    <w:p w:rsidR="00000000" w:rsidRDefault="00000000">
      <w:pPr>
        <w:spacing w:before="0" w:line="380" w:lineRule="exact"/>
        <w:jc w:val="both"/>
        <w:rPr>
          <w:rFonts w:hint="cs"/>
          <w:rtl/>
          <w:lang w:eastAsia="en-US"/>
        </w:rPr>
      </w:pPr>
      <w:r>
        <w:rPr>
          <w:rFonts w:hint="cs"/>
          <w:rtl/>
          <w:lang w:eastAsia="en-US"/>
        </w:rPr>
        <w:t>2-</w:t>
      </w:r>
      <w:r>
        <w:rPr>
          <w:rFonts w:hint="cs"/>
          <w:rtl/>
          <w:lang w:eastAsia="en-US"/>
        </w:rPr>
        <w:tab/>
        <w:t xml:space="preserve">يقع على أعضاء النيابة العامة واجب قانوني يُملي عليهم التحقيق في جريمة التعذيب التي يرتكبها موظفون </w:t>
      </w:r>
      <w:proofErr w:type="spellStart"/>
      <w:r>
        <w:rPr>
          <w:rtl/>
          <w:lang w:eastAsia="en-US"/>
        </w:rPr>
        <w:t>عمومي</w:t>
      </w:r>
      <w:r>
        <w:rPr>
          <w:rFonts w:hint="cs"/>
          <w:rtl/>
          <w:lang w:eastAsia="en-US"/>
        </w:rPr>
        <w:t>و</w:t>
      </w:r>
      <w:r>
        <w:rPr>
          <w:rtl/>
          <w:lang w:eastAsia="en-US"/>
        </w:rPr>
        <w:t>ن</w:t>
      </w:r>
      <w:proofErr w:type="spellEnd"/>
      <w:r>
        <w:rPr>
          <w:rFonts w:hint="cs"/>
          <w:rtl/>
          <w:lang w:eastAsia="en-US"/>
        </w:rPr>
        <w:t xml:space="preserve"> والملاحقة القضائية لمرتكبيها.</w:t>
      </w:r>
    </w:p>
    <w:p w:rsidR="00000000" w:rsidRDefault="00000000">
      <w:pPr>
        <w:spacing w:before="0" w:line="380" w:lineRule="exact"/>
        <w:jc w:val="both"/>
        <w:rPr>
          <w:rFonts w:hint="cs"/>
          <w:rtl/>
          <w:lang w:eastAsia="en-US"/>
        </w:rPr>
      </w:pPr>
      <w:r>
        <w:rPr>
          <w:rFonts w:hint="cs"/>
          <w:rtl/>
          <w:lang w:eastAsia="en-US"/>
        </w:rPr>
        <w:t>3-</w:t>
      </w:r>
      <w:r>
        <w:rPr>
          <w:rFonts w:hint="cs"/>
          <w:rtl/>
          <w:lang w:eastAsia="en-US"/>
        </w:rPr>
        <w:tab/>
        <w:t>والنيابة العامة في قطر هيئة قضائية مستقلة يرأسها النائب العام ويعاونه فيها محام عام أول أو أكثر وعدد كاف من أعضاء النيابة العامة، ويخضع أعضاء النيابة العامة في ممارسة اختصاصاتهم لإشراف رؤسائهم بحسب ترتيب وظائفهم، ولا يجوز مساءلة النيابة العامة عن نتائج أعمالها أو تصرفاتها في مجال ممارستها لوظائفها.</w:t>
      </w:r>
    </w:p>
    <w:p w:rsidR="00000000" w:rsidRDefault="00000000">
      <w:pPr>
        <w:spacing w:before="0" w:line="380" w:lineRule="exact"/>
        <w:jc w:val="both"/>
        <w:rPr>
          <w:rFonts w:hint="cs"/>
          <w:rtl/>
          <w:lang w:eastAsia="en-US"/>
        </w:rPr>
      </w:pPr>
      <w:r>
        <w:rPr>
          <w:rFonts w:hint="cs"/>
          <w:rtl/>
          <w:lang w:eastAsia="en-US"/>
        </w:rPr>
        <w:t>4-</w:t>
      </w:r>
      <w:r>
        <w:rPr>
          <w:rFonts w:hint="cs"/>
          <w:rtl/>
          <w:lang w:eastAsia="en-US"/>
        </w:rPr>
        <w:tab/>
        <w:t>تتولى النيابة العامة، ممارسة سلطتي التحقيق والاتهام ومباشرة الدعوى، واتخاذ جميع الإجراءات والتدابير المتعلقة بهما، وفقاً للقانون، ويكون لها بوجه خاص ما يلي:</w:t>
      </w:r>
    </w:p>
    <w:p w:rsidR="00000000" w:rsidRDefault="00000000">
      <w:pPr>
        <w:spacing w:before="0" w:line="380" w:lineRule="exact"/>
        <w:jc w:val="both"/>
        <w:rPr>
          <w:rFonts w:hint="cs"/>
          <w:rtl/>
          <w:lang w:eastAsia="en-US"/>
        </w:rPr>
      </w:pPr>
      <w:r>
        <w:rPr>
          <w:rFonts w:hint="cs"/>
          <w:rtl/>
          <w:lang w:eastAsia="en-US"/>
        </w:rPr>
        <w:tab/>
        <w:t>(أ)</w:t>
      </w:r>
      <w:r>
        <w:rPr>
          <w:rFonts w:hint="cs"/>
          <w:rtl/>
          <w:lang w:eastAsia="en-US"/>
        </w:rPr>
        <w:tab/>
        <w:t>التحقيق في الجرائم: ويجوز لها أن تندب مأموري الضبط القضائي، للقيام بذلك، ويكون مأمورو الضبط القضائي فيما يتعلق بمباشرة ما يندبون له من أعمال تابعين للنيابة العامة وخاضعين لإشرافها؛</w:t>
      </w:r>
    </w:p>
    <w:p w:rsidR="00000000" w:rsidRDefault="00000000">
      <w:pPr>
        <w:spacing w:before="0" w:line="380" w:lineRule="exact"/>
        <w:jc w:val="both"/>
        <w:rPr>
          <w:rFonts w:hint="cs"/>
          <w:lang w:eastAsia="en-US"/>
        </w:rPr>
      </w:pPr>
      <w:r>
        <w:rPr>
          <w:rFonts w:hint="cs"/>
          <w:rtl/>
          <w:lang w:eastAsia="en-US"/>
        </w:rPr>
        <w:tab/>
        <w:t>(ب)</w:t>
      </w:r>
      <w:r>
        <w:rPr>
          <w:rFonts w:hint="cs"/>
          <w:rtl/>
          <w:lang w:eastAsia="en-US"/>
        </w:rPr>
        <w:tab/>
        <w:t>تحريك الدعوى الجنائية ومباشرتها أمام المحاكم والطعن في الأحكام التي تصدر فيها؛</w:t>
      </w:r>
    </w:p>
    <w:p w:rsidR="00000000" w:rsidRDefault="00000000">
      <w:pPr>
        <w:spacing w:before="0" w:line="380" w:lineRule="exact"/>
        <w:jc w:val="both"/>
        <w:rPr>
          <w:rFonts w:hint="cs"/>
          <w:lang w:eastAsia="en-US"/>
        </w:rPr>
      </w:pPr>
      <w:r>
        <w:rPr>
          <w:rFonts w:hint="cs"/>
          <w:rtl/>
          <w:lang w:eastAsia="en-US"/>
        </w:rPr>
        <w:tab/>
        <w:t>(ج)</w:t>
      </w:r>
      <w:r>
        <w:rPr>
          <w:rFonts w:hint="cs"/>
          <w:rtl/>
          <w:lang w:eastAsia="en-US"/>
        </w:rPr>
        <w:tab/>
        <w:t>طلب إشهار إفلاس التجار، وتحقيق وقائع الإفلاس بالتقصير أو التدليس واتخاذ إجراءات تحريك الدعوى الجنائية فيها ومباشرتها طبقاً للقانون؛</w:t>
      </w:r>
    </w:p>
    <w:p w:rsidR="00000000" w:rsidRDefault="00000000">
      <w:pPr>
        <w:spacing w:before="0" w:line="380" w:lineRule="exact"/>
        <w:jc w:val="both"/>
        <w:rPr>
          <w:rFonts w:hint="cs"/>
          <w:lang w:eastAsia="en-US"/>
        </w:rPr>
      </w:pPr>
      <w:r>
        <w:rPr>
          <w:rFonts w:hint="cs"/>
          <w:rtl/>
          <w:lang w:eastAsia="en-US"/>
        </w:rPr>
        <w:tab/>
        <w:t>(د)</w:t>
      </w:r>
      <w:r>
        <w:rPr>
          <w:rFonts w:hint="cs"/>
          <w:rtl/>
          <w:lang w:eastAsia="en-US"/>
        </w:rPr>
        <w:tab/>
        <w:t>مباشرة دعوى الحسبة، التي ينص على اختصاصها بها؛</w:t>
      </w:r>
    </w:p>
    <w:p w:rsidR="00000000" w:rsidRDefault="00000000">
      <w:pPr>
        <w:spacing w:before="0" w:line="380" w:lineRule="exact"/>
        <w:jc w:val="both"/>
        <w:rPr>
          <w:rFonts w:hint="cs"/>
          <w:lang w:eastAsia="en-US"/>
        </w:rPr>
      </w:pPr>
      <w:r>
        <w:rPr>
          <w:rFonts w:hint="cs"/>
          <w:rtl/>
          <w:lang w:eastAsia="en-US"/>
        </w:rPr>
        <w:tab/>
        <w:t>(ه‍‍‍)</w:t>
      </w:r>
      <w:r>
        <w:rPr>
          <w:rFonts w:hint="cs"/>
          <w:rtl/>
          <w:lang w:eastAsia="en-US"/>
        </w:rPr>
        <w:tab/>
        <w:t xml:space="preserve">تحقيق طلبات سلب الولاية أو الحد منها أو وقفها أو ردها وطلبات تثبيت وتعيين الأوصياء، وطلبات الحجر، وإثبات الغيبة وغيرها من الأمور المتعلقة بعديمي الأهلية </w:t>
      </w:r>
      <w:proofErr w:type="spellStart"/>
      <w:r>
        <w:rPr>
          <w:rFonts w:hint="cs"/>
          <w:rtl/>
          <w:lang w:eastAsia="en-US"/>
        </w:rPr>
        <w:t>وناقصيها</w:t>
      </w:r>
      <w:proofErr w:type="spellEnd"/>
      <w:r>
        <w:rPr>
          <w:rFonts w:hint="cs"/>
          <w:rtl/>
          <w:lang w:eastAsia="en-US"/>
        </w:rPr>
        <w:t xml:space="preserve"> والغائبين والحمل المستكن؛</w:t>
      </w:r>
    </w:p>
    <w:p w:rsidR="00000000" w:rsidRDefault="00000000">
      <w:pPr>
        <w:spacing w:before="0" w:line="380" w:lineRule="exact"/>
        <w:jc w:val="both"/>
        <w:rPr>
          <w:rFonts w:hint="cs"/>
          <w:lang w:eastAsia="en-US"/>
        </w:rPr>
      </w:pPr>
      <w:r>
        <w:rPr>
          <w:rFonts w:hint="cs"/>
          <w:rtl/>
          <w:lang w:eastAsia="en-US"/>
        </w:rPr>
        <w:tab/>
        <w:t>(و)</w:t>
      </w:r>
      <w:r>
        <w:rPr>
          <w:rFonts w:hint="cs"/>
          <w:rtl/>
          <w:lang w:eastAsia="en-US"/>
        </w:rPr>
        <w:tab/>
        <w:t>الرقابة، بالتنسيق والتعاون مع الجهات المختصة، على الدور المخصصة للأحداث وعلى السجون وغيرها من أماكن الحبس، وذلك بعمل زيارات دورية ومفاجئة لها والاطلاع على دفاترها، وأوامر القبض والحبس، وتلقي شكاوى المحبوسين والتحقيق فيها واتخاذ ما تراه مناسباً بشأنها؛</w:t>
      </w:r>
    </w:p>
    <w:p w:rsidR="00000000" w:rsidRDefault="00000000">
      <w:pPr>
        <w:spacing w:before="0" w:line="380" w:lineRule="exact"/>
        <w:jc w:val="both"/>
        <w:rPr>
          <w:rFonts w:hint="cs"/>
          <w:lang w:eastAsia="en-US"/>
        </w:rPr>
      </w:pPr>
      <w:r>
        <w:rPr>
          <w:rFonts w:hint="cs"/>
          <w:rtl/>
          <w:lang w:eastAsia="en-US"/>
        </w:rPr>
        <w:tab/>
        <w:t>(ز)</w:t>
      </w:r>
      <w:r>
        <w:rPr>
          <w:rFonts w:hint="cs"/>
          <w:rtl/>
          <w:lang w:eastAsia="en-US"/>
        </w:rPr>
        <w:tab/>
      </w:r>
      <w:r>
        <w:rPr>
          <w:rFonts w:hint="cs"/>
          <w:spacing w:val="2"/>
          <w:rtl/>
          <w:lang w:eastAsia="en-US"/>
        </w:rPr>
        <w:t xml:space="preserve">التصرف في </w:t>
      </w:r>
      <w:proofErr w:type="spellStart"/>
      <w:r>
        <w:rPr>
          <w:rFonts w:hint="cs"/>
          <w:spacing w:val="2"/>
          <w:rtl/>
          <w:lang w:eastAsia="en-US"/>
        </w:rPr>
        <w:t>المضبوطات</w:t>
      </w:r>
      <w:proofErr w:type="spellEnd"/>
      <w:r>
        <w:rPr>
          <w:rFonts w:hint="cs"/>
          <w:spacing w:val="2"/>
          <w:rtl/>
          <w:lang w:eastAsia="en-US"/>
        </w:rPr>
        <w:t xml:space="preserve"> والإشراف على تحصيل الغرامات وتلقي الأمانات والودائع والتصرف فيها</w:t>
      </w:r>
      <w:r>
        <w:rPr>
          <w:rFonts w:hint="cs"/>
          <w:rtl/>
          <w:lang w:eastAsia="en-US"/>
        </w:rPr>
        <w:t>؛</w:t>
      </w:r>
    </w:p>
    <w:p w:rsidR="00000000" w:rsidRDefault="00000000">
      <w:pPr>
        <w:spacing w:before="0" w:line="380" w:lineRule="exact"/>
        <w:jc w:val="both"/>
        <w:rPr>
          <w:rFonts w:hint="cs"/>
          <w:lang w:eastAsia="en-US"/>
        </w:rPr>
      </w:pPr>
      <w:r>
        <w:rPr>
          <w:rFonts w:hint="cs"/>
          <w:rtl/>
          <w:lang w:eastAsia="en-US"/>
        </w:rPr>
        <w:tab/>
        <w:t>(ح)</w:t>
      </w:r>
      <w:r>
        <w:rPr>
          <w:rFonts w:hint="cs"/>
          <w:rtl/>
          <w:lang w:eastAsia="en-US"/>
        </w:rPr>
        <w:tab/>
        <w:t>أي اختصاصات ينص عليها القانون.</w:t>
      </w:r>
    </w:p>
    <w:p w:rsidR="00000000" w:rsidRDefault="00000000">
      <w:pPr>
        <w:spacing w:before="0" w:line="380" w:lineRule="exact"/>
        <w:jc w:val="both"/>
        <w:rPr>
          <w:rFonts w:hint="cs"/>
          <w:rtl/>
          <w:lang w:eastAsia="en-US"/>
        </w:rPr>
      </w:pPr>
      <w:r>
        <w:rPr>
          <w:rFonts w:hint="cs"/>
          <w:rtl/>
          <w:lang w:eastAsia="en-US"/>
        </w:rPr>
        <w:t>5-</w:t>
      </w:r>
      <w:r>
        <w:rPr>
          <w:rFonts w:hint="cs"/>
          <w:rtl/>
          <w:lang w:eastAsia="en-US"/>
        </w:rPr>
        <w:tab/>
        <w:t>والنائب العام يعين بأمر أميري ويكون بدرجة وزير، ويتم تعيين باقي أعضاء النيابة العامة بمرسوم بناءً على اقتراح النائب العام.</w:t>
      </w:r>
    </w:p>
    <w:p w:rsidR="00000000" w:rsidRDefault="00000000">
      <w:pPr>
        <w:spacing w:before="0" w:line="380" w:lineRule="exact"/>
        <w:jc w:val="center"/>
        <w:rPr>
          <w:rFonts w:hint="cs"/>
          <w:b/>
          <w:bCs/>
          <w:noProof/>
          <w:rtl/>
          <w:lang w:val="ar-SA"/>
        </w:rPr>
      </w:pPr>
      <w:r>
        <w:rPr>
          <w:rFonts w:hint="cs"/>
          <w:b/>
          <w:bCs/>
          <w:noProof/>
          <w:rtl/>
          <w:lang w:val="ar-SA"/>
        </w:rPr>
        <w:t>النظام القضائي</w:t>
      </w:r>
    </w:p>
    <w:p w:rsidR="00000000" w:rsidRDefault="00000000">
      <w:pPr>
        <w:spacing w:before="0" w:line="380" w:lineRule="exact"/>
        <w:jc w:val="both"/>
        <w:rPr>
          <w:rFonts w:hint="cs"/>
          <w:rtl/>
          <w:lang w:eastAsia="en-US"/>
        </w:rPr>
      </w:pPr>
      <w:r>
        <w:rPr>
          <w:rFonts w:hint="cs"/>
          <w:rtl/>
          <w:lang w:eastAsia="en-US"/>
        </w:rPr>
        <w:t>6-</w:t>
      </w:r>
      <w:r>
        <w:rPr>
          <w:rFonts w:hint="cs"/>
          <w:rtl/>
          <w:lang w:eastAsia="en-US"/>
        </w:rPr>
        <w:tab/>
        <w:t>يقع على عاتق القضاة دور خاص في حماية الحقوق الأساسية للأفراد وفقاً للاتفاقيات والمعاهدات التي أصبحت دولة قطر طرفاً فيها. ومبدأ استقلال القضاء يكفل للسلطة القضائية ضمان سير الإجراءات القضائية بعدالة واحترام حقوق الأطراف.</w:t>
      </w:r>
    </w:p>
    <w:p w:rsidR="00000000" w:rsidRDefault="00000000">
      <w:pPr>
        <w:spacing w:before="0" w:line="380" w:lineRule="exact"/>
        <w:jc w:val="both"/>
        <w:rPr>
          <w:rtl/>
          <w:lang w:eastAsia="en-US"/>
        </w:rPr>
      </w:pPr>
      <w:r>
        <w:rPr>
          <w:rFonts w:hint="cs"/>
          <w:rtl/>
          <w:lang w:eastAsia="en-US"/>
        </w:rPr>
        <w:t>7-</w:t>
      </w:r>
      <w:r>
        <w:rPr>
          <w:rFonts w:hint="cs"/>
          <w:rtl/>
          <w:lang w:eastAsia="en-US"/>
        </w:rPr>
        <w:tab/>
      </w:r>
      <w:r>
        <w:rPr>
          <w:rFonts w:hint="cs"/>
          <w:spacing w:val="2"/>
          <w:rtl/>
          <w:lang w:eastAsia="en-US"/>
        </w:rPr>
        <w:t>و</w:t>
      </w:r>
      <w:r>
        <w:rPr>
          <w:spacing w:val="2"/>
          <w:rtl/>
          <w:lang w:eastAsia="en-US"/>
        </w:rPr>
        <w:t>القضاء في دولة قطر مستقل وقد نص دستور دولة قطر على ذلك في مادته 130</w:t>
      </w:r>
      <w:r>
        <w:rPr>
          <w:rFonts w:hint="cs"/>
          <w:spacing w:val="2"/>
          <w:rtl/>
          <w:lang w:eastAsia="en-US"/>
        </w:rPr>
        <w:t>:</w:t>
      </w:r>
      <w:r>
        <w:rPr>
          <w:spacing w:val="2"/>
          <w:rtl/>
          <w:lang w:eastAsia="en-US"/>
        </w:rPr>
        <w:t xml:space="preserve"> "السلطة القضائية مستقلة وتتولاها المحاكم على اختلاف أنواعها ودرجاتها، وتصدر أحكامها وفق القانون"</w:t>
      </w:r>
      <w:r>
        <w:rPr>
          <w:rFonts w:hint="cs"/>
          <w:spacing w:val="2"/>
          <w:rtl/>
          <w:lang w:eastAsia="en-US"/>
        </w:rPr>
        <w:t>.</w:t>
      </w:r>
      <w:r>
        <w:rPr>
          <w:spacing w:val="2"/>
          <w:rtl/>
          <w:lang w:eastAsia="en-US"/>
        </w:rPr>
        <w:t xml:space="preserve"> كما تنص المادة 131 على </w:t>
      </w:r>
      <w:r>
        <w:rPr>
          <w:rFonts w:hint="cs"/>
          <w:spacing w:val="2"/>
          <w:rtl/>
          <w:lang w:eastAsia="en-US"/>
        </w:rPr>
        <w:t>أن</w:t>
      </w:r>
      <w:r>
        <w:rPr>
          <w:spacing w:val="2"/>
          <w:rtl/>
          <w:lang w:eastAsia="en-US"/>
        </w:rPr>
        <w:t xml:space="preserve"> </w:t>
      </w:r>
      <w:r>
        <w:rPr>
          <w:rFonts w:hint="cs"/>
          <w:spacing w:val="2"/>
          <w:rtl/>
          <w:lang w:eastAsia="en-US"/>
        </w:rPr>
        <w:t>"</w:t>
      </w:r>
      <w:r>
        <w:rPr>
          <w:spacing w:val="2"/>
          <w:rtl/>
          <w:lang w:eastAsia="en-US"/>
        </w:rPr>
        <w:t>القضاة مستقلون، لا سلطا</w:t>
      </w:r>
      <w:r>
        <w:rPr>
          <w:rFonts w:hint="cs"/>
          <w:spacing w:val="2"/>
          <w:rtl/>
          <w:lang w:eastAsia="en-US"/>
        </w:rPr>
        <w:t>ن</w:t>
      </w:r>
      <w:r>
        <w:rPr>
          <w:spacing w:val="2"/>
          <w:rtl/>
          <w:lang w:eastAsia="en-US"/>
        </w:rPr>
        <w:t xml:space="preserve"> عليهم في قضائهم لغير القانون، ولا يجوز لأية جهة التدخل في القضايا أو في سير العدالة". وكذلك المادة 2 من قانون السلطة القضائية </w:t>
      </w:r>
      <w:r>
        <w:rPr>
          <w:rFonts w:hint="cs"/>
          <w:spacing w:val="2"/>
          <w:rtl/>
          <w:lang w:eastAsia="en-US"/>
        </w:rPr>
        <w:t xml:space="preserve">رقم 10 لسنة 2003 </w:t>
      </w:r>
      <w:r>
        <w:rPr>
          <w:spacing w:val="2"/>
          <w:rtl/>
          <w:lang w:eastAsia="en-US"/>
        </w:rPr>
        <w:t>والتي تنص على</w:t>
      </w:r>
      <w:r>
        <w:rPr>
          <w:rFonts w:hint="cs"/>
          <w:spacing w:val="2"/>
          <w:rtl/>
          <w:lang w:eastAsia="en-US"/>
        </w:rPr>
        <w:t>:</w:t>
      </w:r>
      <w:r>
        <w:rPr>
          <w:spacing w:val="2"/>
          <w:rtl/>
          <w:lang w:eastAsia="en-US"/>
        </w:rPr>
        <w:t xml:space="preserve"> "القضاة مستقلون، وغير قابلين للعزل إلا وفقاً لأحكام هذا القانون، ولا يجوز المساس باستقلال القضاء، أو التدخل في ش</w:t>
      </w:r>
      <w:r>
        <w:rPr>
          <w:rFonts w:hint="cs"/>
          <w:spacing w:val="2"/>
          <w:rtl/>
          <w:lang w:eastAsia="en-US"/>
        </w:rPr>
        <w:t>ؤ</w:t>
      </w:r>
      <w:r>
        <w:rPr>
          <w:spacing w:val="2"/>
          <w:rtl/>
          <w:lang w:eastAsia="en-US"/>
        </w:rPr>
        <w:t>ون العدالة".</w:t>
      </w:r>
    </w:p>
    <w:p w:rsidR="00000000" w:rsidRDefault="00000000">
      <w:pPr>
        <w:spacing w:before="0" w:line="380" w:lineRule="exact"/>
        <w:jc w:val="both"/>
        <w:rPr>
          <w:rtl/>
          <w:lang w:eastAsia="en-US"/>
        </w:rPr>
      </w:pPr>
      <w:r>
        <w:rPr>
          <w:rFonts w:hint="cs"/>
          <w:rtl/>
          <w:lang w:eastAsia="en-US"/>
        </w:rPr>
        <w:t>8-</w:t>
      </w:r>
      <w:r>
        <w:rPr>
          <w:rFonts w:hint="cs"/>
          <w:rtl/>
          <w:lang w:eastAsia="en-US"/>
        </w:rPr>
        <w:tab/>
      </w:r>
      <w:r>
        <w:rPr>
          <w:rtl/>
          <w:lang w:eastAsia="en-US"/>
        </w:rPr>
        <w:t xml:space="preserve">ويعمل المجلس الأعلى للقضاء على تحقيق هذه الاستقلالية، والذي يتولى بجانب هذه </w:t>
      </w:r>
      <w:r>
        <w:rPr>
          <w:rFonts w:hint="cs"/>
          <w:rtl/>
          <w:lang w:eastAsia="en-US"/>
        </w:rPr>
        <w:t>السلطة</w:t>
      </w:r>
      <w:r>
        <w:rPr>
          <w:rtl/>
          <w:lang w:eastAsia="en-US"/>
        </w:rPr>
        <w:t>، الاختصاصات التالية:</w:t>
      </w:r>
    </w:p>
    <w:p w:rsidR="00000000" w:rsidRDefault="00000000">
      <w:pPr>
        <w:spacing w:before="0" w:line="380" w:lineRule="exact"/>
        <w:jc w:val="both"/>
        <w:rPr>
          <w:rtl/>
          <w:lang w:eastAsia="en-US"/>
        </w:rPr>
      </w:pPr>
      <w:r>
        <w:rPr>
          <w:rFonts w:hint="cs"/>
          <w:rtl/>
          <w:lang w:eastAsia="en-US"/>
        </w:rPr>
        <w:tab/>
        <w:t>(أ)</w:t>
      </w:r>
      <w:r>
        <w:rPr>
          <w:rFonts w:hint="cs"/>
          <w:rtl/>
          <w:lang w:eastAsia="en-US"/>
        </w:rPr>
        <w:tab/>
      </w:r>
      <w:r>
        <w:rPr>
          <w:rtl/>
          <w:lang w:eastAsia="en-US"/>
        </w:rPr>
        <w:t>إبداء الرأي في المسائل المتعلقة بالقضاء، ودراسة واقتراح التشريعات الخاصة بتطوير النظام القضائي.</w:t>
      </w:r>
    </w:p>
    <w:p w:rsidR="00000000" w:rsidRDefault="00000000">
      <w:pPr>
        <w:spacing w:before="0" w:line="380" w:lineRule="exact"/>
        <w:jc w:val="both"/>
        <w:rPr>
          <w:rtl/>
          <w:lang w:eastAsia="en-US"/>
        </w:rPr>
      </w:pPr>
      <w:r>
        <w:rPr>
          <w:rFonts w:hint="cs"/>
          <w:rtl/>
          <w:lang w:eastAsia="en-US"/>
        </w:rPr>
        <w:tab/>
        <w:t>(ب)</w:t>
      </w:r>
      <w:r>
        <w:rPr>
          <w:rFonts w:hint="cs"/>
          <w:rtl/>
          <w:lang w:eastAsia="en-US"/>
        </w:rPr>
        <w:tab/>
      </w:r>
      <w:r>
        <w:rPr>
          <w:rtl/>
          <w:lang w:eastAsia="en-US"/>
        </w:rPr>
        <w:t>إبداء الرأي في تعيين القضاة وترقيتهم ونقلهم وندبهم وإعارتهم وفقاً لأحكام هذا القانون.</w:t>
      </w:r>
    </w:p>
    <w:p w:rsidR="00000000" w:rsidRDefault="00000000">
      <w:pPr>
        <w:spacing w:before="0" w:line="380" w:lineRule="exact"/>
        <w:jc w:val="both"/>
        <w:rPr>
          <w:rtl/>
          <w:lang w:eastAsia="en-US"/>
        </w:rPr>
      </w:pPr>
      <w:r>
        <w:rPr>
          <w:rFonts w:hint="cs"/>
          <w:rtl/>
          <w:lang w:eastAsia="en-US"/>
        </w:rPr>
        <w:tab/>
        <w:t>(ج)</w:t>
      </w:r>
      <w:r>
        <w:rPr>
          <w:rFonts w:hint="cs"/>
          <w:rtl/>
          <w:lang w:eastAsia="en-US"/>
        </w:rPr>
        <w:tab/>
      </w:r>
      <w:r>
        <w:rPr>
          <w:rtl/>
          <w:lang w:eastAsia="en-US"/>
        </w:rPr>
        <w:t xml:space="preserve">النظر في </w:t>
      </w:r>
      <w:proofErr w:type="spellStart"/>
      <w:r>
        <w:rPr>
          <w:rtl/>
          <w:lang w:eastAsia="en-US"/>
        </w:rPr>
        <w:t>التظلمات</w:t>
      </w:r>
      <w:proofErr w:type="spellEnd"/>
      <w:r>
        <w:rPr>
          <w:rtl/>
          <w:lang w:eastAsia="en-US"/>
        </w:rPr>
        <w:t xml:space="preserve"> المتعلقة بش</w:t>
      </w:r>
      <w:r>
        <w:rPr>
          <w:rFonts w:hint="cs"/>
          <w:rtl/>
          <w:lang w:eastAsia="en-US"/>
        </w:rPr>
        <w:t>ؤ</w:t>
      </w:r>
      <w:r>
        <w:rPr>
          <w:rtl/>
          <w:lang w:eastAsia="en-US"/>
        </w:rPr>
        <w:t>ون رجال القضاء، ويكون قرار المجلس بشأنها نهائياً.</w:t>
      </w:r>
    </w:p>
    <w:p w:rsidR="00000000" w:rsidRDefault="00000000">
      <w:pPr>
        <w:spacing w:before="0" w:line="380" w:lineRule="exact"/>
        <w:jc w:val="both"/>
        <w:rPr>
          <w:rFonts w:hint="cs"/>
          <w:rtl/>
          <w:lang w:eastAsia="en-US"/>
        </w:rPr>
      </w:pPr>
      <w:r>
        <w:rPr>
          <w:rFonts w:hint="cs"/>
          <w:rtl/>
          <w:lang w:eastAsia="en-US"/>
        </w:rPr>
        <w:tab/>
        <w:t>(د)</w:t>
      </w:r>
      <w:r>
        <w:rPr>
          <w:rFonts w:hint="cs"/>
          <w:rtl/>
          <w:lang w:eastAsia="en-US"/>
        </w:rPr>
        <w:tab/>
      </w:r>
      <w:r>
        <w:rPr>
          <w:rtl/>
          <w:lang w:eastAsia="en-US"/>
        </w:rPr>
        <w:t>ندب رئيس محكمة الاستئناف ورؤساء الدوائر بها.</w:t>
      </w:r>
    </w:p>
    <w:p w:rsidR="00000000" w:rsidRDefault="00000000">
      <w:pPr>
        <w:spacing w:before="0" w:line="380" w:lineRule="exact"/>
        <w:jc w:val="both"/>
        <w:rPr>
          <w:rtl/>
          <w:lang w:eastAsia="en-US"/>
        </w:rPr>
      </w:pPr>
      <w:r>
        <w:rPr>
          <w:rFonts w:hint="cs"/>
          <w:rtl/>
          <w:lang w:eastAsia="en-US"/>
        </w:rPr>
        <w:tab/>
        <w:t>(ه‍‍‍)</w:t>
      </w:r>
      <w:r>
        <w:rPr>
          <w:rFonts w:hint="cs"/>
          <w:rtl/>
          <w:lang w:eastAsia="en-US"/>
        </w:rPr>
        <w:tab/>
      </w:r>
      <w:r>
        <w:rPr>
          <w:rtl/>
          <w:lang w:eastAsia="en-US"/>
        </w:rPr>
        <w:t>الاختصاصات الأخرى التي يعهد إليه بها أي قانون آخر، والموضوعات التي يرى رئيس المجلس عرضها عليه.</w:t>
      </w:r>
    </w:p>
    <w:p w:rsidR="00000000" w:rsidRDefault="00000000">
      <w:pPr>
        <w:spacing w:before="0" w:line="380" w:lineRule="exact"/>
        <w:jc w:val="both"/>
        <w:rPr>
          <w:rFonts w:hint="cs"/>
          <w:rtl/>
          <w:lang w:eastAsia="en-US"/>
        </w:rPr>
      </w:pPr>
      <w:r>
        <w:rPr>
          <w:rFonts w:hint="cs"/>
          <w:rtl/>
          <w:lang w:eastAsia="en-US"/>
        </w:rPr>
        <w:t>9-</w:t>
      </w:r>
      <w:r>
        <w:rPr>
          <w:rFonts w:hint="cs"/>
          <w:rtl/>
          <w:lang w:eastAsia="en-US"/>
        </w:rPr>
        <w:tab/>
      </w:r>
      <w:r>
        <w:rPr>
          <w:rtl/>
          <w:lang w:eastAsia="en-US"/>
        </w:rPr>
        <w:t>وقد تناول القانون أعلاه ترتيب المحاكم وتنظيمها حيث نص في المادة 4 منه على أن تتكون المحاكم من:</w:t>
      </w:r>
    </w:p>
    <w:p w:rsidR="00000000" w:rsidRDefault="00000000">
      <w:pPr>
        <w:spacing w:before="0" w:line="380" w:lineRule="exact"/>
        <w:jc w:val="both"/>
        <w:rPr>
          <w:rFonts w:hint="cs"/>
          <w:rtl/>
          <w:lang w:eastAsia="en-US"/>
        </w:rPr>
      </w:pPr>
      <w:r>
        <w:rPr>
          <w:rFonts w:hint="cs"/>
          <w:rtl/>
          <w:lang w:eastAsia="en-US"/>
        </w:rPr>
        <w:tab/>
        <w:t>(أ)</w:t>
      </w:r>
      <w:r>
        <w:rPr>
          <w:rFonts w:hint="cs"/>
          <w:rtl/>
          <w:lang w:eastAsia="en-US"/>
        </w:rPr>
        <w:tab/>
        <w:t>محكمة</w:t>
      </w:r>
      <w:r>
        <w:rPr>
          <w:rtl/>
          <w:lang w:eastAsia="en-US"/>
        </w:rPr>
        <w:t xml:space="preserve"> التمييز</w:t>
      </w:r>
    </w:p>
    <w:p w:rsidR="00000000" w:rsidRDefault="00000000">
      <w:pPr>
        <w:spacing w:before="0" w:line="380" w:lineRule="exact"/>
        <w:jc w:val="both"/>
        <w:rPr>
          <w:rtl/>
          <w:lang w:eastAsia="en-US"/>
        </w:rPr>
      </w:pPr>
      <w:r>
        <w:rPr>
          <w:rFonts w:hint="cs"/>
          <w:rtl/>
          <w:lang w:eastAsia="en-US"/>
        </w:rPr>
        <w:tab/>
      </w:r>
      <w:r>
        <w:rPr>
          <w:rtl/>
          <w:lang w:eastAsia="en-US"/>
        </w:rPr>
        <w:t>تتألف هذه المحكمة من رئيس وعدد كاف من نواب الرئيس والمستشارين</w:t>
      </w:r>
      <w:r>
        <w:rPr>
          <w:rFonts w:hint="cs"/>
          <w:rtl/>
          <w:lang w:eastAsia="en-US"/>
        </w:rPr>
        <w:t>.</w:t>
      </w:r>
      <w:r>
        <w:rPr>
          <w:rtl/>
          <w:lang w:eastAsia="en-US"/>
        </w:rPr>
        <w:t xml:space="preserve"> ويكون بها دوائر لنظر الطعون بالتمييز في الأحكام الصادرة من محكمة الاستئناف</w:t>
      </w:r>
      <w:r>
        <w:rPr>
          <w:rFonts w:hint="cs"/>
          <w:rtl/>
          <w:lang w:eastAsia="en-US"/>
        </w:rPr>
        <w:t>.</w:t>
      </w:r>
      <w:r>
        <w:rPr>
          <w:rtl/>
          <w:lang w:eastAsia="en-US"/>
        </w:rPr>
        <w:t xml:space="preserve"> ويرأس كل دائرة رئيس المحكمة أو أحد نواب الرئيس أو أقدم المستشارين</w:t>
      </w:r>
      <w:r>
        <w:rPr>
          <w:rFonts w:hint="cs"/>
          <w:rtl/>
          <w:lang w:eastAsia="en-US"/>
        </w:rPr>
        <w:t>.</w:t>
      </w:r>
      <w:r>
        <w:rPr>
          <w:rtl/>
          <w:lang w:eastAsia="en-US"/>
        </w:rPr>
        <w:t xml:space="preserve"> ويصدر بإنشاء الدوائر وتحديد اختصاصاتها قرار من المجلس الأعلى للقضاء.</w:t>
      </w:r>
    </w:p>
    <w:p w:rsidR="00000000" w:rsidRDefault="00000000">
      <w:pPr>
        <w:spacing w:before="0" w:line="380" w:lineRule="exact"/>
        <w:jc w:val="both"/>
        <w:rPr>
          <w:rFonts w:hint="cs"/>
          <w:rtl/>
          <w:lang w:eastAsia="en-US"/>
        </w:rPr>
      </w:pPr>
      <w:r>
        <w:rPr>
          <w:rtl/>
          <w:lang w:eastAsia="en-US"/>
        </w:rPr>
        <w:br w:type="page"/>
      </w:r>
      <w:r>
        <w:rPr>
          <w:rFonts w:hint="cs"/>
          <w:rtl/>
          <w:lang w:eastAsia="en-US"/>
        </w:rPr>
        <w:tab/>
        <w:t>(ب)</w:t>
      </w:r>
      <w:r>
        <w:rPr>
          <w:rFonts w:hint="cs"/>
          <w:rtl/>
          <w:lang w:eastAsia="en-US"/>
        </w:rPr>
        <w:tab/>
      </w:r>
      <w:r>
        <w:rPr>
          <w:rtl/>
          <w:lang w:eastAsia="en-US"/>
        </w:rPr>
        <w:t>محكمة الاستئناف</w:t>
      </w:r>
    </w:p>
    <w:p w:rsidR="00000000" w:rsidRDefault="00000000">
      <w:pPr>
        <w:spacing w:before="0" w:line="380" w:lineRule="exact"/>
        <w:jc w:val="both"/>
        <w:rPr>
          <w:rtl/>
          <w:lang w:eastAsia="en-US"/>
        </w:rPr>
      </w:pPr>
      <w:r>
        <w:rPr>
          <w:rFonts w:hint="cs"/>
          <w:rtl/>
          <w:lang w:eastAsia="en-US"/>
        </w:rPr>
        <w:tab/>
      </w:r>
      <w:r>
        <w:rPr>
          <w:rtl/>
          <w:lang w:eastAsia="en-US"/>
        </w:rPr>
        <w:t>تتألف من رئيس وعدد كاف من نواب الرئيس والمستشارين، ويكون بها دوائر لنظر الطعون الاستئنافية في قضايا الحدود والقصاص، والمواد الجنائية، والمواد المدنية والتجارية، والأحوال الشخصية، والتركات، وغيرها، ويصدر بإنشاء الدوائر وتحديد اختصاصاتها قرار من المجلس الأعلى.</w:t>
      </w:r>
    </w:p>
    <w:p w:rsidR="00000000" w:rsidRDefault="00000000">
      <w:pPr>
        <w:spacing w:before="0" w:line="380" w:lineRule="exact"/>
        <w:jc w:val="both"/>
        <w:rPr>
          <w:rtl/>
          <w:lang w:eastAsia="en-US"/>
        </w:rPr>
      </w:pPr>
      <w:r>
        <w:rPr>
          <w:rFonts w:hint="cs"/>
          <w:rtl/>
          <w:lang w:eastAsia="en-US"/>
        </w:rPr>
        <w:tab/>
      </w:r>
      <w:r>
        <w:rPr>
          <w:rtl/>
          <w:lang w:eastAsia="en-US"/>
        </w:rPr>
        <w:t>ويرأس كل دائرة رئيس المحكمة أو أحد نواب الرئيس أو أقدم المستشارين</w:t>
      </w:r>
      <w:r>
        <w:rPr>
          <w:rFonts w:hint="cs"/>
          <w:rtl/>
          <w:lang w:eastAsia="en-US"/>
        </w:rPr>
        <w:t>.</w:t>
      </w:r>
      <w:r>
        <w:rPr>
          <w:rtl/>
          <w:lang w:eastAsia="en-US"/>
        </w:rPr>
        <w:t xml:space="preserve"> ويصدر بتوزيع نواب الرئيس والمستشارين على الدوائر قرار من رئيس المحكمة، وتصدر الأحكام من ثلاث</w:t>
      </w:r>
      <w:r>
        <w:rPr>
          <w:rFonts w:hint="cs"/>
          <w:rtl/>
          <w:lang w:eastAsia="en-US"/>
        </w:rPr>
        <w:t>ة</w:t>
      </w:r>
      <w:r>
        <w:rPr>
          <w:rtl/>
          <w:lang w:eastAsia="en-US"/>
        </w:rPr>
        <w:t xml:space="preserve"> مستشارين.</w:t>
      </w:r>
    </w:p>
    <w:p w:rsidR="00000000" w:rsidRDefault="00000000">
      <w:pPr>
        <w:spacing w:before="0" w:line="380" w:lineRule="exact"/>
        <w:jc w:val="both"/>
        <w:rPr>
          <w:rFonts w:hint="cs"/>
          <w:rtl/>
          <w:lang w:eastAsia="en-US"/>
        </w:rPr>
      </w:pPr>
      <w:r>
        <w:rPr>
          <w:rFonts w:hint="cs"/>
          <w:rtl/>
          <w:lang w:eastAsia="en-US"/>
        </w:rPr>
        <w:tab/>
        <w:t>(ج)</w:t>
      </w:r>
      <w:r>
        <w:rPr>
          <w:rFonts w:hint="cs"/>
          <w:rtl/>
          <w:lang w:eastAsia="en-US"/>
        </w:rPr>
        <w:tab/>
      </w:r>
      <w:r>
        <w:rPr>
          <w:rtl/>
          <w:lang w:eastAsia="en-US"/>
        </w:rPr>
        <w:t>المحكمة الابتدائية</w:t>
      </w:r>
    </w:p>
    <w:p w:rsidR="00000000" w:rsidRDefault="00000000">
      <w:pPr>
        <w:spacing w:before="0" w:line="380" w:lineRule="exact"/>
        <w:jc w:val="both"/>
        <w:rPr>
          <w:rtl/>
          <w:lang w:eastAsia="en-US"/>
        </w:rPr>
      </w:pPr>
      <w:r>
        <w:rPr>
          <w:rFonts w:hint="cs"/>
          <w:rtl/>
          <w:lang w:eastAsia="en-US"/>
        </w:rPr>
        <w:tab/>
      </w:r>
      <w:r>
        <w:rPr>
          <w:rtl/>
          <w:lang w:eastAsia="en-US"/>
        </w:rPr>
        <w:t>تتألف من رئيس وعدد كاف من القضاة</w:t>
      </w:r>
      <w:r>
        <w:rPr>
          <w:rFonts w:hint="cs"/>
          <w:rtl/>
          <w:lang w:eastAsia="en-US"/>
        </w:rPr>
        <w:t>.</w:t>
      </w:r>
      <w:r>
        <w:rPr>
          <w:rtl/>
          <w:lang w:eastAsia="en-US"/>
        </w:rPr>
        <w:t xml:space="preserve"> ويكون بها دوائر لنظر قضايا الحدود والقصاص، والمواد الجنائية، والمواد المدنية والتجارية، والأحوال الشخصية، والتركات، وغيرها.</w:t>
      </w:r>
    </w:p>
    <w:p w:rsidR="00000000" w:rsidRDefault="00000000">
      <w:pPr>
        <w:spacing w:before="0" w:line="380" w:lineRule="exact"/>
        <w:jc w:val="both"/>
        <w:rPr>
          <w:rtl/>
          <w:lang w:eastAsia="en-US"/>
        </w:rPr>
      </w:pPr>
      <w:r>
        <w:rPr>
          <w:rFonts w:hint="cs"/>
          <w:rtl/>
          <w:lang w:eastAsia="en-US"/>
        </w:rPr>
        <w:tab/>
      </w:r>
      <w:r>
        <w:rPr>
          <w:rtl/>
          <w:lang w:eastAsia="en-US"/>
        </w:rPr>
        <w:t>ويصدر بإنشاء هذه الدوائر وتحديد اختصاصاتها قرار من المجلس الأعلى</w:t>
      </w:r>
      <w:r>
        <w:rPr>
          <w:rFonts w:hint="cs"/>
          <w:rtl/>
          <w:lang w:eastAsia="en-US"/>
        </w:rPr>
        <w:t>.</w:t>
      </w:r>
      <w:r>
        <w:rPr>
          <w:rtl/>
          <w:lang w:eastAsia="en-US"/>
        </w:rPr>
        <w:t xml:space="preserve"> ويندب المجلس لرئاسة المحكمة ودوائرها من يختارهم من المستشارين والقضاة، ويكون ندبهم لمدة ثلاث سنوات قابلة للتجديد</w:t>
      </w:r>
      <w:r>
        <w:rPr>
          <w:rFonts w:hint="cs"/>
          <w:rtl/>
          <w:lang w:eastAsia="en-US"/>
        </w:rPr>
        <w:t>.</w:t>
      </w:r>
      <w:r>
        <w:rPr>
          <w:rtl/>
          <w:lang w:eastAsia="en-US"/>
        </w:rPr>
        <w:t xml:space="preserve"> ويصدر بتوزيع القضاة على هذه الدوائر قرار من رئيس المحكمة وتصدر الأحكام من ثلاثة قضاة</w:t>
      </w:r>
      <w:r>
        <w:rPr>
          <w:rFonts w:hint="cs"/>
          <w:rtl/>
          <w:lang w:eastAsia="en-US"/>
        </w:rPr>
        <w:t>.</w:t>
      </w:r>
      <w:r>
        <w:rPr>
          <w:rtl/>
          <w:lang w:eastAsia="en-US"/>
        </w:rPr>
        <w:t xml:space="preserve"> </w:t>
      </w:r>
    </w:p>
    <w:p w:rsidR="00000000" w:rsidRDefault="00000000">
      <w:pPr>
        <w:spacing w:before="0" w:line="380" w:lineRule="exact"/>
        <w:jc w:val="both"/>
        <w:rPr>
          <w:rtl/>
          <w:lang w:eastAsia="en-US"/>
        </w:rPr>
      </w:pPr>
      <w:r>
        <w:rPr>
          <w:rFonts w:hint="cs"/>
          <w:rtl/>
          <w:lang w:eastAsia="en-US"/>
        </w:rPr>
        <w:tab/>
      </w:r>
      <w:r>
        <w:rPr>
          <w:rtl/>
          <w:lang w:eastAsia="en-US"/>
        </w:rPr>
        <w:t>وهذه المحاكم لها موازنة تلحق بالموازنة العامة للدولة</w:t>
      </w:r>
      <w:r>
        <w:rPr>
          <w:rFonts w:hint="cs"/>
          <w:rtl/>
          <w:lang w:eastAsia="en-US"/>
        </w:rPr>
        <w:t>.</w:t>
      </w:r>
      <w:r>
        <w:rPr>
          <w:rtl/>
          <w:lang w:eastAsia="en-US"/>
        </w:rPr>
        <w:t xml:space="preserve"> وتصدر الأحكام بها وتنفذ باسم الأمير.</w:t>
      </w:r>
    </w:p>
    <w:p w:rsidR="00000000" w:rsidRDefault="00000000">
      <w:pPr>
        <w:spacing w:before="0" w:line="380" w:lineRule="exact"/>
        <w:jc w:val="both"/>
        <w:rPr>
          <w:rtl/>
          <w:lang w:eastAsia="en-US"/>
        </w:rPr>
      </w:pPr>
      <w:r>
        <w:rPr>
          <w:rFonts w:hint="cs"/>
          <w:rtl/>
          <w:lang w:eastAsia="en-US"/>
        </w:rPr>
        <w:tab/>
      </w:r>
      <w:r>
        <w:rPr>
          <w:rtl/>
          <w:lang w:eastAsia="en-US"/>
        </w:rPr>
        <w:t>مما تقدم يتضح بأنه لا سلطا</w:t>
      </w:r>
      <w:r>
        <w:rPr>
          <w:rFonts w:hint="cs"/>
          <w:rtl/>
          <w:lang w:eastAsia="en-US"/>
        </w:rPr>
        <w:t>ن</w:t>
      </w:r>
      <w:r>
        <w:rPr>
          <w:rtl/>
          <w:lang w:eastAsia="en-US"/>
        </w:rPr>
        <w:t xml:space="preserve"> لأي جهة على القاضي في قضائه، وأن استقلالية القضاء مكفولة بموجب القانون.</w:t>
      </w:r>
    </w:p>
    <w:p w:rsidR="00000000" w:rsidRDefault="00000000">
      <w:pPr>
        <w:spacing w:before="0" w:line="380" w:lineRule="exact"/>
        <w:jc w:val="both"/>
        <w:rPr>
          <w:rFonts w:hint="cs"/>
          <w:spacing w:val="2"/>
          <w:rtl/>
          <w:lang w:eastAsia="en-US"/>
        </w:rPr>
      </w:pPr>
      <w:r>
        <w:rPr>
          <w:rFonts w:hint="cs"/>
          <w:rtl/>
          <w:lang w:eastAsia="en-US"/>
        </w:rPr>
        <w:tab/>
      </w:r>
      <w:r>
        <w:rPr>
          <w:spacing w:val="2"/>
          <w:rtl/>
          <w:lang w:eastAsia="en-US"/>
        </w:rPr>
        <w:t xml:space="preserve">كما أن ترتيب المحاكم وتنظيمها المتمثل في شمولية ولاية المحاكم الفصل في جميع المنازعات بكافة </w:t>
      </w:r>
      <w:r>
        <w:rPr>
          <w:rFonts w:hint="cs"/>
          <w:spacing w:val="2"/>
          <w:rtl/>
          <w:lang w:eastAsia="en-US"/>
        </w:rPr>
        <w:t>صورها</w:t>
      </w:r>
      <w:r>
        <w:rPr>
          <w:spacing w:val="2"/>
          <w:rtl/>
          <w:lang w:eastAsia="en-US"/>
        </w:rPr>
        <w:t xml:space="preserve"> المدنية والتجارية ومسائل الأحوال الشخصية وكذلك الدعاوى الجزائية، يهدف إلى توحيد جهة القضاء في الدولة بما يحقق فوائد أهمها إزكاء مبدأ المساواة بين المتقاضين وتجنب المشاكل الناشئة عن صعوبة تحديد الجهة ذات الولاية بالدعوى.</w:t>
      </w:r>
    </w:p>
    <w:p w:rsidR="00000000" w:rsidRDefault="00000000">
      <w:pPr>
        <w:spacing w:before="0" w:line="380" w:lineRule="exact"/>
        <w:jc w:val="center"/>
        <w:rPr>
          <w:b/>
          <w:bCs/>
          <w:noProof/>
          <w:rtl/>
          <w:lang w:val="ar-SA" w:bidi="ar-QA"/>
        </w:rPr>
      </w:pPr>
      <w:r>
        <w:rPr>
          <w:rFonts w:hint="cs"/>
          <w:b/>
          <w:bCs/>
          <w:noProof/>
          <w:rtl/>
          <w:lang w:val="ar-SA"/>
        </w:rPr>
        <w:t>السجـون</w:t>
      </w:r>
    </w:p>
    <w:p w:rsidR="00000000" w:rsidRDefault="00000000">
      <w:pPr>
        <w:spacing w:before="0" w:line="380" w:lineRule="exact"/>
        <w:jc w:val="both"/>
        <w:rPr>
          <w:rFonts w:hint="cs"/>
          <w:rtl/>
          <w:lang w:eastAsia="en-US"/>
        </w:rPr>
      </w:pPr>
      <w:r>
        <w:rPr>
          <w:rFonts w:hint="cs"/>
          <w:rtl/>
          <w:lang w:eastAsia="en-US"/>
        </w:rPr>
        <w:t>10-</w:t>
      </w:r>
      <w:r>
        <w:rPr>
          <w:rFonts w:hint="cs"/>
          <w:rtl/>
          <w:lang w:eastAsia="en-US"/>
        </w:rPr>
        <w:tab/>
        <w:t>وبما أن السجون من أماكن الاحتجاز التي يمكن أن يتعرض فيها الشخص للتعذيب والأفعال الأخرى القاسية والمهينة فقد حرص قانون السجون رقم 3 لسنة 1995 على إصلاح وتقويم النزيل وعودته إلى المجتمع فرداً صالحاً، وذلك من خلال معاملته المعاملة الإنسانية التي تنمي لدى النزيل الشعور بالمسؤولية تجاه نفسه وتجاه مجتمعه</w:t>
      </w:r>
      <w:r>
        <w:rPr>
          <w:rFonts w:hint="cs"/>
          <w:spacing w:val="2"/>
          <w:rtl/>
          <w:lang w:eastAsia="en-US"/>
        </w:rPr>
        <w:t>.</w:t>
      </w:r>
    </w:p>
    <w:p w:rsidR="00000000" w:rsidRDefault="00000000">
      <w:pPr>
        <w:spacing w:before="0" w:line="380" w:lineRule="exact"/>
        <w:jc w:val="both"/>
        <w:rPr>
          <w:rFonts w:hint="cs"/>
          <w:b/>
          <w:bCs/>
          <w:rtl/>
        </w:rPr>
      </w:pPr>
      <w:r>
        <w:rPr>
          <w:b/>
          <w:bCs/>
          <w:rtl/>
        </w:rPr>
        <w:t>تنظيم السجون</w:t>
      </w:r>
    </w:p>
    <w:p w:rsidR="00000000" w:rsidRDefault="00000000">
      <w:pPr>
        <w:spacing w:before="0" w:line="380" w:lineRule="exact"/>
        <w:jc w:val="both"/>
        <w:rPr>
          <w:rFonts w:hint="cs"/>
          <w:rtl/>
          <w:lang w:eastAsia="en-US"/>
        </w:rPr>
      </w:pPr>
      <w:r>
        <w:rPr>
          <w:rFonts w:hint="cs"/>
          <w:rtl/>
          <w:lang w:eastAsia="en-US"/>
        </w:rPr>
        <w:t>11-</w:t>
      </w:r>
      <w:r>
        <w:rPr>
          <w:rFonts w:hint="cs"/>
          <w:rtl/>
          <w:lang w:eastAsia="en-US"/>
        </w:rPr>
        <w:tab/>
      </w:r>
      <w:r>
        <w:rPr>
          <w:rtl/>
          <w:lang w:eastAsia="en-US"/>
        </w:rPr>
        <w:t>تنشأ السجون وتحدد أماكنها بقرار من وزير الداخلية</w:t>
      </w:r>
      <w:r>
        <w:rPr>
          <w:rFonts w:hint="cs"/>
          <w:rtl/>
          <w:lang w:eastAsia="en-US"/>
        </w:rPr>
        <w:t>.</w:t>
      </w:r>
      <w:r>
        <w:rPr>
          <w:rtl/>
          <w:lang w:eastAsia="en-US"/>
        </w:rPr>
        <w:t xml:space="preserve"> وتنقسم السجون إلى مركزية وفرعية وخاصة وتنقسم كل منها إلى نوعين:</w:t>
      </w:r>
      <w:r>
        <w:rPr>
          <w:rFonts w:hint="cs"/>
          <w:rtl/>
          <w:lang w:eastAsia="en-US"/>
        </w:rPr>
        <w:t xml:space="preserve"> </w:t>
      </w:r>
      <w:r>
        <w:rPr>
          <w:rtl/>
          <w:lang w:eastAsia="en-US"/>
        </w:rPr>
        <w:t>سجن للرجال</w:t>
      </w:r>
      <w:r>
        <w:rPr>
          <w:rFonts w:hint="cs"/>
          <w:rtl/>
          <w:lang w:eastAsia="en-US"/>
        </w:rPr>
        <w:t>، و</w:t>
      </w:r>
      <w:r>
        <w:rPr>
          <w:rtl/>
          <w:lang w:eastAsia="en-US"/>
        </w:rPr>
        <w:t>سجن للنساء.</w:t>
      </w:r>
    </w:p>
    <w:p w:rsidR="00000000" w:rsidRDefault="00000000">
      <w:pPr>
        <w:spacing w:before="0" w:line="380" w:lineRule="exact"/>
        <w:jc w:val="both"/>
        <w:rPr>
          <w:rtl/>
          <w:lang w:eastAsia="en-US"/>
        </w:rPr>
      </w:pPr>
      <w:r>
        <w:rPr>
          <w:rFonts w:hint="cs"/>
          <w:rtl/>
          <w:lang w:eastAsia="en-US"/>
        </w:rPr>
        <w:t>12-</w:t>
      </w:r>
      <w:r>
        <w:rPr>
          <w:rFonts w:hint="cs"/>
          <w:rtl/>
          <w:lang w:eastAsia="en-US"/>
        </w:rPr>
        <w:tab/>
      </w:r>
      <w:r>
        <w:rPr>
          <w:rtl/>
          <w:lang w:eastAsia="en-US"/>
        </w:rPr>
        <w:t>يكون للسجون مدير مس</w:t>
      </w:r>
      <w:r>
        <w:rPr>
          <w:rFonts w:hint="cs"/>
          <w:rtl/>
          <w:lang w:eastAsia="en-US"/>
        </w:rPr>
        <w:t>ؤ</w:t>
      </w:r>
      <w:r>
        <w:rPr>
          <w:rtl/>
          <w:lang w:eastAsia="en-US"/>
        </w:rPr>
        <w:t>ول عنها، ولكل سجن ضابط وهذا الضابط مس</w:t>
      </w:r>
      <w:r>
        <w:rPr>
          <w:rFonts w:hint="cs"/>
          <w:rtl/>
          <w:lang w:eastAsia="en-US"/>
        </w:rPr>
        <w:t>ؤ</w:t>
      </w:r>
      <w:r>
        <w:rPr>
          <w:rtl/>
          <w:lang w:eastAsia="en-US"/>
        </w:rPr>
        <w:t>ول أمام مدير السجون عن تنفيذ القوانين واللوائح الخاصة بالسجون داخل السجن الذي يتولى إدارته، وعن حراسة المسجونين. ويعاونه ضابط لشؤون النزلاء وعدد كاف من الموظفين والحراس.</w:t>
      </w:r>
    </w:p>
    <w:p w:rsidR="00000000" w:rsidRDefault="00000000">
      <w:pPr>
        <w:spacing w:before="0" w:line="380" w:lineRule="exact"/>
        <w:jc w:val="both"/>
        <w:rPr>
          <w:rtl/>
          <w:lang w:eastAsia="en-US"/>
        </w:rPr>
      </w:pPr>
      <w:r>
        <w:rPr>
          <w:rFonts w:hint="cs"/>
          <w:rtl/>
          <w:lang w:eastAsia="en-US"/>
        </w:rPr>
        <w:t>13-</w:t>
      </w:r>
      <w:r>
        <w:rPr>
          <w:rFonts w:hint="cs"/>
          <w:rtl/>
          <w:lang w:eastAsia="en-US"/>
        </w:rPr>
        <w:tab/>
      </w:r>
      <w:r>
        <w:rPr>
          <w:rtl/>
          <w:lang w:eastAsia="en-US"/>
        </w:rPr>
        <w:t>ولسجن النساء مشرفة ضابطة تقوم بجميع المهام والمسؤوليات المخولة للضابط، فإذا تعذر وجود ضابطة فيديره ضابط على أن تعاونه في أداء مهامه مشرفة تكون مس</w:t>
      </w:r>
      <w:r>
        <w:rPr>
          <w:rFonts w:hint="cs"/>
          <w:rtl/>
          <w:lang w:eastAsia="en-US"/>
        </w:rPr>
        <w:t>ؤ</w:t>
      </w:r>
      <w:r>
        <w:rPr>
          <w:rtl/>
          <w:lang w:eastAsia="en-US"/>
        </w:rPr>
        <w:t>ولة أمامه، كما يجب أن يكون موظف</w:t>
      </w:r>
      <w:r>
        <w:rPr>
          <w:rFonts w:hint="cs"/>
          <w:rtl/>
          <w:lang w:eastAsia="en-US"/>
        </w:rPr>
        <w:t>و</w:t>
      </w:r>
      <w:r>
        <w:rPr>
          <w:rtl/>
          <w:lang w:eastAsia="en-US"/>
        </w:rPr>
        <w:t xml:space="preserve"> هذا السجن من النساء بقدر الإمكان. وفي جميع الأحوال يجب أن تتولى حراسة السجينات وأعمال الخدمة بهن نساء. ويكون لضابط السجن وضابط شؤون النزلاء، والمشرفة في سجون النساء، صفة مأمور الضبط القضائي كل في دائرة اختصاصه.</w:t>
      </w:r>
    </w:p>
    <w:p w:rsidR="00000000" w:rsidRDefault="00000000">
      <w:pPr>
        <w:spacing w:before="0" w:line="380" w:lineRule="exact"/>
        <w:jc w:val="both"/>
        <w:rPr>
          <w:rtl/>
        </w:rPr>
      </w:pPr>
      <w:r>
        <w:rPr>
          <w:rFonts w:hint="cs"/>
          <w:rtl/>
        </w:rPr>
        <w:t>14-</w:t>
      </w:r>
      <w:r>
        <w:rPr>
          <w:rFonts w:hint="cs"/>
          <w:rtl/>
        </w:rPr>
        <w:tab/>
      </w:r>
      <w:r>
        <w:rPr>
          <w:rtl/>
        </w:rPr>
        <w:t>ويحتفظ في كل سجن بالسجلات الآتية:</w:t>
      </w:r>
    </w:p>
    <w:p w:rsidR="00000000" w:rsidRDefault="00000000">
      <w:pPr>
        <w:spacing w:before="0" w:line="380" w:lineRule="exact"/>
        <w:jc w:val="both"/>
        <w:rPr>
          <w:rFonts w:hint="cs"/>
          <w:rtl/>
          <w:lang w:eastAsia="en-US"/>
        </w:rPr>
      </w:pPr>
      <w:r>
        <w:rPr>
          <w:rFonts w:hint="cs"/>
          <w:rtl/>
          <w:lang w:eastAsia="en-US"/>
        </w:rPr>
        <w:tab/>
        <w:t>(أ)</w:t>
      </w:r>
      <w:r>
        <w:rPr>
          <w:rFonts w:hint="cs"/>
          <w:rtl/>
          <w:lang w:eastAsia="en-US"/>
        </w:rPr>
        <w:tab/>
      </w:r>
      <w:r>
        <w:rPr>
          <w:rtl/>
          <w:lang w:eastAsia="en-US"/>
        </w:rPr>
        <w:t>سجل عام للمسجونين</w:t>
      </w:r>
      <w:r>
        <w:rPr>
          <w:rFonts w:hint="cs"/>
          <w:rtl/>
          <w:lang w:eastAsia="en-US"/>
        </w:rPr>
        <w:t>؛</w:t>
      </w:r>
    </w:p>
    <w:p w:rsidR="00000000" w:rsidRDefault="00000000">
      <w:pPr>
        <w:spacing w:before="0" w:line="380" w:lineRule="exact"/>
        <w:jc w:val="both"/>
        <w:rPr>
          <w:rtl/>
          <w:lang w:eastAsia="en-US"/>
        </w:rPr>
      </w:pPr>
      <w:r>
        <w:rPr>
          <w:rFonts w:hint="cs"/>
          <w:rtl/>
          <w:lang w:eastAsia="en-US"/>
        </w:rPr>
        <w:tab/>
        <w:t>(ب)</w:t>
      </w:r>
      <w:r>
        <w:rPr>
          <w:rFonts w:hint="cs"/>
          <w:rtl/>
          <w:lang w:eastAsia="en-US"/>
        </w:rPr>
        <w:tab/>
      </w:r>
      <w:r>
        <w:rPr>
          <w:rtl/>
          <w:lang w:eastAsia="en-US"/>
        </w:rPr>
        <w:t>سجل البلاغات والتحقيقات</w:t>
      </w:r>
      <w:r>
        <w:rPr>
          <w:rFonts w:hint="cs"/>
          <w:rtl/>
          <w:lang w:eastAsia="en-US"/>
        </w:rPr>
        <w:t>؛</w:t>
      </w:r>
    </w:p>
    <w:p w:rsidR="00000000" w:rsidRDefault="00000000">
      <w:pPr>
        <w:spacing w:before="0" w:line="380" w:lineRule="exact"/>
        <w:jc w:val="both"/>
        <w:rPr>
          <w:rtl/>
          <w:lang w:eastAsia="en-US"/>
        </w:rPr>
      </w:pPr>
      <w:r>
        <w:rPr>
          <w:rFonts w:hint="cs"/>
          <w:rtl/>
          <w:lang w:eastAsia="en-US"/>
        </w:rPr>
        <w:tab/>
        <w:t>(ج)</w:t>
      </w:r>
      <w:r>
        <w:rPr>
          <w:rFonts w:hint="cs"/>
          <w:rtl/>
          <w:lang w:eastAsia="en-US"/>
        </w:rPr>
        <w:tab/>
      </w:r>
      <w:r>
        <w:rPr>
          <w:rtl/>
          <w:lang w:eastAsia="en-US"/>
        </w:rPr>
        <w:t>سجل أمتعة المسجونين</w:t>
      </w:r>
      <w:r>
        <w:rPr>
          <w:rFonts w:hint="cs"/>
          <w:rtl/>
          <w:lang w:eastAsia="en-US"/>
        </w:rPr>
        <w:t>؛</w:t>
      </w:r>
    </w:p>
    <w:p w:rsidR="00000000" w:rsidRDefault="00000000">
      <w:pPr>
        <w:spacing w:before="0" w:line="380" w:lineRule="exact"/>
        <w:jc w:val="both"/>
        <w:rPr>
          <w:rtl/>
          <w:lang w:eastAsia="en-US"/>
        </w:rPr>
      </w:pPr>
      <w:r>
        <w:rPr>
          <w:rFonts w:hint="cs"/>
          <w:rtl/>
          <w:lang w:eastAsia="en-US"/>
        </w:rPr>
        <w:tab/>
        <w:t>(د)</w:t>
      </w:r>
      <w:r>
        <w:rPr>
          <w:rFonts w:hint="cs"/>
          <w:rtl/>
          <w:lang w:eastAsia="en-US"/>
        </w:rPr>
        <w:tab/>
      </w:r>
      <w:r>
        <w:rPr>
          <w:rtl/>
          <w:lang w:eastAsia="en-US"/>
        </w:rPr>
        <w:t>سجل يومية حوادث المسجونين</w:t>
      </w:r>
      <w:r>
        <w:rPr>
          <w:rFonts w:hint="cs"/>
          <w:rtl/>
          <w:lang w:eastAsia="en-US"/>
        </w:rPr>
        <w:t>؛</w:t>
      </w:r>
    </w:p>
    <w:p w:rsidR="00000000" w:rsidRDefault="00000000">
      <w:pPr>
        <w:spacing w:before="0" w:line="380" w:lineRule="exact"/>
        <w:jc w:val="both"/>
        <w:rPr>
          <w:rtl/>
          <w:lang w:eastAsia="en-US"/>
        </w:rPr>
      </w:pPr>
      <w:r>
        <w:rPr>
          <w:rFonts w:hint="cs"/>
          <w:rtl/>
          <w:lang w:eastAsia="en-US"/>
        </w:rPr>
        <w:tab/>
        <w:t>(ه‍‍‍)</w:t>
      </w:r>
      <w:r>
        <w:rPr>
          <w:rFonts w:hint="cs"/>
          <w:rtl/>
          <w:lang w:eastAsia="en-US"/>
        </w:rPr>
        <w:tab/>
      </w:r>
      <w:r>
        <w:rPr>
          <w:rtl/>
          <w:lang w:eastAsia="en-US"/>
        </w:rPr>
        <w:t>سجل تشغيل المسجونين</w:t>
      </w:r>
      <w:r>
        <w:rPr>
          <w:rFonts w:hint="cs"/>
          <w:rtl/>
          <w:lang w:eastAsia="en-US"/>
        </w:rPr>
        <w:t>؛</w:t>
      </w:r>
    </w:p>
    <w:p w:rsidR="00000000" w:rsidRDefault="00000000">
      <w:pPr>
        <w:spacing w:before="0" w:line="380" w:lineRule="exact"/>
        <w:jc w:val="both"/>
        <w:rPr>
          <w:rtl/>
          <w:lang w:eastAsia="en-US"/>
        </w:rPr>
      </w:pPr>
      <w:r>
        <w:rPr>
          <w:rFonts w:hint="cs"/>
          <w:rtl/>
          <w:lang w:eastAsia="en-US"/>
        </w:rPr>
        <w:tab/>
        <w:t>(و)</w:t>
      </w:r>
      <w:r>
        <w:rPr>
          <w:rFonts w:hint="cs"/>
          <w:rtl/>
          <w:lang w:eastAsia="en-US"/>
        </w:rPr>
        <w:tab/>
      </w:r>
      <w:r>
        <w:rPr>
          <w:rtl/>
          <w:lang w:eastAsia="en-US"/>
        </w:rPr>
        <w:t>سجل الجزاءات</w:t>
      </w:r>
      <w:r>
        <w:rPr>
          <w:rFonts w:hint="cs"/>
          <w:rtl/>
          <w:lang w:eastAsia="en-US"/>
        </w:rPr>
        <w:t>؛</w:t>
      </w:r>
    </w:p>
    <w:p w:rsidR="00000000" w:rsidRDefault="00000000">
      <w:pPr>
        <w:spacing w:before="0" w:line="380" w:lineRule="exact"/>
        <w:jc w:val="both"/>
        <w:rPr>
          <w:rtl/>
          <w:lang w:eastAsia="en-US"/>
        </w:rPr>
      </w:pPr>
      <w:r>
        <w:rPr>
          <w:rFonts w:hint="cs"/>
          <w:rtl/>
          <w:lang w:eastAsia="en-US"/>
        </w:rPr>
        <w:tab/>
        <w:t>(ز)</w:t>
      </w:r>
      <w:r>
        <w:rPr>
          <w:rFonts w:hint="cs"/>
          <w:rtl/>
          <w:lang w:eastAsia="en-US"/>
        </w:rPr>
        <w:tab/>
      </w:r>
      <w:r>
        <w:rPr>
          <w:rtl/>
          <w:lang w:eastAsia="en-US"/>
        </w:rPr>
        <w:t>سجل الهاربين</w:t>
      </w:r>
      <w:r>
        <w:rPr>
          <w:rFonts w:hint="cs"/>
          <w:rtl/>
          <w:lang w:eastAsia="en-US"/>
        </w:rPr>
        <w:t>؛</w:t>
      </w:r>
    </w:p>
    <w:p w:rsidR="00000000" w:rsidRDefault="00000000">
      <w:pPr>
        <w:spacing w:before="0" w:line="380" w:lineRule="exact"/>
        <w:jc w:val="both"/>
        <w:rPr>
          <w:rtl/>
          <w:lang w:eastAsia="en-US"/>
        </w:rPr>
      </w:pPr>
      <w:r>
        <w:rPr>
          <w:rFonts w:hint="cs"/>
          <w:rtl/>
          <w:lang w:eastAsia="en-US"/>
        </w:rPr>
        <w:tab/>
        <w:t>(ح)</w:t>
      </w:r>
      <w:r>
        <w:rPr>
          <w:rFonts w:hint="cs"/>
          <w:rtl/>
          <w:lang w:eastAsia="en-US"/>
        </w:rPr>
        <w:tab/>
      </w:r>
      <w:r>
        <w:rPr>
          <w:rtl/>
          <w:lang w:eastAsia="en-US"/>
        </w:rPr>
        <w:t>سجل الشكاو</w:t>
      </w:r>
      <w:r>
        <w:rPr>
          <w:rFonts w:hint="cs"/>
          <w:rtl/>
          <w:lang w:eastAsia="en-US"/>
        </w:rPr>
        <w:t>ى</w:t>
      </w:r>
      <w:r>
        <w:rPr>
          <w:rtl/>
          <w:lang w:eastAsia="en-US"/>
        </w:rPr>
        <w:t xml:space="preserve"> والطلبات المقدمة من المسجونين</w:t>
      </w:r>
      <w:r>
        <w:rPr>
          <w:rFonts w:hint="cs"/>
          <w:rtl/>
          <w:lang w:eastAsia="en-US"/>
        </w:rPr>
        <w:t>؛</w:t>
      </w:r>
    </w:p>
    <w:p w:rsidR="00000000" w:rsidRDefault="00000000">
      <w:pPr>
        <w:spacing w:before="0" w:line="380" w:lineRule="exact"/>
        <w:jc w:val="both"/>
        <w:rPr>
          <w:rtl/>
          <w:lang w:eastAsia="en-US"/>
        </w:rPr>
      </w:pPr>
      <w:r>
        <w:rPr>
          <w:rFonts w:hint="cs"/>
          <w:rtl/>
          <w:lang w:eastAsia="en-US"/>
        </w:rPr>
        <w:tab/>
        <w:t>(ط)</w:t>
      </w:r>
      <w:r>
        <w:rPr>
          <w:rFonts w:hint="cs"/>
          <w:rtl/>
          <w:lang w:eastAsia="en-US"/>
        </w:rPr>
        <w:tab/>
      </w:r>
      <w:r>
        <w:rPr>
          <w:rtl/>
          <w:lang w:eastAsia="en-US"/>
        </w:rPr>
        <w:t>سجل الزيارات الرسمية، تبين فيه ملاحظات الزائرين ذوي الصفة الرسمية</w:t>
      </w:r>
      <w:r>
        <w:rPr>
          <w:rFonts w:hint="cs"/>
          <w:rtl/>
          <w:lang w:eastAsia="en-US"/>
        </w:rPr>
        <w:t>؛</w:t>
      </w:r>
    </w:p>
    <w:p w:rsidR="00000000" w:rsidRDefault="00000000">
      <w:pPr>
        <w:spacing w:before="0" w:line="380" w:lineRule="exact"/>
        <w:jc w:val="both"/>
        <w:rPr>
          <w:rtl/>
          <w:lang w:eastAsia="en-US"/>
        </w:rPr>
      </w:pPr>
      <w:r>
        <w:rPr>
          <w:rFonts w:hint="cs"/>
          <w:rtl/>
          <w:lang w:eastAsia="en-US"/>
        </w:rPr>
        <w:tab/>
        <w:t>(ي)</w:t>
      </w:r>
      <w:r>
        <w:rPr>
          <w:rFonts w:hint="cs"/>
          <w:rtl/>
          <w:lang w:eastAsia="en-US"/>
        </w:rPr>
        <w:tab/>
      </w:r>
      <w:r>
        <w:rPr>
          <w:rtl/>
          <w:lang w:eastAsia="en-US"/>
        </w:rPr>
        <w:t>سجل الزيارات العادية</w:t>
      </w:r>
      <w:r>
        <w:rPr>
          <w:rFonts w:hint="cs"/>
          <w:rtl/>
          <w:lang w:eastAsia="en-US"/>
        </w:rPr>
        <w:t>؛</w:t>
      </w:r>
    </w:p>
    <w:p w:rsidR="00000000" w:rsidRDefault="00000000">
      <w:pPr>
        <w:spacing w:before="0" w:line="380" w:lineRule="exact"/>
        <w:jc w:val="both"/>
        <w:rPr>
          <w:rtl/>
          <w:lang w:eastAsia="en-US"/>
        </w:rPr>
      </w:pPr>
      <w:r>
        <w:rPr>
          <w:rFonts w:hint="cs"/>
          <w:rtl/>
          <w:lang w:eastAsia="en-US"/>
        </w:rPr>
        <w:tab/>
        <w:t>(ك)</w:t>
      </w:r>
      <w:r>
        <w:rPr>
          <w:rFonts w:hint="cs"/>
          <w:rtl/>
          <w:lang w:eastAsia="en-US"/>
        </w:rPr>
        <w:tab/>
      </w:r>
      <w:r>
        <w:rPr>
          <w:rtl/>
          <w:lang w:eastAsia="en-US"/>
        </w:rPr>
        <w:t>سجل التفتيش الدوري والمفاجئ</w:t>
      </w:r>
      <w:r>
        <w:rPr>
          <w:rFonts w:hint="cs"/>
          <w:rtl/>
          <w:lang w:eastAsia="en-US"/>
        </w:rPr>
        <w:t>؛</w:t>
      </w:r>
    </w:p>
    <w:p w:rsidR="00000000" w:rsidRDefault="00000000">
      <w:pPr>
        <w:spacing w:before="0" w:line="380" w:lineRule="exact"/>
        <w:jc w:val="both"/>
        <w:rPr>
          <w:rtl/>
          <w:lang w:eastAsia="en-US"/>
        </w:rPr>
      </w:pPr>
      <w:r>
        <w:rPr>
          <w:rFonts w:hint="cs"/>
          <w:rtl/>
          <w:lang w:eastAsia="en-US"/>
        </w:rPr>
        <w:tab/>
        <w:t>(ل‍)</w:t>
      </w:r>
      <w:r>
        <w:rPr>
          <w:rFonts w:hint="cs"/>
          <w:rtl/>
          <w:lang w:eastAsia="en-US"/>
        </w:rPr>
        <w:tab/>
      </w:r>
      <w:r>
        <w:rPr>
          <w:rtl/>
          <w:lang w:eastAsia="en-US"/>
        </w:rPr>
        <w:t>سجل شخصي لكل مسجون يتضمن بحثاً شاملاً عن حالته الصحية والنفسية والاجتماعية</w:t>
      </w:r>
      <w:r>
        <w:rPr>
          <w:rFonts w:hint="cs"/>
          <w:rtl/>
          <w:lang w:eastAsia="en-US"/>
        </w:rPr>
        <w:t>؛</w:t>
      </w:r>
    </w:p>
    <w:p w:rsidR="00000000" w:rsidRDefault="00000000">
      <w:pPr>
        <w:spacing w:before="0" w:line="380" w:lineRule="exact"/>
        <w:jc w:val="both"/>
        <w:rPr>
          <w:rtl/>
          <w:lang w:eastAsia="en-US"/>
        </w:rPr>
      </w:pPr>
      <w:r>
        <w:rPr>
          <w:rFonts w:hint="cs"/>
          <w:rtl/>
          <w:lang w:eastAsia="en-US"/>
        </w:rPr>
        <w:tab/>
        <w:t>(م)</w:t>
      </w:r>
      <w:r>
        <w:rPr>
          <w:rFonts w:hint="cs"/>
          <w:rtl/>
          <w:lang w:eastAsia="en-US"/>
        </w:rPr>
        <w:tab/>
      </w:r>
      <w:r>
        <w:rPr>
          <w:rtl/>
          <w:lang w:eastAsia="en-US"/>
        </w:rPr>
        <w:t>أي سجل آخر يرى مدير السجون استعماله.</w:t>
      </w:r>
    </w:p>
    <w:p w:rsidR="00000000" w:rsidRDefault="00000000">
      <w:pPr>
        <w:spacing w:before="0" w:line="380" w:lineRule="exact"/>
        <w:jc w:val="both"/>
        <w:rPr>
          <w:rtl/>
          <w:lang w:eastAsia="en-US"/>
        </w:rPr>
      </w:pPr>
      <w:r>
        <w:rPr>
          <w:rFonts w:hint="cs"/>
          <w:rtl/>
          <w:lang w:eastAsia="en-US"/>
        </w:rPr>
        <w:t>15-</w:t>
      </w:r>
      <w:r>
        <w:rPr>
          <w:rFonts w:hint="cs"/>
          <w:rtl/>
          <w:lang w:eastAsia="en-US"/>
        </w:rPr>
        <w:tab/>
      </w:r>
      <w:r>
        <w:rPr>
          <w:rtl/>
          <w:lang w:eastAsia="en-US"/>
        </w:rPr>
        <w:t xml:space="preserve">ويتولى ضابط شؤون النزلاء الإشراف على إمساك السجلات السابقة، ويكون هو المسؤول عن استيفائها وانتظامها أمام ضابط السجن. </w:t>
      </w:r>
    </w:p>
    <w:p w:rsidR="00000000" w:rsidRDefault="00000000">
      <w:pPr>
        <w:spacing w:before="0" w:line="380" w:lineRule="exact"/>
        <w:jc w:val="both"/>
        <w:rPr>
          <w:rFonts w:hint="cs"/>
          <w:rtl/>
          <w:lang w:eastAsia="en-US"/>
        </w:rPr>
      </w:pPr>
      <w:r>
        <w:rPr>
          <w:rFonts w:hint="cs"/>
          <w:rtl/>
          <w:lang w:eastAsia="en-US"/>
        </w:rPr>
        <w:t>16-</w:t>
      </w:r>
      <w:r>
        <w:rPr>
          <w:rFonts w:hint="cs"/>
          <w:rtl/>
          <w:lang w:eastAsia="en-US"/>
        </w:rPr>
        <w:tab/>
      </w:r>
      <w:r>
        <w:rPr>
          <w:rtl/>
          <w:lang w:eastAsia="en-US"/>
        </w:rPr>
        <w:t>بالإضافة إلى الصلاحيات المقررة في هذا القانون، يتولى ضابط السجن القيام بما يلي:</w:t>
      </w:r>
    </w:p>
    <w:p w:rsidR="00000000" w:rsidRDefault="00000000">
      <w:pPr>
        <w:spacing w:before="0" w:line="380" w:lineRule="exact"/>
        <w:jc w:val="both"/>
        <w:rPr>
          <w:rFonts w:hint="cs"/>
          <w:rtl/>
          <w:lang w:eastAsia="en-US"/>
        </w:rPr>
      </w:pPr>
      <w:r>
        <w:rPr>
          <w:rFonts w:hint="cs"/>
          <w:rtl/>
          <w:lang w:eastAsia="en-US"/>
        </w:rPr>
        <w:tab/>
        <w:t>(أ)</w:t>
      </w:r>
      <w:r>
        <w:rPr>
          <w:rFonts w:hint="cs"/>
          <w:rtl/>
          <w:lang w:eastAsia="en-US"/>
        </w:rPr>
        <w:tab/>
      </w:r>
      <w:r>
        <w:rPr>
          <w:rtl/>
          <w:lang w:eastAsia="en-US"/>
        </w:rPr>
        <w:t>اتخاذ الوسائل الكافية لإطلاع المسجون على صورة أي حكم أو ورقة تعلن إليه في السجن</w:t>
      </w:r>
      <w:r>
        <w:rPr>
          <w:rFonts w:hint="cs"/>
          <w:rtl/>
          <w:lang w:eastAsia="en-US"/>
        </w:rPr>
        <w:t>.</w:t>
      </w:r>
      <w:r>
        <w:rPr>
          <w:rtl/>
          <w:lang w:eastAsia="en-US"/>
        </w:rPr>
        <w:t xml:space="preserve"> وإذا أبدى المسجون رغبته في إرسال صورة الإعلان لشخص معين وجب إرسالها إلى هذا الشخص</w:t>
      </w:r>
      <w:r>
        <w:rPr>
          <w:rFonts w:hint="cs"/>
          <w:rtl/>
          <w:lang w:eastAsia="en-US"/>
        </w:rPr>
        <w:t>؛</w:t>
      </w:r>
    </w:p>
    <w:p w:rsidR="00000000" w:rsidRDefault="00000000">
      <w:pPr>
        <w:spacing w:before="0" w:line="380" w:lineRule="exact"/>
        <w:jc w:val="both"/>
        <w:rPr>
          <w:rtl/>
          <w:lang w:eastAsia="en-US"/>
        </w:rPr>
      </w:pPr>
      <w:r>
        <w:rPr>
          <w:rFonts w:hint="cs"/>
          <w:rtl/>
          <w:lang w:eastAsia="en-US"/>
        </w:rPr>
        <w:tab/>
        <w:t>(ب)</w:t>
      </w:r>
      <w:r>
        <w:rPr>
          <w:rFonts w:hint="cs"/>
          <w:rtl/>
          <w:lang w:eastAsia="en-US"/>
        </w:rPr>
        <w:tab/>
      </w:r>
      <w:r>
        <w:rPr>
          <w:rtl/>
          <w:lang w:eastAsia="en-US"/>
        </w:rPr>
        <w:t>التحقق من أي صحيفة دعوى أو صحيفة طعن أو أوراق قضائية أخرى يرغب المسجون رفعها بواسطة ضابط السجن، قد تم تسليمها إلى الجهة المختصة في الميعاد المقرر</w:t>
      </w:r>
      <w:r>
        <w:rPr>
          <w:rFonts w:hint="cs"/>
          <w:rtl/>
          <w:lang w:eastAsia="en-US"/>
        </w:rPr>
        <w:t>؛</w:t>
      </w:r>
    </w:p>
    <w:p w:rsidR="00000000" w:rsidRDefault="00000000">
      <w:pPr>
        <w:spacing w:before="0" w:line="380" w:lineRule="exact"/>
        <w:jc w:val="both"/>
        <w:rPr>
          <w:rtl/>
          <w:lang w:eastAsia="en-US"/>
        </w:rPr>
      </w:pPr>
      <w:r>
        <w:rPr>
          <w:rFonts w:hint="cs"/>
          <w:rtl/>
          <w:lang w:eastAsia="en-US"/>
        </w:rPr>
        <w:tab/>
        <w:t>(ج)</w:t>
      </w:r>
      <w:r>
        <w:rPr>
          <w:rFonts w:hint="cs"/>
          <w:rtl/>
          <w:lang w:eastAsia="en-US"/>
        </w:rPr>
        <w:tab/>
      </w:r>
      <w:r>
        <w:rPr>
          <w:rtl/>
          <w:lang w:eastAsia="en-US"/>
        </w:rPr>
        <w:t>إبلاغ مدير السجن فوراً بوفاة أي مسجون أو انتحاره أو فراره أو تعرضه لحادثة أو إصابته بأي إصابة بالغة، وبكل جناية أو جنحة خطيرة تقع في السجن من المسجونين أو عليهم</w:t>
      </w:r>
      <w:r>
        <w:rPr>
          <w:rFonts w:hint="cs"/>
          <w:rtl/>
          <w:lang w:eastAsia="en-US"/>
        </w:rPr>
        <w:t>.</w:t>
      </w:r>
      <w:r>
        <w:rPr>
          <w:rtl/>
          <w:lang w:eastAsia="en-US"/>
        </w:rPr>
        <w:t xml:space="preserve"> وعلى مدير السجون إخطار وزارة الداخلية فوراً عن هذه الحوادث</w:t>
      </w:r>
      <w:r>
        <w:rPr>
          <w:rFonts w:hint="cs"/>
          <w:rtl/>
          <w:lang w:eastAsia="en-US"/>
        </w:rPr>
        <w:t>؛</w:t>
      </w:r>
    </w:p>
    <w:p w:rsidR="00000000" w:rsidRDefault="00000000">
      <w:pPr>
        <w:spacing w:before="0" w:line="380" w:lineRule="exact"/>
        <w:jc w:val="both"/>
        <w:rPr>
          <w:rtl/>
          <w:lang w:eastAsia="en-US"/>
        </w:rPr>
      </w:pPr>
      <w:r>
        <w:rPr>
          <w:rFonts w:hint="cs"/>
          <w:rtl/>
          <w:lang w:eastAsia="en-US"/>
        </w:rPr>
        <w:tab/>
        <w:t>(د)</w:t>
      </w:r>
      <w:r>
        <w:rPr>
          <w:rFonts w:hint="cs"/>
          <w:rtl/>
          <w:lang w:eastAsia="en-US"/>
        </w:rPr>
        <w:tab/>
      </w:r>
      <w:r>
        <w:rPr>
          <w:rtl/>
          <w:lang w:eastAsia="en-US"/>
        </w:rPr>
        <w:t>الاتصال فوراً بمدير السجون في الحالات الخطيرة التي تستدعي ذلك كالهياج الجماعي أو الأمراض الوبائية مع اتخاذ الإجراءات المناسبة</w:t>
      </w:r>
      <w:r>
        <w:rPr>
          <w:rFonts w:hint="cs"/>
          <w:rtl/>
          <w:lang w:eastAsia="en-US"/>
        </w:rPr>
        <w:t>.</w:t>
      </w:r>
      <w:r>
        <w:rPr>
          <w:rtl/>
          <w:lang w:eastAsia="en-US"/>
        </w:rPr>
        <w:t xml:space="preserve"> وعلى مدير السجون إخطار وزارة الداخلية فوراً</w:t>
      </w:r>
      <w:r>
        <w:rPr>
          <w:rFonts w:hint="cs"/>
          <w:rtl/>
          <w:lang w:eastAsia="en-US"/>
        </w:rPr>
        <w:t>؛</w:t>
      </w:r>
    </w:p>
    <w:p w:rsidR="00000000" w:rsidRDefault="00000000">
      <w:pPr>
        <w:spacing w:before="0" w:line="380" w:lineRule="exact"/>
        <w:jc w:val="both"/>
        <w:rPr>
          <w:rtl/>
          <w:lang w:eastAsia="en-US"/>
        </w:rPr>
      </w:pPr>
      <w:r>
        <w:rPr>
          <w:rFonts w:hint="cs"/>
          <w:rtl/>
          <w:lang w:eastAsia="en-US"/>
        </w:rPr>
        <w:tab/>
        <w:t>(ه‍‍‍)</w:t>
      </w:r>
      <w:r>
        <w:rPr>
          <w:rFonts w:hint="cs"/>
          <w:rtl/>
          <w:lang w:eastAsia="en-US"/>
        </w:rPr>
        <w:tab/>
      </w:r>
      <w:r>
        <w:rPr>
          <w:rtl/>
          <w:lang w:eastAsia="en-US"/>
        </w:rPr>
        <w:t>مراقبة العمل في السجن والتثبت من انتظام سيره ومنع ما يكون مخالف</w:t>
      </w:r>
      <w:r>
        <w:rPr>
          <w:rFonts w:hint="cs"/>
          <w:rtl/>
          <w:lang w:eastAsia="en-US"/>
        </w:rPr>
        <w:t>اً</w:t>
      </w:r>
      <w:r>
        <w:rPr>
          <w:rtl/>
          <w:lang w:eastAsia="en-US"/>
        </w:rPr>
        <w:t xml:space="preserve"> للقوانين واللوائح. وعليه قبول أي شكوى من المسجون كتابه أو شفوية، وإبلاغها لمدير السجون بعد إثباتها في سجل الشكاو</w:t>
      </w:r>
      <w:r>
        <w:rPr>
          <w:rFonts w:hint="cs"/>
          <w:rtl/>
          <w:lang w:eastAsia="en-US"/>
        </w:rPr>
        <w:t>ى</w:t>
      </w:r>
      <w:r>
        <w:rPr>
          <w:rtl/>
          <w:lang w:eastAsia="en-US"/>
        </w:rPr>
        <w:t xml:space="preserve"> والطلبات.</w:t>
      </w:r>
    </w:p>
    <w:p w:rsidR="00000000" w:rsidRDefault="00000000">
      <w:pPr>
        <w:spacing w:before="0" w:line="380" w:lineRule="exact"/>
        <w:jc w:val="both"/>
        <w:rPr>
          <w:rtl/>
        </w:rPr>
      </w:pPr>
      <w:r>
        <w:rPr>
          <w:rFonts w:hint="cs"/>
          <w:rtl/>
        </w:rPr>
        <w:t>17-</w:t>
      </w:r>
      <w:r>
        <w:rPr>
          <w:rFonts w:hint="cs"/>
          <w:rtl/>
        </w:rPr>
        <w:tab/>
      </w:r>
      <w:r>
        <w:rPr>
          <w:rtl/>
        </w:rPr>
        <w:t>ويجوز لضابط السجن التصريح لأي شخص أو هيئة بزيارة السجن، وفق شروط معينه، كتوضيح سبب الزيارة، وإبراز ما يثبت شخصيته عند الدخول، والالتزام بتنفيذ القوانين واللوائح المنظمة لزيارة السجون، وكذلك التعليمات التي تصدر له خلال الزيارة.</w:t>
      </w:r>
    </w:p>
    <w:p w:rsidR="00000000" w:rsidRDefault="00000000">
      <w:pPr>
        <w:spacing w:before="0" w:line="380" w:lineRule="exact"/>
        <w:jc w:val="both"/>
        <w:rPr>
          <w:rtl/>
          <w:lang w:eastAsia="en-US"/>
        </w:rPr>
      </w:pPr>
      <w:r>
        <w:rPr>
          <w:rFonts w:hint="cs"/>
          <w:rtl/>
          <w:lang w:eastAsia="en-US"/>
        </w:rPr>
        <w:t>18-</w:t>
      </w:r>
      <w:r>
        <w:rPr>
          <w:rFonts w:hint="cs"/>
          <w:rtl/>
          <w:lang w:eastAsia="en-US"/>
        </w:rPr>
        <w:tab/>
      </w:r>
      <w:r>
        <w:rPr>
          <w:rtl/>
          <w:lang w:eastAsia="en-US"/>
        </w:rPr>
        <w:t>ولا يجوز إيداع أي إنسان السجن إلا بأمر كتابي صادر من السلطة المختصة بذلك قانوناً، ولا يجوز أن يبقى فيه بعد المدة المحدد</w:t>
      </w:r>
      <w:r>
        <w:rPr>
          <w:rFonts w:hint="cs"/>
          <w:rtl/>
          <w:lang w:eastAsia="en-US"/>
        </w:rPr>
        <w:t>ة</w:t>
      </w:r>
      <w:r>
        <w:rPr>
          <w:rtl/>
          <w:lang w:eastAsia="en-US"/>
        </w:rPr>
        <w:t xml:space="preserve"> في هذا الأمر.</w:t>
      </w:r>
    </w:p>
    <w:p w:rsidR="00000000" w:rsidRDefault="00000000">
      <w:pPr>
        <w:spacing w:before="0" w:line="380" w:lineRule="exact"/>
        <w:jc w:val="both"/>
        <w:rPr>
          <w:rFonts w:hint="cs"/>
          <w:b/>
          <w:bCs/>
          <w:rtl/>
          <w:lang w:eastAsia="en-US"/>
        </w:rPr>
      </w:pPr>
      <w:r>
        <w:rPr>
          <w:b/>
          <w:bCs/>
          <w:rtl/>
          <w:lang w:eastAsia="en-US"/>
        </w:rPr>
        <w:t>فئات المسجونين ودرجاتهم ومعاملتهم</w:t>
      </w:r>
    </w:p>
    <w:p w:rsidR="00000000" w:rsidRDefault="00000000">
      <w:pPr>
        <w:spacing w:before="0" w:line="380" w:lineRule="exact"/>
        <w:jc w:val="both"/>
        <w:rPr>
          <w:rFonts w:hint="cs"/>
          <w:rtl/>
          <w:lang w:eastAsia="en-US"/>
        </w:rPr>
      </w:pPr>
      <w:r>
        <w:rPr>
          <w:rFonts w:hint="cs"/>
          <w:rtl/>
          <w:lang w:eastAsia="en-US"/>
        </w:rPr>
        <w:t>19-</w:t>
      </w:r>
      <w:r>
        <w:rPr>
          <w:rFonts w:hint="cs"/>
          <w:rtl/>
          <w:lang w:eastAsia="en-US"/>
        </w:rPr>
        <w:tab/>
      </w:r>
      <w:r>
        <w:rPr>
          <w:rtl/>
          <w:lang w:eastAsia="en-US"/>
        </w:rPr>
        <w:t>يقسم المسجون</w:t>
      </w:r>
      <w:r>
        <w:rPr>
          <w:rFonts w:hint="cs"/>
          <w:rtl/>
          <w:lang w:eastAsia="en-US"/>
        </w:rPr>
        <w:t>و</w:t>
      </w:r>
      <w:r>
        <w:rPr>
          <w:rtl/>
          <w:lang w:eastAsia="en-US"/>
        </w:rPr>
        <w:t>ن ودرجاتهم ومعاملتهم إلى أربع فئات (أ</w:t>
      </w:r>
      <w:r>
        <w:rPr>
          <w:rFonts w:hint="cs"/>
          <w:rtl/>
          <w:lang w:eastAsia="en-US"/>
        </w:rPr>
        <w:t>لف</w:t>
      </w:r>
      <w:r>
        <w:rPr>
          <w:rtl/>
          <w:lang w:eastAsia="en-US"/>
        </w:rPr>
        <w:t xml:space="preserve">، </w:t>
      </w:r>
      <w:r>
        <w:rPr>
          <w:rFonts w:hint="cs"/>
          <w:rtl/>
          <w:lang w:eastAsia="en-US"/>
        </w:rPr>
        <w:t>باء</w:t>
      </w:r>
      <w:r>
        <w:rPr>
          <w:rtl/>
          <w:lang w:eastAsia="en-US"/>
        </w:rPr>
        <w:t>، ج</w:t>
      </w:r>
      <w:r>
        <w:rPr>
          <w:rFonts w:hint="cs"/>
          <w:rtl/>
          <w:lang w:eastAsia="en-US"/>
        </w:rPr>
        <w:t>يم</w:t>
      </w:r>
      <w:r>
        <w:rPr>
          <w:rtl/>
          <w:lang w:eastAsia="en-US"/>
        </w:rPr>
        <w:t>، د</w:t>
      </w:r>
      <w:r>
        <w:rPr>
          <w:rFonts w:hint="cs"/>
          <w:rtl/>
          <w:lang w:eastAsia="en-US"/>
        </w:rPr>
        <w:t>ال</w:t>
      </w:r>
      <w:r>
        <w:rPr>
          <w:rtl/>
          <w:lang w:eastAsia="en-US"/>
        </w:rPr>
        <w:t>)</w:t>
      </w:r>
      <w:r>
        <w:rPr>
          <w:rFonts w:hint="cs"/>
          <w:rtl/>
          <w:lang w:eastAsia="en-US"/>
        </w:rPr>
        <w:t>.</w:t>
      </w:r>
    </w:p>
    <w:p w:rsidR="00000000" w:rsidRDefault="00000000">
      <w:pPr>
        <w:spacing w:before="0" w:line="380" w:lineRule="exact"/>
        <w:jc w:val="both"/>
        <w:rPr>
          <w:rtl/>
          <w:lang w:eastAsia="en-US"/>
        </w:rPr>
      </w:pPr>
      <w:r>
        <w:rPr>
          <w:rFonts w:hint="cs"/>
          <w:rtl/>
          <w:lang w:eastAsia="en-US"/>
        </w:rPr>
        <w:t>20-</w:t>
      </w:r>
      <w:r>
        <w:rPr>
          <w:rFonts w:hint="cs"/>
          <w:rtl/>
          <w:lang w:eastAsia="en-US"/>
        </w:rPr>
        <w:tab/>
      </w:r>
      <w:r>
        <w:rPr>
          <w:rtl/>
          <w:lang w:eastAsia="en-US"/>
        </w:rPr>
        <w:t>الفئة (أ</w:t>
      </w:r>
      <w:r>
        <w:rPr>
          <w:rFonts w:hint="cs"/>
          <w:rtl/>
          <w:lang w:eastAsia="en-US"/>
        </w:rPr>
        <w:t>لف</w:t>
      </w:r>
      <w:r>
        <w:rPr>
          <w:rtl/>
          <w:lang w:eastAsia="en-US"/>
        </w:rPr>
        <w:t>):</w:t>
      </w:r>
      <w:r>
        <w:rPr>
          <w:rFonts w:hint="cs"/>
          <w:rtl/>
          <w:lang w:eastAsia="en-US"/>
        </w:rPr>
        <w:t xml:space="preserve"> </w:t>
      </w:r>
      <w:r>
        <w:rPr>
          <w:rtl/>
          <w:lang w:eastAsia="en-US"/>
        </w:rPr>
        <w:t>المحبوسون احتياطياً، والمحكوم عليهم بالحبس البسيط، ومن تنفذ عليهم التزامات بطريق الإكراه البدني، والمحبوسون في دين نفقة أو دين مدني أو لسداد دية.</w:t>
      </w:r>
    </w:p>
    <w:p w:rsidR="00000000" w:rsidRDefault="00000000">
      <w:pPr>
        <w:spacing w:before="0" w:line="380" w:lineRule="exact"/>
        <w:jc w:val="both"/>
        <w:rPr>
          <w:rFonts w:hint="cs"/>
          <w:rtl/>
        </w:rPr>
      </w:pPr>
      <w:r>
        <w:rPr>
          <w:rFonts w:hint="cs"/>
          <w:rtl/>
        </w:rPr>
        <w:t>21-</w:t>
      </w:r>
      <w:r>
        <w:rPr>
          <w:rFonts w:hint="cs"/>
          <w:rtl/>
        </w:rPr>
        <w:tab/>
      </w:r>
      <w:r>
        <w:rPr>
          <w:rtl/>
        </w:rPr>
        <w:t>الفئة (ب</w:t>
      </w:r>
      <w:r>
        <w:rPr>
          <w:rFonts w:hint="cs"/>
          <w:rtl/>
        </w:rPr>
        <w:t>اء</w:t>
      </w:r>
      <w:r>
        <w:rPr>
          <w:rtl/>
        </w:rPr>
        <w:t>): المحكوم عليه بالحبس المقترن بالأشغال الشاقة أو الجلد.</w:t>
      </w:r>
    </w:p>
    <w:p w:rsidR="00000000" w:rsidRDefault="00000000">
      <w:pPr>
        <w:spacing w:before="0" w:line="380" w:lineRule="exact"/>
        <w:ind w:left="720" w:hanging="720"/>
        <w:jc w:val="both"/>
        <w:rPr>
          <w:rFonts w:hint="cs"/>
          <w:rtl/>
        </w:rPr>
      </w:pPr>
      <w:r>
        <w:rPr>
          <w:rFonts w:hint="cs"/>
          <w:noProof/>
          <w:rtl/>
        </w:rPr>
        <w:pict>
          <v:shapetype id="_x0000_t202" coordsize="21600,21600" o:spt="202" path="m,l,21600r21600,l21600,xe">
            <v:stroke joinstyle="miter"/>
            <v:path gradientshapeok="t" o:connecttype="rect"/>
          </v:shapetype>
          <v:shape id="_x0000_s2062" type="#_x0000_t202" style="position:absolute;left:0;text-align:left;margin-left:-13.5pt;margin-top:187.1pt;width:49.5pt;height:63pt;z-index:1" filled="f" stroked="f">
            <v:textbox>
              <w:txbxContent>
                <w:p w:rsidR="00000000" w:rsidRDefault="00000000">
                  <w:pPr>
                    <w:jc w:val="right"/>
                    <w:rPr>
                      <w:rFonts w:hint="cs"/>
                      <w:sz w:val="28"/>
                      <w:szCs w:val="28"/>
                    </w:rPr>
                  </w:pPr>
                  <w:r>
                    <w:rPr>
                      <w:rFonts w:hint="cs"/>
                      <w:sz w:val="28"/>
                      <w:szCs w:val="28"/>
                      <w:rtl/>
                    </w:rPr>
                    <w:t>../11</w:t>
                  </w:r>
                </w:p>
              </w:txbxContent>
            </v:textbox>
          </v:shape>
        </w:pict>
      </w:r>
      <w:r>
        <w:rPr>
          <w:rFonts w:hint="cs"/>
          <w:rtl/>
        </w:rPr>
        <w:tab/>
        <w:t>تنويه:</w:t>
      </w:r>
      <w:r>
        <w:rPr>
          <w:rFonts w:hint="cs"/>
          <w:rtl/>
        </w:rPr>
        <w:tab/>
        <w:t>تجدر الإشارة إلى أن الجهات المختصة في الدولة تدرس حالياً تعديل قانون تنظيم السجون بهدف حذف الأحكام الخاصة بالأشغال الشاقة والجلد، وذلك انسجاماً مع قانون العقوبات الجديد رقم 11 لسنة 2004 الذي لم يتضمن النص على الأشغال الشاقة والجلد، على خلاف قانون العقوبات الملغي.</w:t>
      </w:r>
    </w:p>
    <w:p w:rsidR="00000000" w:rsidRDefault="00000000">
      <w:pPr>
        <w:spacing w:before="0" w:line="380" w:lineRule="exact"/>
        <w:jc w:val="both"/>
        <w:rPr>
          <w:rtl/>
          <w:lang w:eastAsia="en-US"/>
        </w:rPr>
      </w:pPr>
      <w:r>
        <w:rPr>
          <w:rFonts w:hint="cs"/>
          <w:rtl/>
          <w:lang w:eastAsia="en-US"/>
        </w:rPr>
        <w:t>22-</w:t>
      </w:r>
      <w:r>
        <w:rPr>
          <w:rFonts w:hint="cs"/>
          <w:rtl/>
          <w:lang w:eastAsia="en-US"/>
        </w:rPr>
        <w:tab/>
      </w:r>
      <w:r>
        <w:rPr>
          <w:rtl/>
          <w:lang w:eastAsia="en-US"/>
        </w:rPr>
        <w:t>الفئة (ج</w:t>
      </w:r>
      <w:r>
        <w:rPr>
          <w:rFonts w:hint="cs"/>
          <w:rtl/>
          <w:lang w:eastAsia="en-US"/>
        </w:rPr>
        <w:t>يم</w:t>
      </w:r>
      <w:r>
        <w:rPr>
          <w:rtl/>
          <w:lang w:eastAsia="en-US"/>
        </w:rPr>
        <w:t>): المحكوم عليهم بالإعدام.</w:t>
      </w:r>
    </w:p>
    <w:p w:rsidR="00000000" w:rsidRDefault="00000000">
      <w:pPr>
        <w:spacing w:before="0" w:line="380" w:lineRule="exact"/>
        <w:jc w:val="both"/>
        <w:rPr>
          <w:rtl/>
          <w:lang w:eastAsia="en-US"/>
        </w:rPr>
      </w:pPr>
      <w:r>
        <w:rPr>
          <w:rFonts w:hint="cs"/>
          <w:rtl/>
          <w:lang w:eastAsia="en-US"/>
        </w:rPr>
        <w:t>23-</w:t>
      </w:r>
      <w:r>
        <w:rPr>
          <w:rFonts w:hint="cs"/>
          <w:rtl/>
          <w:lang w:eastAsia="en-US"/>
        </w:rPr>
        <w:tab/>
      </w:r>
      <w:r>
        <w:rPr>
          <w:rtl/>
          <w:lang w:eastAsia="en-US"/>
        </w:rPr>
        <w:t>الفئة (د</w:t>
      </w:r>
      <w:r>
        <w:rPr>
          <w:rFonts w:hint="cs"/>
          <w:rtl/>
          <w:lang w:eastAsia="en-US"/>
        </w:rPr>
        <w:t>ال</w:t>
      </w:r>
      <w:r>
        <w:rPr>
          <w:rtl/>
          <w:lang w:eastAsia="en-US"/>
        </w:rPr>
        <w:t xml:space="preserve">): المحبوسون احتياطياً في قضايا سياسية والمحكوم عليهم فيها. </w:t>
      </w:r>
    </w:p>
    <w:p w:rsidR="00000000" w:rsidRDefault="00000000">
      <w:pPr>
        <w:spacing w:before="0" w:line="380" w:lineRule="exact"/>
        <w:jc w:val="both"/>
        <w:rPr>
          <w:rtl/>
          <w:lang w:eastAsia="en-US"/>
        </w:rPr>
      </w:pPr>
      <w:r>
        <w:rPr>
          <w:rFonts w:hint="cs"/>
          <w:rtl/>
          <w:lang w:eastAsia="en-US"/>
        </w:rPr>
        <w:t>24-</w:t>
      </w:r>
      <w:r>
        <w:rPr>
          <w:rFonts w:hint="cs"/>
          <w:rtl/>
          <w:lang w:eastAsia="en-US"/>
        </w:rPr>
        <w:tab/>
      </w:r>
      <w:r>
        <w:rPr>
          <w:rtl/>
          <w:lang w:eastAsia="en-US"/>
        </w:rPr>
        <w:t>وتقسم كل فئة من فئات المسجونين إلى درجات. حسب سنهم وسوابقهم ونوع جرائمهم ومدة عقوباتهم وتشابه أحوالهم الاجتماعية والثقافية وقابليتهم للإصلاح.</w:t>
      </w:r>
    </w:p>
    <w:p w:rsidR="00000000" w:rsidRDefault="00000000">
      <w:pPr>
        <w:spacing w:before="0" w:line="380" w:lineRule="exact"/>
        <w:jc w:val="both"/>
        <w:rPr>
          <w:rtl/>
          <w:lang w:eastAsia="en-US"/>
        </w:rPr>
      </w:pPr>
      <w:r>
        <w:rPr>
          <w:rFonts w:hint="cs"/>
          <w:rtl/>
          <w:lang w:eastAsia="en-US"/>
        </w:rPr>
        <w:t>25-</w:t>
      </w:r>
      <w:r>
        <w:rPr>
          <w:rFonts w:hint="cs"/>
          <w:rtl/>
          <w:lang w:eastAsia="en-US"/>
        </w:rPr>
        <w:tab/>
      </w:r>
      <w:r>
        <w:rPr>
          <w:rtl/>
          <w:lang w:eastAsia="en-US"/>
        </w:rPr>
        <w:t>فالمسجونين من الفئة (أ</w:t>
      </w:r>
      <w:r>
        <w:rPr>
          <w:rFonts w:hint="cs"/>
          <w:rtl/>
          <w:lang w:eastAsia="en-US"/>
        </w:rPr>
        <w:t>لف</w:t>
      </w:r>
      <w:r>
        <w:rPr>
          <w:rtl/>
          <w:lang w:eastAsia="en-US"/>
        </w:rPr>
        <w:t xml:space="preserve">) يحق لهم ارتداء ملابسهم الخاصة وإحضار أصناف غذاء معينة، ويجوز لمحاميهم زيارتهم على انفراد بشرط الحصول على أذن كتابي من </w:t>
      </w:r>
      <w:r>
        <w:rPr>
          <w:rFonts w:hint="cs"/>
          <w:rtl/>
          <w:lang w:eastAsia="en-US"/>
        </w:rPr>
        <w:t xml:space="preserve">النيابة </w:t>
      </w:r>
      <w:r>
        <w:rPr>
          <w:rtl/>
          <w:lang w:eastAsia="en-US"/>
        </w:rPr>
        <w:t>العام</w:t>
      </w:r>
      <w:r>
        <w:rPr>
          <w:rFonts w:hint="cs"/>
          <w:rtl/>
          <w:lang w:eastAsia="en-US"/>
        </w:rPr>
        <w:t>ة.</w:t>
      </w:r>
      <w:r>
        <w:rPr>
          <w:rtl/>
          <w:lang w:eastAsia="en-US"/>
        </w:rPr>
        <w:t xml:space="preserve"> ويجوز للأجانب المحبوسين احتياطياً الاتصال بقناص</w:t>
      </w:r>
      <w:r>
        <w:rPr>
          <w:rFonts w:hint="cs"/>
          <w:rtl/>
          <w:lang w:eastAsia="en-US"/>
        </w:rPr>
        <w:t xml:space="preserve">ل بلدانهم </w:t>
      </w:r>
      <w:r>
        <w:rPr>
          <w:rtl/>
          <w:lang w:eastAsia="en-US"/>
        </w:rPr>
        <w:t xml:space="preserve">أو بالسلطات التي ترعى مصالحهم بعد الحصول على إذن بذلك من وزارة الداخلية. </w:t>
      </w:r>
    </w:p>
    <w:p w:rsidR="00000000" w:rsidRDefault="00000000">
      <w:pPr>
        <w:spacing w:before="0" w:line="380" w:lineRule="exact"/>
        <w:jc w:val="both"/>
        <w:rPr>
          <w:rtl/>
          <w:lang w:eastAsia="en-US"/>
        </w:rPr>
      </w:pPr>
      <w:r>
        <w:rPr>
          <w:rFonts w:hint="cs"/>
          <w:rtl/>
          <w:lang w:eastAsia="en-US"/>
        </w:rPr>
        <w:t>26-</w:t>
      </w:r>
      <w:r>
        <w:rPr>
          <w:rFonts w:hint="cs"/>
          <w:rtl/>
          <w:lang w:eastAsia="en-US"/>
        </w:rPr>
        <w:tab/>
      </w:r>
      <w:r>
        <w:rPr>
          <w:rtl/>
          <w:lang w:eastAsia="en-US"/>
        </w:rPr>
        <w:t>يمنح المسجون</w:t>
      </w:r>
      <w:r>
        <w:rPr>
          <w:rFonts w:hint="cs"/>
          <w:rtl/>
          <w:lang w:eastAsia="en-US"/>
        </w:rPr>
        <w:t>و</w:t>
      </w:r>
      <w:r>
        <w:rPr>
          <w:rtl/>
          <w:lang w:eastAsia="en-US"/>
        </w:rPr>
        <w:t>ن من الفئة (ب</w:t>
      </w:r>
      <w:r>
        <w:rPr>
          <w:rFonts w:hint="cs"/>
          <w:rtl/>
          <w:lang w:eastAsia="en-US"/>
        </w:rPr>
        <w:t>اء</w:t>
      </w:r>
      <w:r>
        <w:rPr>
          <w:rtl/>
          <w:lang w:eastAsia="en-US"/>
        </w:rPr>
        <w:t>) مكافأة مادية عن عملهم في السجن</w:t>
      </w:r>
      <w:r>
        <w:rPr>
          <w:rFonts w:hint="cs"/>
          <w:rtl/>
          <w:lang w:eastAsia="en-US"/>
        </w:rPr>
        <w:t>.</w:t>
      </w:r>
      <w:r>
        <w:rPr>
          <w:rtl/>
          <w:lang w:eastAsia="en-US"/>
        </w:rPr>
        <w:t xml:space="preserve"> وتزداد قيمة المكاف</w:t>
      </w:r>
      <w:r>
        <w:rPr>
          <w:rFonts w:hint="cs"/>
          <w:rtl/>
          <w:lang w:eastAsia="en-US"/>
        </w:rPr>
        <w:t>أ</w:t>
      </w:r>
      <w:r>
        <w:rPr>
          <w:rtl/>
          <w:lang w:eastAsia="en-US"/>
        </w:rPr>
        <w:t>ة إذا كان عملهم فنياً، ولهم مراسلة ذويهم وأصدقائهم</w:t>
      </w:r>
      <w:r>
        <w:rPr>
          <w:rFonts w:hint="cs"/>
          <w:rtl/>
          <w:lang w:eastAsia="en-US"/>
        </w:rPr>
        <w:t>.</w:t>
      </w:r>
      <w:r>
        <w:rPr>
          <w:rtl/>
          <w:lang w:eastAsia="en-US"/>
        </w:rPr>
        <w:t xml:space="preserve"> وتقوم إدارة السجن بتيسير زيارة القناصل والسلطات القائمة برعاية مصالح المسجونين الأجانب من هذه الفئة وذلك بعد الحصول على إذن كتابي من الجهة المختصة بوزارة الداخلية.</w:t>
      </w:r>
    </w:p>
    <w:p w:rsidR="00000000" w:rsidRDefault="00000000">
      <w:pPr>
        <w:spacing w:before="0" w:line="380" w:lineRule="exact"/>
        <w:jc w:val="both"/>
        <w:rPr>
          <w:rtl/>
          <w:lang w:eastAsia="en-US"/>
        </w:rPr>
      </w:pPr>
      <w:r>
        <w:rPr>
          <w:rFonts w:hint="cs"/>
          <w:rtl/>
          <w:lang w:eastAsia="en-US"/>
        </w:rPr>
        <w:t>27-</w:t>
      </w:r>
      <w:r>
        <w:rPr>
          <w:rFonts w:hint="cs"/>
          <w:rtl/>
          <w:lang w:eastAsia="en-US"/>
        </w:rPr>
        <w:tab/>
      </w:r>
      <w:r>
        <w:rPr>
          <w:rtl/>
          <w:lang w:eastAsia="en-US"/>
        </w:rPr>
        <w:t>أما المسجون</w:t>
      </w:r>
      <w:r>
        <w:rPr>
          <w:rFonts w:hint="cs"/>
          <w:rtl/>
          <w:lang w:eastAsia="en-US"/>
        </w:rPr>
        <w:t>و</w:t>
      </w:r>
      <w:r>
        <w:rPr>
          <w:rtl/>
          <w:lang w:eastAsia="en-US"/>
        </w:rPr>
        <w:t>ن من الفئة (ج</w:t>
      </w:r>
      <w:r>
        <w:rPr>
          <w:rFonts w:hint="cs"/>
          <w:rtl/>
          <w:lang w:eastAsia="en-US"/>
        </w:rPr>
        <w:t>يم</w:t>
      </w:r>
      <w:r>
        <w:rPr>
          <w:rtl/>
          <w:lang w:eastAsia="en-US"/>
        </w:rPr>
        <w:t>) والمحكوم عليهم بالإعدام فلا يسمح لهم بالاختلاط بالمسجونين الآخرين ويجب تمييز ملابسهم عن بقية المسجونين.</w:t>
      </w:r>
    </w:p>
    <w:p w:rsidR="00000000" w:rsidRDefault="00000000">
      <w:pPr>
        <w:spacing w:before="0" w:line="380" w:lineRule="exact"/>
        <w:jc w:val="both"/>
        <w:rPr>
          <w:rtl/>
          <w:lang w:eastAsia="en-US"/>
        </w:rPr>
      </w:pPr>
      <w:r>
        <w:rPr>
          <w:rFonts w:hint="cs"/>
          <w:rtl/>
          <w:lang w:eastAsia="en-US"/>
        </w:rPr>
        <w:t>28-</w:t>
      </w:r>
      <w:r>
        <w:rPr>
          <w:rFonts w:hint="cs"/>
          <w:rtl/>
          <w:lang w:eastAsia="en-US"/>
        </w:rPr>
        <w:tab/>
      </w:r>
      <w:r>
        <w:rPr>
          <w:rtl/>
          <w:lang w:eastAsia="en-US"/>
        </w:rPr>
        <w:t>والمسجون</w:t>
      </w:r>
      <w:r>
        <w:rPr>
          <w:rFonts w:hint="cs"/>
          <w:rtl/>
          <w:lang w:eastAsia="en-US"/>
        </w:rPr>
        <w:t>و</w:t>
      </w:r>
      <w:r>
        <w:rPr>
          <w:rtl/>
          <w:lang w:eastAsia="en-US"/>
        </w:rPr>
        <w:t>ن من الفئة (د</w:t>
      </w:r>
      <w:r>
        <w:rPr>
          <w:rFonts w:hint="cs"/>
          <w:rtl/>
          <w:lang w:eastAsia="en-US"/>
        </w:rPr>
        <w:t>ال</w:t>
      </w:r>
      <w:r>
        <w:rPr>
          <w:rtl/>
          <w:lang w:eastAsia="en-US"/>
        </w:rPr>
        <w:t>) يعاملون معاملة المسجونين من الفئة (أ</w:t>
      </w:r>
      <w:r>
        <w:rPr>
          <w:rFonts w:hint="cs"/>
          <w:rtl/>
          <w:lang w:eastAsia="en-US"/>
        </w:rPr>
        <w:t>لف</w:t>
      </w:r>
      <w:r>
        <w:rPr>
          <w:rtl/>
          <w:lang w:eastAsia="en-US"/>
        </w:rPr>
        <w:t xml:space="preserve">) حيث </w:t>
      </w:r>
      <w:r>
        <w:rPr>
          <w:rFonts w:hint="cs"/>
          <w:rtl/>
          <w:lang w:eastAsia="en-US"/>
        </w:rPr>
        <w:t>إ</w:t>
      </w:r>
      <w:r>
        <w:rPr>
          <w:rtl/>
          <w:lang w:eastAsia="en-US"/>
        </w:rPr>
        <w:t>نه لا توجد لائحة في الوقت الحالي تحدد معاملة هذه الفئة.</w:t>
      </w:r>
    </w:p>
    <w:p w:rsidR="00000000" w:rsidRDefault="00000000">
      <w:pPr>
        <w:spacing w:before="0" w:line="380" w:lineRule="exact"/>
        <w:jc w:val="both"/>
        <w:rPr>
          <w:rFonts w:hint="cs"/>
          <w:b/>
          <w:bCs/>
          <w:rtl/>
        </w:rPr>
      </w:pPr>
      <w:r>
        <w:rPr>
          <w:b/>
          <w:bCs/>
          <w:rtl/>
        </w:rPr>
        <w:t>الرعاية الصحية والاجتماعية والثقافية للمسجونين</w:t>
      </w:r>
    </w:p>
    <w:p w:rsidR="00000000" w:rsidRDefault="00000000">
      <w:pPr>
        <w:spacing w:before="0" w:line="380" w:lineRule="exact"/>
        <w:jc w:val="both"/>
        <w:rPr>
          <w:rFonts w:hint="cs"/>
          <w:rtl/>
          <w:lang w:eastAsia="en-US"/>
        </w:rPr>
      </w:pPr>
      <w:r>
        <w:rPr>
          <w:rFonts w:hint="cs"/>
          <w:rtl/>
          <w:lang w:eastAsia="en-US"/>
        </w:rPr>
        <w:t>29-</w:t>
      </w:r>
      <w:r>
        <w:rPr>
          <w:rFonts w:hint="cs"/>
          <w:rtl/>
          <w:lang w:eastAsia="en-US"/>
        </w:rPr>
        <w:tab/>
      </w:r>
      <w:r>
        <w:rPr>
          <w:rtl/>
          <w:lang w:eastAsia="en-US"/>
        </w:rPr>
        <w:t>لا يجوز حرمان المسجون من الوجبات المقررة أو إنقاص هذه الوجبات إلا لأسباب طبية</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ab/>
        <w:t>(أ)</w:t>
      </w:r>
      <w:r>
        <w:rPr>
          <w:rFonts w:hint="cs"/>
          <w:rtl/>
          <w:lang w:eastAsia="en-US"/>
        </w:rPr>
        <w:tab/>
      </w:r>
      <w:r>
        <w:rPr>
          <w:rtl/>
          <w:lang w:eastAsia="en-US"/>
        </w:rPr>
        <w:t>يجب أن تكون الملابس المقررة للمسجون ملائمة للصحة ولحالة الجو</w:t>
      </w:r>
      <w:r>
        <w:rPr>
          <w:rFonts w:hint="cs"/>
          <w:rtl/>
          <w:lang w:eastAsia="en-US"/>
        </w:rPr>
        <w:t>؛</w:t>
      </w:r>
    </w:p>
    <w:p w:rsidR="00000000" w:rsidRDefault="00000000">
      <w:pPr>
        <w:spacing w:before="0" w:line="380" w:lineRule="exact"/>
        <w:jc w:val="both"/>
        <w:rPr>
          <w:rtl/>
          <w:lang w:eastAsia="en-US"/>
        </w:rPr>
      </w:pPr>
      <w:r>
        <w:rPr>
          <w:rFonts w:hint="cs"/>
          <w:rtl/>
          <w:lang w:eastAsia="en-US"/>
        </w:rPr>
        <w:tab/>
        <w:t>(ب)</w:t>
      </w:r>
      <w:r>
        <w:rPr>
          <w:rFonts w:hint="cs"/>
          <w:rtl/>
          <w:lang w:eastAsia="en-US"/>
        </w:rPr>
        <w:tab/>
      </w:r>
      <w:r>
        <w:rPr>
          <w:rtl/>
          <w:lang w:eastAsia="en-US"/>
        </w:rPr>
        <w:t>يهيأ للمسجون الاستحمام بالماء والصابون مرة على الأقل في الأسبوع، وأن يقص شعرة للدرجة المناسبة، ولا يجوز قص شعر النساء إلا لسبب طبي.</w:t>
      </w:r>
      <w:r>
        <w:rPr>
          <w:rFonts w:hint="cs"/>
          <w:rtl/>
          <w:lang w:eastAsia="en-US"/>
        </w:rPr>
        <w:t xml:space="preserve"> و</w:t>
      </w:r>
      <w:r>
        <w:rPr>
          <w:rtl/>
          <w:lang w:eastAsia="en-US"/>
        </w:rPr>
        <w:t>يعطى للمسجون مدة ساعة في اليوم للرياضة البدنية. ويجوز لضابط السجن في حالات خاصة خفضها إلى نصف ساعة، أو زيادتها إلى ساعة ونصف.</w:t>
      </w:r>
    </w:p>
    <w:p w:rsidR="00000000" w:rsidRDefault="00000000">
      <w:pPr>
        <w:spacing w:before="0" w:line="380" w:lineRule="exact"/>
        <w:jc w:val="both"/>
        <w:rPr>
          <w:rFonts w:hint="cs"/>
          <w:rtl/>
          <w:lang w:bidi="ar-QA"/>
        </w:rPr>
      </w:pPr>
      <w:r>
        <w:rPr>
          <w:rFonts w:hint="cs"/>
          <w:rtl/>
        </w:rPr>
        <w:t>30-</w:t>
      </w:r>
      <w:r>
        <w:rPr>
          <w:rFonts w:hint="cs"/>
          <w:rtl/>
        </w:rPr>
        <w:tab/>
      </w:r>
      <w:r>
        <w:rPr>
          <w:rtl/>
        </w:rPr>
        <w:t>ويكون لكل سجن وحدة صحية يرأسها طبيب مس</w:t>
      </w:r>
      <w:r>
        <w:rPr>
          <w:rFonts w:hint="cs"/>
          <w:rtl/>
        </w:rPr>
        <w:t>ؤ</w:t>
      </w:r>
      <w:r>
        <w:rPr>
          <w:rtl/>
        </w:rPr>
        <w:t>ول عن اتخاذ ما يكفل المحافظة على صحة المسجونين ووقايتهم من الأمراض.</w:t>
      </w:r>
    </w:p>
    <w:p w:rsidR="00000000" w:rsidRDefault="00000000">
      <w:pPr>
        <w:spacing w:before="0" w:line="380" w:lineRule="exact"/>
        <w:jc w:val="both"/>
        <w:rPr>
          <w:rFonts w:hint="cs"/>
          <w:b/>
          <w:bCs/>
          <w:rtl/>
        </w:rPr>
      </w:pPr>
      <w:r>
        <w:rPr>
          <w:b/>
          <w:bCs/>
          <w:rtl/>
        </w:rPr>
        <w:t>تأديب المسجونين</w:t>
      </w:r>
    </w:p>
    <w:p w:rsidR="00000000" w:rsidRDefault="00000000">
      <w:pPr>
        <w:spacing w:before="0" w:line="380" w:lineRule="exact"/>
        <w:jc w:val="both"/>
        <w:rPr>
          <w:rFonts w:hint="cs"/>
          <w:rtl/>
        </w:rPr>
      </w:pPr>
      <w:r>
        <w:rPr>
          <w:rFonts w:hint="cs"/>
          <w:rtl/>
        </w:rPr>
        <w:t>31-</w:t>
      </w:r>
      <w:r>
        <w:rPr>
          <w:rFonts w:hint="cs"/>
          <w:rtl/>
        </w:rPr>
        <w:tab/>
      </w:r>
      <w:r>
        <w:rPr>
          <w:rtl/>
        </w:rPr>
        <w:t xml:space="preserve">كل مسجون يخالف القوانين أو اللوائح أو النظم المعمول بها في السجن، يعاقب تأديبياً دون أن يخل </w:t>
      </w:r>
      <w:proofErr w:type="spellStart"/>
      <w:r>
        <w:rPr>
          <w:rtl/>
        </w:rPr>
        <w:t>بمس</w:t>
      </w:r>
      <w:r>
        <w:rPr>
          <w:rFonts w:hint="cs"/>
          <w:rtl/>
        </w:rPr>
        <w:t>ؤ</w:t>
      </w:r>
      <w:r>
        <w:rPr>
          <w:rtl/>
        </w:rPr>
        <w:t>وليته</w:t>
      </w:r>
      <w:proofErr w:type="spellEnd"/>
      <w:r>
        <w:rPr>
          <w:rtl/>
        </w:rPr>
        <w:t xml:space="preserve"> الجنائية</w:t>
      </w:r>
      <w:r>
        <w:rPr>
          <w:rFonts w:hint="cs"/>
          <w:rtl/>
        </w:rPr>
        <w:t>.</w:t>
      </w:r>
      <w:r>
        <w:rPr>
          <w:rtl/>
        </w:rPr>
        <w:t xml:space="preserve"> والجزاءات التأديبية التي يجوز توق</w:t>
      </w:r>
      <w:r>
        <w:rPr>
          <w:rFonts w:hint="cs"/>
          <w:rtl/>
        </w:rPr>
        <w:t>ي</w:t>
      </w:r>
      <w:r>
        <w:rPr>
          <w:rtl/>
        </w:rPr>
        <w:t>عها إدارياً على المسجون</w:t>
      </w:r>
      <w:r>
        <w:rPr>
          <w:rFonts w:hint="cs"/>
          <w:rtl/>
        </w:rPr>
        <w:t xml:space="preserve"> </w:t>
      </w:r>
      <w:r>
        <w:rPr>
          <w:rtl/>
        </w:rPr>
        <w:t>هي:</w:t>
      </w:r>
    </w:p>
    <w:p w:rsidR="00000000" w:rsidRDefault="00000000">
      <w:pPr>
        <w:spacing w:before="0" w:line="380" w:lineRule="exact"/>
        <w:jc w:val="both"/>
        <w:rPr>
          <w:rFonts w:hint="cs"/>
          <w:rtl/>
          <w:lang w:eastAsia="en-US"/>
        </w:rPr>
      </w:pPr>
      <w:r>
        <w:rPr>
          <w:rFonts w:hint="cs"/>
          <w:rtl/>
          <w:lang w:eastAsia="en-US"/>
        </w:rPr>
        <w:tab/>
        <w:t>(أ)</w:t>
      </w:r>
      <w:r>
        <w:rPr>
          <w:rFonts w:hint="cs"/>
          <w:rtl/>
          <w:lang w:eastAsia="en-US"/>
        </w:rPr>
        <w:tab/>
      </w:r>
      <w:r>
        <w:rPr>
          <w:rtl/>
          <w:lang w:eastAsia="en-US"/>
        </w:rPr>
        <w:t>الإن</w:t>
      </w:r>
      <w:r>
        <w:rPr>
          <w:rFonts w:hint="cs"/>
          <w:rtl/>
          <w:lang w:eastAsia="en-US"/>
        </w:rPr>
        <w:t>ــ</w:t>
      </w:r>
      <w:r>
        <w:rPr>
          <w:rtl/>
          <w:lang w:eastAsia="en-US"/>
        </w:rPr>
        <w:t>ذار</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ab/>
        <w:t>(ب)</w:t>
      </w:r>
      <w:r>
        <w:rPr>
          <w:rFonts w:hint="cs"/>
          <w:rtl/>
          <w:lang w:eastAsia="en-US"/>
        </w:rPr>
        <w:tab/>
      </w:r>
      <w:r>
        <w:rPr>
          <w:rtl/>
          <w:lang w:eastAsia="en-US"/>
        </w:rPr>
        <w:t>الحرمان من كل أو بعض المزايا المقررة لدرجته أو فئته لمدة لا تزيد عن ثلاثين يوماً</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ab/>
        <w:t>(ج)</w:t>
      </w:r>
      <w:r>
        <w:rPr>
          <w:rFonts w:hint="cs"/>
          <w:rtl/>
          <w:lang w:eastAsia="en-US"/>
        </w:rPr>
        <w:tab/>
      </w:r>
      <w:r>
        <w:rPr>
          <w:rtl/>
          <w:lang w:eastAsia="en-US"/>
        </w:rPr>
        <w:t>الخصم من المكافأة مدة لا تتجاوز سبعة أيام</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ab/>
        <w:t>(د)</w:t>
      </w:r>
      <w:r>
        <w:rPr>
          <w:rFonts w:hint="cs"/>
          <w:rtl/>
          <w:lang w:eastAsia="en-US"/>
        </w:rPr>
        <w:tab/>
      </w:r>
      <w:r>
        <w:rPr>
          <w:rtl/>
          <w:lang w:eastAsia="en-US"/>
        </w:rPr>
        <w:t>الحجز الانفرادي لمده لا تتجاوز سبعة أيام</w:t>
      </w:r>
      <w:r>
        <w:rPr>
          <w:rFonts w:hint="cs"/>
          <w:rtl/>
          <w:lang w:eastAsia="en-US"/>
        </w:rPr>
        <w:t>؛</w:t>
      </w:r>
    </w:p>
    <w:p w:rsidR="00000000" w:rsidRDefault="00000000">
      <w:pPr>
        <w:spacing w:before="0" w:line="380" w:lineRule="exact"/>
        <w:jc w:val="both"/>
        <w:rPr>
          <w:rFonts w:hint="cs"/>
          <w:lang w:eastAsia="en-US"/>
        </w:rPr>
      </w:pPr>
      <w:r>
        <w:rPr>
          <w:rFonts w:hint="cs"/>
          <w:rtl/>
          <w:lang w:eastAsia="en-US"/>
        </w:rPr>
        <w:tab/>
        <w:t>(ه‍‍‍)</w:t>
      </w:r>
      <w:r>
        <w:rPr>
          <w:rFonts w:hint="cs"/>
          <w:rtl/>
          <w:lang w:eastAsia="en-US"/>
        </w:rPr>
        <w:tab/>
      </w:r>
      <w:r>
        <w:rPr>
          <w:rtl/>
          <w:lang w:eastAsia="en-US"/>
        </w:rPr>
        <w:t>الجلد بحد أقصى عشرون جلدة</w:t>
      </w:r>
      <w:r>
        <w:rPr>
          <w:rFonts w:hint="cs"/>
          <w:rtl/>
          <w:lang w:eastAsia="en-US"/>
        </w:rPr>
        <w:t>،</w:t>
      </w:r>
      <w:r>
        <w:rPr>
          <w:rtl/>
          <w:lang w:eastAsia="en-US"/>
        </w:rPr>
        <w:t xml:space="preserve"> بشرط ثبوت لياقته طبياً لتحمله</w:t>
      </w:r>
      <w:r>
        <w:rPr>
          <w:rFonts w:hint="cs"/>
          <w:rtl/>
          <w:lang w:eastAsia="en-US"/>
        </w:rPr>
        <w:t>،</w:t>
      </w:r>
      <w:r>
        <w:rPr>
          <w:rtl/>
          <w:lang w:eastAsia="en-US"/>
        </w:rPr>
        <w:t xml:space="preserve"> مع مراعاة القواعد والإجراءات الخاصة بتنفيذ عقوبة الجلد</w:t>
      </w:r>
      <w:r>
        <w:rPr>
          <w:rFonts w:hint="cs"/>
          <w:rtl/>
          <w:lang w:eastAsia="en-US"/>
        </w:rPr>
        <w:t>.</w:t>
      </w:r>
    </w:p>
    <w:p w:rsidR="00000000" w:rsidRDefault="00000000">
      <w:pPr>
        <w:spacing w:before="0" w:line="380" w:lineRule="exact"/>
        <w:ind w:left="720" w:hanging="720"/>
        <w:jc w:val="both"/>
        <w:rPr>
          <w:rFonts w:hint="cs"/>
          <w:rtl/>
        </w:rPr>
      </w:pPr>
      <w:r>
        <w:rPr>
          <w:rFonts w:hint="cs"/>
          <w:rtl/>
        </w:rPr>
        <w:tab/>
        <w:t>(</w:t>
      </w:r>
      <w:r>
        <w:rPr>
          <w:rFonts w:hint="cs"/>
          <w:i/>
          <w:iCs/>
          <w:rtl/>
        </w:rPr>
        <w:t>تنويه:</w:t>
      </w:r>
      <w:r>
        <w:rPr>
          <w:rFonts w:hint="cs"/>
          <w:rtl/>
        </w:rPr>
        <w:tab/>
        <w:t>تجدر الإشارة إلى أن الجهات المختصة في الدولة تدرس حالياً تعديل قانون تنظيم السجون بهدف حذف الأحكام الخاصة بعقوبة الجلد من هذا القانون).</w:t>
      </w:r>
    </w:p>
    <w:p w:rsidR="00000000" w:rsidRDefault="00000000">
      <w:pPr>
        <w:spacing w:before="0" w:line="380" w:lineRule="exact"/>
        <w:jc w:val="both"/>
        <w:rPr>
          <w:rtl/>
          <w:lang w:eastAsia="en-US"/>
        </w:rPr>
      </w:pPr>
      <w:r>
        <w:rPr>
          <w:rFonts w:hint="cs"/>
          <w:rtl/>
          <w:lang w:eastAsia="en-US"/>
        </w:rPr>
        <w:tab/>
        <w:t>(و)</w:t>
      </w:r>
      <w:r>
        <w:rPr>
          <w:rFonts w:hint="cs"/>
          <w:rtl/>
          <w:lang w:eastAsia="en-US"/>
        </w:rPr>
        <w:tab/>
      </w:r>
      <w:r>
        <w:rPr>
          <w:rtl/>
          <w:lang w:eastAsia="en-US"/>
        </w:rPr>
        <w:t>تنزيل المسجون لدرجة أقل من درجته.</w:t>
      </w:r>
    </w:p>
    <w:p w:rsidR="00000000" w:rsidRDefault="00000000">
      <w:pPr>
        <w:spacing w:before="0" w:line="380" w:lineRule="exact"/>
        <w:jc w:val="both"/>
        <w:rPr>
          <w:rtl/>
          <w:lang w:eastAsia="en-US"/>
        </w:rPr>
      </w:pPr>
      <w:r>
        <w:rPr>
          <w:rFonts w:hint="cs"/>
          <w:rtl/>
          <w:lang w:eastAsia="en-US"/>
        </w:rPr>
        <w:t>32-</w:t>
      </w:r>
      <w:r>
        <w:rPr>
          <w:rFonts w:hint="cs"/>
          <w:rtl/>
          <w:lang w:eastAsia="en-US"/>
        </w:rPr>
        <w:tab/>
      </w:r>
      <w:r>
        <w:rPr>
          <w:rtl/>
          <w:lang w:eastAsia="en-US"/>
        </w:rPr>
        <w:t xml:space="preserve">لا يجوز توقيع أي من هذه الجزاءات إلا بعد إجراء تحقيق يتضمن مواجهة المسجون بالمخالفة المنسوبة إليه وسماع أقواله وتحقيق </w:t>
      </w:r>
      <w:r>
        <w:rPr>
          <w:rFonts w:hint="cs"/>
          <w:rtl/>
          <w:lang w:eastAsia="en-US"/>
        </w:rPr>
        <w:t>دفاعه</w:t>
      </w:r>
      <w:r>
        <w:rPr>
          <w:rtl/>
          <w:lang w:eastAsia="en-US"/>
        </w:rPr>
        <w:t>، ويكون قرار توقيع الجزاء مسبباً ويجب أن يتم التحقيق كتابة بمعرفة ضابط السجن أو من يندبه لذلك.</w:t>
      </w:r>
    </w:p>
    <w:p w:rsidR="00000000" w:rsidRDefault="00000000">
      <w:pPr>
        <w:spacing w:before="0" w:line="380" w:lineRule="exact"/>
        <w:jc w:val="both"/>
        <w:rPr>
          <w:b/>
          <w:bCs/>
          <w:noProof/>
          <w:rtl/>
          <w:lang w:val="ar-SA"/>
        </w:rPr>
      </w:pPr>
      <w:r>
        <w:rPr>
          <w:rFonts w:hint="cs"/>
          <w:b/>
          <w:bCs/>
          <w:noProof/>
          <w:rtl/>
          <w:lang w:val="ar-SA"/>
        </w:rPr>
        <w:t>وسائل الانتصاف المتاحة للأفراد</w:t>
      </w:r>
    </w:p>
    <w:p w:rsidR="00000000" w:rsidRDefault="00000000">
      <w:pPr>
        <w:spacing w:before="0" w:line="380" w:lineRule="exact"/>
        <w:jc w:val="both"/>
        <w:rPr>
          <w:rFonts w:hint="cs"/>
          <w:rtl/>
          <w:lang w:eastAsia="en-US"/>
        </w:rPr>
      </w:pPr>
      <w:r>
        <w:rPr>
          <w:rFonts w:hint="cs"/>
          <w:rtl/>
          <w:lang w:eastAsia="en-US"/>
        </w:rPr>
        <w:t>33-</w:t>
      </w:r>
      <w:r>
        <w:rPr>
          <w:rFonts w:hint="cs"/>
          <w:rtl/>
          <w:lang w:eastAsia="en-US"/>
        </w:rPr>
        <w:tab/>
        <w:t>فيما يتعلق بوسائل الانتصاف المتاحة لأي فرد يدعي أنه وقع ضحية لتعذيب أو لغيره من ضروب المعاملة أو العقوبة القاسية أو اللاإنسانية أو المهينة، فإنه وفقاً للدستور الدائم لدولة قطر والقوانين النافذة يمكن لأي فرد يدعي بأن حقاً من حقوقه المكفولة بموجب الدستور أو القوانين النافذة قد انتهكت أن يرفع دعواه أمام المحاكم بمختلف اختصاصاتها. وهذا ما نصت عليه المادة 130 من الدستور والتي نصها كالآتي: "التقاضي حق مصون ومكفول للناس كافة، ويبين القانون إجراءات وأوضاع ممارسة هذا الحق".</w:t>
      </w:r>
    </w:p>
    <w:p w:rsidR="00000000" w:rsidRDefault="00000000">
      <w:pPr>
        <w:spacing w:before="0" w:line="380" w:lineRule="exact"/>
        <w:jc w:val="both"/>
        <w:rPr>
          <w:rFonts w:hint="cs"/>
          <w:rtl/>
          <w:lang w:eastAsia="en-US"/>
        </w:rPr>
      </w:pPr>
      <w:r>
        <w:rPr>
          <w:rFonts w:hint="cs"/>
          <w:rtl/>
          <w:lang w:eastAsia="en-US"/>
        </w:rPr>
        <w:t>34-</w:t>
      </w:r>
      <w:r>
        <w:rPr>
          <w:rFonts w:hint="cs"/>
          <w:rtl/>
          <w:lang w:eastAsia="en-US"/>
        </w:rPr>
        <w:tab/>
        <w:t>وقد بين قانون الإجراءات الجنائية رقم 23 لسنة 2004 طرق إقامة الدعوى الجنائية وشروطها. كما وفر للمتقاضي كافة الضمانات القانونية.</w:t>
      </w:r>
    </w:p>
    <w:p w:rsidR="00000000" w:rsidRDefault="00000000">
      <w:pPr>
        <w:spacing w:before="0" w:line="380" w:lineRule="exact"/>
        <w:jc w:val="both"/>
        <w:rPr>
          <w:rFonts w:hint="cs"/>
          <w:rtl/>
          <w:lang w:eastAsia="en-US"/>
        </w:rPr>
      </w:pPr>
      <w:r>
        <w:rPr>
          <w:rFonts w:hint="cs"/>
          <w:rtl/>
          <w:lang w:eastAsia="en-US"/>
        </w:rPr>
        <w:t>35-</w:t>
      </w:r>
      <w:r>
        <w:rPr>
          <w:rFonts w:hint="cs"/>
          <w:rtl/>
          <w:lang w:eastAsia="en-US"/>
        </w:rPr>
        <w:tab/>
        <w:t>بالإضافة إلى ذلك فأن لأي شخص يدعي أن حقاً من حقوقه المكفولة بموجب القوانين قد انتهك أن يتوجه إلى سمو الأمير شخصياً وإبلاغه بذلك حيث إن ديوانه ومجلسه مفتوح لجميع المواطنين.</w:t>
      </w:r>
    </w:p>
    <w:p w:rsidR="00000000" w:rsidRDefault="00000000">
      <w:pPr>
        <w:spacing w:before="0" w:line="380" w:lineRule="exact"/>
        <w:jc w:val="both"/>
        <w:rPr>
          <w:rFonts w:hint="cs"/>
          <w:rtl/>
          <w:lang w:eastAsia="en-US"/>
        </w:rPr>
      </w:pPr>
      <w:r>
        <w:rPr>
          <w:rFonts w:hint="cs"/>
          <w:rtl/>
          <w:lang w:eastAsia="en-US"/>
        </w:rPr>
        <w:t>36-</w:t>
      </w:r>
      <w:r>
        <w:rPr>
          <w:rFonts w:hint="cs"/>
          <w:rtl/>
          <w:lang w:eastAsia="en-US"/>
        </w:rPr>
        <w:tab/>
        <w:t>كما أنه تم إنشاء لجنة وطنية لحقوق الإنسان في دولة قطر بموجب المرسوم بقانون رقم 38 لسنة 2002، تهدف إلى حماية حقوق الإنسان وحرياته من ضمن أهدافها، ما يلي:</w:t>
      </w:r>
    </w:p>
    <w:p w:rsidR="00000000" w:rsidRDefault="00000000">
      <w:pPr>
        <w:spacing w:before="0" w:line="380" w:lineRule="exact"/>
        <w:jc w:val="both"/>
        <w:rPr>
          <w:rFonts w:hint="cs"/>
          <w:rtl/>
          <w:lang w:eastAsia="en-US"/>
        </w:rPr>
      </w:pPr>
      <w:r>
        <w:rPr>
          <w:rFonts w:hint="cs"/>
          <w:rtl/>
          <w:lang w:eastAsia="en-US"/>
        </w:rPr>
        <w:tab/>
        <w:t>(أ)</w:t>
      </w:r>
      <w:r>
        <w:rPr>
          <w:rFonts w:hint="cs"/>
          <w:rtl/>
          <w:lang w:eastAsia="en-US"/>
        </w:rPr>
        <w:tab/>
        <w:t>العمل على تحقيق الأهداف الواردة بالاتفاقيات والمواثيق الدولية المعنية بحقوق الإنسان والتي أصبحت الدولة طرفاً فيها.</w:t>
      </w:r>
    </w:p>
    <w:p w:rsidR="00000000" w:rsidRDefault="00000000">
      <w:pPr>
        <w:spacing w:before="0" w:line="380" w:lineRule="exact"/>
        <w:jc w:val="both"/>
        <w:rPr>
          <w:rFonts w:hint="cs"/>
          <w:lang w:eastAsia="en-US"/>
        </w:rPr>
      </w:pPr>
      <w:r>
        <w:rPr>
          <w:rFonts w:hint="cs"/>
          <w:rtl/>
          <w:lang w:eastAsia="en-US"/>
        </w:rPr>
        <w:tab/>
        <w:t>(ب)</w:t>
      </w:r>
      <w:r>
        <w:rPr>
          <w:rFonts w:hint="cs"/>
          <w:rtl/>
          <w:lang w:eastAsia="en-US"/>
        </w:rPr>
        <w:tab/>
        <w:t>النظر في التجاوزات على حقوق الإنسان وحرياته، إن وجدت، واقتراح السبل الكفيلة بمعالجتها وتفادي وقوعها.</w:t>
      </w:r>
    </w:p>
    <w:p w:rsidR="00000000" w:rsidRDefault="00000000">
      <w:pPr>
        <w:spacing w:before="0" w:line="380" w:lineRule="exact"/>
        <w:jc w:val="both"/>
        <w:rPr>
          <w:rFonts w:hint="cs"/>
          <w:lang w:eastAsia="en-US"/>
        </w:rPr>
      </w:pPr>
      <w:r>
        <w:rPr>
          <w:rFonts w:hint="cs"/>
          <w:rtl/>
          <w:lang w:eastAsia="en-US"/>
        </w:rPr>
        <w:tab/>
        <w:t>(ج)</w:t>
      </w:r>
      <w:r>
        <w:rPr>
          <w:rFonts w:hint="cs"/>
          <w:rtl/>
          <w:lang w:eastAsia="en-US"/>
        </w:rPr>
        <w:tab/>
        <w:t>تعزيز الوعي والتثقيف بحقوق الإنسان وحرياته.</w:t>
      </w:r>
    </w:p>
    <w:p w:rsidR="00000000" w:rsidRDefault="00000000">
      <w:pPr>
        <w:spacing w:before="0" w:line="380" w:lineRule="exact"/>
        <w:jc w:val="center"/>
        <w:rPr>
          <w:b/>
          <w:bCs/>
          <w:noProof/>
          <w:rtl/>
          <w:lang w:val="ar-SA"/>
        </w:rPr>
      </w:pPr>
      <w:r>
        <w:rPr>
          <w:rFonts w:hint="cs"/>
          <w:b/>
          <w:bCs/>
          <w:noProof/>
          <w:rtl/>
          <w:lang w:val="ar-SA"/>
        </w:rPr>
        <w:t>الضمانات الإجرائية لصالح الموقوفين</w:t>
      </w:r>
    </w:p>
    <w:p w:rsidR="00000000" w:rsidRDefault="00000000">
      <w:pPr>
        <w:spacing w:before="0" w:line="380" w:lineRule="exact"/>
        <w:jc w:val="both"/>
        <w:rPr>
          <w:rFonts w:hint="cs"/>
          <w:rtl/>
          <w:lang w:eastAsia="en-US"/>
        </w:rPr>
      </w:pPr>
      <w:r>
        <w:rPr>
          <w:rFonts w:hint="cs"/>
          <w:rtl/>
          <w:lang w:eastAsia="en-US"/>
        </w:rPr>
        <w:t>37-</w:t>
      </w:r>
      <w:r>
        <w:rPr>
          <w:rFonts w:hint="cs"/>
          <w:rtl/>
          <w:lang w:eastAsia="en-US"/>
        </w:rPr>
        <w:tab/>
        <w:t xml:space="preserve">لقد تم النص على هذه الحقوق في دستور دولة قطر وبالأخص في المادة 36 منه والتي تنص على: "الحرية الشخصية مكفولة. ولا يجوز القبض على إنسان أو حبسه أو تفتيشه أو تحديد إقامته، أو تقييد حريته في الإقامة أو التنقل إلا وفق أحكام القانون. ولا يُعرض أي إنسان للتعذيب أو للمعاملة </w:t>
      </w:r>
      <w:proofErr w:type="spellStart"/>
      <w:r>
        <w:rPr>
          <w:rFonts w:hint="cs"/>
          <w:rtl/>
          <w:lang w:eastAsia="en-US"/>
        </w:rPr>
        <w:t>الحاطة</w:t>
      </w:r>
      <w:proofErr w:type="spellEnd"/>
      <w:r>
        <w:rPr>
          <w:rFonts w:hint="cs"/>
          <w:rtl/>
          <w:lang w:eastAsia="en-US"/>
        </w:rPr>
        <w:t xml:space="preserve"> بالكرامة. ويعتبر التعذيب جريمة يعاقب عليها القانون". وكذلك المادة 37 منه والتي نصها كالآتي: "لخصوصية الإنسان حرمتها. فلا يجوز تعرض أي شخص، لأي تدخل في خصوصياته، أو شؤون أسرته، أو مسكنه أو مراسلاته، أو أية تدخلات تمس شرفه أو سمعته، إلا وفقاً لأحكام القانون وبالكيفية المنصوص عليها فيه".</w:t>
      </w:r>
    </w:p>
    <w:p w:rsidR="00000000" w:rsidRDefault="00000000">
      <w:pPr>
        <w:spacing w:before="0" w:line="380" w:lineRule="exact"/>
        <w:jc w:val="both"/>
        <w:rPr>
          <w:rFonts w:hint="cs"/>
          <w:rtl/>
          <w:lang w:eastAsia="en-US"/>
        </w:rPr>
      </w:pPr>
      <w:r>
        <w:rPr>
          <w:rFonts w:hint="cs"/>
          <w:rtl/>
          <w:lang w:eastAsia="en-US"/>
        </w:rPr>
        <w:t>38-</w:t>
      </w:r>
      <w:r>
        <w:rPr>
          <w:rFonts w:hint="cs"/>
          <w:rtl/>
          <w:lang w:eastAsia="en-US"/>
        </w:rPr>
        <w:tab/>
        <w:t>كما تم النص على هذه الحقوق والضمانات أيضاً في قانون الإجراءات الجنائية الذي يعتبر من القوانين الهامة في مجال حماية حقوق الإنسان وحرياته الأساسية لما يتضمنه من ضمانات عادلة كفيلة بتحقيق أقصى ضمانات العدالة القضائية أثناء اتخاذ أي شكل من أشكال الإجراءات الجزائية ضد أي شخص.</w:t>
      </w:r>
    </w:p>
    <w:p w:rsidR="00000000" w:rsidRDefault="00000000">
      <w:pPr>
        <w:spacing w:before="0" w:line="380" w:lineRule="exact"/>
        <w:jc w:val="both"/>
        <w:rPr>
          <w:rFonts w:hint="cs"/>
          <w:rtl/>
          <w:lang w:eastAsia="en-US"/>
        </w:rPr>
      </w:pPr>
      <w:r>
        <w:rPr>
          <w:rFonts w:hint="cs"/>
          <w:rtl/>
          <w:lang w:eastAsia="en-US"/>
        </w:rPr>
        <w:t>39-</w:t>
      </w:r>
      <w:r>
        <w:rPr>
          <w:rFonts w:hint="cs"/>
          <w:rtl/>
          <w:lang w:eastAsia="en-US"/>
        </w:rPr>
        <w:tab/>
        <w:t>فقد احتوت نصوص هذا القانون على حظر التعذيب أو الاعتداء على المتهم. فالمادة 40 تنص على أنه: "لا يجوز القبض على أي شخص أو حبسه إلا بأمر من السلطات المختصة بذلك وفي الأحوال المقررة قانوناً، كما تجب معاملته بما يحفظ عليه كرامة الإنسان ولا يجوز إيذاؤه بدنياً أو معنوياً. ويجب على مأمور الضبط القضائي أن ينبه المتهم إلى حقه في الصمت وفي الاتصال بمن يرى".</w:t>
      </w:r>
    </w:p>
    <w:p w:rsidR="00000000" w:rsidRDefault="00000000">
      <w:pPr>
        <w:spacing w:before="0" w:line="380" w:lineRule="exact"/>
        <w:jc w:val="both"/>
        <w:rPr>
          <w:rFonts w:hint="cs"/>
          <w:rtl/>
          <w:lang w:eastAsia="en-US"/>
        </w:rPr>
      </w:pPr>
      <w:r>
        <w:rPr>
          <w:rFonts w:hint="cs"/>
          <w:rtl/>
          <w:lang w:eastAsia="en-US"/>
        </w:rPr>
        <w:t>40-</w:t>
      </w:r>
      <w:r>
        <w:rPr>
          <w:rFonts w:hint="cs"/>
          <w:rtl/>
          <w:lang w:eastAsia="en-US"/>
        </w:rPr>
        <w:tab/>
        <w:t>بما أن المعايير الدولية تلقي واجباً على المحامين بأن يقوموا في ممارسة وظائفهم المهنية بتعزيز وحماية حقوق الإنسان وحرياته الأساسية، فقد منح قانون الإجراءات الجنائية المتهم الحق في توكيل محامي في جميع المراحل والتي تبدأ من مرحلة الاستجواب، وهذا ما نصت عليه المادتان 101 و102، حيث تنص المادة 101 على أنه: "في غير حالة التلبس وحالة الاستعجال بسبب الخوف من ضياع الأدلة، لا يجوز لعضو النيابة العامة في الجنايات أن يستجوب المتهم أو يواجهه بغيره من المتهمين أو الشهود إلا بعد دعوة محاميه للحضور إذا قرر أن له محامياً".</w:t>
      </w:r>
    </w:p>
    <w:p w:rsidR="00000000" w:rsidRDefault="00000000">
      <w:pPr>
        <w:spacing w:before="0" w:line="380" w:lineRule="exact"/>
        <w:jc w:val="both"/>
        <w:rPr>
          <w:rFonts w:hint="cs"/>
          <w:rtl/>
          <w:lang w:eastAsia="en-US"/>
        </w:rPr>
      </w:pPr>
      <w:r>
        <w:rPr>
          <w:rFonts w:hint="cs"/>
          <w:rtl/>
          <w:lang w:eastAsia="en-US"/>
        </w:rPr>
        <w:t>41-</w:t>
      </w:r>
      <w:r>
        <w:rPr>
          <w:rFonts w:hint="cs"/>
          <w:rtl/>
          <w:lang w:eastAsia="en-US"/>
        </w:rPr>
        <w:tab/>
        <w:t>والمادة 102 تنص على: "يجب أن يمكن محامي المتهم من الإطلاع على التحقيق، قبل الاستجواب أو المواجهة بيوم على الأقل، ما لم ير عضو النيابة غير ذلك. وفي جميع الأحوال، لا يجوز الفصل بين المتهم ومحاميه الحاضر معه أثناء التحقيق".</w:t>
      </w:r>
    </w:p>
    <w:p w:rsidR="00000000" w:rsidRDefault="00000000">
      <w:pPr>
        <w:spacing w:before="0" w:line="380" w:lineRule="exact"/>
        <w:jc w:val="both"/>
        <w:rPr>
          <w:rFonts w:hint="cs"/>
          <w:rtl/>
          <w:lang w:eastAsia="en-US"/>
        </w:rPr>
      </w:pPr>
      <w:r>
        <w:rPr>
          <w:rFonts w:hint="cs"/>
          <w:rtl/>
          <w:lang w:eastAsia="en-US"/>
        </w:rPr>
        <w:t>42-</w:t>
      </w:r>
      <w:r>
        <w:rPr>
          <w:rFonts w:hint="cs"/>
          <w:rtl/>
          <w:lang w:eastAsia="en-US"/>
        </w:rPr>
        <w:tab/>
      </w:r>
      <w:r>
        <w:rPr>
          <w:rFonts w:hint="cs"/>
          <w:noProof/>
          <w:rtl/>
          <w:lang w:eastAsia="en-US"/>
        </w:rPr>
        <w:pict>
          <v:shape id="_x0000_s2068" type="#_x0000_t202" style="position:absolute;left:0;text-align:left;margin-left:-9pt;margin-top:230.95pt;width:49.5pt;height:63pt;z-index:2;mso-position-horizontal-relative:text;mso-position-vertical-relative:text" filled="f" stroked="f">
            <v:textbox>
              <w:txbxContent>
                <w:p w:rsidR="00000000" w:rsidRDefault="00000000">
                  <w:pPr>
                    <w:jc w:val="right"/>
                    <w:rPr>
                      <w:rFonts w:hint="cs"/>
                      <w:sz w:val="28"/>
                      <w:szCs w:val="28"/>
                    </w:rPr>
                  </w:pPr>
                  <w:r>
                    <w:rPr>
                      <w:rFonts w:hint="cs"/>
                      <w:sz w:val="28"/>
                      <w:szCs w:val="28"/>
                      <w:rtl/>
                    </w:rPr>
                    <w:t>../17</w:t>
                  </w:r>
                </w:p>
              </w:txbxContent>
            </v:textbox>
          </v:shape>
        </w:pict>
      </w:r>
      <w:r>
        <w:rPr>
          <w:rFonts w:hint="cs"/>
          <w:rtl/>
          <w:lang w:eastAsia="en-US"/>
        </w:rPr>
        <w:t>بالإضافة إلى ذلك فقد نص هذا القانون على عدم الاعتداد بالاعترافات الصادرة عن المتهم نتيجة للتعذيب. وهذا ما نصت عليه المادة 232: "يحكم القاضي في الدعوى حسب العقيدة التي تكونت لديه بكامل حريته، ومع ذلك لا يجوز له أن يبني حكمه على أي دليل لم يطرح أمامه في الجلسة أو تم التوصل إليه بطريق غير مشروع. وكل قول يثبت أنه صدر من أحد المتهمين أو الشهود تحت وطأة الإكراه أو التهديد لا يعول عليه".</w:t>
      </w:r>
    </w:p>
    <w:p w:rsidR="00000000" w:rsidRDefault="00000000">
      <w:pPr>
        <w:spacing w:before="0" w:line="380" w:lineRule="exact"/>
        <w:jc w:val="center"/>
        <w:rPr>
          <w:rFonts w:hint="cs"/>
          <w:b/>
          <w:bCs/>
          <w:noProof/>
          <w:rtl/>
          <w:lang w:val="ar-SA"/>
        </w:rPr>
      </w:pPr>
      <w:r>
        <w:rPr>
          <w:rFonts w:hint="cs"/>
          <w:b/>
          <w:bCs/>
          <w:noProof/>
          <w:rtl/>
          <w:lang w:val="ar-SA"/>
        </w:rPr>
        <w:t>نشر الاتفاقية</w:t>
      </w:r>
    </w:p>
    <w:p w:rsidR="00000000" w:rsidRDefault="00000000">
      <w:pPr>
        <w:spacing w:before="0" w:line="380" w:lineRule="exact"/>
        <w:jc w:val="both"/>
        <w:rPr>
          <w:rFonts w:hint="cs"/>
          <w:rtl/>
          <w:lang w:eastAsia="en-US"/>
        </w:rPr>
      </w:pPr>
      <w:r>
        <w:rPr>
          <w:rFonts w:hint="cs"/>
          <w:rtl/>
          <w:lang w:eastAsia="en-US"/>
        </w:rPr>
        <w:t>43-</w:t>
      </w:r>
      <w:r>
        <w:rPr>
          <w:rFonts w:hint="cs"/>
          <w:rtl/>
          <w:lang w:eastAsia="en-US"/>
        </w:rPr>
        <w:tab/>
        <w:t>وفقاً لأحكام المادة 68 من النظام الأساسي المؤقت المعدل من دستور دولة قطر فإن أي معاهدة لا تصبح نافذة إلا بعد التصديق عليها ونشرها في الجريدة الرسمية، علماً أن الدستور الدائم لدولة قطر قد تضمن الحكم ذاته في المادة 68 منه.</w:t>
      </w:r>
    </w:p>
    <w:p w:rsidR="00000000" w:rsidRDefault="00000000">
      <w:pPr>
        <w:spacing w:before="0" w:line="380" w:lineRule="exact"/>
        <w:jc w:val="both"/>
        <w:rPr>
          <w:rFonts w:hint="cs"/>
          <w:rtl/>
          <w:lang w:eastAsia="en-US"/>
        </w:rPr>
      </w:pPr>
      <w:r>
        <w:rPr>
          <w:rFonts w:hint="cs"/>
          <w:rtl/>
          <w:lang w:eastAsia="en-US"/>
        </w:rPr>
        <w:t>44-</w:t>
      </w:r>
      <w:r>
        <w:rPr>
          <w:rFonts w:hint="cs"/>
          <w:rtl/>
          <w:lang w:eastAsia="en-US"/>
        </w:rPr>
        <w:tab/>
        <w:t>والنشر يعتبر بمثابة الأمر إلى جميع الهيئات والسلطات لتنفيذ هذا القانون كلٌ فيما يخصه. والجدير بالذكر أن جميع الاتفاقيات المتعلقة بحقوق الإنسان التي صادقت عليها أو انضمت إليها الدولة ومنها الاتفاقية موضوع البحث قد تم نشرها في الجريدة الرسمية، كما تم توزيع نسخ منها على جميع الوزارات والجهات المعنية بالاتفاقية.</w:t>
      </w:r>
    </w:p>
    <w:p w:rsidR="00000000" w:rsidRDefault="00000000">
      <w:pPr>
        <w:spacing w:before="0" w:line="380" w:lineRule="exact"/>
        <w:jc w:val="center"/>
        <w:rPr>
          <w:rFonts w:hint="cs"/>
          <w:b/>
          <w:bCs/>
          <w:noProof/>
          <w:sz w:val="36"/>
          <w:szCs w:val="36"/>
          <w:rtl/>
          <w:lang w:val="ar-SA"/>
        </w:rPr>
      </w:pPr>
      <w:r>
        <w:rPr>
          <w:noProof/>
          <w:rtl/>
          <w:lang w:val="ar-SA"/>
        </w:rPr>
        <w:br w:type="page"/>
      </w:r>
      <w:r>
        <w:rPr>
          <w:rFonts w:hint="cs"/>
          <w:b/>
          <w:bCs/>
          <w:noProof/>
          <w:sz w:val="36"/>
          <w:szCs w:val="36"/>
          <w:rtl/>
          <w:lang w:val="ar-SA"/>
        </w:rPr>
        <w:t>القسم الثاني</w:t>
      </w:r>
    </w:p>
    <w:p w:rsidR="00000000" w:rsidRDefault="00000000">
      <w:pPr>
        <w:spacing w:before="0" w:line="380" w:lineRule="exact"/>
        <w:jc w:val="center"/>
        <w:rPr>
          <w:rFonts w:hint="cs"/>
          <w:b/>
          <w:bCs/>
          <w:noProof/>
          <w:rtl/>
          <w:lang w:val="ar-SA"/>
        </w:rPr>
      </w:pPr>
      <w:r>
        <w:rPr>
          <w:rFonts w:hint="cs"/>
          <w:b/>
          <w:bCs/>
          <w:noProof/>
          <w:rtl/>
          <w:lang w:val="ar-SA"/>
        </w:rPr>
        <w:t>أحك</w:t>
      </w:r>
      <w:r>
        <w:rPr>
          <w:rFonts w:hint="cs"/>
          <w:b/>
          <w:bCs/>
          <w:noProof/>
          <w:rtl/>
          <w:lang w:val="ar-SA" w:bidi="ar-QA"/>
        </w:rPr>
        <w:t>ا</w:t>
      </w:r>
      <w:r>
        <w:rPr>
          <w:rFonts w:hint="cs"/>
          <w:b/>
          <w:bCs/>
          <w:noProof/>
          <w:rtl/>
          <w:lang w:val="ar-SA"/>
        </w:rPr>
        <w:t>م الاتفاقية التفصيلية وتطبيقها في دولة قطر</w:t>
      </w:r>
    </w:p>
    <w:p w:rsidR="00000000" w:rsidRDefault="00000000">
      <w:pPr>
        <w:spacing w:before="0" w:line="380" w:lineRule="exact"/>
        <w:jc w:val="center"/>
        <w:rPr>
          <w:rFonts w:hint="cs"/>
          <w:b/>
          <w:bCs/>
          <w:noProof/>
          <w:rtl/>
          <w:lang w:val="ar-SA"/>
        </w:rPr>
      </w:pPr>
      <w:r>
        <w:rPr>
          <w:rFonts w:hint="cs"/>
          <w:b/>
          <w:bCs/>
          <w:noProof/>
          <w:rtl/>
          <w:lang w:val="ar-SA"/>
        </w:rPr>
        <w:t>المادة 1</w:t>
      </w:r>
    </w:p>
    <w:p w:rsidR="00000000" w:rsidRDefault="00000000">
      <w:pPr>
        <w:spacing w:before="0" w:line="380" w:lineRule="exact"/>
        <w:jc w:val="both"/>
        <w:rPr>
          <w:rFonts w:hint="cs"/>
          <w:rtl/>
          <w:lang w:eastAsia="en-US"/>
        </w:rPr>
      </w:pPr>
      <w:r>
        <w:rPr>
          <w:rFonts w:hint="cs"/>
          <w:rtl/>
          <w:lang w:eastAsia="en-US"/>
        </w:rPr>
        <w:tab/>
        <w:t>لأغراض هذه الاتفاقية، يقصد "بالتعذيب" أي عمل ينتج عنه ألم أو عذاب شديد، جسدياً كان أم عقلياً، يلحق عمداً بشخص ما بقصد الحصول من هذا الشخص، أو من شخص ثالث، على معلومات أو على اعتراف، أو معاقبته على عمل ارتكبه أو يشتبه في أنه ارتكبه، هو أو شخص ثالث أو تخويفه أو إرغامه هو أو أي شخص ثالث - أو عندما يلحق مثل هذا الألم أو العذاب لأي سبب من الأسباب يقوم على التمييز أيا كان نوعه، أو يحرض عليه أو يوافق عليه أو يسكت عنه موظف رسمي أو أي شخص آخر يتصرف بصفته الرسمية. ولا يتضمن ذلك الألم أو العذاب الناشئ فقط عن عقوبات قانونية أو الملازم لهذه العقوبات أو الذي يكون نتيجة عرضية لها.</w:t>
      </w:r>
    </w:p>
    <w:p w:rsidR="00000000" w:rsidRDefault="00000000">
      <w:pPr>
        <w:spacing w:before="0" w:line="380" w:lineRule="exact"/>
        <w:jc w:val="both"/>
        <w:rPr>
          <w:rFonts w:hint="cs"/>
          <w:rtl/>
          <w:lang w:eastAsia="en-US"/>
        </w:rPr>
      </w:pPr>
      <w:r>
        <w:rPr>
          <w:rFonts w:hint="cs"/>
          <w:rtl/>
          <w:lang w:eastAsia="en-US"/>
        </w:rPr>
        <w:tab/>
        <w:t>لا تخل هذه المادة بأي صك دولي أو تشريع وطني يتضمن أو يمكن أن يتضمن أحكاماً ذات تطبيق أشمل.</w:t>
      </w:r>
    </w:p>
    <w:p w:rsidR="00000000" w:rsidRDefault="00000000">
      <w:pPr>
        <w:spacing w:before="0" w:line="380" w:lineRule="exact"/>
        <w:jc w:val="both"/>
        <w:rPr>
          <w:rFonts w:hint="cs"/>
          <w:sz w:val="30"/>
          <w:rtl/>
          <w:lang w:eastAsia="en-US"/>
        </w:rPr>
      </w:pPr>
      <w:r>
        <w:rPr>
          <w:rFonts w:hint="cs"/>
          <w:b/>
          <w:bCs/>
          <w:sz w:val="30"/>
          <w:rtl/>
          <w:lang w:eastAsia="en-US"/>
        </w:rPr>
        <w:t>التعقيب</w:t>
      </w:r>
    </w:p>
    <w:p w:rsidR="00000000" w:rsidRDefault="00000000">
      <w:pPr>
        <w:spacing w:before="0" w:line="380" w:lineRule="exact"/>
        <w:jc w:val="both"/>
        <w:rPr>
          <w:rFonts w:hint="cs"/>
          <w:sz w:val="30"/>
          <w:rtl/>
          <w:lang w:eastAsia="en-US"/>
        </w:rPr>
      </w:pPr>
      <w:r>
        <w:rPr>
          <w:rFonts w:hint="cs"/>
          <w:sz w:val="30"/>
          <w:rtl/>
          <w:lang w:eastAsia="en-US"/>
        </w:rPr>
        <w:t>45-</w:t>
      </w:r>
      <w:r>
        <w:rPr>
          <w:rFonts w:hint="cs"/>
          <w:sz w:val="30"/>
          <w:rtl/>
          <w:lang w:eastAsia="en-US"/>
        </w:rPr>
        <w:tab/>
      </w:r>
      <w:r>
        <w:rPr>
          <w:rFonts w:hint="cs"/>
          <w:spacing w:val="2"/>
          <w:sz w:val="30"/>
          <w:rtl/>
          <w:lang w:eastAsia="en-US"/>
        </w:rPr>
        <w:t>إن استخدام التعذيب أمر محظور تماماً كسياسة وكأداة من أدوات سلطة الدولة. فلا يخول لأي موظف عام من موظفي الدولة المدنين أو العسكريين باقتراف أي فعل من أفعال التعذيب أو أمر أي شخص آخر بارتكابه.</w:t>
      </w:r>
    </w:p>
    <w:p w:rsidR="00000000" w:rsidRDefault="00000000">
      <w:pPr>
        <w:spacing w:before="0" w:line="380" w:lineRule="exact"/>
        <w:jc w:val="both"/>
        <w:rPr>
          <w:rFonts w:hint="cs"/>
          <w:sz w:val="30"/>
          <w:rtl/>
          <w:lang w:eastAsia="en-US"/>
        </w:rPr>
      </w:pPr>
      <w:r>
        <w:rPr>
          <w:rFonts w:hint="cs"/>
          <w:sz w:val="30"/>
          <w:rtl/>
          <w:lang w:eastAsia="en-US"/>
        </w:rPr>
        <w:t>46-</w:t>
      </w:r>
      <w:r>
        <w:rPr>
          <w:rFonts w:hint="cs"/>
          <w:sz w:val="30"/>
          <w:rtl/>
          <w:lang w:eastAsia="en-US"/>
        </w:rPr>
        <w:tab/>
        <w:t xml:space="preserve">كما لا يجوز لأي موظف عام أن يتستر أو يسمح بالتعذيب في أي صورة من صوره أو أن يرضى بوقوعه. وأن أي فعل من أفعال التعذيب بالمعنى الوارد في الاتفاقية يعتبر فعلاً غير مشروع بموجب أحكام القوانين القطرية. وإن أي شخص يرتكب مثل هذه الأفعال سيكون خاضعاً للجزاءات الجنائية المنصوص عليها في قانون العقوبات والقوانين الجنائية الأخرى </w:t>
      </w:r>
      <w:proofErr w:type="spellStart"/>
      <w:r>
        <w:rPr>
          <w:rFonts w:hint="cs"/>
          <w:sz w:val="30"/>
          <w:rtl/>
          <w:lang w:eastAsia="en-US"/>
        </w:rPr>
        <w:t>دونما</w:t>
      </w:r>
      <w:proofErr w:type="spellEnd"/>
      <w:r>
        <w:rPr>
          <w:rFonts w:hint="cs"/>
          <w:sz w:val="30"/>
          <w:rtl/>
          <w:lang w:eastAsia="en-US"/>
        </w:rPr>
        <w:t xml:space="preserve"> استثناء.</w:t>
      </w:r>
    </w:p>
    <w:p w:rsidR="00000000" w:rsidRDefault="00000000">
      <w:pPr>
        <w:spacing w:before="0" w:line="380" w:lineRule="exact"/>
        <w:jc w:val="both"/>
        <w:rPr>
          <w:rFonts w:hint="cs"/>
          <w:sz w:val="30"/>
          <w:rtl/>
          <w:lang w:eastAsia="en-US"/>
        </w:rPr>
      </w:pPr>
      <w:r>
        <w:rPr>
          <w:rFonts w:hint="cs"/>
          <w:sz w:val="30"/>
          <w:rtl/>
          <w:lang w:eastAsia="en-US"/>
        </w:rPr>
        <w:t>47-</w:t>
      </w:r>
      <w:r>
        <w:rPr>
          <w:rFonts w:hint="cs"/>
          <w:sz w:val="30"/>
          <w:rtl/>
          <w:lang w:eastAsia="en-US"/>
        </w:rPr>
        <w:tab/>
        <w:t>علاوة على ذلك فإن أحكام الشريعة الإسلامية تمنع منعاً باتاً أفعال التعذيب وسائر أفعال سوء المعاملة الأخرى لأنها تنافي كرامة الإنسان التي أمر الدين باحترامها وحمايتها من أي مساس بها.</w:t>
      </w:r>
    </w:p>
    <w:p w:rsidR="00000000" w:rsidRDefault="00000000">
      <w:pPr>
        <w:spacing w:before="0" w:line="380" w:lineRule="exact"/>
        <w:jc w:val="both"/>
        <w:rPr>
          <w:rFonts w:hint="cs"/>
          <w:sz w:val="30"/>
          <w:rtl/>
          <w:lang w:eastAsia="en-US"/>
        </w:rPr>
      </w:pPr>
      <w:r>
        <w:rPr>
          <w:rFonts w:hint="cs"/>
          <w:sz w:val="30"/>
          <w:rtl/>
          <w:lang w:eastAsia="en-US"/>
        </w:rPr>
        <w:t>48-</w:t>
      </w:r>
      <w:r>
        <w:rPr>
          <w:rFonts w:hint="cs"/>
          <w:sz w:val="30"/>
          <w:rtl/>
          <w:lang w:eastAsia="en-US"/>
        </w:rPr>
        <w:tab/>
        <w:t xml:space="preserve">ونظراً لما تثيره أفعال التعذيب وأبناء عمومتها </w:t>
      </w:r>
      <w:proofErr w:type="spellStart"/>
      <w:r>
        <w:rPr>
          <w:rFonts w:hint="cs"/>
          <w:sz w:val="30"/>
          <w:rtl/>
          <w:lang w:eastAsia="en-US"/>
        </w:rPr>
        <w:t>الأقربين</w:t>
      </w:r>
      <w:proofErr w:type="spellEnd"/>
      <w:r>
        <w:rPr>
          <w:rFonts w:hint="cs"/>
          <w:sz w:val="30"/>
          <w:rtl/>
          <w:lang w:eastAsia="en-US"/>
        </w:rPr>
        <w:t xml:space="preserve"> كالمعاملة أو العقوبة القاسية أو اللاإنسانية أو </w:t>
      </w:r>
      <w:proofErr w:type="spellStart"/>
      <w:r>
        <w:rPr>
          <w:rFonts w:hint="cs"/>
          <w:sz w:val="30"/>
          <w:rtl/>
          <w:lang w:eastAsia="en-US"/>
        </w:rPr>
        <w:t>الحاطة</w:t>
      </w:r>
      <w:proofErr w:type="spellEnd"/>
      <w:r>
        <w:rPr>
          <w:rFonts w:hint="cs"/>
          <w:sz w:val="30"/>
          <w:rtl/>
          <w:lang w:eastAsia="en-US"/>
        </w:rPr>
        <w:t xml:space="preserve"> بالكرامة، لدى الكثيرين من أفظع وأقسى أشكال المعاناة المادية والمعنوية ونظراً لما ينتج من هذه الأفعال لدى الفرد العادي من شعور قوي بالامتعاض والاشمئزاز فقد حرص واضعو دستور دولة قطر على النهي عن التعذيب وتجريمه بعبارات صريحة. إذ نص في المادة 36 على أن: "لا يعرض أي إنسان للتعذيب أو المعاملة </w:t>
      </w:r>
      <w:proofErr w:type="spellStart"/>
      <w:r>
        <w:rPr>
          <w:rFonts w:hint="cs"/>
          <w:sz w:val="30"/>
          <w:rtl/>
          <w:lang w:eastAsia="en-US"/>
        </w:rPr>
        <w:t>الحاطة</w:t>
      </w:r>
      <w:proofErr w:type="spellEnd"/>
      <w:r>
        <w:rPr>
          <w:rFonts w:hint="cs"/>
          <w:sz w:val="30"/>
          <w:rtl/>
          <w:lang w:eastAsia="en-US"/>
        </w:rPr>
        <w:t xml:space="preserve"> بالكرامة ويعتبر التعذيب جريمة يعاقب عليها القانون".</w:t>
      </w:r>
    </w:p>
    <w:p w:rsidR="00000000" w:rsidRDefault="00000000">
      <w:pPr>
        <w:spacing w:before="0" w:line="380" w:lineRule="exact"/>
        <w:jc w:val="both"/>
        <w:rPr>
          <w:rFonts w:hint="cs"/>
          <w:sz w:val="30"/>
          <w:lang w:eastAsia="en-US"/>
        </w:rPr>
      </w:pPr>
      <w:r>
        <w:rPr>
          <w:rFonts w:hint="cs"/>
          <w:sz w:val="30"/>
          <w:rtl/>
          <w:lang w:eastAsia="en-US"/>
        </w:rPr>
        <w:t>49-</w:t>
      </w:r>
      <w:r>
        <w:rPr>
          <w:rFonts w:hint="cs"/>
          <w:sz w:val="30"/>
          <w:rtl/>
          <w:lang w:eastAsia="en-US"/>
        </w:rPr>
        <w:tab/>
        <w:t xml:space="preserve">وقد جاء هذا النص منسجماً مع ما ورد في المادة الأولى من الاتفاقية في تفريقه بين التعذيب والأفعال التي </w:t>
      </w:r>
      <w:r>
        <w:rPr>
          <w:rFonts w:hint="cs"/>
          <w:spacing w:val="2"/>
          <w:sz w:val="30"/>
          <w:rtl/>
          <w:lang w:eastAsia="en-US"/>
        </w:rPr>
        <w:t xml:space="preserve">تقل عنه جسامة مثل الأفعال </w:t>
      </w:r>
      <w:proofErr w:type="spellStart"/>
      <w:r>
        <w:rPr>
          <w:rFonts w:hint="cs"/>
          <w:spacing w:val="2"/>
          <w:sz w:val="30"/>
          <w:rtl/>
          <w:lang w:eastAsia="en-US"/>
        </w:rPr>
        <w:t>الحاطة</w:t>
      </w:r>
      <w:proofErr w:type="spellEnd"/>
      <w:r>
        <w:rPr>
          <w:rFonts w:hint="cs"/>
          <w:spacing w:val="2"/>
          <w:sz w:val="30"/>
          <w:rtl/>
          <w:lang w:eastAsia="en-US"/>
        </w:rPr>
        <w:t xml:space="preserve"> بالكرامة والأفعال اللاإنسانية الأخرى التي لا تصل إلى درجة التعذيب. وكما هو واضح فإن الدستور قد أفرد لأفعال التعذيب حكماً خاصاً وجعلها أفعالاً محظورة بصفة مستقلة عن الجرائم</w:t>
      </w:r>
      <w:r>
        <w:rPr>
          <w:rFonts w:hint="cs"/>
          <w:sz w:val="30"/>
          <w:rtl/>
          <w:lang w:eastAsia="en-US"/>
        </w:rPr>
        <w:t xml:space="preserve"> الأخرى.</w:t>
      </w:r>
    </w:p>
    <w:p w:rsidR="00000000" w:rsidRDefault="00000000">
      <w:pPr>
        <w:pStyle w:val="BodyText"/>
        <w:spacing w:before="0" w:after="240" w:line="380" w:lineRule="exact"/>
        <w:jc w:val="center"/>
        <w:rPr>
          <w:rFonts w:cs="Traditional Arabic" w:hint="cs"/>
          <w:b w:val="0"/>
          <w:bCs w:val="0"/>
          <w:noProof/>
          <w:sz w:val="30"/>
          <w:szCs w:val="30"/>
          <w:rtl/>
          <w:lang w:val="ar-SA" w:eastAsia="ar-SA"/>
        </w:rPr>
      </w:pPr>
      <w:r>
        <w:rPr>
          <w:rFonts w:cs="Traditional Arabic" w:hint="cs"/>
          <w:noProof/>
          <w:sz w:val="30"/>
          <w:szCs w:val="30"/>
          <w:rtl/>
          <w:lang w:val="ar-SA" w:eastAsia="ar-SA"/>
        </w:rPr>
        <w:t>المادة 2</w:t>
      </w:r>
    </w:p>
    <w:p w:rsidR="00000000" w:rsidRDefault="00000000">
      <w:pPr>
        <w:spacing w:before="0" w:line="380" w:lineRule="exact"/>
        <w:jc w:val="both"/>
        <w:rPr>
          <w:rFonts w:hint="cs"/>
          <w:sz w:val="102"/>
          <w:rtl/>
        </w:rPr>
      </w:pPr>
      <w:r>
        <w:rPr>
          <w:rFonts w:hint="cs"/>
          <w:sz w:val="102"/>
          <w:rtl/>
        </w:rPr>
        <w:tab/>
        <w:t>تتخذ كل دولة طرف إجراءات تشريعية أو إدارية أو قضائية فعالة أو أية إجراءات أخرى لمنع أعمال التعذيب في أي إقليم يخضع لاختصاصها القضائي.</w:t>
      </w:r>
    </w:p>
    <w:p w:rsidR="00000000" w:rsidRDefault="00000000">
      <w:pPr>
        <w:spacing w:before="0" w:line="380" w:lineRule="exact"/>
        <w:jc w:val="both"/>
        <w:rPr>
          <w:rFonts w:hint="cs"/>
          <w:b/>
          <w:sz w:val="30"/>
          <w:rtl/>
          <w:lang w:eastAsia="en-US"/>
        </w:rPr>
      </w:pPr>
      <w:r>
        <w:rPr>
          <w:rFonts w:hint="cs"/>
          <w:b/>
          <w:sz w:val="30"/>
          <w:rtl/>
          <w:lang w:eastAsia="en-US"/>
        </w:rPr>
        <w:tab/>
        <w:t>لا يجوز التذرع بأية ظروف استثنائية أياً كانت، سواء أكانت هذه الظروف حالة حرب أو تهديداً بالحرب أو عدم استقرار سياسي داخلي أو أية حالة من حالات الطوارئ العامة الأخرى كمبرر للتعذيب.</w:t>
      </w:r>
    </w:p>
    <w:p w:rsidR="00000000" w:rsidRDefault="00000000">
      <w:pPr>
        <w:spacing w:before="0" w:line="380" w:lineRule="exact"/>
        <w:jc w:val="both"/>
        <w:rPr>
          <w:rFonts w:hint="cs"/>
          <w:b/>
          <w:sz w:val="30"/>
          <w:rtl/>
          <w:lang w:eastAsia="en-US"/>
        </w:rPr>
      </w:pPr>
      <w:r>
        <w:rPr>
          <w:rFonts w:hint="cs"/>
          <w:b/>
          <w:sz w:val="30"/>
          <w:rtl/>
          <w:lang w:eastAsia="en-US"/>
        </w:rPr>
        <w:tab/>
        <w:t>لا يجوز التذرع بالأوامر الصادرة عن موظفين أعلى مرتبة أو عن سلطة عامة كمبرر للتعذيب.</w:t>
      </w:r>
    </w:p>
    <w:p w:rsidR="00000000" w:rsidRDefault="00000000">
      <w:pPr>
        <w:spacing w:before="0" w:line="380" w:lineRule="exact"/>
        <w:jc w:val="both"/>
        <w:rPr>
          <w:rFonts w:hint="cs"/>
          <w:b/>
          <w:bCs/>
          <w:sz w:val="30"/>
          <w:rtl/>
          <w:lang w:eastAsia="en-US"/>
        </w:rPr>
      </w:pPr>
      <w:r>
        <w:rPr>
          <w:rFonts w:hint="cs"/>
          <w:b/>
          <w:bCs/>
          <w:sz w:val="30"/>
          <w:rtl/>
          <w:lang w:eastAsia="en-US"/>
        </w:rPr>
        <w:t>التعقيب</w:t>
      </w:r>
    </w:p>
    <w:p w:rsidR="00000000" w:rsidRDefault="00000000">
      <w:pPr>
        <w:spacing w:before="0" w:line="380" w:lineRule="exact"/>
        <w:jc w:val="both"/>
        <w:rPr>
          <w:rFonts w:hint="cs"/>
          <w:sz w:val="30"/>
          <w:rtl/>
          <w:lang w:eastAsia="en-US"/>
        </w:rPr>
      </w:pPr>
      <w:r>
        <w:rPr>
          <w:rFonts w:hint="cs"/>
          <w:sz w:val="30"/>
          <w:rtl/>
          <w:lang w:eastAsia="en-US"/>
        </w:rPr>
        <w:t>50-</w:t>
      </w:r>
      <w:r>
        <w:rPr>
          <w:rFonts w:hint="cs"/>
          <w:sz w:val="30"/>
          <w:rtl/>
          <w:lang w:eastAsia="en-US"/>
        </w:rPr>
        <w:tab/>
        <w:t xml:space="preserve">بما أن أفعال التعذيب عادة ما تقع في أماكن إجراء التحقيق وإن أكثر حالات التعرض لسوء المعاملة تحدث في المرحلة الأولى من مراحل القبض والضبط والاعتقال والحبس. فقد منح القانون رقم 10 لسنة 2002 بشأن النيابة العامة، بموجب الفقرة </w:t>
      </w:r>
      <w:r>
        <w:rPr>
          <w:sz w:val="30"/>
          <w:rtl/>
          <w:lang w:eastAsia="en-US"/>
        </w:rPr>
        <w:t>`</w:t>
      </w:r>
      <w:r>
        <w:rPr>
          <w:rFonts w:hint="cs"/>
          <w:sz w:val="30"/>
          <w:rtl/>
          <w:lang w:eastAsia="en-US"/>
        </w:rPr>
        <w:t>6</w:t>
      </w:r>
      <w:r>
        <w:rPr>
          <w:sz w:val="30"/>
          <w:rtl/>
          <w:lang w:eastAsia="en-US"/>
        </w:rPr>
        <w:t>`</w:t>
      </w:r>
      <w:r>
        <w:rPr>
          <w:rFonts w:hint="cs"/>
          <w:sz w:val="30"/>
          <w:rtl/>
          <w:lang w:eastAsia="en-US"/>
        </w:rPr>
        <w:t xml:space="preserve"> من المادة السابعة منه النيابة العامة سلطة الرقابة، بالتنسيق والتعاون مع الجهات المختصة، على الدور المخصصة للأحداث وعلى السجون وغيرها من أماكن الحبس، وذلك بعمل زيارات دورية ومفاجئة لها للاطلاع على دفاترها، وأوامر القبض والحبس، وتلقي شكاوى المحبوسين والتحقيق فيها واتخاذ ما تراه مناسباً بشأنها.</w:t>
      </w:r>
    </w:p>
    <w:p w:rsidR="00000000" w:rsidRDefault="00000000">
      <w:pPr>
        <w:spacing w:before="0" w:line="380" w:lineRule="exact"/>
        <w:jc w:val="both"/>
        <w:rPr>
          <w:rFonts w:hint="cs"/>
          <w:sz w:val="30"/>
          <w:rtl/>
          <w:lang w:eastAsia="en-US"/>
        </w:rPr>
      </w:pPr>
      <w:r>
        <w:rPr>
          <w:rFonts w:hint="cs"/>
          <w:sz w:val="30"/>
          <w:rtl/>
          <w:lang w:eastAsia="en-US"/>
        </w:rPr>
        <w:t>51-</w:t>
      </w:r>
      <w:r>
        <w:rPr>
          <w:rFonts w:hint="cs"/>
          <w:sz w:val="30"/>
          <w:rtl/>
          <w:lang w:eastAsia="en-US"/>
        </w:rPr>
        <w:tab/>
        <w:t>وهذه السلطة من شأنها أن تشكل نوعاً من الضمانات تمنع وقوع أفعال التعذيب وغيرها من أفعال سوء المعاملة في أماكن الحبس والسجون والمؤسسات الإصلاحية.</w:t>
      </w:r>
    </w:p>
    <w:p w:rsidR="00000000" w:rsidRDefault="00000000">
      <w:pPr>
        <w:spacing w:before="0" w:line="380" w:lineRule="exact"/>
        <w:jc w:val="both"/>
        <w:rPr>
          <w:rFonts w:hint="cs"/>
          <w:sz w:val="30"/>
          <w:rtl/>
          <w:lang w:eastAsia="en-US"/>
        </w:rPr>
      </w:pPr>
      <w:r>
        <w:rPr>
          <w:rFonts w:hint="cs"/>
          <w:sz w:val="30"/>
          <w:rtl/>
          <w:lang w:eastAsia="en-US"/>
        </w:rPr>
        <w:t>52-</w:t>
      </w:r>
      <w:r>
        <w:rPr>
          <w:rFonts w:hint="cs"/>
          <w:sz w:val="30"/>
          <w:rtl/>
          <w:lang w:eastAsia="en-US"/>
        </w:rPr>
        <w:tab/>
        <w:t xml:space="preserve">ويلاحظ أن النص قد ضمن زيارات الدور المخصصة للأحداث وفي هذا تنفيذ أيضاً لالتزامات الدولة بموجب أحكام اتفاقية حقوق الطفل التي أصبحت الدولة طرفاً فيها منذ 1995 بموجب المرسوم رقم 54 لسنة 1995، وتنص المادة 37(أ) منها على أن لا يعرض أي طفل للتعذيب أو لغيره من ضروب المعاملة أو العقوبة القاسية أو اللاإنسانية أو المهينة. كما أنه يتواءم أيضاً مع تعهدات الدولة بموجب أحكام المادة 19 من الاتفاقية بحماية الطفل من كافة أنواع العنف أو الضرر أو الإساءة البدنية، والمعاملة المنطوية على إهمال، أو إساءة المعاملة أو الاستغلال، سواء أكان الطفل في رعاية الوالدين أو الوصي القانوني عليه أو أي شخص آخر يتعهد الطفل برعايته. إن منح النيابة العامة هذه السلطة من شأنه أن تطمئن على أوضاع الأطفال المحرومين من الحرية والتأكد من أن المعايير الدولية المنصوص عليها في قواعد الأمم المتحدة لحماية الأحداث ومعالجة المسجونين وإدارة قضايا الأحداث قد تم الالتزام بها في تلك الأماكن. وإمعاناً في تجريم أفعال التعذيب وغيره من الأفعال اللاإنسانية فقد حظر القانون القطري </w:t>
      </w:r>
      <w:proofErr w:type="spellStart"/>
      <w:r>
        <w:rPr>
          <w:rFonts w:hint="cs"/>
          <w:sz w:val="30"/>
          <w:rtl/>
          <w:lang w:eastAsia="en-US"/>
        </w:rPr>
        <w:t>تحليف</w:t>
      </w:r>
      <w:proofErr w:type="spellEnd"/>
      <w:r>
        <w:rPr>
          <w:rFonts w:hint="cs"/>
          <w:sz w:val="30"/>
          <w:rtl/>
          <w:lang w:eastAsia="en-US"/>
        </w:rPr>
        <w:t xml:space="preserve"> المتهم وهذا ما نصت عليه المادة 103 من قانون الإجراءات الجنائية.</w:t>
      </w:r>
    </w:p>
    <w:p w:rsidR="00000000" w:rsidRDefault="00000000">
      <w:pPr>
        <w:spacing w:before="0" w:line="380" w:lineRule="exact"/>
        <w:jc w:val="both"/>
        <w:rPr>
          <w:rFonts w:hint="cs"/>
          <w:sz w:val="30"/>
          <w:rtl/>
          <w:lang w:eastAsia="en-US"/>
        </w:rPr>
      </w:pPr>
      <w:r>
        <w:rPr>
          <w:rFonts w:hint="cs"/>
          <w:sz w:val="30"/>
          <w:rtl/>
          <w:lang w:eastAsia="en-US"/>
        </w:rPr>
        <w:t>53-</w:t>
      </w:r>
      <w:r>
        <w:rPr>
          <w:rFonts w:hint="cs"/>
          <w:sz w:val="30"/>
          <w:rtl/>
          <w:lang w:eastAsia="en-US"/>
        </w:rPr>
        <w:tab/>
        <w:t>كما أن القانون المشار إليه قد جرد أي بيانات أو معلومات يتم الحصول عليها نتيجة تعذيب أو إكراه من كل أثر قانوني ولم يعول عليها. إذ نصت المادة 232 من القانون على: "كل قول يثبت أنه صدر من أحد المتهمين أو الشهود تحت وطأة الإكراه أو التهديد لا يعول عليه". كما أن المادة 40 منه نصت على وجوب معاملة المقبوض عليه أو المحبوس بما يحفظ عليه كرامة الإنسان، وقضت بعدم جواز إيذائه بدنياً أو معنوياً.</w:t>
      </w:r>
    </w:p>
    <w:p w:rsidR="00000000" w:rsidRDefault="00000000">
      <w:pPr>
        <w:pStyle w:val="BodyText"/>
        <w:spacing w:before="0" w:after="240" w:line="380" w:lineRule="exact"/>
        <w:jc w:val="center"/>
        <w:rPr>
          <w:rFonts w:cs="Traditional Arabic" w:hint="cs"/>
          <w:b w:val="0"/>
          <w:bCs w:val="0"/>
          <w:noProof/>
          <w:sz w:val="30"/>
          <w:szCs w:val="30"/>
          <w:rtl/>
          <w:lang w:val="ar-SA" w:eastAsia="ar-SA"/>
        </w:rPr>
      </w:pPr>
      <w:r>
        <w:rPr>
          <w:rFonts w:cs="Traditional Arabic" w:hint="cs"/>
          <w:noProof/>
          <w:sz w:val="30"/>
          <w:szCs w:val="30"/>
          <w:rtl/>
          <w:lang w:val="ar-SA" w:eastAsia="ar-SA"/>
        </w:rPr>
        <w:t>المادة 3</w:t>
      </w:r>
    </w:p>
    <w:p w:rsidR="00000000" w:rsidRDefault="00000000">
      <w:pPr>
        <w:spacing w:before="0" w:line="380" w:lineRule="exact"/>
        <w:jc w:val="both"/>
        <w:rPr>
          <w:rFonts w:hint="cs"/>
          <w:rtl/>
        </w:rPr>
      </w:pPr>
      <w:r>
        <w:rPr>
          <w:rFonts w:hint="cs"/>
          <w:noProof/>
          <w:rtl/>
          <w:lang w:val="ar-SA"/>
        </w:rPr>
        <w:tab/>
      </w:r>
      <w:r>
        <w:rPr>
          <w:rFonts w:hint="cs"/>
          <w:rtl/>
        </w:rPr>
        <w:t>لا يجوز لأية دولة طرف أن تطرد أي شخص أو أن تعيده ("أن ترده") أو أن تسلمه إلى دولة أخرى، إذا توافرت لديها أسباب حقيقية تدعو إلى الاعتقاد بأنه سيكون في خطر التعرض للتعذيب.</w:t>
      </w:r>
    </w:p>
    <w:p w:rsidR="00000000" w:rsidRDefault="00000000">
      <w:pPr>
        <w:spacing w:before="0" w:line="380" w:lineRule="exact"/>
        <w:jc w:val="both"/>
        <w:rPr>
          <w:rFonts w:hint="cs"/>
          <w:b/>
          <w:sz w:val="30"/>
          <w:rtl/>
          <w:lang w:eastAsia="en-US"/>
        </w:rPr>
      </w:pPr>
      <w:r>
        <w:rPr>
          <w:rFonts w:hint="cs"/>
          <w:rtl/>
        </w:rPr>
        <w:tab/>
      </w:r>
      <w:r>
        <w:rPr>
          <w:rFonts w:hint="cs"/>
          <w:b/>
          <w:sz w:val="30"/>
          <w:rtl/>
          <w:lang w:eastAsia="en-US"/>
        </w:rPr>
        <w:t>تراعي السلطات المختصة لتحديد ما إذا كانت هذه الأسباب متوافرة، جميع الاعتبارات ذات الصلة، بما في ذلك، في حالة الانطباق، وجود نمط ثابت من الانتهاكات الفادحة أو الصارخة أو الجماعية لحقوق الإنسان في الدولة المعنية.</w:t>
      </w:r>
    </w:p>
    <w:p w:rsidR="00000000" w:rsidRDefault="00000000">
      <w:pPr>
        <w:spacing w:before="0" w:line="380" w:lineRule="exact"/>
        <w:jc w:val="both"/>
        <w:rPr>
          <w:rFonts w:hint="cs"/>
          <w:b/>
          <w:bCs/>
          <w:sz w:val="30"/>
          <w:rtl/>
          <w:lang w:eastAsia="en-US"/>
        </w:rPr>
      </w:pPr>
      <w:r>
        <w:rPr>
          <w:rFonts w:hint="cs"/>
          <w:b/>
          <w:bCs/>
          <w:sz w:val="30"/>
          <w:rtl/>
          <w:lang w:eastAsia="en-US"/>
        </w:rPr>
        <w:t>التعقيب</w:t>
      </w:r>
    </w:p>
    <w:p w:rsidR="00000000" w:rsidRDefault="00000000">
      <w:pPr>
        <w:spacing w:before="0" w:line="380" w:lineRule="exact"/>
        <w:jc w:val="both"/>
        <w:rPr>
          <w:sz w:val="30"/>
          <w:rtl/>
          <w:lang w:eastAsia="en-US"/>
        </w:rPr>
      </w:pPr>
      <w:r>
        <w:rPr>
          <w:rFonts w:hint="cs"/>
          <w:sz w:val="30"/>
          <w:rtl/>
          <w:lang w:eastAsia="en-US"/>
        </w:rPr>
        <w:t>54-</w:t>
      </w:r>
      <w:r>
        <w:rPr>
          <w:rFonts w:hint="cs"/>
          <w:sz w:val="30"/>
          <w:rtl/>
          <w:lang w:eastAsia="en-US"/>
        </w:rPr>
        <w:tab/>
        <w:t>تدرس الجهات المختصة في الدولة إمكانية تضمين أحكام هذه المادة في القوانين الداخلية.</w:t>
      </w:r>
    </w:p>
    <w:p w:rsidR="00000000" w:rsidRDefault="00000000">
      <w:pPr>
        <w:pStyle w:val="BodyText"/>
        <w:spacing w:before="0" w:after="240" w:line="380" w:lineRule="exact"/>
        <w:jc w:val="center"/>
        <w:rPr>
          <w:rFonts w:cs="Traditional Arabic" w:hint="cs"/>
          <w:b w:val="0"/>
          <w:bCs w:val="0"/>
          <w:noProof/>
          <w:sz w:val="30"/>
          <w:szCs w:val="30"/>
          <w:rtl/>
          <w:lang w:val="ar-SA" w:eastAsia="ar-SA"/>
        </w:rPr>
      </w:pPr>
      <w:r>
        <w:rPr>
          <w:rFonts w:cs="Traditional Arabic" w:hint="cs"/>
          <w:noProof/>
          <w:sz w:val="30"/>
          <w:szCs w:val="30"/>
          <w:rtl/>
          <w:lang w:val="ar-SA" w:eastAsia="ar-SA"/>
        </w:rPr>
        <w:t>المادة 4</w:t>
      </w:r>
    </w:p>
    <w:p w:rsidR="00000000" w:rsidRDefault="00000000">
      <w:pPr>
        <w:spacing w:before="0" w:line="380" w:lineRule="exact"/>
        <w:jc w:val="both"/>
        <w:rPr>
          <w:rFonts w:hint="cs"/>
          <w:spacing w:val="2"/>
          <w:rtl/>
        </w:rPr>
      </w:pPr>
      <w:r>
        <w:rPr>
          <w:rFonts w:hint="cs"/>
          <w:noProof/>
          <w:rtl/>
          <w:lang w:val="ar-SA"/>
        </w:rPr>
        <w:tab/>
      </w:r>
      <w:r>
        <w:rPr>
          <w:rFonts w:hint="cs"/>
          <w:noProof/>
          <w:spacing w:val="2"/>
          <w:rtl/>
          <w:lang w:val="ar-SA"/>
        </w:rPr>
        <w:t xml:space="preserve">تضمن </w:t>
      </w:r>
      <w:r>
        <w:rPr>
          <w:rFonts w:hint="cs"/>
          <w:spacing w:val="2"/>
          <w:rtl/>
        </w:rPr>
        <w:t>كل دولة طرف أن تكون جميع أعمال التعذيب جرائم بموجب قانونها الجنائي، وينطبق الأمر ذاته على قيام أي شخص بأية محاولة لممارسة التعذيب وعلى قيامه بأي عمل آخر يشكل تواطؤاً ومشاركة في التعذيب.</w:t>
      </w:r>
    </w:p>
    <w:p w:rsidR="00000000" w:rsidRDefault="00000000">
      <w:pPr>
        <w:spacing w:before="0" w:line="380" w:lineRule="exact"/>
        <w:jc w:val="both"/>
        <w:rPr>
          <w:rFonts w:hint="cs"/>
          <w:b/>
          <w:sz w:val="30"/>
          <w:rtl/>
          <w:lang w:eastAsia="en-US"/>
        </w:rPr>
      </w:pPr>
      <w:r>
        <w:rPr>
          <w:rFonts w:hint="cs"/>
          <w:spacing w:val="2"/>
          <w:rtl/>
        </w:rPr>
        <w:tab/>
      </w:r>
      <w:r>
        <w:rPr>
          <w:rFonts w:hint="cs"/>
          <w:b/>
          <w:sz w:val="30"/>
          <w:rtl/>
          <w:lang w:eastAsia="en-US"/>
        </w:rPr>
        <w:t>تجعل كل دولة طرف هذه الجرائم مستوجبة للعقاب بعقوبات مناسبة تأخذ في الاعتبار طبيعتها الخطيرة.</w:t>
      </w:r>
    </w:p>
    <w:p w:rsidR="00000000" w:rsidRDefault="00000000">
      <w:pPr>
        <w:spacing w:before="0" w:line="380" w:lineRule="exact"/>
        <w:jc w:val="both"/>
        <w:rPr>
          <w:rFonts w:hint="cs"/>
          <w:b/>
          <w:bCs/>
          <w:sz w:val="30"/>
          <w:rtl/>
          <w:lang w:eastAsia="en-US"/>
        </w:rPr>
      </w:pPr>
      <w:r>
        <w:rPr>
          <w:rFonts w:hint="cs"/>
          <w:b/>
          <w:bCs/>
          <w:sz w:val="30"/>
          <w:rtl/>
          <w:lang w:eastAsia="en-US"/>
        </w:rPr>
        <w:t>التعقيب</w:t>
      </w:r>
    </w:p>
    <w:p w:rsidR="00000000" w:rsidRDefault="00000000">
      <w:pPr>
        <w:spacing w:before="0" w:line="380" w:lineRule="exact"/>
        <w:jc w:val="both"/>
        <w:rPr>
          <w:rFonts w:hint="cs"/>
          <w:sz w:val="30"/>
          <w:rtl/>
          <w:lang w:eastAsia="en-US"/>
        </w:rPr>
      </w:pPr>
      <w:r>
        <w:rPr>
          <w:rFonts w:hint="cs"/>
          <w:sz w:val="30"/>
          <w:rtl/>
          <w:lang w:eastAsia="en-US"/>
        </w:rPr>
        <w:t>55-</w:t>
      </w:r>
      <w:r>
        <w:rPr>
          <w:rFonts w:hint="cs"/>
          <w:sz w:val="30"/>
          <w:rtl/>
          <w:lang w:eastAsia="en-US"/>
        </w:rPr>
        <w:tab/>
        <w:t xml:space="preserve">بالإضافة إلى اتفاقية مناهضة التعذيب وغيره من ضروب المعاملة أو العقوبة القاسية أو اللاإنسانية أو المهينة فإن دولة قطر طرفاً في اتفاقيات أخرى حرمت تحريماً باتاً أفعال التعذيب. ومن ذلك اتفاقية الأمم المتحدة لحقوق الطفل لسنة 1989، واتفاقيات جنيف الأربع لسنة 1949، </w:t>
      </w:r>
      <w:proofErr w:type="spellStart"/>
      <w:r>
        <w:rPr>
          <w:rFonts w:hint="cs"/>
          <w:sz w:val="30"/>
          <w:rtl/>
          <w:lang w:eastAsia="en-US"/>
        </w:rPr>
        <w:t>وبروتوكولها</w:t>
      </w:r>
      <w:proofErr w:type="spellEnd"/>
      <w:r>
        <w:rPr>
          <w:rFonts w:hint="cs"/>
          <w:sz w:val="30"/>
          <w:rtl/>
          <w:lang w:eastAsia="en-US"/>
        </w:rPr>
        <w:t xml:space="preserve"> الإضافي الأول لسنة 1977.</w:t>
      </w:r>
    </w:p>
    <w:p w:rsidR="00000000" w:rsidRDefault="00000000">
      <w:pPr>
        <w:spacing w:before="0" w:line="380" w:lineRule="exact"/>
        <w:jc w:val="both"/>
        <w:rPr>
          <w:rFonts w:hint="cs"/>
          <w:sz w:val="30"/>
          <w:rtl/>
          <w:lang w:eastAsia="en-US"/>
        </w:rPr>
      </w:pPr>
      <w:r>
        <w:rPr>
          <w:rFonts w:hint="cs"/>
          <w:sz w:val="30"/>
          <w:rtl/>
          <w:lang w:eastAsia="en-US"/>
        </w:rPr>
        <w:t>56-</w:t>
      </w:r>
      <w:r>
        <w:rPr>
          <w:rFonts w:hint="cs"/>
          <w:sz w:val="30"/>
          <w:rtl/>
          <w:lang w:eastAsia="en-US"/>
        </w:rPr>
        <w:tab/>
        <w:t>فقد وردت في التشريعات القطرية الجنائية النافذة نصوص تحظر وتجرم أفعال التعذيب والأفعال الأخرى التي تنم عن سوء المعاملة أو قسوة العقوبة، حيث ورد في قانون الإجراءات الجنائية بأنه "لا يجوز القبض على أي شخص أو حبسه إلا بأمر من السلطات المختصة بذلك وفي الأحوال المقررة قانوناً. كما تجب معاملته بما يحفظ عليه كرامة الإنسان ولا يجوز إيذاؤه بدنياً أو معنوياً". (المادة 40).</w:t>
      </w:r>
    </w:p>
    <w:p w:rsidR="00000000" w:rsidRDefault="00000000">
      <w:pPr>
        <w:spacing w:before="0" w:line="380" w:lineRule="exact"/>
        <w:jc w:val="both"/>
        <w:rPr>
          <w:rFonts w:hint="cs"/>
          <w:sz w:val="30"/>
          <w:rtl/>
          <w:lang w:eastAsia="en-US"/>
        </w:rPr>
      </w:pPr>
      <w:r>
        <w:rPr>
          <w:rFonts w:hint="cs"/>
          <w:sz w:val="30"/>
          <w:rtl/>
          <w:lang w:eastAsia="en-US"/>
        </w:rPr>
        <w:t>57-</w:t>
      </w:r>
      <w:r>
        <w:rPr>
          <w:rFonts w:hint="cs"/>
          <w:sz w:val="30"/>
          <w:rtl/>
          <w:lang w:eastAsia="en-US"/>
        </w:rPr>
        <w:tab/>
        <w:t>وفي هذا تجريم لأفعال التعذيب ولو أنه محصور في فترة محددة وهي مرحلة القبض والحبس.</w:t>
      </w:r>
    </w:p>
    <w:p w:rsidR="00000000" w:rsidRDefault="00000000">
      <w:pPr>
        <w:spacing w:before="0" w:line="380" w:lineRule="exact"/>
        <w:jc w:val="both"/>
        <w:rPr>
          <w:rFonts w:hint="cs"/>
          <w:sz w:val="30"/>
          <w:rtl/>
          <w:lang w:eastAsia="en-US"/>
        </w:rPr>
      </w:pPr>
      <w:r>
        <w:rPr>
          <w:rFonts w:hint="cs"/>
          <w:sz w:val="30"/>
          <w:rtl/>
          <w:lang w:eastAsia="en-US"/>
        </w:rPr>
        <w:t>58-</w:t>
      </w:r>
      <w:r>
        <w:rPr>
          <w:rFonts w:hint="cs"/>
          <w:sz w:val="30"/>
          <w:rtl/>
          <w:lang w:eastAsia="en-US"/>
        </w:rPr>
        <w:tab/>
        <w:t>وكذلك أورد قانـون العقوبـات في الفصل الثالث من الباب الثالث منه، والخاص باستغلال الوظيفة وإساءة استعمال السلطة، نصوصاً تقضي بعقوبة الحبس مدة لا تتجاوز خمس سنوات، كل موظف عام استعمل التعذيب، أو القوة، أو التهديد مع متهم أو شاهد أو خبير، أو أمر بذلك لحمله على الاعتراف بجريمة، أو على الإدلاء بأقوال، أو معلومات بشأنها، أو لكتمان أمر من هذه الأمور.</w:t>
      </w:r>
    </w:p>
    <w:p w:rsidR="00000000" w:rsidRDefault="00000000">
      <w:pPr>
        <w:spacing w:before="0" w:line="380" w:lineRule="exact"/>
        <w:jc w:val="both"/>
        <w:rPr>
          <w:rFonts w:hint="cs"/>
          <w:sz w:val="30"/>
          <w:rtl/>
          <w:lang w:eastAsia="en-US"/>
        </w:rPr>
      </w:pPr>
      <w:r>
        <w:rPr>
          <w:rFonts w:hint="cs"/>
          <w:sz w:val="30"/>
          <w:rtl/>
          <w:lang w:eastAsia="en-US"/>
        </w:rPr>
        <w:t>59-</w:t>
      </w:r>
      <w:r>
        <w:rPr>
          <w:rFonts w:hint="cs"/>
          <w:sz w:val="30"/>
          <w:rtl/>
          <w:lang w:eastAsia="en-US"/>
        </w:rPr>
        <w:tab/>
        <w:t>وإذا ترتب على فعل الموظف إصابة المجني عليه بعاهة مستديمة، عوقب الجاني بالحبس مدة لا تجاوز العشر سنوات، أما إذا ترتب على فعل الموظف وفاة المجني عليه، يعاقب الجاني بالإعدام أو الحبس المؤبد (المادة 159).</w:t>
      </w:r>
    </w:p>
    <w:p w:rsidR="00000000" w:rsidRDefault="00000000">
      <w:pPr>
        <w:spacing w:before="0" w:line="380" w:lineRule="exact"/>
        <w:jc w:val="both"/>
        <w:rPr>
          <w:rFonts w:hint="cs"/>
          <w:sz w:val="30"/>
          <w:rtl/>
          <w:lang w:eastAsia="en-US"/>
        </w:rPr>
      </w:pPr>
      <w:r>
        <w:rPr>
          <w:rFonts w:hint="cs"/>
          <w:sz w:val="30"/>
          <w:rtl/>
          <w:lang w:eastAsia="en-US"/>
        </w:rPr>
        <w:t>60-</w:t>
      </w:r>
      <w:r>
        <w:rPr>
          <w:rFonts w:hint="cs"/>
          <w:sz w:val="30"/>
          <w:rtl/>
          <w:lang w:eastAsia="en-US"/>
        </w:rPr>
        <w:tab/>
        <w:t xml:space="preserve">ويبدو جلياً أن هذا النص قد أزال بصفة قاطعة أي نوع من أنواع الحصانة التي يمكن أن يتذرع بها الموظف العام إذا ارتكب فعلاً من أفعال التعذيب أو شرع فيه أو شارك فيه كما تنص المادة 4 من الاتفاقية. إن استخدام القوة أو تعريض الشخص لآلام مبرحة وذلك لإجباره على الحديث أثناء التحقيق معه لا ينتهك حق </w:t>
      </w:r>
      <w:r>
        <w:rPr>
          <w:rFonts w:hint="cs"/>
          <w:spacing w:val="2"/>
          <w:sz w:val="30"/>
          <w:rtl/>
          <w:lang w:eastAsia="en-US"/>
        </w:rPr>
        <w:t>المتهم فقط في أن يبقى آمناً من التعذيب ولكن ينتهك أيضاً حقه في الصمت أثناء التحقيق. ولذا فقد نصت المادة 40</w:t>
      </w:r>
      <w:r>
        <w:rPr>
          <w:rFonts w:hint="cs"/>
          <w:sz w:val="30"/>
          <w:rtl/>
          <w:lang w:eastAsia="en-US"/>
        </w:rPr>
        <w:t xml:space="preserve"> من قانون الإجراءات الجنائية على: "ضرورة تنبيه المتهم إلى حقه في الصمت وفي الاتصال بمن يرى".</w:t>
      </w:r>
    </w:p>
    <w:p w:rsidR="00000000" w:rsidRDefault="00000000">
      <w:pPr>
        <w:spacing w:before="0" w:line="380" w:lineRule="exact"/>
        <w:jc w:val="both"/>
        <w:rPr>
          <w:rFonts w:hint="cs"/>
          <w:sz w:val="30"/>
          <w:rtl/>
          <w:lang w:eastAsia="en-US"/>
        </w:rPr>
      </w:pPr>
      <w:r>
        <w:rPr>
          <w:rFonts w:hint="cs"/>
          <w:sz w:val="30"/>
          <w:rtl/>
          <w:lang w:eastAsia="en-US"/>
        </w:rPr>
        <w:t>61-</w:t>
      </w:r>
      <w:r>
        <w:rPr>
          <w:rFonts w:hint="cs"/>
          <w:sz w:val="30"/>
          <w:rtl/>
          <w:lang w:eastAsia="en-US"/>
        </w:rPr>
        <w:tab/>
        <w:t>إن الحق في عدم إجبار الشخص في الشهادة على نفسه يشمل حقه في التزام الصمت أثناء الحبس والتحقيق، بغض النظر عما إذا كانت المعلومات المطلوبة ستورطه في الجريمة أم لا.</w:t>
      </w:r>
    </w:p>
    <w:p w:rsidR="00000000" w:rsidRDefault="00000000">
      <w:pPr>
        <w:spacing w:before="0" w:line="380" w:lineRule="exact"/>
        <w:jc w:val="both"/>
        <w:rPr>
          <w:rFonts w:hint="cs"/>
          <w:sz w:val="30"/>
          <w:rtl/>
          <w:lang w:eastAsia="en-US"/>
        </w:rPr>
      </w:pPr>
      <w:r>
        <w:rPr>
          <w:rFonts w:hint="cs"/>
          <w:sz w:val="30"/>
          <w:rtl/>
          <w:lang w:eastAsia="en-US"/>
        </w:rPr>
        <w:t>62-</w:t>
      </w:r>
      <w:r>
        <w:rPr>
          <w:rFonts w:hint="cs"/>
          <w:sz w:val="30"/>
          <w:rtl/>
          <w:lang w:eastAsia="en-US"/>
        </w:rPr>
        <w:tab/>
        <w:t xml:space="preserve">واعترافاً من التشريع القطري بإمكانية حدوث إساءة لاستخدام السلطة أثناء التحقيق فقد أجازت المادة 89 من القانون المذكور لعضو النيابة رفض توجيه أي سؤال للشاهد يكون غير متعلق بالدعوى أو يكون في صيغته مساس بالغير، ويجب أن يمنع عن الشاهد كل فعل أو قول أو إشارة تؤدي إلى اضطراب أفكاره أو تخويفه. </w:t>
      </w:r>
    </w:p>
    <w:p w:rsidR="00000000" w:rsidRDefault="00000000">
      <w:pPr>
        <w:spacing w:before="0" w:line="380" w:lineRule="exact"/>
        <w:jc w:val="both"/>
        <w:rPr>
          <w:rFonts w:hint="cs"/>
          <w:sz w:val="30"/>
          <w:rtl/>
          <w:lang w:eastAsia="en-US"/>
        </w:rPr>
      </w:pPr>
      <w:r>
        <w:rPr>
          <w:rFonts w:hint="cs"/>
          <w:sz w:val="30"/>
          <w:rtl/>
          <w:lang w:eastAsia="en-US"/>
        </w:rPr>
        <w:t>63-</w:t>
      </w:r>
      <w:r>
        <w:rPr>
          <w:rFonts w:hint="cs"/>
          <w:sz w:val="30"/>
          <w:rtl/>
          <w:lang w:eastAsia="en-US"/>
        </w:rPr>
        <w:tab/>
        <w:t>ولم يغفل قانون العقوبات النافذ الحالات التي لا ترقى إلى درجة التعذيب من حيث الأذى والآلام الناتجة عنه. فقد نص على عقوبة الموظف العام إذا "استعمل سلطة وظيفته للإضرار بأحد الأفراد" (المادة 159). والإضرار كلمة تشمل الضرر المادي والبدني والعقلي (المادة 189).</w:t>
      </w:r>
    </w:p>
    <w:p w:rsidR="00000000" w:rsidRDefault="00000000">
      <w:pPr>
        <w:spacing w:before="0" w:line="380" w:lineRule="exact"/>
        <w:jc w:val="both"/>
        <w:rPr>
          <w:rFonts w:hint="cs"/>
          <w:sz w:val="30"/>
          <w:rtl/>
          <w:lang w:eastAsia="en-US"/>
        </w:rPr>
      </w:pPr>
      <w:r>
        <w:rPr>
          <w:rFonts w:hint="cs"/>
          <w:sz w:val="30"/>
          <w:rtl/>
          <w:lang w:eastAsia="en-US"/>
        </w:rPr>
        <w:t>64-</w:t>
      </w:r>
      <w:r>
        <w:rPr>
          <w:rFonts w:hint="cs"/>
          <w:sz w:val="30"/>
          <w:rtl/>
          <w:lang w:eastAsia="en-US"/>
        </w:rPr>
        <w:tab/>
        <w:t>وفي تفريقه بين أفعال التعذيب والأفعال الأخرى القاسية أو المعاملة السيئة فقد نص قانون العقوبات النافذ في المادة 161 منه على "العقوبة بالحبس مدة لا تتجاوز ثلاث سنوات وبالغرامة التي لا تزيد على عشرة آلاف ريال، أو بإحدى هاتين العقوبتين كل موظف عام استعمل القسوة مع أي شخص أثناء تأدية وظيفته، أو أوجب عليه عملاً في غير الحالات التي يجيز فيها القانون ذلك".</w:t>
      </w:r>
    </w:p>
    <w:p w:rsidR="00000000" w:rsidRDefault="00000000">
      <w:pPr>
        <w:spacing w:before="0" w:line="380" w:lineRule="exact"/>
        <w:jc w:val="both"/>
        <w:rPr>
          <w:rFonts w:hint="cs"/>
          <w:sz w:val="30"/>
          <w:rtl/>
          <w:lang w:eastAsia="en-US"/>
        </w:rPr>
      </w:pPr>
      <w:r>
        <w:rPr>
          <w:rFonts w:hint="cs"/>
          <w:sz w:val="30"/>
          <w:rtl/>
          <w:lang w:eastAsia="en-US"/>
        </w:rPr>
        <w:t>65-</w:t>
      </w:r>
      <w:r>
        <w:rPr>
          <w:rFonts w:hint="cs"/>
          <w:sz w:val="30"/>
          <w:rtl/>
          <w:lang w:eastAsia="en-US"/>
        </w:rPr>
        <w:tab/>
        <w:t xml:space="preserve">وفي خارج إطار الوظيفة العامة يعاقب قانون العقوبات النافذ في الباب الخاص بالجرائم الماسة بحرية الإنسان وحرمته المواد 318 - 333 أفعال الخطف والقبض والسخرة والحجز والحرمان من الحرية بأي وسيلة </w:t>
      </w:r>
      <w:r>
        <w:rPr>
          <w:rFonts w:hint="cs"/>
          <w:spacing w:val="4"/>
          <w:sz w:val="30"/>
          <w:rtl/>
          <w:lang w:eastAsia="en-US"/>
        </w:rPr>
        <w:t>كانت على خلاف القانون. وتصل هذه العقوبة إلى الحبس مدة خمس عشرة سنة في أحوال عديدة منها "إذا أرتكب الفعل بطريقة الحيلة أو صحبه استعمال القوة أو التهديد بالقتل أو التعذيب البدني والنفسي" (المادة 318)</w:t>
      </w:r>
      <w:r>
        <w:rPr>
          <w:rFonts w:hint="cs"/>
          <w:sz w:val="30"/>
          <w:rtl/>
          <w:lang w:eastAsia="en-US"/>
        </w:rPr>
        <w:t>.</w:t>
      </w:r>
    </w:p>
    <w:p w:rsidR="00000000" w:rsidRDefault="00000000">
      <w:pPr>
        <w:pStyle w:val="BodyText"/>
        <w:spacing w:before="0" w:after="240" w:line="380" w:lineRule="exact"/>
        <w:jc w:val="center"/>
        <w:rPr>
          <w:rFonts w:cs="Traditional Arabic" w:hint="cs"/>
          <w:b w:val="0"/>
          <w:bCs w:val="0"/>
          <w:noProof/>
          <w:sz w:val="30"/>
          <w:szCs w:val="30"/>
          <w:rtl/>
          <w:lang w:val="ar-SA" w:eastAsia="ar-SA"/>
        </w:rPr>
      </w:pPr>
      <w:r>
        <w:rPr>
          <w:rFonts w:cs="Traditional Arabic" w:hint="cs"/>
          <w:noProof/>
          <w:sz w:val="30"/>
          <w:szCs w:val="30"/>
          <w:rtl/>
          <w:lang w:val="ar-SA" w:eastAsia="ar-SA"/>
        </w:rPr>
        <w:t>المادة 5</w:t>
      </w:r>
    </w:p>
    <w:p w:rsidR="00000000" w:rsidRDefault="00000000">
      <w:pPr>
        <w:spacing w:before="0" w:line="380" w:lineRule="exact"/>
        <w:jc w:val="both"/>
        <w:rPr>
          <w:rFonts w:hint="cs"/>
          <w:rtl/>
        </w:rPr>
      </w:pPr>
      <w:r>
        <w:rPr>
          <w:rFonts w:hint="cs"/>
          <w:noProof/>
          <w:rtl/>
          <w:lang w:val="ar-SA"/>
        </w:rPr>
        <w:tab/>
      </w:r>
      <w:r>
        <w:rPr>
          <w:rFonts w:hint="cs"/>
          <w:rtl/>
        </w:rPr>
        <w:t>تتخذ كل دولة طرف ما يلزم من الإجراءات لإقامة ولايتها القضائية على الجرائم المشار إليها في المادة 4 في الحالات التالية:</w:t>
      </w:r>
    </w:p>
    <w:p w:rsidR="00000000" w:rsidRDefault="00000000">
      <w:pPr>
        <w:spacing w:before="0" w:line="380" w:lineRule="exact"/>
        <w:jc w:val="both"/>
        <w:rPr>
          <w:rFonts w:hint="cs"/>
          <w:b/>
          <w:sz w:val="30"/>
          <w:rtl/>
          <w:lang w:eastAsia="en-US"/>
        </w:rPr>
      </w:pPr>
      <w:r>
        <w:rPr>
          <w:rFonts w:hint="cs"/>
          <w:rtl/>
        </w:rPr>
        <w:tab/>
        <w:t>(أ)</w:t>
      </w:r>
      <w:r>
        <w:rPr>
          <w:rFonts w:hint="cs"/>
          <w:rtl/>
        </w:rPr>
        <w:tab/>
      </w:r>
      <w:r>
        <w:rPr>
          <w:rFonts w:hint="cs"/>
          <w:b/>
          <w:sz w:val="30"/>
          <w:rtl/>
          <w:lang w:eastAsia="en-US"/>
        </w:rPr>
        <w:t>عند ارتكاب هذه الجرائم في أي إقليم يخضع لولايتها القضائية أو على ظهر سفينة أو على متن طائرة مسجلة في تلك الدولة؛</w:t>
      </w:r>
    </w:p>
    <w:p w:rsidR="00000000" w:rsidRDefault="00000000">
      <w:pPr>
        <w:spacing w:before="0" w:line="380" w:lineRule="exact"/>
        <w:jc w:val="both"/>
        <w:rPr>
          <w:rFonts w:hint="cs"/>
          <w:b/>
          <w:sz w:val="30"/>
          <w:rtl/>
          <w:lang w:eastAsia="en-US"/>
        </w:rPr>
      </w:pPr>
      <w:r>
        <w:rPr>
          <w:rFonts w:hint="cs"/>
          <w:b/>
          <w:sz w:val="30"/>
          <w:rtl/>
          <w:lang w:eastAsia="en-US"/>
        </w:rPr>
        <w:tab/>
        <w:t>(ب)</w:t>
      </w:r>
      <w:r>
        <w:rPr>
          <w:rFonts w:hint="cs"/>
          <w:b/>
          <w:sz w:val="30"/>
          <w:rtl/>
          <w:lang w:eastAsia="en-US"/>
        </w:rPr>
        <w:tab/>
        <w:t>عندما يكون مرتكب الجريمة المزعوم من مواطني تلك الدولة؛</w:t>
      </w:r>
    </w:p>
    <w:p w:rsidR="00000000" w:rsidRDefault="00000000">
      <w:pPr>
        <w:spacing w:before="0" w:line="380" w:lineRule="exact"/>
        <w:jc w:val="both"/>
        <w:rPr>
          <w:rFonts w:hint="cs"/>
          <w:b/>
          <w:sz w:val="30"/>
          <w:rtl/>
          <w:lang w:eastAsia="en-US"/>
        </w:rPr>
      </w:pPr>
      <w:r>
        <w:rPr>
          <w:rFonts w:hint="cs"/>
          <w:b/>
          <w:sz w:val="30"/>
          <w:rtl/>
          <w:lang w:eastAsia="en-US"/>
        </w:rPr>
        <w:tab/>
        <w:t>(ج)</w:t>
      </w:r>
      <w:r>
        <w:rPr>
          <w:rFonts w:hint="cs"/>
          <w:b/>
          <w:sz w:val="30"/>
          <w:rtl/>
          <w:lang w:eastAsia="en-US"/>
        </w:rPr>
        <w:tab/>
        <w:t>عندما يكون المعتدى عليه من مواطني تلك الدولة، إذا اعتبرت تلك الدولة ذلك مناسباً.</w:t>
      </w:r>
    </w:p>
    <w:p w:rsidR="00000000" w:rsidRDefault="00000000">
      <w:pPr>
        <w:spacing w:before="0" w:line="380" w:lineRule="exact"/>
        <w:jc w:val="both"/>
        <w:rPr>
          <w:rFonts w:hint="cs"/>
          <w:b/>
          <w:sz w:val="30"/>
          <w:rtl/>
          <w:lang w:eastAsia="en-US"/>
        </w:rPr>
      </w:pPr>
      <w:r>
        <w:rPr>
          <w:rFonts w:hint="cs"/>
          <w:b/>
          <w:sz w:val="30"/>
          <w:rtl/>
          <w:lang w:eastAsia="en-US"/>
        </w:rPr>
        <w:tab/>
        <w:t>تتخذ كل دولة طرف بالمثل ما يلزم من الإجراءات لإقامة ولايتها القضائية على هذه الجرائم في الحالات التي يكون فيها مرتكب الجريمة المزعوم موجوداً في أي إقليم يخضع لولاياتها القضائية ولا تقوم بتسليمه عملاً بالمادة 8 إلى أية دولة من الدول التي ورد ذكرها في الفقرة 1 من هذه المادة.</w:t>
      </w:r>
    </w:p>
    <w:p w:rsidR="00000000" w:rsidRDefault="00000000">
      <w:pPr>
        <w:spacing w:before="0" w:line="380" w:lineRule="exact"/>
        <w:jc w:val="both"/>
        <w:rPr>
          <w:rFonts w:hint="cs"/>
          <w:b/>
          <w:sz w:val="30"/>
          <w:lang w:eastAsia="en-US"/>
        </w:rPr>
      </w:pPr>
      <w:r>
        <w:rPr>
          <w:rFonts w:hint="cs"/>
          <w:b/>
          <w:sz w:val="30"/>
          <w:rtl/>
          <w:lang w:eastAsia="en-US"/>
        </w:rPr>
        <w:tab/>
        <w:t>لا تستثني هذه الاتفاقية أي ولاية قضائية جنائية تمارس وفقا للقانون الداخلي.</w:t>
      </w:r>
    </w:p>
    <w:p w:rsidR="00000000" w:rsidRDefault="00000000">
      <w:pPr>
        <w:spacing w:before="0" w:line="380" w:lineRule="exact"/>
        <w:jc w:val="both"/>
        <w:rPr>
          <w:rFonts w:hint="cs"/>
          <w:sz w:val="30"/>
          <w:u w:val="single"/>
          <w:rtl/>
          <w:lang w:eastAsia="en-US"/>
        </w:rPr>
      </w:pPr>
      <w:r>
        <w:rPr>
          <w:rFonts w:hint="cs"/>
          <w:b/>
          <w:bCs/>
          <w:sz w:val="30"/>
          <w:rtl/>
          <w:lang w:eastAsia="en-US"/>
        </w:rPr>
        <w:t>التعقيب</w:t>
      </w:r>
    </w:p>
    <w:p w:rsidR="00000000" w:rsidRDefault="00000000">
      <w:pPr>
        <w:spacing w:before="0" w:line="380" w:lineRule="exact"/>
        <w:jc w:val="both"/>
        <w:rPr>
          <w:rFonts w:hint="cs"/>
          <w:sz w:val="30"/>
          <w:rtl/>
          <w:lang w:eastAsia="en-US"/>
        </w:rPr>
      </w:pPr>
      <w:r>
        <w:rPr>
          <w:rFonts w:hint="cs"/>
          <w:sz w:val="30"/>
          <w:rtl/>
          <w:lang w:eastAsia="en-US"/>
        </w:rPr>
        <w:t>66-</w:t>
      </w:r>
      <w:r>
        <w:rPr>
          <w:rFonts w:hint="cs"/>
          <w:sz w:val="30"/>
          <w:rtl/>
          <w:lang w:eastAsia="en-US"/>
        </w:rPr>
        <w:tab/>
        <w:t>ينص قانون العقوبات النافذ في الباب الثاني والخاص بنطاق سريان القانون على أن تسري أحكامه على الفئات التالية:</w:t>
      </w:r>
    </w:p>
    <w:p w:rsidR="00000000" w:rsidRDefault="00000000">
      <w:pPr>
        <w:spacing w:before="0" w:line="380" w:lineRule="exact"/>
        <w:jc w:val="both"/>
        <w:rPr>
          <w:rFonts w:hint="cs"/>
          <w:sz w:val="30"/>
          <w:rtl/>
          <w:lang w:eastAsia="en-US"/>
        </w:rPr>
      </w:pPr>
      <w:r>
        <w:rPr>
          <w:rFonts w:hint="cs"/>
          <w:sz w:val="30"/>
          <w:rtl/>
          <w:lang w:eastAsia="en-US"/>
        </w:rPr>
        <w:tab/>
        <w:t>(أ)</w:t>
      </w:r>
      <w:r>
        <w:rPr>
          <w:rFonts w:hint="cs"/>
          <w:sz w:val="30"/>
          <w:rtl/>
          <w:lang w:eastAsia="en-US"/>
        </w:rPr>
        <w:tab/>
        <w:t>ارتكب خارج قطر فعلاً يجعله فاعلاً أو شريكاً في جريمة وقعت كلها أو بعضها داخل قطر؛</w:t>
      </w:r>
    </w:p>
    <w:p w:rsidR="00000000" w:rsidRDefault="00000000">
      <w:pPr>
        <w:spacing w:before="0" w:line="380" w:lineRule="exact"/>
        <w:jc w:val="both"/>
        <w:rPr>
          <w:rFonts w:hint="cs"/>
          <w:sz w:val="30"/>
          <w:rtl/>
          <w:lang w:eastAsia="en-US"/>
        </w:rPr>
      </w:pPr>
      <w:r>
        <w:rPr>
          <w:rFonts w:hint="cs"/>
          <w:sz w:val="30"/>
          <w:rtl/>
          <w:lang w:eastAsia="en-US"/>
        </w:rPr>
        <w:tab/>
        <w:t>(ب)</w:t>
      </w:r>
      <w:r>
        <w:rPr>
          <w:rFonts w:hint="cs"/>
          <w:sz w:val="30"/>
          <w:rtl/>
          <w:lang w:eastAsia="en-US"/>
        </w:rPr>
        <w:tab/>
        <w:t>ارتكب داخل قطر فعلاً يجعله فاعلاً أو شريكاً في جريمة وقعت كلها أو بعضها خارج قطر، متى كان معاقبا عليها بمقتضى هذا القانون وقانون البلد الذي وقعت فيه؛</w:t>
      </w:r>
    </w:p>
    <w:p w:rsidR="00000000" w:rsidRDefault="00000000">
      <w:pPr>
        <w:spacing w:before="0" w:line="380" w:lineRule="exact"/>
        <w:jc w:val="both"/>
        <w:rPr>
          <w:rFonts w:hint="cs"/>
          <w:sz w:val="30"/>
          <w:rtl/>
          <w:lang w:eastAsia="en-US"/>
        </w:rPr>
      </w:pPr>
      <w:r>
        <w:rPr>
          <w:rFonts w:hint="cs"/>
          <w:sz w:val="30"/>
          <w:rtl/>
          <w:lang w:eastAsia="en-US"/>
        </w:rPr>
        <w:tab/>
        <w:t>(ج)</w:t>
      </w:r>
      <w:r>
        <w:rPr>
          <w:rFonts w:hint="cs"/>
          <w:sz w:val="30"/>
          <w:rtl/>
          <w:lang w:eastAsia="en-US"/>
        </w:rPr>
        <w:tab/>
        <w:t>ارتكب أو شارك في ارتكاب جريمة خارج قطر من الجرائم الموجهة ضد أمن الدولة الخارجي أو الداخلي، أو الجرائم المتعلقة بتزوير أو تقليد المحررات الرسمية أو الأختام أو العلامات أو الطوابع الحكومية، أو تزوير أو تزييف أو تقليد أي عملة ورقية أو معدنية متداولة قانوناً في قطر، أو حيازة أو ترويج هذه العملات المزورة أو المزيفة أو المقلدة؛</w:t>
      </w:r>
    </w:p>
    <w:p w:rsidR="00000000" w:rsidRDefault="00000000">
      <w:pPr>
        <w:spacing w:before="0" w:line="380" w:lineRule="exact"/>
        <w:jc w:val="both"/>
        <w:rPr>
          <w:rFonts w:hint="cs"/>
          <w:sz w:val="30"/>
          <w:rtl/>
          <w:lang w:eastAsia="en-US"/>
        </w:rPr>
      </w:pPr>
      <w:r>
        <w:rPr>
          <w:rFonts w:hint="cs"/>
          <w:sz w:val="30"/>
          <w:rtl/>
          <w:lang w:eastAsia="en-US"/>
        </w:rPr>
        <w:tab/>
        <w:t>(د)</w:t>
      </w:r>
      <w:r>
        <w:rPr>
          <w:rFonts w:hint="cs"/>
          <w:sz w:val="30"/>
          <w:rtl/>
          <w:lang w:eastAsia="en-US"/>
        </w:rPr>
        <w:tab/>
        <w:t>من وجد في الدولة بعد أن ارتكب في الخارج، بوصفه فاعلاً أو شريكاً، أيا من جرائم الاتجار في المخدرات، أو في الأشخاص أو جرائم القرصنة أو الإرهاب الدولي؛</w:t>
      </w:r>
    </w:p>
    <w:p w:rsidR="00000000" w:rsidRDefault="00000000">
      <w:pPr>
        <w:spacing w:before="0" w:line="380" w:lineRule="exact"/>
        <w:jc w:val="both"/>
        <w:rPr>
          <w:rFonts w:hint="cs"/>
          <w:sz w:val="30"/>
          <w:rtl/>
          <w:lang w:eastAsia="en-US"/>
        </w:rPr>
      </w:pPr>
      <w:r>
        <w:rPr>
          <w:rFonts w:hint="cs"/>
          <w:sz w:val="30"/>
          <w:rtl/>
          <w:lang w:eastAsia="en-US"/>
        </w:rPr>
        <w:tab/>
        <w:t>(ه‍)</w:t>
      </w:r>
      <w:r>
        <w:rPr>
          <w:rFonts w:hint="cs"/>
          <w:sz w:val="30"/>
          <w:rtl/>
          <w:lang w:eastAsia="en-US"/>
        </w:rPr>
        <w:tab/>
        <w:t>كل قطري ارتكب وهو خارج قطر فعلاً يعتبر جناية أو جنحة في هذا القانون يُعاقب بمقتضى أحكامه إذا عاد إلى قطر، وكان الفعل معاقباً عليه بمقتضى قانون البلد الذي ارتكب فيه؛</w:t>
      </w:r>
    </w:p>
    <w:p w:rsidR="00000000" w:rsidRDefault="00000000">
      <w:pPr>
        <w:spacing w:before="0" w:line="380" w:lineRule="exact"/>
        <w:jc w:val="both"/>
        <w:rPr>
          <w:rFonts w:hint="cs"/>
          <w:sz w:val="30"/>
          <w:rtl/>
          <w:lang w:eastAsia="en-US"/>
        </w:rPr>
      </w:pPr>
      <w:r>
        <w:rPr>
          <w:rFonts w:hint="cs"/>
          <w:sz w:val="30"/>
          <w:rtl/>
          <w:lang w:eastAsia="en-US"/>
        </w:rPr>
        <w:tab/>
        <w:t>(و)</w:t>
      </w:r>
      <w:r>
        <w:rPr>
          <w:rFonts w:hint="cs"/>
          <w:sz w:val="30"/>
          <w:rtl/>
          <w:lang w:eastAsia="en-US"/>
        </w:rPr>
        <w:tab/>
        <w:t>تسري أحكام هذا القانون على الجرائم التي ترتكب على متن السفن والطائرات التي تملكها الدولة، أو تحمل علمها، أو تديرها لأي غرض، أينما وجدت؛</w:t>
      </w:r>
    </w:p>
    <w:p w:rsidR="00000000" w:rsidRDefault="00000000">
      <w:pPr>
        <w:spacing w:before="0" w:line="380" w:lineRule="exact"/>
        <w:jc w:val="both"/>
        <w:rPr>
          <w:rFonts w:hint="cs"/>
          <w:sz w:val="30"/>
          <w:lang w:eastAsia="en-US"/>
        </w:rPr>
      </w:pPr>
      <w:r>
        <w:rPr>
          <w:rFonts w:hint="cs"/>
          <w:sz w:val="30"/>
          <w:rtl/>
          <w:lang w:eastAsia="en-US"/>
        </w:rPr>
        <w:tab/>
        <w:t>(ز)</w:t>
      </w:r>
      <w:r>
        <w:rPr>
          <w:rFonts w:hint="cs"/>
          <w:sz w:val="30"/>
          <w:rtl/>
          <w:lang w:eastAsia="en-US"/>
        </w:rPr>
        <w:tab/>
      </w:r>
      <w:r>
        <w:rPr>
          <w:rFonts w:hint="cs"/>
          <w:spacing w:val="0"/>
          <w:sz w:val="30"/>
          <w:rtl/>
          <w:lang w:eastAsia="en-US"/>
        </w:rPr>
        <w:t>مع عدم الإخلال بالاتفاقيات والمعاهدات التي تكون الدولة طرفاً فيها، لا تسري أحكام هذا القانون على الجرائم التي ترتكب على متن السفن والطائرات الأجنبية الموجودة أو المارة بإقليم الدولة إلا إذا مست هذه الجرائم أمن الدولة، أو كان الجاني أو المجني عليه قطرياً، أو طلب ربان السفينة أو قائد الطائرة المساعدة من السلطات القطرية</w:t>
      </w:r>
      <w:r>
        <w:rPr>
          <w:rFonts w:hint="cs"/>
          <w:sz w:val="30"/>
          <w:rtl/>
          <w:lang w:eastAsia="en-US"/>
        </w:rPr>
        <w:t>.</w:t>
      </w:r>
    </w:p>
    <w:p w:rsidR="00000000" w:rsidRDefault="00000000">
      <w:pPr>
        <w:pStyle w:val="BodyText"/>
        <w:spacing w:before="0" w:after="240" w:line="360" w:lineRule="exact"/>
        <w:jc w:val="center"/>
        <w:rPr>
          <w:rFonts w:cs="Traditional Arabic" w:hint="cs"/>
          <w:b w:val="0"/>
          <w:bCs w:val="0"/>
          <w:noProof/>
          <w:sz w:val="30"/>
          <w:szCs w:val="30"/>
          <w:rtl/>
          <w:lang w:val="ar-SA" w:eastAsia="ar-SA"/>
        </w:rPr>
      </w:pPr>
      <w:r>
        <w:rPr>
          <w:rFonts w:cs="Traditional Arabic"/>
          <w:noProof/>
          <w:sz w:val="30"/>
          <w:szCs w:val="30"/>
          <w:rtl/>
          <w:lang w:val="ar-SA" w:eastAsia="ar-SA"/>
        </w:rPr>
        <w:br w:type="page"/>
      </w:r>
      <w:r>
        <w:rPr>
          <w:rFonts w:cs="Traditional Arabic" w:hint="cs"/>
          <w:noProof/>
          <w:sz w:val="30"/>
          <w:szCs w:val="30"/>
          <w:rtl/>
          <w:lang w:val="ar-SA" w:eastAsia="ar-SA"/>
        </w:rPr>
        <w:t>المادة 6</w:t>
      </w:r>
    </w:p>
    <w:p w:rsidR="00000000" w:rsidRDefault="00000000">
      <w:pPr>
        <w:spacing w:before="0" w:line="360" w:lineRule="exact"/>
        <w:jc w:val="both"/>
        <w:rPr>
          <w:rFonts w:hint="cs"/>
          <w:spacing w:val="2"/>
          <w:rtl/>
        </w:rPr>
      </w:pPr>
      <w:r>
        <w:rPr>
          <w:rFonts w:hint="cs"/>
          <w:noProof/>
          <w:spacing w:val="2"/>
          <w:rtl/>
          <w:lang w:val="ar-SA"/>
        </w:rPr>
        <w:tab/>
      </w:r>
      <w:r>
        <w:rPr>
          <w:rFonts w:hint="cs"/>
          <w:spacing w:val="2"/>
          <w:rtl/>
        </w:rPr>
        <w:t>تقوم أية دولة طرف، لدى اقتناعها، بعد دراسة المعلومات المتوفرة لها، بأن الظروف تبرر احتجاز شخص موجود في أراضيها يدعى أنه اقترف جرماً مشاراً إليه في المادة 4 باحتجازه أو تتخذ أية إجراءات قانونية أخرى لضمان وجوده فيها. ويكون الاحتجاز والإجراءات القانونية الأخرى مطابقة لما ينص عليه قانون تلك الدولة على ألا يستمر احتجاز الشخص إلا للمدة اللازمة للتمكين من إقامة أي دعوى جنائية أو من اتخاذ أي إجراءات لتسليمه.</w:t>
      </w:r>
    </w:p>
    <w:p w:rsidR="00000000" w:rsidRDefault="00000000">
      <w:pPr>
        <w:spacing w:before="0" w:line="360" w:lineRule="exact"/>
        <w:jc w:val="both"/>
        <w:rPr>
          <w:rFonts w:hint="cs"/>
          <w:b/>
          <w:sz w:val="30"/>
          <w:rtl/>
          <w:lang w:eastAsia="en-US"/>
        </w:rPr>
      </w:pPr>
      <w:r>
        <w:rPr>
          <w:rFonts w:hint="cs"/>
          <w:spacing w:val="2"/>
          <w:rtl/>
        </w:rPr>
        <w:tab/>
      </w:r>
      <w:r>
        <w:rPr>
          <w:rFonts w:hint="cs"/>
          <w:b/>
          <w:sz w:val="30"/>
          <w:rtl/>
          <w:lang w:eastAsia="en-US"/>
        </w:rPr>
        <w:t>تقوم هذه الدولة فوراً بإجراء التحقيق الأولي فيما يتعلق بالوقائع.</w:t>
      </w:r>
    </w:p>
    <w:p w:rsidR="00000000" w:rsidRDefault="00000000">
      <w:pPr>
        <w:spacing w:before="0" w:line="360" w:lineRule="exact"/>
        <w:jc w:val="both"/>
        <w:rPr>
          <w:rFonts w:hint="cs"/>
          <w:b/>
          <w:sz w:val="30"/>
          <w:rtl/>
          <w:lang w:eastAsia="en-US"/>
        </w:rPr>
      </w:pPr>
      <w:r>
        <w:rPr>
          <w:rFonts w:hint="cs"/>
          <w:b/>
          <w:sz w:val="30"/>
          <w:rtl/>
          <w:lang w:eastAsia="en-US"/>
        </w:rPr>
        <w:tab/>
        <w:t>تتم مساعدة أي شخص محتجز وفقاً للفقرة 1 من هذه المادة على الاتصال فوراً بأقرب ممثل مختص للدولة التي هو من مواطنيها، أو بممثل الدولة التي يقيم فيها عادة إن كان بلا جنسية.</w:t>
      </w:r>
    </w:p>
    <w:p w:rsidR="00000000" w:rsidRDefault="00000000">
      <w:pPr>
        <w:spacing w:before="0" w:line="360" w:lineRule="exact"/>
        <w:jc w:val="both"/>
        <w:rPr>
          <w:rFonts w:hint="cs"/>
          <w:b/>
          <w:sz w:val="30"/>
          <w:rtl/>
          <w:lang w:eastAsia="en-US"/>
        </w:rPr>
      </w:pPr>
      <w:r>
        <w:rPr>
          <w:rFonts w:hint="cs"/>
          <w:b/>
          <w:sz w:val="30"/>
          <w:rtl/>
          <w:lang w:eastAsia="en-US"/>
        </w:rPr>
        <w:tab/>
        <w:t>لدى قيام دولة ما، عملاً بهذه المادة، باحتجاز شخص ما، تخطر على الفور الدول المشار إليها في الفقرة 1 من المادة 5، باحتجاز هذا الشخص وبالظروف التي تبرر اعتقاله. وعلى الدولة التي تجري التحقيق الأولي الذي تتوخاه الفقرة 2 من هذه المادة أن ترفع فوراً ما توصلت إليه من النتائج إلى الدول المذكورة مع الإفصاح عما إذا كان في نيتها ممارسة ولايتها القضائية.</w:t>
      </w:r>
    </w:p>
    <w:p w:rsidR="00000000" w:rsidRDefault="00000000">
      <w:pPr>
        <w:spacing w:before="0" w:line="360" w:lineRule="exact"/>
        <w:jc w:val="both"/>
        <w:rPr>
          <w:rFonts w:hint="cs"/>
          <w:b/>
          <w:bCs/>
          <w:sz w:val="30"/>
          <w:rtl/>
          <w:lang w:eastAsia="en-US"/>
        </w:rPr>
      </w:pPr>
      <w:r>
        <w:rPr>
          <w:rFonts w:hint="cs"/>
          <w:b/>
          <w:bCs/>
          <w:sz w:val="30"/>
          <w:rtl/>
          <w:lang w:eastAsia="en-US"/>
        </w:rPr>
        <w:t>التعقيب</w:t>
      </w:r>
    </w:p>
    <w:p w:rsidR="00000000" w:rsidRDefault="00000000">
      <w:pPr>
        <w:spacing w:before="0" w:line="380" w:lineRule="exact"/>
        <w:jc w:val="both"/>
        <w:rPr>
          <w:rFonts w:hint="cs"/>
          <w:sz w:val="30"/>
          <w:rtl/>
          <w:lang w:eastAsia="en-US"/>
        </w:rPr>
      </w:pPr>
      <w:r>
        <w:rPr>
          <w:rFonts w:hint="cs"/>
          <w:sz w:val="30"/>
          <w:rtl/>
          <w:lang w:eastAsia="en-US"/>
        </w:rPr>
        <w:t>67-</w:t>
      </w:r>
      <w:r>
        <w:rPr>
          <w:rFonts w:hint="cs"/>
          <w:sz w:val="30"/>
          <w:rtl/>
          <w:lang w:eastAsia="en-US"/>
        </w:rPr>
        <w:tab/>
        <w:t>لم تتطرق التشريعات القطرية إلى موضوع هذه المادة وترك الأمر إلى الاتفاقيات الثنائية التي توقعها قطر مع الدول الأخرى لتتضمن مثل هذه الأحكام.</w:t>
      </w:r>
    </w:p>
    <w:p w:rsidR="00000000" w:rsidRDefault="00000000">
      <w:pPr>
        <w:pStyle w:val="BodyText"/>
        <w:spacing w:before="0" w:after="240" w:line="380" w:lineRule="exact"/>
        <w:jc w:val="center"/>
        <w:rPr>
          <w:rFonts w:cs="Traditional Arabic" w:hint="cs"/>
          <w:noProof/>
          <w:sz w:val="30"/>
          <w:szCs w:val="30"/>
          <w:rtl/>
          <w:lang w:val="ar-SA" w:eastAsia="ar-SA"/>
        </w:rPr>
      </w:pPr>
      <w:r>
        <w:rPr>
          <w:rFonts w:cs="Traditional Arabic" w:hint="cs"/>
          <w:noProof/>
          <w:sz w:val="30"/>
          <w:szCs w:val="30"/>
          <w:rtl/>
          <w:lang w:val="ar-SA" w:eastAsia="ar-SA"/>
        </w:rPr>
        <w:t>المادة 7</w:t>
      </w:r>
    </w:p>
    <w:p w:rsidR="00000000" w:rsidRDefault="00000000">
      <w:pPr>
        <w:spacing w:before="0" w:line="360" w:lineRule="exact"/>
        <w:jc w:val="both"/>
        <w:rPr>
          <w:rFonts w:hint="cs"/>
          <w:rtl/>
        </w:rPr>
      </w:pPr>
      <w:r>
        <w:rPr>
          <w:rFonts w:hint="cs"/>
          <w:noProof/>
          <w:rtl/>
          <w:lang w:val="ar-SA"/>
        </w:rPr>
        <w:tab/>
      </w:r>
      <w:r>
        <w:rPr>
          <w:rFonts w:hint="cs"/>
          <w:rtl/>
        </w:rPr>
        <w:t>تقوم الدولة الطرف التي يوجد في الإقليم الخاضع لولايتها القضائية شخص يدعى ارتكابه لأي من الجرائم المنصوص عليها في المادة 4 في الحالات التي تتوخاها المادة 5، بعرض القضية على سلطاتها المختصة بقصد تقديم الشخص للمحاكمة، إذا لم تقم بتسليمه.</w:t>
      </w:r>
    </w:p>
    <w:p w:rsidR="00000000" w:rsidRDefault="00000000">
      <w:pPr>
        <w:spacing w:before="0" w:line="360" w:lineRule="exact"/>
        <w:jc w:val="both"/>
        <w:rPr>
          <w:rFonts w:hint="cs"/>
          <w:b/>
          <w:spacing w:val="0"/>
          <w:sz w:val="30"/>
          <w:rtl/>
          <w:lang w:eastAsia="en-US"/>
        </w:rPr>
      </w:pPr>
      <w:r>
        <w:rPr>
          <w:rFonts w:hint="cs"/>
          <w:rtl/>
        </w:rPr>
        <w:tab/>
      </w:r>
      <w:r>
        <w:rPr>
          <w:rFonts w:hint="cs"/>
          <w:b/>
          <w:spacing w:val="0"/>
          <w:sz w:val="30"/>
          <w:rtl/>
          <w:lang w:eastAsia="en-US"/>
        </w:rPr>
        <w:t>تتخذ هذه السلطات قرارها بنفس الأسلوب الذي تتبعه في حالة ارتكاب أية جريمة عادية ذات طبيعة خطيرة بموجب قانون تلك الدولة. وفي الحالات المشار إليها في الفقرة 2 من المادة 5 ينبغي ألا تكون معايير الأدلة المطلوبة للمقاضاة والإدانة بأي حال من الأحوال أقل صرامة من تلك التي تنطبق في الحالات المشار إليها في الفقرة 1 من المادة 5.</w:t>
      </w:r>
    </w:p>
    <w:p w:rsidR="00000000" w:rsidRDefault="00000000">
      <w:pPr>
        <w:spacing w:before="0" w:line="360" w:lineRule="exact"/>
        <w:jc w:val="both"/>
        <w:rPr>
          <w:rFonts w:hint="cs"/>
          <w:b/>
          <w:sz w:val="30"/>
          <w:rtl/>
          <w:lang w:eastAsia="en-US"/>
        </w:rPr>
      </w:pPr>
      <w:r>
        <w:rPr>
          <w:rFonts w:hint="cs"/>
          <w:b/>
          <w:sz w:val="30"/>
          <w:rtl/>
          <w:lang w:eastAsia="en-US"/>
        </w:rPr>
        <w:tab/>
        <w:t>تكفل المعاملة العادلة في جميع مراحل الإجراءات القانونية لأي شخص تتخذ ضده تلك الإجراءات فيما يتعلق بأي من الجرائم المشار إليها في المادة 4.</w:t>
      </w:r>
    </w:p>
    <w:p w:rsidR="00000000" w:rsidRDefault="00000000">
      <w:pPr>
        <w:spacing w:before="0" w:line="360" w:lineRule="exact"/>
        <w:jc w:val="both"/>
        <w:rPr>
          <w:rFonts w:hint="cs"/>
          <w:b/>
          <w:bCs/>
          <w:sz w:val="30"/>
          <w:rtl/>
          <w:lang w:eastAsia="en-US"/>
        </w:rPr>
      </w:pPr>
      <w:r>
        <w:rPr>
          <w:rFonts w:hint="cs"/>
          <w:b/>
          <w:bCs/>
          <w:sz w:val="30"/>
          <w:rtl/>
          <w:lang w:eastAsia="en-US"/>
        </w:rPr>
        <w:t>التعقيب</w:t>
      </w:r>
    </w:p>
    <w:p w:rsidR="00000000" w:rsidRDefault="00000000">
      <w:pPr>
        <w:spacing w:before="0" w:line="360" w:lineRule="exact"/>
        <w:jc w:val="both"/>
        <w:rPr>
          <w:rFonts w:hint="cs"/>
          <w:sz w:val="30"/>
          <w:rtl/>
          <w:lang w:eastAsia="en-US"/>
        </w:rPr>
      </w:pPr>
      <w:r>
        <w:rPr>
          <w:rFonts w:hint="cs"/>
          <w:b/>
          <w:sz w:val="30"/>
          <w:rtl/>
          <w:lang w:eastAsia="en-US"/>
        </w:rPr>
        <w:t>68-</w:t>
      </w:r>
      <w:r>
        <w:rPr>
          <w:rFonts w:hint="cs"/>
          <w:b/>
          <w:sz w:val="30"/>
          <w:rtl/>
          <w:lang w:eastAsia="en-US"/>
        </w:rPr>
        <w:tab/>
      </w:r>
      <w:r>
        <w:rPr>
          <w:rFonts w:hint="cs"/>
          <w:sz w:val="30"/>
          <w:rtl/>
          <w:lang w:eastAsia="en-US"/>
        </w:rPr>
        <w:t>ليس في القوانين القطرية ما يمنع من تطبيق مبدأ "التسليم" أو "المحاكمة" وذلك اقتناعاً بضرورة أن ينال المجرم جزاءه في أي دولة دون النظر إلى المعوقات التي تقف حائلاً أمام التسليم. وهو يعتبر مخرجاً مناسباً من مأزق قصور نصوص بعض المعاهدات وامتناع بعض الدول عن تسليم المتهمين مثلاً لأنهم من رعاياها.</w:t>
      </w:r>
    </w:p>
    <w:p w:rsidR="00000000" w:rsidRDefault="00000000">
      <w:pPr>
        <w:spacing w:before="0" w:line="380" w:lineRule="exact"/>
        <w:jc w:val="center"/>
        <w:rPr>
          <w:rFonts w:hint="cs"/>
          <w:b/>
          <w:bCs/>
          <w:sz w:val="30"/>
          <w:rtl/>
          <w:lang w:eastAsia="en-US"/>
        </w:rPr>
      </w:pPr>
      <w:r>
        <w:rPr>
          <w:rFonts w:hint="cs"/>
          <w:b/>
          <w:bCs/>
          <w:sz w:val="30"/>
          <w:rtl/>
          <w:lang w:eastAsia="en-US"/>
        </w:rPr>
        <w:t>المادة 8</w:t>
      </w:r>
    </w:p>
    <w:p w:rsidR="00000000" w:rsidRDefault="00000000">
      <w:pPr>
        <w:spacing w:before="0" w:line="380" w:lineRule="exact"/>
        <w:jc w:val="both"/>
        <w:rPr>
          <w:rFonts w:hint="cs"/>
          <w:b/>
          <w:sz w:val="30"/>
          <w:rtl/>
          <w:lang w:eastAsia="en-US"/>
        </w:rPr>
      </w:pPr>
      <w:r>
        <w:rPr>
          <w:rFonts w:hint="cs"/>
          <w:b/>
          <w:bCs/>
          <w:sz w:val="30"/>
          <w:rtl/>
          <w:lang w:eastAsia="en-US"/>
        </w:rPr>
        <w:tab/>
      </w:r>
      <w:r>
        <w:rPr>
          <w:rFonts w:hint="cs"/>
          <w:b/>
          <w:sz w:val="30"/>
          <w:rtl/>
          <w:lang w:eastAsia="en-US"/>
        </w:rPr>
        <w:t>تعتبر الجرائم المشار إليها في المادة 4 جرائم قابلة لتسليم مرتكبيها في أية معاهدة لتسليم المجرمين تكون قائمة بين الدول الأطراف. وتتعهد الدول الأطراف بإدراج هذه الجرائم كجرائم قابلة لتسليم مرتكبيها في كل معاهدة تسليم تبرم بينها.</w:t>
      </w:r>
    </w:p>
    <w:p w:rsidR="00000000" w:rsidRDefault="00000000">
      <w:pPr>
        <w:spacing w:before="0" w:line="380" w:lineRule="exact"/>
        <w:jc w:val="both"/>
        <w:rPr>
          <w:rFonts w:hint="cs"/>
          <w:b/>
          <w:sz w:val="30"/>
          <w:rtl/>
          <w:lang w:eastAsia="en-US"/>
        </w:rPr>
      </w:pPr>
      <w:r>
        <w:rPr>
          <w:rFonts w:hint="cs"/>
          <w:b/>
          <w:sz w:val="30"/>
          <w:rtl/>
          <w:lang w:eastAsia="en-US"/>
        </w:rPr>
        <w:tab/>
        <w:t>إذا تسلمت دولة طرف طلباً للتسليم من دولة لا تربطها بها معاهدة لتسليم المجرمين، وكانت الدولة الأولى تجعل التسليم مشروطاً بوجود معاهدة لتسليم المجرمين، يجوز لهذه الدولة اعتبار هذه الاتفاقية أساساً قانونياً للتسليم فيما يختص بمثل هذه الجرائم. ويخضع التسليم للشروط الأخرى المنصوص عليها في قانون الدولة التي يقدم إليها طلب التسليم.</w:t>
      </w:r>
    </w:p>
    <w:p w:rsidR="00000000" w:rsidRDefault="00000000">
      <w:pPr>
        <w:spacing w:before="0" w:line="380" w:lineRule="exact"/>
        <w:jc w:val="both"/>
        <w:rPr>
          <w:rFonts w:hint="cs"/>
          <w:b/>
          <w:sz w:val="30"/>
          <w:rtl/>
          <w:lang w:eastAsia="en-US"/>
        </w:rPr>
      </w:pPr>
      <w:r>
        <w:rPr>
          <w:rFonts w:hint="cs"/>
          <w:b/>
          <w:sz w:val="30"/>
          <w:rtl/>
          <w:lang w:eastAsia="en-US"/>
        </w:rPr>
        <w:tab/>
        <w:t>تعترف الدول الأطراف التي لا تجعل التسليم مرهوناً بوجود معاهدة بأن هذه الجرائم قابلة لتسليم مرتكبيها فيما بينها طبقا للشروط المنصوص عليها في قانون الدولة التي يقدم إليها طلب التسليم.</w:t>
      </w:r>
    </w:p>
    <w:p w:rsidR="00000000" w:rsidRDefault="00000000">
      <w:pPr>
        <w:spacing w:before="0" w:line="380" w:lineRule="exact"/>
        <w:jc w:val="both"/>
        <w:rPr>
          <w:rFonts w:hint="cs"/>
          <w:b/>
          <w:sz w:val="30"/>
          <w:rtl/>
          <w:lang w:eastAsia="en-US"/>
        </w:rPr>
      </w:pPr>
      <w:r>
        <w:rPr>
          <w:rFonts w:hint="cs"/>
          <w:b/>
          <w:sz w:val="30"/>
          <w:rtl/>
          <w:lang w:eastAsia="en-US"/>
        </w:rPr>
        <w:tab/>
        <w:t>وتتم معاملة هذه الجرائم، لأغراض التسليم بين الدول الأطراف، كما لو أنها اقترفت لا في المكان الذي حدثت فيه فحسب، بل أيضا في أراضي الدول المطالبة بإقامة ولايتها القضائية طبقا للفقرة 1 من المادة 5.</w:t>
      </w:r>
    </w:p>
    <w:p w:rsidR="00000000" w:rsidRDefault="00000000">
      <w:pPr>
        <w:spacing w:before="0" w:line="380" w:lineRule="exact"/>
        <w:jc w:val="both"/>
        <w:rPr>
          <w:rFonts w:hint="cs"/>
          <w:b/>
          <w:bCs/>
          <w:sz w:val="30"/>
          <w:rtl/>
          <w:lang w:eastAsia="en-US"/>
        </w:rPr>
      </w:pPr>
      <w:r>
        <w:rPr>
          <w:rFonts w:hint="cs"/>
          <w:b/>
          <w:bCs/>
          <w:sz w:val="30"/>
          <w:rtl/>
          <w:lang w:eastAsia="en-US"/>
        </w:rPr>
        <w:t>التعقيب</w:t>
      </w:r>
    </w:p>
    <w:p w:rsidR="00000000" w:rsidRDefault="00000000">
      <w:pPr>
        <w:spacing w:before="0" w:line="380" w:lineRule="exact"/>
        <w:jc w:val="both"/>
        <w:rPr>
          <w:rFonts w:hint="cs"/>
          <w:sz w:val="30"/>
          <w:rtl/>
          <w:lang w:eastAsia="en-US"/>
        </w:rPr>
      </w:pPr>
      <w:r>
        <w:rPr>
          <w:rFonts w:hint="cs"/>
          <w:b/>
          <w:sz w:val="30"/>
          <w:rtl/>
          <w:lang w:eastAsia="en-US"/>
        </w:rPr>
        <w:t>69-</w:t>
      </w:r>
      <w:r>
        <w:rPr>
          <w:rFonts w:hint="cs"/>
          <w:b/>
          <w:sz w:val="30"/>
          <w:rtl/>
          <w:lang w:eastAsia="en-US"/>
        </w:rPr>
        <w:tab/>
      </w:r>
      <w:r>
        <w:rPr>
          <w:rFonts w:hint="cs"/>
          <w:sz w:val="30"/>
          <w:rtl/>
          <w:lang w:eastAsia="en-US"/>
        </w:rPr>
        <w:t xml:space="preserve">عند الاتفاقيات الثنائية المتعلقة بتسليم المجرمين لا تنتهج ممارسات دولة قطر الأسلوب </w:t>
      </w:r>
      <w:proofErr w:type="spellStart"/>
      <w:r>
        <w:rPr>
          <w:rFonts w:hint="cs"/>
          <w:sz w:val="30"/>
          <w:rtl/>
          <w:lang w:eastAsia="en-US"/>
        </w:rPr>
        <w:t>الحصري</w:t>
      </w:r>
      <w:proofErr w:type="spellEnd"/>
      <w:r>
        <w:rPr>
          <w:rFonts w:hint="cs"/>
          <w:sz w:val="30"/>
          <w:rtl/>
          <w:lang w:eastAsia="en-US"/>
        </w:rPr>
        <w:t xml:space="preserve"> والذي يعتمد على إدراج مجموعة من الجرائم على سبيل الحصر في قائمة واحدة ترفق بالاتفاقية. إذ إن ذلك من شأنه أن يؤدي إلى إفلات بعض المجرمين من العقاب متى كانت الجريمة غير واردة ضمن القائمة التي تلحق بالمعاهدة. وهي مشكلة تظهر دائماً في ظل تعدد أشكال وصور الجريمة. وعلى العكس من ذلك تتبع قطر أسلوب ضبط جسامة الجريمة، أو الحد الأدنى للعقوبة بمعنى أن الاتفاقيات التي وقعتها الدولة تستند إلى الحد الأدنى للعقوبة المقررة للجرائم التي يمكن التسليم بمقتضاها ومن ذلك النص على أن يكون التسليم في الجرائم التي يكون معاقباً عليها من قوانين الدولتين.</w:t>
      </w:r>
    </w:p>
    <w:p w:rsidR="00000000" w:rsidRDefault="00000000">
      <w:pPr>
        <w:spacing w:before="0" w:line="380" w:lineRule="exact"/>
        <w:jc w:val="both"/>
        <w:rPr>
          <w:rFonts w:hint="cs"/>
          <w:sz w:val="30"/>
          <w:rtl/>
          <w:lang w:eastAsia="en-US"/>
        </w:rPr>
      </w:pPr>
      <w:r>
        <w:rPr>
          <w:rFonts w:hint="cs"/>
          <w:sz w:val="30"/>
          <w:rtl/>
          <w:lang w:eastAsia="en-US"/>
        </w:rPr>
        <w:t>70-</w:t>
      </w:r>
      <w:r>
        <w:rPr>
          <w:rFonts w:hint="cs"/>
          <w:sz w:val="30"/>
          <w:rtl/>
          <w:lang w:eastAsia="en-US"/>
        </w:rPr>
        <w:tab/>
        <w:t>ملاحظ هنا:</w:t>
      </w:r>
    </w:p>
    <w:p w:rsidR="00000000" w:rsidRDefault="00000000">
      <w:pPr>
        <w:spacing w:before="0" w:line="380" w:lineRule="exact"/>
        <w:jc w:val="both"/>
        <w:rPr>
          <w:rFonts w:hint="cs"/>
          <w:sz w:val="30"/>
          <w:rtl/>
          <w:lang w:eastAsia="en-US"/>
        </w:rPr>
      </w:pPr>
      <w:r>
        <w:rPr>
          <w:rFonts w:hint="cs"/>
          <w:sz w:val="30"/>
          <w:rtl/>
          <w:lang w:eastAsia="en-US"/>
        </w:rPr>
        <w:tab/>
        <w:t>(أ)</w:t>
      </w:r>
      <w:r>
        <w:rPr>
          <w:rFonts w:hint="cs"/>
          <w:sz w:val="30"/>
          <w:rtl/>
          <w:lang w:eastAsia="en-US"/>
        </w:rPr>
        <w:tab/>
        <w:t>إن الاتفاقيات الثنائية التي وقعتها قطر قد جرت على استثناء بعض الجرائم من إجراء التسليم كالجرائم السياسية والعسكرية؛</w:t>
      </w:r>
    </w:p>
    <w:p w:rsidR="00000000" w:rsidRDefault="00000000">
      <w:pPr>
        <w:spacing w:before="0" w:line="380" w:lineRule="exact"/>
        <w:jc w:val="both"/>
        <w:rPr>
          <w:rFonts w:hint="cs"/>
          <w:sz w:val="30"/>
          <w:rtl/>
          <w:lang w:eastAsia="en-US"/>
        </w:rPr>
      </w:pPr>
      <w:r>
        <w:rPr>
          <w:rFonts w:hint="cs"/>
          <w:sz w:val="30"/>
          <w:rtl/>
          <w:lang w:eastAsia="en-US"/>
        </w:rPr>
        <w:tab/>
        <w:t>(ب)</w:t>
      </w:r>
      <w:r>
        <w:rPr>
          <w:rFonts w:hint="cs"/>
          <w:sz w:val="30"/>
          <w:rtl/>
          <w:lang w:eastAsia="en-US"/>
        </w:rPr>
        <w:tab/>
        <w:t>إن أفعال التعذيب من الأفعال التي تستوفي معيار الجسامة وهي بلا شك من الجرائم التي تعاقب عليها كل الدول. وبذلك تدخل في إطار الجرائم التي يمكن التسليم بمقتضاها؛</w:t>
      </w:r>
    </w:p>
    <w:p w:rsidR="00000000" w:rsidRDefault="00000000">
      <w:pPr>
        <w:spacing w:before="0" w:line="380" w:lineRule="exact"/>
        <w:jc w:val="both"/>
        <w:rPr>
          <w:rFonts w:hint="cs"/>
          <w:sz w:val="30"/>
          <w:rtl/>
          <w:lang w:eastAsia="en-US"/>
        </w:rPr>
      </w:pPr>
      <w:r>
        <w:rPr>
          <w:rFonts w:hint="cs"/>
          <w:sz w:val="30"/>
          <w:rtl/>
          <w:lang w:eastAsia="en-US"/>
        </w:rPr>
        <w:tab/>
        <w:t>(ج)</w:t>
      </w:r>
      <w:r>
        <w:rPr>
          <w:rFonts w:hint="cs"/>
          <w:sz w:val="30"/>
          <w:rtl/>
          <w:lang w:eastAsia="en-US"/>
        </w:rPr>
        <w:tab/>
        <w:t xml:space="preserve">في حالة غياب الترتيبات </w:t>
      </w:r>
      <w:proofErr w:type="spellStart"/>
      <w:r>
        <w:rPr>
          <w:rFonts w:hint="cs"/>
          <w:sz w:val="30"/>
          <w:rtl/>
          <w:lang w:eastAsia="en-US"/>
        </w:rPr>
        <w:t>التعاهدية</w:t>
      </w:r>
      <w:proofErr w:type="spellEnd"/>
      <w:r>
        <w:rPr>
          <w:rFonts w:hint="cs"/>
          <w:sz w:val="30"/>
          <w:rtl/>
          <w:lang w:eastAsia="en-US"/>
        </w:rPr>
        <w:t xml:space="preserve"> بين قطر والدول الأخرى فإن بنود اتفاقية مناهضة التعذيب تصلح أساساً لإجراء التسليم لدول أخرى صادقت على الاتفاقية. ولكن سيخضع التسليم في هذه الحالة للشروط الأخرى المنصوص عليها في قانون دولة قطر إذا كانت هي الدولة التي طلب منها التسليم.</w:t>
      </w:r>
    </w:p>
    <w:p w:rsidR="00000000" w:rsidRDefault="00000000">
      <w:pPr>
        <w:spacing w:before="0" w:line="380" w:lineRule="exact"/>
        <w:jc w:val="both"/>
        <w:rPr>
          <w:rFonts w:hint="cs"/>
          <w:spacing w:val="2"/>
          <w:sz w:val="30"/>
          <w:rtl/>
          <w:lang w:eastAsia="en-US"/>
        </w:rPr>
      </w:pPr>
      <w:r>
        <w:rPr>
          <w:rFonts w:hint="cs"/>
          <w:sz w:val="30"/>
          <w:rtl/>
          <w:lang w:eastAsia="en-US"/>
        </w:rPr>
        <w:t>71-</w:t>
      </w:r>
      <w:r>
        <w:rPr>
          <w:rFonts w:hint="cs"/>
          <w:sz w:val="30"/>
          <w:rtl/>
          <w:lang w:eastAsia="en-US"/>
        </w:rPr>
        <w:tab/>
      </w:r>
      <w:r>
        <w:rPr>
          <w:rFonts w:hint="cs"/>
          <w:noProof/>
          <w:spacing w:val="2"/>
          <w:sz w:val="30"/>
          <w:rtl/>
          <w:lang w:eastAsia="en-US"/>
        </w:rPr>
        <w:pict>
          <v:shape id="_x0000_s2070" type="#_x0000_t202" style="position:absolute;left:0;text-align:left;margin-left:-4.5pt;margin-top:268.4pt;width:49.5pt;height:63pt;z-index:3;mso-position-horizontal-relative:text;mso-position-vertical-relative:text" filled="f" stroked="f">
            <v:textbox>
              <w:txbxContent>
                <w:p w:rsidR="00000000" w:rsidRDefault="00000000">
                  <w:pPr>
                    <w:jc w:val="right"/>
                    <w:rPr>
                      <w:rFonts w:hint="cs"/>
                      <w:sz w:val="28"/>
                      <w:szCs w:val="28"/>
                    </w:rPr>
                  </w:pPr>
                  <w:r>
                    <w:rPr>
                      <w:rFonts w:hint="cs"/>
                      <w:sz w:val="28"/>
                      <w:szCs w:val="28"/>
                      <w:rtl/>
                    </w:rPr>
                    <w:t>../33</w:t>
                  </w:r>
                </w:p>
              </w:txbxContent>
            </v:textbox>
          </v:shape>
        </w:pict>
      </w:r>
      <w:r>
        <w:rPr>
          <w:rFonts w:hint="cs"/>
          <w:spacing w:val="2"/>
          <w:sz w:val="30"/>
          <w:rtl/>
          <w:lang w:eastAsia="en-US"/>
        </w:rPr>
        <w:t xml:space="preserve">وقد أفرد قانون الإجراءات الجنائية القطري باباً كاملاً للتعاون القضائي الدولي تضمن الأحكام المتعلقة بتسليم المحكوم عليهم والمتهمين والأشياء. وقد اشتمل ذلك الباب على بعض الأحكام الموضوعية والإجرائية للتسليم. وقد سار القانون على منهج الاتفاقيات الثنائية ولم يتبع منهج الأسلوب </w:t>
      </w:r>
      <w:proofErr w:type="spellStart"/>
      <w:r>
        <w:rPr>
          <w:rFonts w:hint="cs"/>
          <w:spacing w:val="2"/>
          <w:sz w:val="30"/>
          <w:rtl/>
          <w:lang w:eastAsia="en-US"/>
        </w:rPr>
        <w:t>الحصري</w:t>
      </w:r>
      <w:proofErr w:type="spellEnd"/>
      <w:r>
        <w:rPr>
          <w:rFonts w:hint="cs"/>
          <w:spacing w:val="2"/>
          <w:sz w:val="30"/>
          <w:rtl/>
          <w:lang w:eastAsia="en-US"/>
        </w:rPr>
        <w:t xml:space="preserve"> للجرائم التي يمكن بموجبها التسليم. علاوة على ذلك فقد نص القانون على أن لا تمس أحكام ذلك الفصل من المشروع الاتفاقيات الثنائية والجماعية التي تكون دولة قطر طرفاً فيها ولذا فأن أحكام اتفاقية مناهضة التعذيب سوف لا تتأثر بما ورد في القانون من أحكام.</w:t>
      </w:r>
    </w:p>
    <w:p w:rsidR="00000000" w:rsidRDefault="00000000">
      <w:pPr>
        <w:spacing w:before="0" w:line="380" w:lineRule="exact"/>
        <w:jc w:val="center"/>
        <w:rPr>
          <w:rFonts w:hint="cs"/>
          <w:b/>
          <w:bCs/>
          <w:spacing w:val="2"/>
          <w:sz w:val="30"/>
          <w:rtl/>
          <w:lang w:eastAsia="en-US"/>
        </w:rPr>
      </w:pPr>
      <w:r>
        <w:rPr>
          <w:rFonts w:hint="cs"/>
          <w:b/>
          <w:bCs/>
          <w:spacing w:val="2"/>
          <w:sz w:val="30"/>
          <w:rtl/>
          <w:lang w:eastAsia="en-US"/>
        </w:rPr>
        <w:t>المادة 9</w:t>
      </w:r>
    </w:p>
    <w:p w:rsidR="00000000" w:rsidRDefault="00000000">
      <w:pPr>
        <w:spacing w:before="0" w:line="380" w:lineRule="exact"/>
        <w:jc w:val="both"/>
        <w:rPr>
          <w:rFonts w:hint="cs"/>
          <w:b/>
          <w:sz w:val="30"/>
          <w:rtl/>
          <w:lang w:eastAsia="en-US"/>
        </w:rPr>
      </w:pPr>
      <w:r>
        <w:rPr>
          <w:rFonts w:hint="cs"/>
          <w:b/>
          <w:bCs/>
          <w:sz w:val="30"/>
          <w:rtl/>
          <w:lang w:eastAsia="en-US"/>
        </w:rPr>
        <w:tab/>
      </w:r>
      <w:r>
        <w:rPr>
          <w:rFonts w:hint="cs"/>
          <w:b/>
          <w:sz w:val="30"/>
          <w:rtl/>
          <w:lang w:eastAsia="en-US"/>
        </w:rPr>
        <w:t>على كل دولة طرف أن تقدم إلى الدول الأطراف الأخرى أكبر قدر من المساعدة فيما يتعلق بالإجراءات الجنائية المتخذة بشأن أي من الجرائم المشار إليها في المادة 4، بما في ذلك توفير جميع الأدلة الموجودة في حوزتها واللازمة للإجراءات.</w:t>
      </w:r>
    </w:p>
    <w:p w:rsidR="00000000" w:rsidRDefault="00000000">
      <w:pPr>
        <w:spacing w:before="0" w:line="380" w:lineRule="exact"/>
        <w:jc w:val="both"/>
        <w:rPr>
          <w:rFonts w:hint="cs"/>
          <w:b/>
          <w:sz w:val="30"/>
          <w:rtl/>
          <w:lang w:eastAsia="en-US"/>
        </w:rPr>
      </w:pPr>
      <w:r>
        <w:rPr>
          <w:rFonts w:hint="cs"/>
          <w:b/>
          <w:sz w:val="30"/>
          <w:rtl/>
          <w:lang w:eastAsia="en-US"/>
        </w:rPr>
        <w:tab/>
        <w:t>تنفذ الدول الأطراف التزاماتها بمقتضى الفقرة 1 من هذه المادة وفقا لما قد يوجد بينها من معاهدات لتبادل المساعدة القضائية.</w:t>
      </w:r>
    </w:p>
    <w:p w:rsidR="00000000" w:rsidRDefault="00000000">
      <w:pPr>
        <w:spacing w:before="0" w:line="380" w:lineRule="exact"/>
        <w:jc w:val="both"/>
        <w:rPr>
          <w:rFonts w:hint="cs"/>
          <w:sz w:val="30"/>
          <w:rtl/>
          <w:lang w:eastAsia="en-US"/>
        </w:rPr>
      </w:pPr>
      <w:r>
        <w:rPr>
          <w:rFonts w:hint="cs"/>
          <w:b/>
          <w:bCs/>
          <w:sz w:val="30"/>
          <w:rtl/>
          <w:lang w:eastAsia="en-US"/>
        </w:rPr>
        <w:t>التعقيب</w:t>
      </w:r>
    </w:p>
    <w:p w:rsidR="00000000" w:rsidRDefault="00000000">
      <w:pPr>
        <w:spacing w:before="0" w:line="380" w:lineRule="exact"/>
        <w:jc w:val="both"/>
        <w:rPr>
          <w:rFonts w:hint="cs"/>
          <w:sz w:val="30"/>
          <w:rtl/>
          <w:lang w:eastAsia="en-US"/>
        </w:rPr>
      </w:pPr>
      <w:r>
        <w:rPr>
          <w:rFonts w:hint="cs"/>
          <w:sz w:val="30"/>
          <w:rtl/>
          <w:lang w:eastAsia="en-US"/>
        </w:rPr>
        <w:t>72-</w:t>
      </w:r>
      <w:r>
        <w:rPr>
          <w:rFonts w:hint="cs"/>
          <w:sz w:val="30"/>
          <w:rtl/>
          <w:lang w:eastAsia="en-US"/>
        </w:rPr>
        <w:tab/>
        <w:t>ينص قانون الإجراءات الجنائية في الكتاب الخاص بالتعاون القضائي الدولي وبصفة خاصة في الباب الرابع منه على تدابير الإنابة القضائية كوسيلة من وسائل التعاون الدولي والمساعدة فيما يتعلق بالإجراءات الجنائية المتخذة في الجرائم بصفة عادية ومنها التعذيب، وهذا ما نصت عليه المواد من 427 - 433.</w:t>
      </w:r>
    </w:p>
    <w:p w:rsidR="00000000" w:rsidRDefault="00000000">
      <w:pPr>
        <w:spacing w:before="0" w:line="380" w:lineRule="exact"/>
        <w:jc w:val="both"/>
        <w:rPr>
          <w:rFonts w:hint="cs"/>
          <w:sz w:val="30"/>
          <w:rtl/>
          <w:lang w:eastAsia="en-US"/>
        </w:rPr>
      </w:pPr>
      <w:r>
        <w:rPr>
          <w:rFonts w:hint="cs"/>
          <w:sz w:val="30"/>
          <w:rtl/>
          <w:lang w:eastAsia="en-US"/>
        </w:rPr>
        <w:t>73-</w:t>
      </w:r>
      <w:r>
        <w:rPr>
          <w:rFonts w:hint="cs"/>
          <w:sz w:val="30"/>
          <w:rtl/>
          <w:lang w:eastAsia="en-US"/>
        </w:rPr>
        <w:tab/>
        <w:t>لقد حددت المادة 428 الحالات التي يمكن فيها رفض طلب الإنابة وهي:</w:t>
      </w:r>
    </w:p>
    <w:p w:rsidR="00000000" w:rsidRDefault="00000000">
      <w:pPr>
        <w:spacing w:before="0" w:line="380" w:lineRule="exact"/>
        <w:jc w:val="both"/>
        <w:rPr>
          <w:rFonts w:hint="cs"/>
          <w:sz w:val="30"/>
          <w:rtl/>
          <w:lang w:eastAsia="en-US"/>
        </w:rPr>
      </w:pPr>
      <w:r>
        <w:rPr>
          <w:rFonts w:hint="cs"/>
          <w:sz w:val="30"/>
          <w:rtl/>
          <w:lang w:eastAsia="en-US"/>
        </w:rPr>
        <w:tab/>
        <w:t>(أ)</w:t>
      </w:r>
      <w:r>
        <w:rPr>
          <w:rFonts w:hint="cs"/>
          <w:sz w:val="30"/>
          <w:rtl/>
          <w:lang w:eastAsia="en-US"/>
        </w:rPr>
        <w:tab/>
      </w:r>
      <w:r>
        <w:rPr>
          <w:rFonts w:hint="cs"/>
          <w:spacing w:val="2"/>
          <w:sz w:val="30"/>
          <w:rtl/>
          <w:lang w:eastAsia="en-US"/>
        </w:rPr>
        <w:t>إذا كانت الإجراءات المطلوبة محظورة بمقتضى القانون، أو متعارضة مع مبادئ النظام العام في قطر</w:t>
      </w:r>
      <w:r>
        <w:rPr>
          <w:rFonts w:hint="cs"/>
          <w:sz w:val="30"/>
          <w:rtl/>
          <w:lang w:eastAsia="en-US"/>
        </w:rPr>
        <w:t>؛</w:t>
      </w:r>
    </w:p>
    <w:p w:rsidR="00000000" w:rsidRDefault="00000000">
      <w:pPr>
        <w:spacing w:before="0" w:line="380" w:lineRule="exact"/>
        <w:jc w:val="both"/>
        <w:rPr>
          <w:rFonts w:hint="cs"/>
          <w:sz w:val="30"/>
          <w:rtl/>
          <w:lang w:eastAsia="en-US"/>
        </w:rPr>
      </w:pPr>
      <w:r>
        <w:rPr>
          <w:rFonts w:hint="cs"/>
          <w:sz w:val="30"/>
          <w:rtl/>
          <w:lang w:eastAsia="en-US"/>
        </w:rPr>
        <w:tab/>
        <w:t>(ب)</w:t>
      </w:r>
      <w:r>
        <w:rPr>
          <w:rFonts w:hint="cs"/>
          <w:sz w:val="30"/>
          <w:rtl/>
          <w:lang w:eastAsia="en-US"/>
        </w:rPr>
        <w:tab/>
        <w:t>إذا كان الفعل الذي يطلب تنفيذ الإنابة بشأنه لا يشكل جريمة في القانون القطري، وذلك ما لم يوافق المتهم صراحة على تنفيذ الإنابة؛</w:t>
      </w:r>
    </w:p>
    <w:p w:rsidR="00000000" w:rsidRDefault="00000000">
      <w:pPr>
        <w:spacing w:before="0" w:line="380" w:lineRule="exact"/>
        <w:jc w:val="both"/>
        <w:rPr>
          <w:rFonts w:hint="cs"/>
          <w:sz w:val="30"/>
          <w:rtl/>
          <w:lang w:eastAsia="en-US"/>
        </w:rPr>
      </w:pPr>
      <w:r>
        <w:rPr>
          <w:rFonts w:hint="cs"/>
          <w:sz w:val="30"/>
          <w:rtl/>
          <w:lang w:eastAsia="en-US"/>
        </w:rPr>
        <w:tab/>
        <w:t>(ج)</w:t>
      </w:r>
      <w:r>
        <w:rPr>
          <w:rFonts w:hint="cs"/>
          <w:sz w:val="30"/>
          <w:rtl/>
          <w:lang w:eastAsia="en-US"/>
        </w:rPr>
        <w:tab/>
        <w:t>إذا كانت الجريمة المراد تنفيذ الإنابة القضائية بشأنها من الجرائم التي لا يجوز التسليم فيها.</w:t>
      </w:r>
    </w:p>
    <w:p w:rsidR="00000000" w:rsidRDefault="00000000">
      <w:pPr>
        <w:spacing w:before="0" w:line="380" w:lineRule="exact"/>
        <w:jc w:val="both"/>
        <w:rPr>
          <w:rFonts w:hint="cs"/>
          <w:sz w:val="30"/>
          <w:rtl/>
          <w:lang w:eastAsia="en-US"/>
        </w:rPr>
      </w:pPr>
      <w:r>
        <w:rPr>
          <w:rFonts w:hint="cs"/>
          <w:sz w:val="30"/>
          <w:rtl/>
          <w:lang w:eastAsia="en-US"/>
        </w:rPr>
        <w:t>74-</w:t>
      </w:r>
      <w:r>
        <w:rPr>
          <w:rFonts w:hint="cs"/>
          <w:sz w:val="30"/>
          <w:rtl/>
          <w:lang w:eastAsia="en-US"/>
        </w:rPr>
        <w:tab/>
        <w:t xml:space="preserve">فقد أدرجت المادة 417 من القانون وسيلة أخرى من وسائل التعاون الدولي والمساعدة وهي تسليم الأشياء التي يمكن أن توجد بحيازة الشخص الذي صدر قرار بتسليمه من الأشياء </w:t>
      </w:r>
      <w:proofErr w:type="spellStart"/>
      <w:r>
        <w:rPr>
          <w:rFonts w:hint="cs"/>
          <w:sz w:val="30"/>
          <w:rtl/>
          <w:lang w:eastAsia="en-US"/>
        </w:rPr>
        <w:t>المتحصلة</w:t>
      </w:r>
      <w:proofErr w:type="spellEnd"/>
      <w:r>
        <w:rPr>
          <w:rFonts w:hint="cs"/>
          <w:sz w:val="30"/>
          <w:rtl/>
          <w:lang w:eastAsia="en-US"/>
        </w:rPr>
        <w:t xml:space="preserve"> من الجريمة المسندة إليه أو المستعملة في ارتكابها، أو التي يمكن أن تتخذ دليلاً عليها.</w:t>
      </w:r>
    </w:p>
    <w:p w:rsidR="00000000" w:rsidRDefault="00000000">
      <w:pPr>
        <w:spacing w:before="0" w:line="380" w:lineRule="exact"/>
        <w:jc w:val="both"/>
        <w:rPr>
          <w:rFonts w:hint="cs"/>
          <w:sz w:val="30"/>
          <w:rtl/>
          <w:lang w:eastAsia="en-US"/>
        </w:rPr>
      </w:pPr>
      <w:r>
        <w:rPr>
          <w:rFonts w:hint="cs"/>
          <w:sz w:val="30"/>
          <w:rtl/>
          <w:lang w:eastAsia="en-US"/>
        </w:rPr>
        <w:t>75-</w:t>
      </w:r>
      <w:r>
        <w:rPr>
          <w:rFonts w:hint="cs"/>
          <w:sz w:val="30"/>
          <w:rtl/>
          <w:lang w:eastAsia="en-US"/>
        </w:rPr>
        <w:tab/>
        <w:t>هذا وقد أبرمت دولة قطر عدداً من الاتفاقيات الثنائية التي تنظم المساعدة القضائية بينها وبين هذه الدول، وفيما يلي بعض من الاتفاقيات:</w:t>
      </w:r>
    </w:p>
    <w:p w:rsidR="00000000" w:rsidRDefault="00000000">
      <w:pPr>
        <w:spacing w:before="0" w:line="380" w:lineRule="exact"/>
        <w:jc w:val="both"/>
        <w:rPr>
          <w:rFonts w:hint="cs"/>
          <w:sz w:val="30"/>
          <w:rtl/>
          <w:lang w:eastAsia="en-US"/>
        </w:rPr>
      </w:pPr>
    </w:p>
    <w:p w:rsidR="00000000" w:rsidRDefault="00000000">
      <w:pPr>
        <w:spacing w:before="0" w:line="380" w:lineRule="exact"/>
        <w:jc w:val="both"/>
        <w:rPr>
          <w:rFonts w:hint="cs"/>
          <w:sz w:val="30"/>
          <w:rtl/>
          <w:lang w:eastAsia="en-US"/>
        </w:rPr>
      </w:pPr>
    </w:p>
    <w:tbl>
      <w:tblPr>
        <w:bidiVisual/>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3960"/>
        <w:gridCol w:w="1980"/>
        <w:gridCol w:w="2880"/>
      </w:tblGrid>
      <w:tr w:rsidR="00673673" w:rsidTr="00673673">
        <w:tc>
          <w:tcPr>
            <w:tcW w:w="642" w:type="dxa"/>
          </w:tcPr>
          <w:p w:rsidR="00673673" w:rsidRDefault="00673673">
            <w:pPr>
              <w:spacing w:before="0" w:line="380" w:lineRule="exact"/>
              <w:jc w:val="both"/>
              <w:rPr>
                <w:rFonts w:hint="cs"/>
                <w:sz w:val="30"/>
                <w:rtl/>
                <w:lang w:eastAsia="en-US"/>
              </w:rPr>
            </w:pPr>
            <w:r>
              <w:rPr>
                <w:rFonts w:hint="cs"/>
                <w:sz w:val="30"/>
                <w:rtl/>
                <w:lang w:eastAsia="en-US"/>
              </w:rPr>
              <w:t>الرقم</w:t>
            </w:r>
          </w:p>
        </w:tc>
        <w:tc>
          <w:tcPr>
            <w:tcW w:w="3960" w:type="dxa"/>
          </w:tcPr>
          <w:p w:rsidR="00673673" w:rsidRDefault="00673673">
            <w:pPr>
              <w:spacing w:before="0" w:line="380" w:lineRule="exact"/>
              <w:jc w:val="center"/>
              <w:rPr>
                <w:rFonts w:hint="cs"/>
                <w:sz w:val="30"/>
                <w:rtl/>
                <w:lang w:eastAsia="en-US"/>
              </w:rPr>
            </w:pPr>
            <w:r>
              <w:rPr>
                <w:rFonts w:hint="cs"/>
                <w:sz w:val="30"/>
                <w:rtl/>
                <w:lang w:eastAsia="en-US"/>
              </w:rPr>
              <w:t>الاتفاقية أو مذكرة التفاهم</w:t>
            </w:r>
          </w:p>
        </w:tc>
        <w:tc>
          <w:tcPr>
            <w:tcW w:w="1980" w:type="dxa"/>
          </w:tcPr>
          <w:p w:rsidR="00673673" w:rsidRDefault="00673673">
            <w:pPr>
              <w:spacing w:before="0" w:line="380" w:lineRule="exact"/>
              <w:jc w:val="center"/>
              <w:rPr>
                <w:rFonts w:hint="cs"/>
                <w:sz w:val="30"/>
                <w:rtl/>
                <w:lang w:eastAsia="en-US"/>
              </w:rPr>
            </w:pPr>
            <w:r>
              <w:rPr>
                <w:rFonts w:hint="cs"/>
                <w:sz w:val="30"/>
                <w:rtl/>
                <w:lang w:eastAsia="en-US"/>
              </w:rPr>
              <w:t>التوقيع</w:t>
            </w:r>
          </w:p>
        </w:tc>
        <w:tc>
          <w:tcPr>
            <w:tcW w:w="2880" w:type="dxa"/>
          </w:tcPr>
          <w:p w:rsidR="00673673" w:rsidRDefault="00673673">
            <w:pPr>
              <w:spacing w:before="0" w:line="380" w:lineRule="exact"/>
              <w:jc w:val="center"/>
              <w:rPr>
                <w:rFonts w:hint="cs"/>
                <w:sz w:val="30"/>
                <w:rtl/>
                <w:lang w:eastAsia="en-US"/>
              </w:rPr>
            </w:pPr>
            <w:r>
              <w:rPr>
                <w:rFonts w:hint="cs"/>
                <w:sz w:val="30"/>
                <w:rtl/>
                <w:lang w:eastAsia="en-US"/>
              </w:rPr>
              <w:t>التصديق</w:t>
            </w:r>
          </w:p>
        </w:tc>
      </w:tr>
      <w:tr w:rsidR="00673673" w:rsidTr="00673673">
        <w:tc>
          <w:tcPr>
            <w:tcW w:w="642" w:type="dxa"/>
          </w:tcPr>
          <w:p w:rsidR="00673673" w:rsidRDefault="00673673">
            <w:pPr>
              <w:spacing w:before="0" w:line="380" w:lineRule="exact"/>
              <w:jc w:val="both"/>
              <w:rPr>
                <w:rFonts w:hint="cs"/>
                <w:sz w:val="30"/>
                <w:rtl/>
                <w:lang w:eastAsia="en-US"/>
              </w:rPr>
            </w:pPr>
            <w:r>
              <w:rPr>
                <w:rFonts w:hint="cs"/>
                <w:sz w:val="30"/>
                <w:rtl/>
                <w:lang w:eastAsia="en-US"/>
              </w:rPr>
              <w:t>1</w:t>
            </w:r>
          </w:p>
        </w:tc>
        <w:tc>
          <w:tcPr>
            <w:tcW w:w="3960" w:type="dxa"/>
          </w:tcPr>
          <w:p w:rsidR="00673673" w:rsidRDefault="00673673">
            <w:pPr>
              <w:spacing w:before="0" w:line="380" w:lineRule="exact"/>
              <w:jc w:val="both"/>
              <w:rPr>
                <w:rFonts w:hint="cs"/>
                <w:sz w:val="30"/>
                <w:rtl/>
                <w:lang w:eastAsia="en-US"/>
              </w:rPr>
            </w:pPr>
            <w:r>
              <w:rPr>
                <w:rFonts w:hint="cs"/>
                <w:sz w:val="30"/>
                <w:rtl/>
                <w:lang w:eastAsia="en-US"/>
              </w:rPr>
              <w:t>اتفاقية التعاون الأمني وتسليم المجرمين مع المملكة العربية السعودية</w:t>
            </w:r>
          </w:p>
        </w:tc>
        <w:tc>
          <w:tcPr>
            <w:tcW w:w="1980" w:type="dxa"/>
          </w:tcPr>
          <w:p w:rsidR="00673673" w:rsidRDefault="00673673">
            <w:pPr>
              <w:spacing w:before="0" w:line="380" w:lineRule="exact"/>
              <w:jc w:val="both"/>
              <w:rPr>
                <w:rFonts w:hint="cs"/>
                <w:sz w:val="30"/>
                <w:rtl/>
                <w:lang w:eastAsia="en-US"/>
              </w:rPr>
            </w:pPr>
            <w:r>
              <w:rPr>
                <w:rFonts w:hint="cs"/>
                <w:sz w:val="30"/>
                <w:rtl/>
                <w:lang w:eastAsia="en-US"/>
              </w:rPr>
              <w:t>الرياض21 شباط/فبراير 1982</w:t>
            </w:r>
          </w:p>
        </w:tc>
        <w:tc>
          <w:tcPr>
            <w:tcW w:w="2880" w:type="dxa"/>
          </w:tcPr>
          <w:p w:rsidR="00673673" w:rsidRDefault="00673673">
            <w:pPr>
              <w:spacing w:before="0" w:line="380" w:lineRule="exact"/>
              <w:jc w:val="both"/>
              <w:rPr>
                <w:rFonts w:hint="cs"/>
                <w:sz w:val="30"/>
                <w:rtl/>
                <w:lang w:eastAsia="en-US"/>
              </w:rPr>
            </w:pPr>
            <w:r>
              <w:rPr>
                <w:rFonts w:hint="cs"/>
                <w:sz w:val="30"/>
                <w:rtl/>
                <w:lang w:eastAsia="en-US"/>
              </w:rPr>
              <w:t>صدر المرسوم رقم 52 لسنة 1982 بالمصادقة عليها.</w:t>
            </w:r>
          </w:p>
        </w:tc>
      </w:tr>
      <w:tr w:rsidR="00673673" w:rsidTr="00673673">
        <w:tc>
          <w:tcPr>
            <w:tcW w:w="642" w:type="dxa"/>
          </w:tcPr>
          <w:p w:rsidR="00673673" w:rsidRDefault="00673673">
            <w:pPr>
              <w:spacing w:before="0" w:line="380" w:lineRule="exact"/>
              <w:jc w:val="both"/>
              <w:rPr>
                <w:rFonts w:hint="cs"/>
                <w:sz w:val="30"/>
                <w:rtl/>
                <w:lang w:eastAsia="en-US"/>
              </w:rPr>
            </w:pPr>
            <w:r>
              <w:rPr>
                <w:rFonts w:hint="cs"/>
                <w:sz w:val="30"/>
                <w:rtl/>
                <w:lang w:eastAsia="en-US"/>
              </w:rPr>
              <w:t>2</w:t>
            </w:r>
          </w:p>
        </w:tc>
        <w:tc>
          <w:tcPr>
            <w:tcW w:w="3960" w:type="dxa"/>
          </w:tcPr>
          <w:p w:rsidR="00673673" w:rsidRDefault="00673673">
            <w:pPr>
              <w:spacing w:before="0" w:line="380" w:lineRule="exact"/>
              <w:jc w:val="both"/>
              <w:rPr>
                <w:rFonts w:hint="cs"/>
                <w:sz w:val="30"/>
                <w:rtl/>
                <w:lang w:eastAsia="en-US"/>
              </w:rPr>
            </w:pPr>
            <w:r>
              <w:rPr>
                <w:rFonts w:hint="cs"/>
                <w:sz w:val="30"/>
                <w:rtl/>
                <w:lang w:eastAsia="en-US"/>
              </w:rPr>
              <w:t xml:space="preserve">مذكرة تفاهم للتعاون الأمني مع الجمهورية الفرنسية </w:t>
            </w:r>
          </w:p>
        </w:tc>
        <w:tc>
          <w:tcPr>
            <w:tcW w:w="1980" w:type="dxa"/>
          </w:tcPr>
          <w:p w:rsidR="00673673" w:rsidRDefault="00673673">
            <w:pPr>
              <w:spacing w:before="0" w:line="380" w:lineRule="exact"/>
              <w:jc w:val="both"/>
              <w:rPr>
                <w:rFonts w:hint="cs"/>
                <w:sz w:val="30"/>
                <w:rtl/>
                <w:lang w:eastAsia="en-US"/>
              </w:rPr>
            </w:pPr>
            <w:r>
              <w:rPr>
                <w:rFonts w:hint="cs"/>
                <w:sz w:val="30"/>
                <w:rtl/>
                <w:lang w:eastAsia="en-US"/>
              </w:rPr>
              <w:t>وقعت 1996</w:t>
            </w:r>
          </w:p>
        </w:tc>
        <w:tc>
          <w:tcPr>
            <w:tcW w:w="2880" w:type="dxa"/>
          </w:tcPr>
          <w:p w:rsidR="00673673" w:rsidRDefault="00673673">
            <w:pPr>
              <w:spacing w:before="0" w:line="380" w:lineRule="exact"/>
              <w:jc w:val="both"/>
              <w:rPr>
                <w:rFonts w:hint="cs"/>
                <w:sz w:val="30"/>
                <w:rtl/>
                <w:lang w:eastAsia="en-US"/>
              </w:rPr>
            </w:pPr>
            <w:r>
              <w:rPr>
                <w:rFonts w:hint="cs"/>
                <w:sz w:val="30"/>
                <w:rtl/>
                <w:lang w:eastAsia="en-US"/>
              </w:rPr>
              <w:t>لا تتطلب التصديق</w:t>
            </w:r>
          </w:p>
        </w:tc>
      </w:tr>
      <w:tr w:rsidR="00673673" w:rsidTr="00673673">
        <w:tc>
          <w:tcPr>
            <w:tcW w:w="642" w:type="dxa"/>
          </w:tcPr>
          <w:p w:rsidR="00673673" w:rsidRDefault="00673673">
            <w:pPr>
              <w:spacing w:before="0" w:line="380" w:lineRule="exact"/>
              <w:jc w:val="both"/>
              <w:rPr>
                <w:rFonts w:hint="cs"/>
                <w:sz w:val="30"/>
                <w:rtl/>
                <w:lang w:eastAsia="en-US"/>
              </w:rPr>
            </w:pPr>
            <w:r>
              <w:rPr>
                <w:rFonts w:hint="cs"/>
                <w:sz w:val="30"/>
                <w:rtl/>
                <w:lang w:eastAsia="en-US"/>
              </w:rPr>
              <w:t>3</w:t>
            </w:r>
          </w:p>
        </w:tc>
        <w:tc>
          <w:tcPr>
            <w:tcW w:w="3960" w:type="dxa"/>
          </w:tcPr>
          <w:p w:rsidR="00673673" w:rsidRDefault="00673673">
            <w:pPr>
              <w:spacing w:before="0" w:line="380" w:lineRule="exact"/>
              <w:jc w:val="both"/>
              <w:rPr>
                <w:rFonts w:hint="cs"/>
                <w:sz w:val="30"/>
                <w:rtl/>
                <w:lang w:eastAsia="en-US"/>
              </w:rPr>
            </w:pPr>
            <w:r>
              <w:rPr>
                <w:rFonts w:hint="cs"/>
                <w:sz w:val="30"/>
                <w:rtl/>
                <w:lang w:eastAsia="en-US"/>
              </w:rPr>
              <w:t>اتفاقية التعاون القانوني والقضائي مع تونس لسنة 1997</w:t>
            </w:r>
          </w:p>
        </w:tc>
        <w:tc>
          <w:tcPr>
            <w:tcW w:w="1980" w:type="dxa"/>
          </w:tcPr>
          <w:p w:rsidR="00673673" w:rsidRDefault="00673673">
            <w:pPr>
              <w:spacing w:before="0" w:line="380" w:lineRule="exact"/>
              <w:jc w:val="both"/>
              <w:rPr>
                <w:rFonts w:hint="cs"/>
                <w:sz w:val="30"/>
                <w:rtl/>
                <w:lang w:eastAsia="en-US"/>
              </w:rPr>
            </w:pPr>
            <w:r>
              <w:rPr>
                <w:rFonts w:hint="cs"/>
                <w:sz w:val="30"/>
                <w:rtl/>
                <w:lang w:eastAsia="en-US"/>
              </w:rPr>
              <w:t>تونس 6 كانون الثاني/يناير 1997</w:t>
            </w:r>
          </w:p>
        </w:tc>
        <w:tc>
          <w:tcPr>
            <w:tcW w:w="2880" w:type="dxa"/>
          </w:tcPr>
          <w:p w:rsidR="00673673" w:rsidRDefault="00673673">
            <w:pPr>
              <w:spacing w:before="0" w:line="380" w:lineRule="exact"/>
              <w:jc w:val="both"/>
              <w:rPr>
                <w:rFonts w:hint="cs"/>
                <w:sz w:val="30"/>
                <w:rtl/>
                <w:lang w:eastAsia="en-US"/>
              </w:rPr>
            </w:pPr>
            <w:r>
              <w:rPr>
                <w:rFonts w:hint="cs"/>
                <w:sz w:val="30"/>
                <w:rtl/>
                <w:lang w:eastAsia="en-US"/>
              </w:rPr>
              <w:t>صدرت وثيقة التصديق في 14 نيسان/أبريل 1998</w:t>
            </w:r>
          </w:p>
        </w:tc>
      </w:tr>
      <w:tr w:rsidR="00673673" w:rsidTr="00673673">
        <w:tc>
          <w:tcPr>
            <w:tcW w:w="642" w:type="dxa"/>
          </w:tcPr>
          <w:p w:rsidR="00673673" w:rsidRDefault="00673673">
            <w:pPr>
              <w:spacing w:before="0" w:line="380" w:lineRule="exact"/>
              <w:jc w:val="both"/>
              <w:rPr>
                <w:rFonts w:hint="cs"/>
                <w:sz w:val="30"/>
                <w:rtl/>
                <w:lang w:eastAsia="en-US"/>
              </w:rPr>
            </w:pPr>
            <w:r>
              <w:rPr>
                <w:rFonts w:hint="cs"/>
                <w:sz w:val="30"/>
                <w:rtl/>
                <w:lang w:eastAsia="en-US"/>
              </w:rPr>
              <w:t>4</w:t>
            </w:r>
          </w:p>
        </w:tc>
        <w:tc>
          <w:tcPr>
            <w:tcW w:w="3960" w:type="dxa"/>
          </w:tcPr>
          <w:p w:rsidR="00673673" w:rsidRDefault="00673673">
            <w:pPr>
              <w:spacing w:before="0" w:line="380" w:lineRule="exact"/>
              <w:jc w:val="both"/>
              <w:rPr>
                <w:rFonts w:hint="cs"/>
                <w:sz w:val="30"/>
                <w:rtl/>
                <w:lang w:eastAsia="en-US"/>
              </w:rPr>
            </w:pPr>
            <w:r>
              <w:rPr>
                <w:rFonts w:hint="cs"/>
                <w:sz w:val="30"/>
                <w:rtl/>
                <w:lang w:eastAsia="en-US"/>
              </w:rPr>
              <w:t xml:space="preserve">اتفاقية التعاون القانوني والقضائي مع المملكة الأردنية الهاشمية </w:t>
            </w:r>
          </w:p>
        </w:tc>
        <w:tc>
          <w:tcPr>
            <w:tcW w:w="1980" w:type="dxa"/>
          </w:tcPr>
          <w:p w:rsidR="00673673" w:rsidRDefault="00673673">
            <w:pPr>
              <w:spacing w:before="0" w:line="380" w:lineRule="exact"/>
              <w:jc w:val="both"/>
              <w:rPr>
                <w:rFonts w:hint="cs"/>
                <w:sz w:val="30"/>
                <w:rtl/>
                <w:lang w:eastAsia="en-US"/>
              </w:rPr>
            </w:pPr>
            <w:r>
              <w:rPr>
                <w:rFonts w:hint="cs"/>
                <w:sz w:val="30"/>
                <w:rtl/>
                <w:lang w:eastAsia="en-US"/>
              </w:rPr>
              <w:t>الدوحة 15 تموز/يوليه 1997</w:t>
            </w:r>
          </w:p>
        </w:tc>
        <w:tc>
          <w:tcPr>
            <w:tcW w:w="2880" w:type="dxa"/>
          </w:tcPr>
          <w:p w:rsidR="00673673" w:rsidRDefault="00673673">
            <w:pPr>
              <w:spacing w:before="0" w:line="380" w:lineRule="exact"/>
              <w:jc w:val="both"/>
              <w:rPr>
                <w:rFonts w:hint="cs"/>
                <w:sz w:val="30"/>
                <w:rtl/>
                <w:lang w:eastAsia="en-US"/>
              </w:rPr>
            </w:pPr>
            <w:r>
              <w:rPr>
                <w:rFonts w:hint="cs"/>
                <w:sz w:val="30"/>
                <w:rtl/>
                <w:lang w:eastAsia="en-US"/>
              </w:rPr>
              <w:t>صدرت وثيقة التصديق في 14 نيسان/أبريل 1998</w:t>
            </w:r>
          </w:p>
        </w:tc>
      </w:tr>
      <w:tr w:rsidR="00673673" w:rsidTr="00673673">
        <w:tc>
          <w:tcPr>
            <w:tcW w:w="642" w:type="dxa"/>
          </w:tcPr>
          <w:p w:rsidR="00673673" w:rsidRDefault="00673673">
            <w:pPr>
              <w:spacing w:before="0" w:line="380" w:lineRule="exact"/>
              <w:jc w:val="both"/>
              <w:rPr>
                <w:rFonts w:hint="cs"/>
                <w:sz w:val="30"/>
                <w:rtl/>
                <w:lang w:eastAsia="en-US"/>
              </w:rPr>
            </w:pPr>
            <w:r>
              <w:rPr>
                <w:rFonts w:hint="cs"/>
                <w:sz w:val="30"/>
                <w:rtl/>
                <w:lang w:eastAsia="en-US"/>
              </w:rPr>
              <w:t>5</w:t>
            </w:r>
          </w:p>
        </w:tc>
        <w:tc>
          <w:tcPr>
            <w:tcW w:w="3960" w:type="dxa"/>
          </w:tcPr>
          <w:p w:rsidR="00673673" w:rsidRDefault="00673673">
            <w:pPr>
              <w:spacing w:before="0" w:line="380" w:lineRule="exact"/>
              <w:jc w:val="both"/>
              <w:rPr>
                <w:rFonts w:hint="cs"/>
                <w:spacing w:val="0"/>
                <w:sz w:val="30"/>
                <w:rtl/>
                <w:lang w:eastAsia="en-US"/>
              </w:rPr>
            </w:pPr>
            <w:r>
              <w:rPr>
                <w:rFonts w:hint="cs"/>
                <w:spacing w:val="0"/>
                <w:sz w:val="30"/>
                <w:rtl/>
                <w:lang w:eastAsia="en-US"/>
              </w:rPr>
              <w:t>مذكرة تفاهم بين وزارة الداخلية في دولة قطر ووزارة الداخلية في الجمهورية الإسلامية الإيرانية في مجال مكافحة المخدرات والمؤثرات العقلية</w:t>
            </w:r>
          </w:p>
        </w:tc>
        <w:tc>
          <w:tcPr>
            <w:tcW w:w="1980" w:type="dxa"/>
          </w:tcPr>
          <w:p w:rsidR="00673673" w:rsidRDefault="00673673">
            <w:pPr>
              <w:spacing w:before="0" w:line="380" w:lineRule="exact"/>
              <w:jc w:val="both"/>
              <w:rPr>
                <w:rFonts w:hint="cs"/>
                <w:sz w:val="30"/>
                <w:rtl/>
                <w:lang w:eastAsia="en-US"/>
              </w:rPr>
            </w:pPr>
            <w:r>
              <w:rPr>
                <w:rFonts w:hint="cs"/>
                <w:sz w:val="30"/>
                <w:rtl/>
                <w:lang w:eastAsia="en-US"/>
              </w:rPr>
              <w:t>وقعت 1999</w:t>
            </w:r>
          </w:p>
        </w:tc>
        <w:tc>
          <w:tcPr>
            <w:tcW w:w="2880" w:type="dxa"/>
          </w:tcPr>
          <w:p w:rsidR="00673673" w:rsidRDefault="00673673">
            <w:pPr>
              <w:spacing w:before="0" w:line="380" w:lineRule="exact"/>
              <w:jc w:val="both"/>
              <w:rPr>
                <w:rFonts w:hint="cs"/>
                <w:sz w:val="30"/>
                <w:rtl/>
                <w:lang w:eastAsia="en-US"/>
              </w:rPr>
            </w:pPr>
          </w:p>
        </w:tc>
      </w:tr>
      <w:tr w:rsidR="00673673" w:rsidTr="00673673">
        <w:tc>
          <w:tcPr>
            <w:tcW w:w="642" w:type="dxa"/>
          </w:tcPr>
          <w:p w:rsidR="00673673" w:rsidRDefault="00673673">
            <w:pPr>
              <w:spacing w:before="0" w:line="380" w:lineRule="exact"/>
              <w:jc w:val="both"/>
              <w:rPr>
                <w:rFonts w:hint="cs"/>
                <w:sz w:val="30"/>
                <w:rtl/>
                <w:lang w:eastAsia="en-US"/>
              </w:rPr>
            </w:pPr>
            <w:r>
              <w:rPr>
                <w:rFonts w:hint="cs"/>
                <w:sz w:val="30"/>
                <w:rtl/>
                <w:lang w:eastAsia="en-US"/>
              </w:rPr>
              <w:t>6</w:t>
            </w:r>
          </w:p>
        </w:tc>
        <w:tc>
          <w:tcPr>
            <w:tcW w:w="3960" w:type="dxa"/>
          </w:tcPr>
          <w:p w:rsidR="00673673" w:rsidRDefault="00673673">
            <w:pPr>
              <w:spacing w:before="0" w:line="380" w:lineRule="exact"/>
              <w:jc w:val="both"/>
              <w:rPr>
                <w:rFonts w:hint="cs"/>
                <w:sz w:val="30"/>
                <w:rtl/>
                <w:lang w:eastAsia="en-US"/>
              </w:rPr>
            </w:pPr>
            <w:r>
              <w:rPr>
                <w:rFonts w:hint="cs"/>
                <w:sz w:val="30"/>
                <w:rtl/>
                <w:lang w:eastAsia="en-US"/>
              </w:rPr>
              <w:t>اتفاقية التعاون الأمني مع الجمهورية اليمنية لسنة 2000</w:t>
            </w:r>
          </w:p>
        </w:tc>
        <w:tc>
          <w:tcPr>
            <w:tcW w:w="1980" w:type="dxa"/>
          </w:tcPr>
          <w:p w:rsidR="00673673" w:rsidRDefault="00673673">
            <w:pPr>
              <w:spacing w:before="0" w:line="380" w:lineRule="exact"/>
              <w:jc w:val="both"/>
              <w:rPr>
                <w:rFonts w:hint="cs"/>
                <w:sz w:val="30"/>
                <w:rtl/>
                <w:lang w:eastAsia="en-US"/>
              </w:rPr>
            </w:pPr>
            <w:r>
              <w:rPr>
                <w:rFonts w:hint="cs"/>
                <w:sz w:val="30"/>
                <w:rtl/>
                <w:lang w:eastAsia="en-US"/>
              </w:rPr>
              <w:t>صنعاء 7 آب/أغسطس 2000</w:t>
            </w:r>
          </w:p>
        </w:tc>
        <w:tc>
          <w:tcPr>
            <w:tcW w:w="2880" w:type="dxa"/>
          </w:tcPr>
          <w:p w:rsidR="00673673" w:rsidRDefault="00673673">
            <w:pPr>
              <w:spacing w:before="0" w:line="380" w:lineRule="exact"/>
              <w:jc w:val="both"/>
              <w:rPr>
                <w:rFonts w:hint="cs"/>
                <w:sz w:val="30"/>
                <w:rtl/>
                <w:lang w:eastAsia="en-US"/>
              </w:rPr>
            </w:pPr>
            <w:r>
              <w:rPr>
                <w:rFonts w:hint="cs"/>
                <w:sz w:val="30"/>
                <w:rtl/>
                <w:lang w:eastAsia="en-US"/>
              </w:rPr>
              <w:t>صدرت وثيقة التصديق في 15 نيسان/أبريل 2004</w:t>
            </w:r>
          </w:p>
        </w:tc>
      </w:tr>
      <w:tr w:rsidR="00673673" w:rsidTr="00673673">
        <w:tc>
          <w:tcPr>
            <w:tcW w:w="642" w:type="dxa"/>
          </w:tcPr>
          <w:p w:rsidR="00673673" w:rsidRDefault="00673673">
            <w:pPr>
              <w:spacing w:before="0" w:line="380" w:lineRule="exact"/>
              <w:jc w:val="both"/>
              <w:rPr>
                <w:rFonts w:hint="cs"/>
                <w:sz w:val="30"/>
                <w:rtl/>
                <w:lang w:eastAsia="en-US"/>
              </w:rPr>
            </w:pPr>
            <w:r>
              <w:rPr>
                <w:rFonts w:hint="cs"/>
                <w:sz w:val="30"/>
                <w:rtl/>
                <w:lang w:eastAsia="en-US"/>
              </w:rPr>
              <w:t>7</w:t>
            </w:r>
          </w:p>
        </w:tc>
        <w:tc>
          <w:tcPr>
            <w:tcW w:w="3960" w:type="dxa"/>
          </w:tcPr>
          <w:p w:rsidR="00673673" w:rsidRDefault="00673673">
            <w:pPr>
              <w:spacing w:before="0" w:line="380" w:lineRule="exact"/>
              <w:jc w:val="both"/>
              <w:rPr>
                <w:rFonts w:hint="cs"/>
                <w:sz w:val="30"/>
                <w:rtl/>
                <w:lang w:eastAsia="en-US"/>
              </w:rPr>
            </w:pPr>
            <w:r>
              <w:rPr>
                <w:rFonts w:hint="cs"/>
                <w:sz w:val="30"/>
                <w:rtl/>
                <w:lang w:eastAsia="en-US"/>
              </w:rPr>
              <w:t xml:space="preserve">اتفاقية التعاون الأمني مع الجمهورية التركية لسنة 2001 </w:t>
            </w:r>
          </w:p>
        </w:tc>
        <w:tc>
          <w:tcPr>
            <w:tcW w:w="1980" w:type="dxa"/>
          </w:tcPr>
          <w:p w:rsidR="00673673" w:rsidRDefault="00673673">
            <w:pPr>
              <w:spacing w:before="0" w:line="380" w:lineRule="exact"/>
              <w:jc w:val="both"/>
              <w:rPr>
                <w:rFonts w:hint="cs"/>
                <w:sz w:val="30"/>
                <w:rtl/>
                <w:lang w:eastAsia="en-US"/>
              </w:rPr>
            </w:pPr>
            <w:r>
              <w:rPr>
                <w:rFonts w:hint="cs"/>
                <w:sz w:val="30"/>
                <w:rtl/>
                <w:lang w:eastAsia="en-US"/>
              </w:rPr>
              <w:t>أنقرة 25 كانون الأول/ديسمبر 2001</w:t>
            </w:r>
          </w:p>
        </w:tc>
        <w:tc>
          <w:tcPr>
            <w:tcW w:w="2880" w:type="dxa"/>
          </w:tcPr>
          <w:p w:rsidR="00673673" w:rsidRDefault="00673673">
            <w:pPr>
              <w:spacing w:before="0" w:line="380" w:lineRule="exact"/>
              <w:jc w:val="both"/>
              <w:rPr>
                <w:sz w:val="30"/>
                <w:rtl/>
                <w:lang w:eastAsia="en-US"/>
              </w:rPr>
            </w:pPr>
            <w:r>
              <w:rPr>
                <w:rFonts w:hint="cs"/>
                <w:sz w:val="30"/>
                <w:rtl/>
                <w:lang w:eastAsia="en-US"/>
              </w:rPr>
              <w:t>وافق مجلس الوزراء على التصديق في اجتماعه المنعقد في 13 شباط/فبراير 2002</w:t>
            </w:r>
          </w:p>
        </w:tc>
      </w:tr>
      <w:tr w:rsidR="00673673" w:rsidTr="00673673">
        <w:tc>
          <w:tcPr>
            <w:tcW w:w="642" w:type="dxa"/>
          </w:tcPr>
          <w:p w:rsidR="00673673" w:rsidRDefault="00673673">
            <w:pPr>
              <w:spacing w:before="0" w:line="380" w:lineRule="exact"/>
              <w:jc w:val="both"/>
              <w:rPr>
                <w:rFonts w:hint="cs"/>
                <w:sz w:val="30"/>
                <w:rtl/>
                <w:lang w:eastAsia="en-US"/>
              </w:rPr>
            </w:pPr>
            <w:r>
              <w:rPr>
                <w:rFonts w:hint="cs"/>
                <w:sz w:val="30"/>
                <w:rtl/>
                <w:lang w:eastAsia="en-US"/>
              </w:rPr>
              <w:t>8</w:t>
            </w:r>
          </w:p>
        </w:tc>
        <w:tc>
          <w:tcPr>
            <w:tcW w:w="3960" w:type="dxa"/>
          </w:tcPr>
          <w:p w:rsidR="00673673" w:rsidRDefault="00673673">
            <w:pPr>
              <w:spacing w:before="0" w:line="380" w:lineRule="exact"/>
              <w:jc w:val="both"/>
              <w:rPr>
                <w:rFonts w:hint="cs"/>
                <w:sz w:val="30"/>
                <w:rtl/>
                <w:lang w:eastAsia="en-US"/>
              </w:rPr>
            </w:pPr>
            <w:r>
              <w:rPr>
                <w:rFonts w:hint="cs"/>
                <w:sz w:val="30"/>
                <w:rtl/>
                <w:lang w:eastAsia="en-US"/>
              </w:rPr>
              <w:t>مذكرة تفاهم للتعاون والتنسيق الأمني بين وزارة الداخلية في دولة قطر ووزارة الداخلية بدولة الإمارات العربية المتحدة.</w:t>
            </w:r>
          </w:p>
        </w:tc>
        <w:tc>
          <w:tcPr>
            <w:tcW w:w="1980" w:type="dxa"/>
          </w:tcPr>
          <w:p w:rsidR="00673673" w:rsidRDefault="00673673">
            <w:pPr>
              <w:spacing w:before="0" w:line="380" w:lineRule="exact"/>
              <w:jc w:val="both"/>
              <w:rPr>
                <w:rFonts w:hint="cs"/>
                <w:sz w:val="30"/>
                <w:rtl/>
                <w:lang w:eastAsia="en-US"/>
              </w:rPr>
            </w:pPr>
            <w:r>
              <w:rPr>
                <w:rFonts w:hint="cs"/>
                <w:sz w:val="30"/>
                <w:rtl/>
                <w:lang w:eastAsia="en-US"/>
              </w:rPr>
              <w:t>تم توقيعها في عام 2002</w:t>
            </w:r>
          </w:p>
        </w:tc>
        <w:tc>
          <w:tcPr>
            <w:tcW w:w="2880" w:type="dxa"/>
          </w:tcPr>
          <w:p w:rsidR="00673673" w:rsidRDefault="00673673">
            <w:pPr>
              <w:spacing w:before="0" w:line="380" w:lineRule="exact"/>
              <w:jc w:val="both"/>
              <w:rPr>
                <w:rFonts w:hint="cs"/>
                <w:sz w:val="30"/>
                <w:rtl/>
                <w:lang w:eastAsia="en-US"/>
              </w:rPr>
            </w:pPr>
          </w:p>
        </w:tc>
      </w:tr>
    </w:tbl>
    <w:p w:rsidR="00000000" w:rsidRDefault="00673673">
      <w:pPr>
        <w:pStyle w:val="BodyText"/>
        <w:spacing w:before="0" w:after="240" w:line="380" w:lineRule="exact"/>
        <w:jc w:val="center"/>
        <w:rPr>
          <w:rFonts w:cs="Traditional Arabic" w:hint="cs"/>
          <w:noProof/>
          <w:sz w:val="30"/>
          <w:szCs w:val="30"/>
          <w:rtl/>
          <w:lang w:val="ar-SA" w:eastAsia="ar-SA"/>
        </w:rPr>
      </w:pPr>
      <w:r>
        <w:rPr>
          <w:rFonts w:cs="Traditional Arabic" w:hint="cs"/>
          <w:noProof/>
          <w:sz w:val="30"/>
          <w:szCs w:val="30"/>
          <w:rtl/>
          <w:lang w:val="ar-SA" w:eastAsia="ar-SA"/>
        </w:rPr>
        <w:t>المادة 10</w:t>
      </w:r>
    </w:p>
    <w:p w:rsidR="00000000" w:rsidRDefault="00673673">
      <w:pPr>
        <w:spacing w:before="0" w:line="380" w:lineRule="exact"/>
        <w:jc w:val="both"/>
        <w:rPr>
          <w:rFonts w:hint="cs"/>
          <w:rtl/>
        </w:rPr>
      </w:pPr>
      <w:r>
        <w:rPr>
          <w:rFonts w:hint="cs"/>
          <w:noProof/>
          <w:rtl/>
          <w:lang w:val="ar-SA"/>
        </w:rPr>
        <w:tab/>
      </w:r>
      <w:r>
        <w:rPr>
          <w:rFonts w:hint="cs"/>
          <w:rtl/>
        </w:rPr>
        <w:t>تضمن كل دولة إدراج ا</w:t>
      </w:r>
      <w:r>
        <w:rPr>
          <w:rFonts w:hint="cs"/>
          <w:rtl/>
        </w:rPr>
        <w:t>لتعليم والإعلام فيما يتعلق بحظر التعذيب على الوجه الكامل في برامج تدريب الموظفين المكلفين بإنفاذ القوانين، سواء أكانوا من المدنيين أو العسكريين، والعاملين في ميدان الطب، والموظفين العموميين أو غيرهم ممن قد تكون لهم علاقة باحتجاز أي فرد معرض لأي شكل من أشكا</w:t>
      </w:r>
      <w:r>
        <w:rPr>
          <w:rFonts w:hint="cs"/>
          <w:rtl/>
        </w:rPr>
        <w:t>ل التوقيف أو الاعتقال أو السجن أو باستجواب هذا الفرد أو معاملته.</w:t>
      </w:r>
    </w:p>
    <w:p w:rsidR="00000000" w:rsidRDefault="00673673">
      <w:pPr>
        <w:spacing w:before="0" w:line="380" w:lineRule="exact"/>
        <w:jc w:val="both"/>
        <w:rPr>
          <w:rFonts w:hint="cs"/>
          <w:b/>
          <w:sz w:val="30"/>
          <w:rtl/>
          <w:lang w:eastAsia="en-US"/>
        </w:rPr>
      </w:pPr>
      <w:r>
        <w:rPr>
          <w:rFonts w:hint="cs"/>
          <w:rtl/>
        </w:rPr>
        <w:tab/>
      </w:r>
      <w:r>
        <w:rPr>
          <w:rFonts w:hint="cs"/>
          <w:b/>
          <w:sz w:val="30"/>
          <w:rtl/>
          <w:lang w:eastAsia="en-US"/>
        </w:rPr>
        <w:t>تضمن كل دولة طرف إدراج هذا الحظر في القوانين والتعليمات التي يتم إصدارها فيما يختص بواجبات ووظائف مثل هؤلاء الأشخاص.</w:t>
      </w:r>
    </w:p>
    <w:p w:rsidR="00000000" w:rsidRDefault="00673673">
      <w:pPr>
        <w:spacing w:before="0" w:line="380" w:lineRule="exact"/>
        <w:jc w:val="both"/>
        <w:rPr>
          <w:rFonts w:hint="cs"/>
          <w:sz w:val="30"/>
          <w:rtl/>
          <w:lang w:eastAsia="en-US"/>
        </w:rPr>
      </w:pPr>
      <w:r>
        <w:rPr>
          <w:rFonts w:hint="cs"/>
          <w:b/>
          <w:bCs/>
          <w:sz w:val="30"/>
          <w:rtl/>
          <w:lang w:eastAsia="en-US"/>
        </w:rPr>
        <w:t>التعقيب</w:t>
      </w:r>
    </w:p>
    <w:p w:rsidR="00000000" w:rsidRDefault="00673673">
      <w:pPr>
        <w:spacing w:before="0" w:line="380" w:lineRule="exact"/>
        <w:jc w:val="both"/>
        <w:rPr>
          <w:rFonts w:hint="cs"/>
          <w:sz w:val="30"/>
          <w:rtl/>
          <w:lang w:eastAsia="en-US"/>
        </w:rPr>
      </w:pPr>
      <w:r>
        <w:rPr>
          <w:rFonts w:hint="cs"/>
          <w:sz w:val="30"/>
          <w:rtl/>
          <w:lang w:eastAsia="en-US"/>
        </w:rPr>
        <w:t>76-</w:t>
      </w:r>
      <w:r>
        <w:rPr>
          <w:rFonts w:hint="cs"/>
          <w:sz w:val="30"/>
          <w:rtl/>
          <w:lang w:eastAsia="en-US"/>
        </w:rPr>
        <w:tab/>
      </w:r>
      <w:r>
        <w:rPr>
          <w:rFonts w:hint="cs"/>
          <w:spacing w:val="2"/>
          <w:sz w:val="30"/>
          <w:rtl/>
          <w:lang w:eastAsia="en-US"/>
        </w:rPr>
        <w:t>تدرس الدولة إقامة وُرش عمل وحلقات تدريبية للموظفين العاملين ف</w:t>
      </w:r>
      <w:r>
        <w:rPr>
          <w:rFonts w:hint="cs"/>
          <w:spacing w:val="2"/>
          <w:sz w:val="30"/>
          <w:rtl/>
          <w:lang w:eastAsia="en-US"/>
        </w:rPr>
        <w:t xml:space="preserve">ي مجال إنفاذ القانون ومجال الرعاية الصحية أو غيرهم ممن تكون لهم علاقة باحتجاز أي شخص معرض لأي شكل من أشكال الاحتجاز أو الاستجواب. وستقوم الدولة بالحصول على مساعدة الجهات المعنية في الأمم المتحدة لتنظيم هذه الحلقات التدريبية. </w:t>
      </w:r>
    </w:p>
    <w:p w:rsidR="00000000" w:rsidRDefault="00673673">
      <w:pPr>
        <w:spacing w:before="0" w:line="380" w:lineRule="exact"/>
        <w:jc w:val="center"/>
        <w:rPr>
          <w:rFonts w:hint="cs"/>
          <w:b/>
          <w:bCs/>
          <w:sz w:val="30"/>
          <w:rtl/>
          <w:lang w:eastAsia="en-US"/>
        </w:rPr>
      </w:pPr>
      <w:r>
        <w:rPr>
          <w:rFonts w:hint="cs"/>
          <w:b/>
          <w:bCs/>
          <w:sz w:val="30"/>
          <w:rtl/>
          <w:lang w:eastAsia="en-US"/>
        </w:rPr>
        <w:t>المادة 11</w:t>
      </w:r>
    </w:p>
    <w:p w:rsidR="00000000" w:rsidRDefault="00673673">
      <w:pPr>
        <w:spacing w:before="0" w:line="380" w:lineRule="exact"/>
        <w:jc w:val="both"/>
        <w:rPr>
          <w:rFonts w:hint="cs"/>
          <w:b/>
          <w:sz w:val="30"/>
          <w:rtl/>
          <w:lang w:eastAsia="en-US"/>
        </w:rPr>
      </w:pPr>
      <w:r>
        <w:rPr>
          <w:rFonts w:hint="cs"/>
          <w:b/>
          <w:sz w:val="30"/>
          <w:rtl/>
          <w:lang w:eastAsia="en-US"/>
        </w:rPr>
        <w:tab/>
        <w:t>تبقي كل دولة قيد ال</w:t>
      </w:r>
      <w:r>
        <w:rPr>
          <w:rFonts w:hint="cs"/>
          <w:b/>
          <w:sz w:val="30"/>
          <w:rtl/>
          <w:lang w:eastAsia="en-US"/>
        </w:rPr>
        <w:t>استعراض المنظم قواعد الاستجواب، وتعليماته وأساليبه وممارساته، وكذلك الترتيبات المتعلقة بحجز ومعاملة الأشخاص الذين يتعرضون لأي شكل من أشكال التوقيف أو الاعتقال أو السجن في أي إقليم يخضع لولايتها القضائية، وذلك بقصد منع حدوث أي حالات تعذيب.</w:t>
      </w:r>
    </w:p>
    <w:p w:rsidR="00000000" w:rsidRDefault="00673673">
      <w:pPr>
        <w:spacing w:before="0" w:line="380" w:lineRule="exact"/>
        <w:jc w:val="both"/>
        <w:rPr>
          <w:rFonts w:hint="cs"/>
          <w:sz w:val="30"/>
          <w:rtl/>
          <w:lang w:eastAsia="en-US"/>
        </w:rPr>
      </w:pPr>
      <w:r>
        <w:rPr>
          <w:rFonts w:hint="cs"/>
          <w:b/>
          <w:bCs/>
          <w:sz w:val="30"/>
          <w:rtl/>
          <w:lang w:eastAsia="en-US"/>
        </w:rPr>
        <w:t>التعقيب</w:t>
      </w:r>
    </w:p>
    <w:p w:rsidR="00000000" w:rsidRDefault="00673673">
      <w:pPr>
        <w:spacing w:before="0" w:line="380" w:lineRule="exact"/>
        <w:jc w:val="both"/>
        <w:rPr>
          <w:rFonts w:hint="cs"/>
          <w:sz w:val="30"/>
          <w:rtl/>
          <w:lang w:eastAsia="en-US"/>
        </w:rPr>
      </w:pPr>
      <w:r>
        <w:rPr>
          <w:rFonts w:hint="cs"/>
          <w:sz w:val="30"/>
          <w:rtl/>
          <w:lang w:eastAsia="en-US"/>
        </w:rPr>
        <w:t>77</w:t>
      </w:r>
      <w:r>
        <w:rPr>
          <w:rFonts w:hint="cs"/>
          <w:sz w:val="30"/>
          <w:rtl/>
          <w:lang w:eastAsia="en-US"/>
        </w:rPr>
        <w:tab/>
        <w:t>لقد كف</w:t>
      </w:r>
      <w:r>
        <w:rPr>
          <w:rFonts w:hint="cs"/>
          <w:sz w:val="30"/>
          <w:rtl/>
          <w:lang w:eastAsia="en-US"/>
        </w:rPr>
        <w:t>ل قانون النيابة العامة الذي سبقت الإشارة إليه في البند أولاً (سلطات التحقيق ) الوارد في القسم الأول من هذا التقرير سلطة الرقابة والتفتيش بغرض التأكد من عدم وقوع أعمال التعذيب.</w:t>
      </w:r>
    </w:p>
    <w:p w:rsidR="00000000" w:rsidRDefault="00673673">
      <w:pPr>
        <w:pStyle w:val="BodyText"/>
        <w:spacing w:before="0" w:after="240" w:line="380" w:lineRule="exact"/>
        <w:jc w:val="center"/>
        <w:rPr>
          <w:rFonts w:cs="Traditional Arabic" w:hint="cs"/>
          <w:noProof/>
          <w:sz w:val="30"/>
          <w:szCs w:val="30"/>
          <w:rtl/>
          <w:lang w:val="ar-SA" w:eastAsia="ar-SA"/>
        </w:rPr>
      </w:pPr>
      <w:r>
        <w:rPr>
          <w:rFonts w:cs="Traditional Arabic" w:hint="cs"/>
          <w:noProof/>
          <w:sz w:val="30"/>
          <w:szCs w:val="30"/>
          <w:rtl/>
          <w:lang w:val="ar-SA" w:eastAsia="ar-SA"/>
        </w:rPr>
        <w:t>المادة 12</w:t>
      </w:r>
    </w:p>
    <w:p w:rsidR="00000000" w:rsidRDefault="00673673">
      <w:pPr>
        <w:spacing w:before="0" w:line="380" w:lineRule="exact"/>
        <w:jc w:val="both"/>
        <w:rPr>
          <w:rFonts w:hint="cs"/>
          <w:rtl/>
        </w:rPr>
      </w:pPr>
      <w:r>
        <w:rPr>
          <w:rFonts w:hint="cs"/>
          <w:noProof/>
          <w:rtl/>
          <w:lang w:val="ar-SA"/>
        </w:rPr>
        <w:tab/>
      </w:r>
      <w:r>
        <w:rPr>
          <w:rFonts w:hint="cs"/>
          <w:rtl/>
        </w:rPr>
        <w:t>تضمن كل دولة طرف قيام سلطاتها المختصة بإجراء تحقيق سريع ونزيه كلما وج</w:t>
      </w:r>
      <w:r>
        <w:rPr>
          <w:rFonts w:hint="cs"/>
          <w:rtl/>
        </w:rPr>
        <w:t>دت أسباب معقولة تدعو إلى الاعتقاد بأن عملاً من أعمال التعذيب قد ارتكب في أي من الأقاليم الخاضعة لولايتها القضائية.</w:t>
      </w:r>
    </w:p>
    <w:p w:rsidR="00000000" w:rsidRDefault="00673673">
      <w:pPr>
        <w:pStyle w:val="BodyText"/>
        <w:spacing w:before="0" w:after="240" w:line="380" w:lineRule="exact"/>
        <w:jc w:val="center"/>
        <w:rPr>
          <w:rFonts w:cs="Traditional Arabic" w:hint="cs"/>
          <w:noProof/>
          <w:sz w:val="30"/>
          <w:szCs w:val="30"/>
          <w:rtl/>
          <w:lang w:val="ar-SA" w:eastAsia="ar-SA"/>
        </w:rPr>
      </w:pPr>
      <w:r>
        <w:rPr>
          <w:rFonts w:cs="Traditional Arabic" w:hint="cs"/>
          <w:noProof/>
          <w:sz w:val="30"/>
          <w:szCs w:val="30"/>
          <w:rtl/>
          <w:lang w:val="ar-SA" w:eastAsia="ar-SA"/>
        </w:rPr>
        <w:t>المادة 13</w:t>
      </w:r>
    </w:p>
    <w:p w:rsidR="00000000" w:rsidRDefault="00673673">
      <w:pPr>
        <w:spacing w:before="0" w:line="380" w:lineRule="exact"/>
        <w:jc w:val="both"/>
        <w:rPr>
          <w:rFonts w:hint="cs"/>
          <w:spacing w:val="-2"/>
          <w:rtl/>
        </w:rPr>
      </w:pPr>
      <w:r>
        <w:rPr>
          <w:rFonts w:hint="cs"/>
          <w:noProof/>
          <w:rtl/>
          <w:lang w:val="ar-SA"/>
        </w:rPr>
        <w:tab/>
      </w:r>
      <w:r>
        <w:rPr>
          <w:rFonts w:hint="cs"/>
          <w:spacing w:val="-2"/>
          <w:rtl/>
        </w:rPr>
        <w:t>تضمن كل دولة طرف لأي فرد يدعي بأنه قد تعرض للتعذيب في أي إقليم يخضع لولايتها القضائية، الحق في أن يرفع شكوى إلى سلطاتها المختصة وف</w:t>
      </w:r>
      <w:r>
        <w:rPr>
          <w:rFonts w:hint="cs"/>
          <w:spacing w:val="-2"/>
          <w:rtl/>
        </w:rPr>
        <w:t>ي أن تنظر هذه السلطات في حالته على وجه السرعة وبنزاهة. وينبغي اتخاذ الخطوات اللازمة لضمان حماية مقدم الشكوى والشهود من كافة أنواع المعاملة السيئة أو التخويف نتيجة لشكواه أو لأي أدلة تقدم.</w:t>
      </w:r>
    </w:p>
    <w:p w:rsidR="00000000" w:rsidRDefault="00673673">
      <w:pPr>
        <w:spacing w:before="0" w:line="380" w:lineRule="exact"/>
        <w:jc w:val="both"/>
        <w:rPr>
          <w:rFonts w:hint="cs"/>
          <w:b/>
          <w:bCs/>
          <w:sz w:val="30"/>
          <w:rtl/>
          <w:lang w:eastAsia="en-US"/>
        </w:rPr>
      </w:pPr>
      <w:r>
        <w:rPr>
          <w:rFonts w:hint="cs"/>
          <w:b/>
          <w:bCs/>
          <w:sz w:val="30"/>
          <w:rtl/>
          <w:lang w:eastAsia="en-US"/>
        </w:rPr>
        <w:t>التعقيب</w:t>
      </w:r>
    </w:p>
    <w:p w:rsidR="00000000" w:rsidRDefault="00673673">
      <w:pPr>
        <w:spacing w:before="0" w:line="380" w:lineRule="exact"/>
        <w:jc w:val="both"/>
        <w:rPr>
          <w:rFonts w:hint="cs"/>
          <w:sz w:val="30"/>
          <w:rtl/>
          <w:lang w:eastAsia="en-US"/>
        </w:rPr>
      </w:pPr>
      <w:r>
        <w:rPr>
          <w:rFonts w:hint="cs"/>
          <w:sz w:val="30"/>
          <w:rtl/>
          <w:lang w:eastAsia="en-US"/>
        </w:rPr>
        <w:t>78-</w:t>
      </w:r>
      <w:r>
        <w:rPr>
          <w:rFonts w:hint="cs"/>
          <w:sz w:val="30"/>
          <w:rtl/>
          <w:lang w:eastAsia="en-US"/>
        </w:rPr>
        <w:tab/>
        <w:t xml:space="preserve">إن حق الأفراد في التقدم بالشكاوى في حالات التعذيب مكفول </w:t>
      </w:r>
      <w:r>
        <w:rPr>
          <w:rFonts w:hint="cs"/>
          <w:sz w:val="30"/>
          <w:rtl/>
          <w:lang w:eastAsia="en-US"/>
        </w:rPr>
        <w:t>بموجب أحكام الدستور والتشريعات القطرية حيث يحق لهم الإبلاغ عن أي حالة من حالات التعذيب برفع الأمر إلى القضاء. علاوة على ذلك فإن اتفاقية مناهضة التعذيب عندما انضمت إليها دولة قطر في عام 1999 أصبحت جزءاً من القانون الوطني ونتيجة لذلك يجوز الاستناد إلى أحكامه</w:t>
      </w:r>
      <w:r>
        <w:rPr>
          <w:rFonts w:hint="cs"/>
          <w:sz w:val="30"/>
          <w:rtl/>
          <w:lang w:eastAsia="en-US"/>
        </w:rPr>
        <w:t xml:space="preserve">ا أمام المحاكم والأجهزة القضائية والإدارية المختصة الأخرى في دولة قطر. بالإضافة إلى ذلك فقد أنشأت دولة قطر اللجنة الوطنية لحقوق الإنسان بموجب المرسوم بقانون رقم 38 لسنة 2002. وقد نصت المادة الثانية منه في فقرتها 3 على سلطة اللجنة في النظر في التجاوزات على </w:t>
      </w:r>
      <w:r>
        <w:rPr>
          <w:rFonts w:hint="cs"/>
          <w:sz w:val="30"/>
          <w:rtl/>
          <w:lang w:eastAsia="en-US"/>
        </w:rPr>
        <w:t xml:space="preserve">حقوق الإنسان وحرياته، إن وجدت، واقتراح السُبل الكفيلة لمعالجتها وتفادي وقوعها. </w:t>
      </w:r>
    </w:p>
    <w:p w:rsidR="00000000" w:rsidRDefault="00673673">
      <w:pPr>
        <w:spacing w:before="0" w:line="380" w:lineRule="exact"/>
        <w:jc w:val="both"/>
        <w:rPr>
          <w:rFonts w:hint="cs"/>
          <w:sz w:val="30"/>
          <w:rtl/>
          <w:lang w:eastAsia="en-US"/>
        </w:rPr>
      </w:pPr>
      <w:r>
        <w:rPr>
          <w:rFonts w:hint="cs"/>
          <w:sz w:val="30"/>
          <w:rtl/>
          <w:lang w:eastAsia="en-US"/>
        </w:rPr>
        <w:t>79-</w:t>
      </w:r>
      <w:r>
        <w:rPr>
          <w:rFonts w:hint="cs"/>
          <w:sz w:val="30"/>
          <w:rtl/>
          <w:lang w:eastAsia="en-US"/>
        </w:rPr>
        <w:tab/>
        <w:t xml:space="preserve">وعليه يجوز للجميع التقدم للجنة بشكاوى ضد أي تجاوزات ترتكب ضد حقوقهم ومنها الحق في أن يكون في مأمن من التعذيب. </w:t>
      </w:r>
    </w:p>
    <w:p w:rsidR="00000000" w:rsidRDefault="00673673">
      <w:pPr>
        <w:spacing w:before="0" w:line="380" w:lineRule="exact"/>
        <w:jc w:val="center"/>
        <w:rPr>
          <w:rFonts w:hint="cs"/>
          <w:b/>
          <w:bCs/>
          <w:sz w:val="30"/>
          <w:rtl/>
          <w:lang w:eastAsia="en-US"/>
        </w:rPr>
      </w:pPr>
      <w:r>
        <w:rPr>
          <w:rFonts w:hint="cs"/>
          <w:b/>
          <w:bCs/>
          <w:sz w:val="30"/>
          <w:rtl/>
          <w:lang w:eastAsia="en-US"/>
        </w:rPr>
        <w:t>المادة 14</w:t>
      </w:r>
    </w:p>
    <w:p w:rsidR="00000000" w:rsidRDefault="00673673">
      <w:pPr>
        <w:spacing w:before="0" w:line="380" w:lineRule="exact"/>
        <w:jc w:val="both"/>
        <w:rPr>
          <w:rFonts w:hint="cs"/>
          <w:b/>
          <w:sz w:val="30"/>
          <w:rtl/>
          <w:lang w:eastAsia="en-US"/>
        </w:rPr>
      </w:pPr>
      <w:r>
        <w:rPr>
          <w:rFonts w:hint="cs"/>
          <w:sz w:val="30"/>
          <w:rtl/>
          <w:lang w:eastAsia="en-US"/>
        </w:rPr>
        <w:tab/>
      </w:r>
      <w:r>
        <w:rPr>
          <w:rFonts w:hint="cs"/>
          <w:b/>
          <w:sz w:val="30"/>
          <w:rtl/>
          <w:lang w:eastAsia="en-US"/>
        </w:rPr>
        <w:t>تضمن كل دولة طرف، في نظامها القانوني، إنصاف من يتع</w:t>
      </w:r>
      <w:r>
        <w:rPr>
          <w:rFonts w:hint="cs"/>
          <w:b/>
          <w:sz w:val="30"/>
          <w:rtl/>
          <w:lang w:eastAsia="en-US"/>
        </w:rPr>
        <w:t>رض لعمل من أعمال التعذيب وتمتعه بحق قابل للتنفيذ في تعويض عادل ومناسب بما في ذلك وسائل إعادة تأهيله على أكمل وجه ممكن، وفي حالة وفاة المعتدى عليه نتيجة لعمل من أعمال التعذيب، يكون للأشخاص الذين كان يعولهم الحق في التعويض.</w:t>
      </w:r>
    </w:p>
    <w:p w:rsidR="00000000" w:rsidRDefault="00673673">
      <w:pPr>
        <w:spacing w:before="0" w:line="380" w:lineRule="exact"/>
        <w:jc w:val="both"/>
        <w:rPr>
          <w:rFonts w:hint="cs"/>
          <w:b/>
          <w:sz w:val="30"/>
          <w:rtl/>
          <w:lang w:eastAsia="en-US"/>
        </w:rPr>
      </w:pPr>
      <w:r>
        <w:rPr>
          <w:rFonts w:hint="cs"/>
          <w:b/>
          <w:sz w:val="30"/>
          <w:rtl/>
          <w:lang w:eastAsia="en-US"/>
        </w:rPr>
        <w:tab/>
        <w:t>ليس في هذه المادة ما يمس أي حق لل</w:t>
      </w:r>
      <w:r>
        <w:rPr>
          <w:rFonts w:hint="cs"/>
          <w:b/>
          <w:sz w:val="30"/>
          <w:rtl/>
          <w:lang w:eastAsia="en-US"/>
        </w:rPr>
        <w:t>معتدى عليه أو لغيره من الأشخاص فيما قد يوجد من تعويض بمقتضى القانون الوطني.</w:t>
      </w:r>
    </w:p>
    <w:p w:rsidR="00000000" w:rsidRDefault="00673673">
      <w:pPr>
        <w:spacing w:before="0" w:line="380" w:lineRule="exact"/>
        <w:jc w:val="both"/>
        <w:rPr>
          <w:rFonts w:hint="cs"/>
          <w:b/>
          <w:bCs/>
          <w:sz w:val="30"/>
          <w:rtl/>
          <w:lang w:eastAsia="en-US"/>
        </w:rPr>
      </w:pPr>
      <w:r>
        <w:rPr>
          <w:rFonts w:hint="cs"/>
          <w:b/>
          <w:bCs/>
          <w:sz w:val="30"/>
          <w:rtl/>
          <w:lang w:eastAsia="en-US"/>
        </w:rPr>
        <w:t>التعقيب</w:t>
      </w:r>
    </w:p>
    <w:p w:rsidR="00000000" w:rsidRDefault="00673673">
      <w:pPr>
        <w:spacing w:before="0" w:line="380" w:lineRule="exact"/>
        <w:jc w:val="both"/>
        <w:rPr>
          <w:rFonts w:hint="cs"/>
          <w:sz w:val="30"/>
          <w:rtl/>
          <w:lang w:eastAsia="en-US"/>
        </w:rPr>
      </w:pPr>
      <w:r>
        <w:rPr>
          <w:rFonts w:hint="cs"/>
          <w:sz w:val="30"/>
          <w:rtl/>
          <w:lang w:eastAsia="en-US"/>
        </w:rPr>
        <w:t>80-</w:t>
      </w:r>
      <w:r>
        <w:rPr>
          <w:rFonts w:hint="cs"/>
          <w:sz w:val="30"/>
          <w:rtl/>
          <w:lang w:eastAsia="en-US"/>
        </w:rPr>
        <w:tab/>
        <w:t>يحق للمتضرر جراء أفعال التعذيب أو غيرها من صنوف سوء المعاملة التقدم بدعاوى تعويضية إلى المحاكم القطرية. وتتولى المحاكم إنصاف الضحايا وفقاً للقواعد العامة في هذا الشأن.</w:t>
      </w:r>
    </w:p>
    <w:p w:rsidR="00000000" w:rsidRDefault="00673673">
      <w:pPr>
        <w:pStyle w:val="BodyText"/>
        <w:spacing w:before="0" w:after="240" w:line="380" w:lineRule="exact"/>
        <w:jc w:val="center"/>
        <w:rPr>
          <w:rFonts w:cs="Traditional Arabic" w:hint="cs"/>
          <w:noProof/>
          <w:sz w:val="30"/>
          <w:szCs w:val="30"/>
          <w:rtl/>
          <w:lang w:val="ar-SA" w:eastAsia="ar-SA"/>
        </w:rPr>
      </w:pPr>
      <w:r>
        <w:rPr>
          <w:rFonts w:cs="Traditional Arabic" w:hint="cs"/>
          <w:noProof/>
          <w:sz w:val="30"/>
          <w:szCs w:val="30"/>
          <w:rtl/>
          <w:lang w:val="ar-SA" w:eastAsia="ar-SA"/>
        </w:rPr>
        <w:t>المادة 15</w:t>
      </w:r>
    </w:p>
    <w:p w:rsidR="00000000" w:rsidRDefault="00673673">
      <w:pPr>
        <w:spacing w:before="0" w:line="380" w:lineRule="exact"/>
        <w:jc w:val="both"/>
        <w:rPr>
          <w:rFonts w:hint="cs"/>
          <w:rtl/>
        </w:rPr>
      </w:pPr>
      <w:r>
        <w:rPr>
          <w:rFonts w:hint="cs"/>
          <w:sz w:val="30"/>
          <w:rtl/>
        </w:rPr>
        <w:tab/>
      </w:r>
      <w:r>
        <w:rPr>
          <w:rFonts w:hint="cs"/>
          <w:rtl/>
        </w:rPr>
        <w:t>تضمن كل دولة طرف عدم الاستشهاد بأية أقوال يثبت أنه تم الإدلاء بها نتيجة للتعذيب، كدليل في أية إجراءات، إلا إذا كان ذلك ضد شخص متهم بارتكاب التعذيب كدليل على الإدلاء بهذه الأقوال.</w:t>
      </w:r>
    </w:p>
    <w:p w:rsidR="00000000" w:rsidRDefault="00673673">
      <w:pPr>
        <w:spacing w:before="0" w:line="380" w:lineRule="exact"/>
        <w:jc w:val="both"/>
        <w:rPr>
          <w:rFonts w:hint="cs"/>
          <w:rtl/>
        </w:rPr>
      </w:pPr>
      <w:r>
        <w:rPr>
          <w:rFonts w:hint="cs"/>
          <w:b/>
          <w:bCs/>
          <w:rtl/>
        </w:rPr>
        <w:t>التعقيب</w:t>
      </w:r>
    </w:p>
    <w:p w:rsidR="00000000" w:rsidRDefault="00673673">
      <w:pPr>
        <w:spacing w:before="0" w:line="380" w:lineRule="exact"/>
        <w:jc w:val="both"/>
        <w:rPr>
          <w:rFonts w:hint="cs"/>
          <w:sz w:val="30"/>
          <w:rtl/>
          <w:lang w:eastAsia="en-US"/>
        </w:rPr>
      </w:pPr>
      <w:r>
        <w:rPr>
          <w:rFonts w:hint="cs"/>
          <w:rtl/>
        </w:rPr>
        <w:t>81-</w:t>
      </w:r>
      <w:r>
        <w:rPr>
          <w:rFonts w:hint="cs"/>
          <w:rtl/>
        </w:rPr>
        <w:tab/>
      </w:r>
      <w:r>
        <w:rPr>
          <w:rFonts w:hint="cs"/>
          <w:sz w:val="30"/>
          <w:rtl/>
          <w:lang w:eastAsia="en-US"/>
        </w:rPr>
        <w:t>سبقت الإشارة عند التعقيب على المادة 2 من الاتفاقية إلى</w:t>
      </w:r>
      <w:r>
        <w:rPr>
          <w:rFonts w:hint="cs"/>
          <w:sz w:val="30"/>
          <w:rtl/>
          <w:lang w:eastAsia="en-US"/>
        </w:rPr>
        <w:t xml:space="preserve"> أن التشريعات الجنائية القطرية قد تضمنت عدم التعويل على أية أقوال يثبت أنها تمت نتيجة التعذيب أو الإكراه أو التهديد.</w:t>
      </w:r>
    </w:p>
    <w:p w:rsidR="00000000" w:rsidRDefault="00673673">
      <w:pPr>
        <w:pStyle w:val="BodyText"/>
        <w:spacing w:before="0" w:after="240" w:line="380" w:lineRule="exact"/>
        <w:jc w:val="center"/>
        <w:rPr>
          <w:rFonts w:cs="Traditional Arabic" w:hint="cs"/>
          <w:b w:val="0"/>
          <w:bCs w:val="0"/>
          <w:noProof/>
          <w:sz w:val="30"/>
          <w:szCs w:val="30"/>
          <w:rtl/>
          <w:lang w:val="ar-SA" w:eastAsia="ar-SA"/>
        </w:rPr>
      </w:pPr>
      <w:r>
        <w:rPr>
          <w:rFonts w:cs="Traditional Arabic" w:hint="cs"/>
          <w:noProof/>
          <w:sz w:val="30"/>
          <w:szCs w:val="30"/>
          <w:rtl/>
          <w:lang w:val="ar-SA" w:eastAsia="ar-SA"/>
        </w:rPr>
        <w:t>المادة 16</w:t>
      </w:r>
    </w:p>
    <w:p w:rsidR="00000000" w:rsidRDefault="00673673">
      <w:pPr>
        <w:spacing w:before="0" w:line="380" w:lineRule="exact"/>
        <w:jc w:val="both"/>
        <w:rPr>
          <w:rFonts w:hint="cs"/>
          <w:spacing w:val="2"/>
          <w:rtl/>
        </w:rPr>
      </w:pPr>
      <w:r>
        <w:rPr>
          <w:rFonts w:hint="cs"/>
          <w:noProof/>
          <w:spacing w:val="2"/>
          <w:rtl/>
          <w:lang w:val="ar-SA"/>
        </w:rPr>
        <w:tab/>
      </w:r>
      <w:r>
        <w:rPr>
          <w:rFonts w:hint="cs"/>
          <w:spacing w:val="2"/>
          <w:rtl/>
        </w:rPr>
        <w:t>تتعهد كل دولة طرف بأن تمنع، في أي إقليم يخضع لولايتها القضائية حدوث أي أعمال أخرى من أعمال المعاملة أو العقوبة القاسية أو اللاإن</w:t>
      </w:r>
      <w:r>
        <w:rPr>
          <w:rFonts w:hint="cs"/>
          <w:spacing w:val="2"/>
          <w:rtl/>
        </w:rPr>
        <w:t>سانية أو المهينة التي لا تصل إلى حد التعذيب كما حددته المادة 1، عندما يرتكب موظف عمومي أو شخص يتصرف بصفة رسمية هذه الأعمال أو يحرض على ارتكابها، أو عندما تتم بموافقته أو بسكوته عليها. وتنطبق بوجه خاص الالتزامات الواردة في المواد 10، 11، 12، 13 وذلك بالاستع</w:t>
      </w:r>
      <w:r>
        <w:rPr>
          <w:rFonts w:hint="cs"/>
          <w:spacing w:val="2"/>
          <w:rtl/>
        </w:rPr>
        <w:t>اضة عن الإشارة إلى التعذيب بالإشارة إلى غيره من ضروب المعاملة أو العقوبة القاسية أو اللاإنسانية أو المهينة.</w:t>
      </w:r>
    </w:p>
    <w:p w:rsidR="00000000" w:rsidRDefault="00673673">
      <w:pPr>
        <w:spacing w:before="0" w:line="380" w:lineRule="exact"/>
        <w:jc w:val="both"/>
        <w:rPr>
          <w:rFonts w:hint="cs"/>
          <w:b/>
          <w:sz w:val="30"/>
          <w:rtl/>
          <w:lang w:eastAsia="en-US"/>
        </w:rPr>
      </w:pPr>
      <w:r>
        <w:rPr>
          <w:rFonts w:hint="cs"/>
          <w:spacing w:val="2"/>
          <w:rtl/>
        </w:rPr>
        <w:tab/>
      </w:r>
      <w:r>
        <w:rPr>
          <w:rFonts w:hint="cs"/>
          <w:b/>
          <w:sz w:val="30"/>
          <w:rtl/>
          <w:lang w:eastAsia="en-US"/>
        </w:rPr>
        <w:t>لا تخل أحكام هذه الاتفاقية بأحكام أي صك دولي آخر أو قانون وطني يحظر المعاملة أو العقوبة القاسية أو اللاإنسانية أو المهينة أو يتصل بتسليم المجرمين أ</w:t>
      </w:r>
      <w:r>
        <w:rPr>
          <w:rFonts w:hint="cs"/>
          <w:b/>
          <w:sz w:val="30"/>
          <w:rtl/>
          <w:lang w:eastAsia="en-US"/>
        </w:rPr>
        <w:t>و طردهم.</w:t>
      </w:r>
    </w:p>
    <w:p w:rsidR="00000000" w:rsidRDefault="00673673">
      <w:pPr>
        <w:spacing w:before="0" w:line="380" w:lineRule="exact"/>
        <w:jc w:val="both"/>
        <w:rPr>
          <w:rFonts w:hint="cs"/>
          <w:sz w:val="30"/>
          <w:rtl/>
          <w:lang w:eastAsia="en-US"/>
        </w:rPr>
      </w:pPr>
      <w:r>
        <w:rPr>
          <w:rFonts w:hint="cs"/>
          <w:b/>
          <w:bCs/>
          <w:sz w:val="30"/>
          <w:rtl/>
          <w:lang w:eastAsia="en-US"/>
        </w:rPr>
        <w:t>التعقيـب</w:t>
      </w:r>
    </w:p>
    <w:p w:rsidR="00000000" w:rsidRDefault="00673673">
      <w:pPr>
        <w:spacing w:before="0" w:line="380" w:lineRule="exact"/>
        <w:jc w:val="both"/>
        <w:rPr>
          <w:rFonts w:hint="cs"/>
          <w:sz w:val="30"/>
          <w:rtl/>
          <w:lang w:eastAsia="en-US"/>
        </w:rPr>
      </w:pPr>
      <w:r>
        <w:rPr>
          <w:rFonts w:hint="cs"/>
          <w:sz w:val="30"/>
          <w:rtl/>
          <w:lang w:eastAsia="en-US"/>
        </w:rPr>
        <w:t>82-</w:t>
      </w:r>
      <w:r>
        <w:rPr>
          <w:rFonts w:hint="cs"/>
          <w:sz w:val="30"/>
          <w:rtl/>
          <w:lang w:eastAsia="en-US"/>
        </w:rPr>
        <w:tab/>
        <w:t>سبق التعقيب على المادة 4 من الاتفاقية بالتأكيد على أن المشرع في قانون العقوبات لم يغفل الحالات التي لا ترقى إلى درجة التعذيب من حيث الأذى والآلام الناتجة عنه إذا نصت المادة 159 من قانون العقوبات على عقوبة الموظف العام إذا "استعمل سلطة</w:t>
      </w:r>
      <w:r>
        <w:rPr>
          <w:rFonts w:hint="cs"/>
          <w:sz w:val="30"/>
          <w:rtl/>
          <w:lang w:eastAsia="en-US"/>
        </w:rPr>
        <w:t xml:space="preserve"> وظيفته بالإضرار بأحد الأفراد". وكما سبقت الإشارة فإن كلمة الأضرار تشمل الأضرار المادية والبدنية والعقلية.</w:t>
      </w:r>
    </w:p>
    <w:p w:rsidR="00000000" w:rsidRDefault="00673673">
      <w:pPr>
        <w:spacing w:before="0" w:line="380" w:lineRule="exact"/>
        <w:jc w:val="both"/>
        <w:rPr>
          <w:rFonts w:hint="cs"/>
          <w:sz w:val="30"/>
          <w:rtl/>
          <w:lang w:eastAsia="en-US"/>
        </w:rPr>
      </w:pPr>
      <w:r>
        <w:rPr>
          <w:rFonts w:hint="cs"/>
          <w:sz w:val="30"/>
          <w:rtl/>
          <w:lang w:eastAsia="en-US"/>
        </w:rPr>
        <w:t>83-</w:t>
      </w:r>
      <w:r>
        <w:rPr>
          <w:rFonts w:hint="cs"/>
          <w:sz w:val="30"/>
          <w:rtl/>
          <w:lang w:eastAsia="en-US"/>
        </w:rPr>
        <w:tab/>
        <w:t xml:space="preserve">وغني عن البيان بأن الدستور الدائم لدولة قطر قد نص بشكل صريح في المادة 36 منه على حظر تعريض الأشخاص للتعذيب أو للمعاملة </w:t>
      </w:r>
      <w:proofErr w:type="spellStart"/>
      <w:r>
        <w:rPr>
          <w:rFonts w:hint="cs"/>
          <w:sz w:val="30"/>
          <w:rtl/>
          <w:lang w:eastAsia="en-US"/>
        </w:rPr>
        <w:t>الحاطة</w:t>
      </w:r>
      <w:proofErr w:type="spellEnd"/>
      <w:r>
        <w:rPr>
          <w:rFonts w:hint="cs"/>
          <w:sz w:val="30"/>
          <w:rtl/>
          <w:lang w:eastAsia="en-US"/>
        </w:rPr>
        <w:t xml:space="preserve"> بالكرامة.</w:t>
      </w:r>
    </w:p>
    <w:p w:rsidR="00000000" w:rsidRDefault="00673673">
      <w:pPr>
        <w:pStyle w:val="BodyText"/>
        <w:spacing w:before="0" w:after="240" w:line="380" w:lineRule="exact"/>
        <w:jc w:val="center"/>
        <w:rPr>
          <w:rFonts w:cs="Traditional Arabic" w:hint="cs"/>
          <w:noProof/>
          <w:sz w:val="30"/>
          <w:szCs w:val="30"/>
          <w:rtl/>
          <w:lang w:val="ar-SA" w:eastAsia="ar-SA"/>
        </w:rPr>
      </w:pPr>
      <w:r>
        <w:rPr>
          <w:rFonts w:cs="Traditional Arabic" w:hint="cs"/>
          <w:noProof/>
          <w:sz w:val="30"/>
          <w:szCs w:val="30"/>
          <w:rtl/>
          <w:lang w:val="ar-SA" w:eastAsia="ar-SA"/>
        </w:rPr>
        <w:t>أعضاء الل</w:t>
      </w:r>
      <w:r>
        <w:rPr>
          <w:rFonts w:cs="Traditional Arabic" w:hint="cs"/>
          <w:noProof/>
          <w:sz w:val="30"/>
          <w:szCs w:val="30"/>
          <w:rtl/>
          <w:lang w:val="ar-SA" w:eastAsia="ar-SA"/>
        </w:rPr>
        <w:t>جنة</w:t>
      </w:r>
    </w:p>
    <w:tbl>
      <w:tblPr>
        <w:bidiVisual/>
        <w:tblW w:w="0" w:type="auto"/>
        <w:tblInd w:w="197" w:type="dxa"/>
        <w:tblLook w:val="01E0" w:firstRow="1" w:lastRow="1" w:firstColumn="1" w:lastColumn="1" w:noHBand="0" w:noVBand="0"/>
      </w:tblPr>
      <w:tblGrid>
        <w:gridCol w:w="4123"/>
        <w:gridCol w:w="3060"/>
        <w:gridCol w:w="1704"/>
      </w:tblGrid>
      <w:tr w:rsidR="00673673" w:rsidTr="00673673">
        <w:tc>
          <w:tcPr>
            <w:tcW w:w="4123" w:type="dxa"/>
          </w:tcPr>
          <w:p w:rsidR="00673673" w:rsidRDefault="00673673">
            <w:pPr>
              <w:spacing w:before="0" w:line="380" w:lineRule="exact"/>
              <w:jc w:val="both"/>
              <w:rPr>
                <w:rFonts w:hint="cs"/>
                <w:sz w:val="30"/>
                <w:rtl/>
                <w:lang w:eastAsia="en-US"/>
              </w:rPr>
            </w:pPr>
            <w:r>
              <w:rPr>
                <w:rFonts w:hint="cs"/>
                <w:sz w:val="30"/>
                <w:rtl/>
              </w:rPr>
              <w:t>هـــادي ناصر الهاجــري</w:t>
            </w:r>
          </w:p>
        </w:tc>
        <w:tc>
          <w:tcPr>
            <w:tcW w:w="3060" w:type="dxa"/>
          </w:tcPr>
          <w:p w:rsidR="00673673" w:rsidRDefault="00673673">
            <w:pPr>
              <w:spacing w:before="0" w:line="380" w:lineRule="exact"/>
              <w:jc w:val="center"/>
              <w:rPr>
                <w:rFonts w:hint="cs"/>
                <w:sz w:val="30"/>
                <w:rtl/>
                <w:lang w:eastAsia="en-US"/>
              </w:rPr>
            </w:pPr>
            <w:r>
              <w:rPr>
                <w:rFonts w:hint="cs"/>
                <w:sz w:val="30"/>
                <w:rtl/>
              </w:rPr>
              <w:t>وزارة الخارج</w:t>
            </w:r>
            <w:proofErr w:type="spellStart"/>
            <w:r>
              <w:rPr>
                <w:rFonts w:hint="cs"/>
                <w:sz w:val="30"/>
                <w:rtl/>
              </w:rPr>
              <w:t>ية</w:t>
            </w:r>
          </w:p>
        </w:tc>
        <w:tc>
          <w:tcPr>
            <w:tcW w:w="1704" w:type="dxa"/>
          </w:tcPr>
          <w:p w:rsidR="00673673" w:rsidRDefault="00673673">
            <w:pPr>
              <w:spacing w:before="0" w:line="380" w:lineRule="exact"/>
              <w:jc w:val="center"/>
              <w:rPr>
                <w:rFonts w:hint="cs"/>
                <w:sz w:val="30"/>
                <w:rtl/>
                <w:lang w:eastAsia="en-US"/>
              </w:rPr>
            </w:pPr>
            <w:r>
              <w:rPr>
                <w:rFonts w:hint="cs"/>
                <w:sz w:val="30"/>
                <w:rtl/>
              </w:rPr>
              <w:t>رئيساً</w:t>
            </w:r>
            <w:proofErr w:type="spellEnd"/>
          </w:p>
        </w:tc>
      </w:tr>
      <w:tr w:rsidR="00673673" w:rsidTr="00673673">
        <w:tc>
          <w:tcPr>
            <w:tcW w:w="4123" w:type="dxa"/>
          </w:tcPr>
          <w:p w:rsidR="00673673" w:rsidRDefault="00673673">
            <w:pPr>
              <w:spacing w:before="0" w:line="380" w:lineRule="exact"/>
              <w:jc w:val="both"/>
              <w:rPr>
                <w:rFonts w:hint="cs"/>
                <w:sz w:val="30"/>
                <w:rtl/>
                <w:lang w:eastAsia="en-US"/>
              </w:rPr>
            </w:pPr>
            <w:r>
              <w:rPr>
                <w:rFonts w:hint="cs"/>
                <w:sz w:val="30"/>
                <w:rtl/>
                <w:lang w:eastAsia="en-US"/>
              </w:rPr>
              <w:t>إبراهيـم خليل المهنـدي</w:t>
            </w:r>
          </w:p>
        </w:tc>
        <w:tc>
          <w:tcPr>
            <w:tcW w:w="3060" w:type="dxa"/>
          </w:tcPr>
          <w:p w:rsidR="00673673" w:rsidRDefault="00673673">
            <w:pPr>
              <w:spacing w:before="0" w:line="380" w:lineRule="exact"/>
              <w:jc w:val="center"/>
              <w:rPr>
                <w:rFonts w:hint="cs"/>
                <w:sz w:val="30"/>
                <w:rtl/>
                <w:lang w:eastAsia="en-US"/>
              </w:rPr>
            </w:pPr>
            <w:r>
              <w:rPr>
                <w:rFonts w:hint="cs"/>
                <w:sz w:val="30"/>
                <w:rtl/>
                <w:lang w:eastAsia="en-US"/>
              </w:rPr>
              <w:t>وزارة الداخل</w:t>
            </w:r>
            <w:proofErr w:type="spellStart"/>
            <w:r>
              <w:rPr>
                <w:rFonts w:hint="cs"/>
                <w:sz w:val="30"/>
                <w:rtl/>
                <w:lang w:eastAsia="en-US"/>
              </w:rPr>
              <w:t>ية</w:t>
            </w:r>
          </w:p>
        </w:tc>
        <w:tc>
          <w:tcPr>
            <w:tcW w:w="1704" w:type="dxa"/>
          </w:tcPr>
          <w:p w:rsidR="00673673" w:rsidRDefault="00673673">
            <w:pPr>
              <w:spacing w:before="0" w:line="380" w:lineRule="exact"/>
              <w:jc w:val="center"/>
              <w:rPr>
                <w:rFonts w:hint="cs"/>
                <w:sz w:val="30"/>
                <w:rtl/>
                <w:lang w:eastAsia="en-US"/>
              </w:rPr>
            </w:pPr>
            <w:r>
              <w:rPr>
                <w:rFonts w:hint="cs"/>
                <w:sz w:val="30"/>
                <w:rtl/>
                <w:lang w:eastAsia="en-US"/>
              </w:rPr>
              <w:t>عضواً</w:t>
            </w:r>
            <w:proofErr w:type="spellEnd"/>
          </w:p>
        </w:tc>
      </w:tr>
      <w:tr w:rsidR="00673673" w:rsidTr="00673673">
        <w:tc>
          <w:tcPr>
            <w:tcW w:w="4123" w:type="dxa"/>
          </w:tcPr>
          <w:p w:rsidR="00673673" w:rsidRDefault="00673673">
            <w:pPr>
              <w:spacing w:before="0" w:line="380" w:lineRule="exact"/>
              <w:jc w:val="both"/>
              <w:rPr>
                <w:rFonts w:hint="cs"/>
                <w:sz w:val="30"/>
                <w:rtl/>
                <w:lang w:eastAsia="en-US"/>
              </w:rPr>
            </w:pPr>
            <w:r>
              <w:rPr>
                <w:rFonts w:hint="cs"/>
                <w:sz w:val="30"/>
                <w:rtl/>
                <w:lang w:eastAsia="en-US"/>
              </w:rPr>
              <w:t>ناصـر جابـر اللبــدة</w:t>
            </w:r>
          </w:p>
        </w:tc>
        <w:tc>
          <w:tcPr>
            <w:tcW w:w="3060" w:type="dxa"/>
          </w:tcPr>
          <w:p w:rsidR="00673673" w:rsidRDefault="00673673">
            <w:pPr>
              <w:spacing w:before="0" w:line="380" w:lineRule="exact"/>
              <w:jc w:val="center"/>
              <w:rPr>
                <w:rFonts w:hint="cs"/>
                <w:sz w:val="30"/>
                <w:rtl/>
                <w:lang w:eastAsia="en-US"/>
              </w:rPr>
            </w:pPr>
            <w:r>
              <w:rPr>
                <w:rFonts w:hint="cs"/>
                <w:sz w:val="30"/>
                <w:rtl/>
                <w:lang w:eastAsia="en-US"/>
              </w:rPr>
              <w:t>وزارة العدل</w:t>
            </w:r>
          </w:p>
        </w:tc>
        <w:tc>
          <w:tcPr>
            <w:tcW w:w="1704" w:type="dxa"/>
          </w:tcPr>
          <w:p w:rsidR="00673673" w:rsidRDefault="00673673">
            <w:pPr>
              <w:spacing w:before="0" w:line="380" w:lineRule="exact"/>
              <w:jc w:val="center"/>
              <w:rPr>
                <w:rFonts w:hint="cs"/>
                <w:sz w:val="30"/>
                <w:rtl/>
                <w:lang w:eastAsia="en-US"/>
              </w:rPr>
            </w:pPr>
            <w:r>
              <w:rPr>
                <w:rFonts w:hint="cs"/>
                <w:sz w:val="30"/>
                <w:rtl/>
                <w:lang w:eastAsia="en-US"/>
              </w:rPr>
              <w:t>عضواً</w:t>
            </w:r>
          </w:p>
        </w:tc>
      </w:tr>
      <w:tr w:rsidR="00673673" w:rsidTr="00673673">
        <w:tc>
          <w:tcPr>
            <w:tcW w:w="4123" w:type="dxa"/>
          </w:tcPr>
          <w:p w:rsidR="00673673" w:rsidRDefault="00673673">
            <w:pPr>
              <w:spacing w:before="0" w:line="380" w:lineRule="exact"/>
              <w:jc w:val="both"/>
              <w:rPr>
                <w:rFonts w:hint="cs"/>
                <w:sz w:val="30"/>
                <w:rtl/>
                <w:lang w:eastAsia="en-US"/>
              </w:rPr>
            </w:pPr>
            <w:r>
              <w:rPr>
                <w:rFonts w:hint="cs"/>
                <w:sz w:val="30"/>
                <w:rtl/>
                <w:lang w:eastAsia="en-US"/>
              </w:rPr>
              <w:t>د. الفاتح الرشيد عبد الرحمن</w:t>
            </w:r>
          </w:p>
        </w:tc>
        <w:tc>
          <w:tcPr>
            <w:tcW w:w="3060" w:type="dxa"/>
          </w:tcPr>
          <w:p w:rsidR="00673673" w:rsidRDefault="00673673">
            <w:pPr>
              <w:spacing w:before="0" w:line="380" w:lineRule="exact"/>
              <w:jc w:val="center"/>
              <w:rPr>
                <w:rFonts w:hint="cs"/>
                <w:sz w:val="30"/>
                <w:rtl/>
                <w:lang w:eastAsia="en-US"/>
              </w:rPr>
            </w:pPr>
            <w:r>
              <w:rPr>
                <w:rFonts w:hint="cs"/>
                <w:sz w:val="30"/>
                <w:rtl/>
                <w:lang w:eastAsia="en-US"/>
              </w:rPr>
              <w:t>وزارة الخارجية</w:t>
            </w:r>
          </w:p>
        </w:tc>
        <w:tc>
          <w:tcPr>
            <w:tcW w:w="1704" w:type="dxa"/>
          </w:tcPr>
          <w:p w:rsidR="00673673" w:rsidRDefault="00673673">
            <w:pPr>
              <w:spacing w:before="0" w:line="380" w:lineRule="exact"/>
              <w:jc w:val="center"/>
              <w:rPr>
                <w:rFonts w:hint="cs"/>
                <w:sz w:val="30"/>
                <w:rtl/>
                <w:lang w:eastAsia="en-US"/>
              </w:rPr>
            </w:pPr>
            <w:r>
              <w:rPr>
                <w:rFonts w:hint="cs"/>
                <w:sz w:val="30"/>
                <w:rtl/>
                <w:lang w:eastAsia="en-US"/>
              </w:rPr>
              <w:t>عضواً</w:t>
            </w:r>
          </w:p>
        </w:tc>
      </w:tr>
    </w:tbl>
    <w:p w:rsidR="00000000" w:rsidRDefault="00673673">
      <w:pPr>
        <w:spacing w:line="380" w:lineRule="exact"/>
        <w:jc w:val="center"/>
        <w:rPr>
          <w:rFonts w:hint="cs"/>
          <w:sz w:val="30"/>
          <w:rtl/>
        </w:rPr>
      </w:pPr>
      <w:r>
        <w:rPr>
          <w:rFonts w:hint="cs"/>
          <w:sz w:val="30"/>
          <w:rtl/>
        </w:rPr>
        <w:t>- - - - -</w:t>
      </w:r>
    </w:p>
    <w:p w:rsidR="00000000" w:rsidRDefault="00673673">
      <w:pPr>
        <w:spacing w:before="0" w:line="380" w:lineRule="exact"/>
        <w:jc w:val="both"/>
        <w:rPr>
          <w:rtl/>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73673">
    <w:pPr>
      <w:pStyle w:val="Footer"/>
      <w:bidi w:val="0"/>
      <w:jc w:val="right"/>
      <w:rPr>
        <w:rtl/>
        <w:lang w:eastAsia="en-US"/>
      </w:rPr>
    </w:pPr>
    <w:r>
      <w:rPr>
        <w:szCs w:val="22"/>
        <w:lang w:eastAsia="en-US"/>
      </w:rPr>
      <w:t>(A)     GE.05-44233    111105    141105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673673" w:rsidTr="00673673">
      <w:tblPrEx>
        <w:tblCellMar>
          <w:top w:w="0" w:type="dxa"/>
          <w:bottom w:w="0" w:type="dxa"/>
        </w:tblCellMar>
      </w:tblPrEx>
      <w:tc>
        <w:tcPr>
          <w:tcW w:w="1916" w:type="dxa"/>
        </w:tcPr>
        <w:p w:rsidR="00000000" w:rsidRDefault="00673673">
          <w:pPr>
            <w:pStyle w:val="Header"/>
            <w:bidi w:val="0"/>
          </w:pPr>
          <w:r>
            <w:t>CAT/C/58/Add.1</w:t>
          </w:r>
        </w:p>
        <w:p w:rsidR="00000000" w:rsidRDefault="00673673">
          <w:pPr>
            <w:pStyle w:val="Header"/>
            <w:bidi w:val="0"/>
          </w:pPr>
          <w:r>
            <w:t xml:space="preserve">Page </w:t>
          </w:r>
          <w:r>
            <w:fldChar w:fldCharType="begin"/>
          </w:r>
          <w:r>
            <w:instrText xml:space="preserve"> PAGE  \* MERGEFORMAT </w:instrText>
          </w:r>
          <w:r>
            <w:fldChar w:fldCharType="separate"/>
          </w:r>
          <w:r>
            <w:t>10</w:t>
          </w:r>
          <w:r>
            <w:fldChar w:fldCharType="end"/>
          </w:r>
        </w:p>
      </w:tc>
    </w:tr>
  </w:tbl>
  <w:p w:rsidR="00000000" w:rsidRDefault="00673673">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73673">
    <w:pPr>
      <w:pStyle w:val="Header"/>
      <w:bidi w:val="0"/>
    </w:pPr>
    <w:r>
      <w:t>CAT/C/</w:t>
    </w:r>
    <w:r>
      <w:t>58/Add.1</w:t>
    </w:r>
  </w:p>
  <w:p w:rsidR="00000000" w:rsidRDefault="00673673">
    <w:pPr>
      <w:pStyle w:val="Header"/>
      <w:bidi w:val="0"/>
    </w:pPr>
    <w:r>
      <w:t xml:space="preserve">Page </w:t>
    </w:r>
    <w:r>
      <w:fldChar w:fldCharType="begin"/>
    </w:r>
    <w:r>
      <w:instrText xml:space="preserve"> PAGE  \* MERGEFORMAT </w:instrText>
    </w:r>
    <w:r>
      <w:fldChar w:fldCharType="separate"/>
    </w:r>
    <w: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7367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CAT</w:t>
    </w:r>
  </w:p>
  <w:p w:rsidR="00000000" w:rsidRDefault="00673673">
    <w:pPr>
      <w:pBdr>
        <w:bottom w:val="single" w:sz="6" w:space="1" w:color="auto"/>
      </w:pBdr>
      <w:bidi w:val="0"/>
      <w:spacing w:before="0" w:after="0"/>
      <w:rPr>
        <w:rFonts w:cs="Times New Roman"/>
        <w:szCs w:val="22"/>
        <w:lang w:eastAsia="en-US"/>
      </w:rPr>
    </w:pPr>
  </w:p>
  <w:p w:rsidR="00000000" w:rsidRDefault="00673673">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223960" r:id="rId2"/>
      </w:pict>
    </w:r>
  </w:p>
  <w:p w:rsidR="00000000" w:rsidRDefault="00673673">
    <w:pPr>
      <w:pStyle w:val="Header"/>
      <w:bidi w:val="0"/>
      <w:rPr>
        <w:szCs w:val="22"/>
        <w:lang w:eastAsia="en-US"/>
      </w:rPr>
    </w:pPr>
  </w:p>
  <w:p w:rsidR="00000000" w:rsidRDefault="00673673">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39.2pt;margin-top:.8pt;width:190.5pt;height:72.8pt;z-index:-2;mso-wrap-edited:f;mso-position-horizontal-relative:page" wrapcoords="-80 -372 -80 21972 21761 21972 21761 -372 -80 -372" filled="f" stroked="f" strokeweight="2.25pt">
          <v:textbox style="mso-next-textbox:#_x0000_s1026" inset="0,0,0,0">
            <w:txbxContent>
              <w:p w:rsidR="00000000" w:rsidRDefault="00673673">
                <w:pPr>
                  <w:spacing w:before="0" w:after="0" w:line="440" w:lineRule="exact"/>
                  <w:jc w:val="left"/>
                  <w:rPr>
                    <w:rFonts w:hint="cs"/>
                    <w:b/>
                    <w:bCs/>
                    <w:spacing w:val="0"/>
                    <w:sz w:val="44"/>
                    <w:szCs w:val="44"/>
                    <w:rtl/>
                  </w:rPr>
                </w:pPr>
                <w:r>
                  <w:rPr>
                    <w:rFonts w:hint="cs"/>
                    <w:b/>
                    <w:bCs/>
                    <w:spacing w:val="0"/>
                    <w:sz w:val="44"/>
                    <w:szCs w:val="44"/>
                    <w:rtl/>
                  </w:rPr>
                  <w:t>اتفاقية مناهضة التعذيب وغيره من ضروب المعاملة أو العقوبة القاسية أو اللاإنسانية أو المهينة</w:t>
                </w:r>
              </w:p>
            </w:txbxContent>
          </v:textbox>
          <w10:wrap type="tight" anchorx="page"/>
        </v:shape>
      </w:pict>
    </w:r>
  </w:p>
  <w:p w:rsidR="00000000" w:rsidRDefault="00673673">
    <w:pPr>
      <w:pStyle w:val="Header"/>
      <w:bidi w:val="0"/>
      <w:rPr>
        <w:szCs w:val="22"/>
        <w:lang w:eastAsia="en-US"/>
      </w:rPr>
    </w:pPr>
  </w:p>
  <w:p w:rsidR="00000000" w:rsidRDefault="00673673">
    <w:pPr>
      <w:pStyle w:val="Header"/>
      <w:bidi w:val="0"/>
      <w:rPr>
        <w:szCs w:val="22"/>
        <w:lang w:eastAsia="en-US"/>
      </w:rPr>
    </w:pPr>
  </w:p>
  <w:p w:rsidR="00000000" w:rsidRDefault="00673673">
    <w:pPr>
      <w:pStyle w:val="Header"/>
      <w:bidi w:val="0"/>
      <w:rPr>
        <w:szCs w:val="22"/>
        <w:lang w:eastAsia="en-US"/>
      </w:rPr>
    </w:pPr>
  </w:p>
  <w:p w:rsidR="00000000" w:rsidRDefault="00673673">
    <w:pPr>
      <w:pStyle w:val="Header"/>
      <w:bidi w:val="0"/>
      <w:rPr>
        <w:rtl/>
        <w:lang w:eastAsia="en-US"/>
      </w:rPr>
    </w:pPr>
  </w:p>
  <w:p w:rsidR="00000000" w:rsidRDefault="00673673">
    <w:pPr>
      <w:pStyle w:val="Header"/>
      <w:bidi w:val="0"/>
      <w:rPr>
        <w:rtl/>
        <w:lang w:eastAsia="en-US"/>
      </w:rPr>
    </w:pPr>
  </w:p>
  <w:p w:rsidR="00000000" w:rsidRDefault="00673673">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193688"/>
    <w:multiLevelType w:val="hybridMultilevel"/>
    <w:tmpl w:val="D4C62854"/>
    <w:lvl w:ilvl="0" w:tplc="2EB41396">
      <w:start w:val="1"/>
      <w:numFmt w:val="decimal"/>
      <w:lvlText w:val="%1-"/>
      <w:lvlJc w:val="left"/>
      <w:pPr>
        <w:tabs>
          <w:tab w:val="num" w:pos="765"/>
        </w:tabs>
        <w:ind w:left="765" w:right="765" w:hanging="405"/>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074E7137"/>
    <w:multiLevelType w:val="hybridMultilevel"/>
    <w:tmpl w:val="B3E265B8"/>
    <w:lvl w:ilvl="0" w:tplc="D9063312">
      <w:start w:val="1"/>
      <w:numFmt w:val="decimal"/>
      <w:lvlText w:val="%1-"/>
      <w:lvlJc w:val="left"/>
      <w:pPr>
        <w:tabs>
          <w:tab w:val="num" w:pos="1845"/>
        </w:tabs>
        <w:ind w:left="1845" w:right="1845" w:hanging="1125"/>
      </w:pPr>
      <w:rPr>
        <w:rFonts w:hint="cs"/>
      </w:rPr>
    </w:lvl>
    <w:lvl w:ilvl="1" w:tplc="04010019" w:tentative="1">
      <w:start w:val="1"/>
      <w:numFmt w:val="lowerLetter"/>
      <w:lvlText w:val="%2."/>
      <w:lvlJc w:val="left"/>
      <w:pPr>
        <w:tabs>
          <w:tab w:val="num" w:pos="1800"/>
        </w:tabs>
        <w:ind w:left="1800" w:right="1800" w:hanging="360"/>
      </w:pPr>
    </w:lvl>
    <w:lvl w:ilvl="2" w:tplc="0401001B" w:tentative="1">
      <w:start w:val="1"/>
      <w:numFmt w:val="lowerRoman"/>
      <w:lvlText w:val="%3."/>
      <w:lvlJc w:val="right"/>
      <w:pPr>
        <w:tabs>
          <w:tab w:val="num" w:pos="2520"/>
        </w:tabs>
        <w:ind w:left="2520" w:right="2520" w:hanging="180"/>
      </w:pPr>
    </w:lvl>
    <w:lvl w:ilvl="3" w:tplc="0401000F" w:tentative="1">
      <w:start w:val="1"/>
      <w:numFmt w:val="decimal"/>
      <w:lvlText w:val="%4."/>
      <w:lvlJc w:val="left"/>
      <w:pPr>
        <w:tabs>
          <w:tab w:val="num" w:pos="3240"/>
        </w:tabs>
        <w:ind w:left="3240" w:right="3240" w:hanging="360"/>
      </w:pPr>
    </w:lvl>
    <w:lvl w:ilvl="4" w:tplc="04010019" w:tentative="1">
      <w:start w:val="1"/>
      <w:numFmt w:val="lowerLetter"/>
      <w:lvlText w:val="%5."/>
      <w:lvlJc w:val="left"/>
      <w:pPr>
        <w:tabs>
          <w:tab w:val="num" w:pos="3960"/>
        </w:tabs>
        <w:ind w:left="3960" w:right="3960" w:hanging="360"/>
      </w:pPr>
    </w:lvl>
    <w:lvl w:ilvl="5" w:tplc="0401001B" w:tentative="1">
      <w:start w:val="1"/>
      <w:numFmt w:val="lowerRoman"/>
      <w:lvlText w:val="%6."/>
      <w:lvlJc w:val="right"/>
      <w:pPr>
        <w:tabs>
          <w:tab w:val="num" w:pos="4680"/>
        </w:tabs>
        <w:ind w:left="4680" w:right="4680" w:hanging="180"/>
      </w:pPr>
    </w:lvl>
    <w:lvl w:ilvl="6" w:tplc="0401000F" w:tentative="1">
      <w:start w:val="1"/>
      <w:numFmt w:val="decimal"/>
      <w:lvlText w:val="%7."/>
      <w:lvlJc w:val="left"/>
      <w:pPr>
        <w:tabs>
          <w:tab w:val="num" w:pos="5400"/>
        </w:tabs>
        <w:ind w:left="5400" w:right="5400" w:hanging="360"/>
      </w:pPr>
    </w:lvl>
    <w:lvl w:ilvl="7" w:tplc="04010019" w:tentative="1">
      <w:start w:val="1"/>
      <w:numFmt w:val="lowerLetter"/>
      <w:lvlText w:val="%8."/>
      <w:lvlJc w:val="left"/>
      <w:pPr>
        <w:tabs>
          <w:tab w:val="num" w:pos="6120"/>
        </w:tabs>
        <w:ind w:left="6120" w:right="6120" w:hanging="360"/>
      </w:pPr>
    </w:lvl>
    <w:lvl w:ilvl="8" w:tplc="0401001B" w:tentative="1">
      <w:start w:val="1"/>
      <w:numFmt w:val="lowerRoman"/>
      <w:lvlText w:val="%9."/>
      <w:lvlJc w:val="right"/>
      <w:pPr>
        <w:tabs>
          <w:tab w:val="num" w:pos="6840"/>
        </w:tabs>
        <w:ind w:left="6840" w:right="6840" w:hanging="180"/>
      </w:pPr>
    </w:lvl>
  </w:abstractNum>
  <w:abstractNum w:abstractNumId="7">
    <w:nsid w:val="091A512E"/>
    <w:multiLevelType w:val="hybridMultilevel"/>
    <w:tmpl w:val="A67EDB56"/>
    <w:lvl w:ilvl="0" w:tplc="01AC6D64">
      <w:start w:val="1"/>
      <w:numFmt w:val="decimal"/>
      <w:lvlText w:val="%1)"/>
      <w:lvlJc w:val="left"/>
      <w:pPr>
        <w:tabs>
          <w:tab w:val="num" w:pos="1845"/>
        </w:tabs>
        <w:ind w:left="1845" w:right="1845" w:hanging="1125"/>
      </w:pPr>
      <w:rPr>
        <w:rFonts w:hint="default"/>
      </w:rPr>
    </w:lvl>
    <w:lvl w:ilvl="1" w:tplc="1AF8077E">
      <w:start w:val="1"/>
      <w:numFmt w:val="bullet"/>
      <w:lvlText w:val="-"/>
      <w:lvlJc w:val="left"/>
      <w:pPr>
        <w:tabs>
          <w:tab w:val="num" w:pos="1800"/>
        </w:tabs>
        <w:ind w:left="1800" w:right="1800" w:hanging="36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right="2520" w:hanging="180"/>
      </w:p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abstractNum w:abstractNumId="8">
    <w:nsid w:val="0B2E1C36"/>
    <w:multiLevelType w:val="hybridMultilevel"/>
    <w:tmpl w:val="D2FED158"/>
    <w:lvl w:ilvl="0" w:tplc="A26229BC">
      <w:start w:val="1"/>
      <w:numFmt w:val="bullet"/>
      <w:lvlText w:val=""/>
      <w:lvlJc w:val="left"/>
      <w:pPr>
        <w:tabs>
          <w:tab w:val="num" w:pos="1440"/>
        </w:tabs>
        <w:ind w:left="1440" w:right="1440" w:hanging="360"/>
      </w:pPr>
      <w:rPr>
        <w:rFonts w:ascii="Wingdings" w:hAnsi="Wingdings"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9">
    <w:nsid w:val="111F09E0"/>
    <w:multiLevelType w:val="hybridMultilevel"/>
    <w:tmpl w:val="FDCABD04"/>
    <w:lvl w:ilvl="0" w:tplc="9BB4F8DC">
      <w:start w:val="1"/>
      <w:numFmt w:val="decimal"/>
      <w:lvlText w:val="%1)"/>
      <w:lvlJc w:val="left"/>
      <w:pPr>
        <w:tabs>
          <w:tab w:val="num" w:pos="825"/>
        </w:tabs>
        <w:ind w:left="825" w:right="825" w:hanging="46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0">
    <w:nsid w:val="13926A08"/>
    <w:multiLevelType w:val="hybridMultilevel"/>
    <w:tmpl w:val="B7F6D7EC"/>
    <w:lvl w:ilvl="0" w:tplc="9B92D10E">
      <w:start w:val="1"/>
      <w:numFmt w:val="decimal"/>
      <w:lvlText w:val="%1)"/>
      <w:lvlJc w:val="left"/>
      <w:pPr>
        <w:tabs>
          <w:tab w:val="num" w:pos="765"/>
        </w:tabs>
        <w:ind w:left="765" w:right="765" w:hanging="40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1">
    <w:nsid w:val="14077DE5"/>
    <w:multiLevelType w:val="hybridMultilevel"/>
    <w:tmpl w:val="2D8490C0"/>
    <w:lvl w:ilvl="0" w:tplc="04090011">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2">
    <w:nsid w:val="154A5E78"/>
    <w:multiLevelType w:val="hybridMultilevel"/>
    <w:tmpl w:val="B4222CCE"/>
    <w:lvl w:ilvl="0" w:tplc="04090011">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3">
    <w:nsid w:val="20C966F1"/>
    <w:multiLevelType w:val="singleLevel"/>
    <w:tmpl w:val="06A655DC"/>
    <w:lvl w:ilvl="0">
      <w:start w:val="1"/>
      <w:numFmt w:val="bullet"/>
      <w:lvlText w:val=""/>
      <w:lvlJc w:val="center"/>
      <w:pPr>
        <w:tabs>
          <w:tab w:val="num" w:pos="648"/>
        </w:tabs>
        <w:ind w:left="360" w:right="360" w:hanging="72"/>
      </w:pPr>
      <w:rPr>
        <w:rFonts w:ascii="Symbol" w:hAnsi="Symbol" w:cs="Times New Roman" w:hint="default"/>
      </w:rPr>
    </w:lvl>
  </w:abstractNum>
  <w:abstractNum w:abstractNumId="14">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26251E2B"/>
    <w:multiLevelType w:val="singleLevel"/>
    <w:tmpl w:val="06A655DC"/>
    <w:lvl w:ilvl="0">
      <w:start w:val="1"/>
      <w:numFmt w:val="chosung"/>
      <w:lvlText w:val=""/>
      <w:lvlJc w:val="center"/>
      <w:pPr>
        <w:tabs>
          <w:tab w:val="num" w:pos="648"/>
        </w:tabs>
        <w:ind w:left="360" w:right="360" w:hanging="72"/>
      </w:pPr>
      <w:rPr>
        <w:rFonts w:ascii="Symbol" w:hAnsi="Symbol" w:cs="Times New Roman" w:hint="default"/>
      </w:rPr>
    </w:lvl>
  </w:abstractNum>
  <w:abstractNum w:abstractNumId="16">
    <w:nsid w:val="2B691E22"/>
    <w:multiLevelType w:val="hybridMultilevel"/>
    <w:tmpl w:val="67CA30E2"/>
    <w:lvl w:ilvl="0" w:tplc="9BB4F8DC">
      <w:start w:val="1"/>
      <w:numFmt w:val="decimal"/>
      <w:lvlText w:val="%1)"/>
      <w:lvlJc w:val="left"/>
      <w:pPr>
        <w:tabs>
          <w:tab w:val="num" w:pos="825"/>
        </w:tabs>
        <w:ind w:left="825" w:right="825" w:hanging="46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7">
    <w:nsid w:val="2FF62FE4"/>
    <w:multiLevelType w:val="multilevel"/>
    <w:tmpl w:val="D2FED158"/>
    <w:lvl w:ilvl="0">
      <w:start w:val="1"/>
      <w:numFmt w:val="bullet"/>
      <w:lvlText w:val=""/>
      <w:lvlJc w:val="left"/>
      <w:pPr>
        <w:tabs>
          <w:tab w:val="num" w:pos="1440"/>
        </w:tabs>
        <w:ind w:left="1440" w:right="1440" w:hanging="360"/>
      </w:pPr>
      <w:rPr>
        <w:rFonts w:ascii="Wingdings" w:hAnsi="Wingdings" w:hint="default"/>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hint="default"/>
      </w:rPr>
    </w:lvl>
    <w:lvl w:ilvl="3">
      <w:start w:val="1"/>
      <w:numFmt w:val="bullet"/>
      <w:lvlText w:val=""/>
      <w:lvlJc w:val="left"/>
      <w:pPr>
        <w:tabs>
          <w:tab w:val="num" w:pos="2880"/>
        </w:tabs>
        <w:ind w:left="2880" w:right="2880" w:hanging="360"/>
      </w:pPr>
      <w:rPr>
        <w:rFonts w:ascii="Symbol" w:hAnsi="Symbol"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18">
    <w:nsid w:val="30A0245B"/>
    <w:multiLevelType w:val="singleLevel"/>
    <w:tmpl w:val="06A655DC"/>
    <w:lvl w:ilvl="0">
      <w:start w:val="1"/>
      <w:numFmt w:val="chosung"/>
      <w:lvlText w:val=""/>
      <w:lvlJc w:val="center"/>
      <w:pPr>
        <w:tabs>
          <w:tab w:val="num" w:pos="648"/>
        </w:tabs>
        <w:ind w:left="360" w:right="360" w:hanging="72"/>
      </w:pPr>
      <w:rPr>
        <w:rFonts w:ascii="Symbol" w:hAnsi="Symbol" w:cs="Times New Roman" w:hint="default"/>
      </w:rPr>
    </w:lvl>
  </w:abstractNum>
  <w:abstractNum w:abstractNumId="19">
    <w:nsid w:val="31FC45DC"/>
    <w:multiLevelType w:val="hybridMultilevel"/>
    <w:tmpl w:val="60C61DC4"/>
    <w:lvl w:ilvl="0" w:tplc="9BB4F8DC">
      <w:start w:val="1"/>
      <w:numFmt w:val="decimal"/>
      <w:lvlText w:val="%1)"/>
      <w:lvlJc w:val="left"/>
      <w:pPr>
        <w:tabs>
          <w:tab w:val="num" w:pos="825"/>
        </w:tabs>
        <w:ind w:left="825" w:right="825" w:hanging="465"/>
      </w:pPr>
      <w:rPr>
        <w:rFonts w:hint="default"/>
      </w:rPr>
    </w:lvl>
    <w:lvl w:ilvl="1" w:tplc="9DD209FE">
      <w:start w:val="1"/>
      <w:numFmt w:val="arabicAlpha"/>
      <w:lvlText w:val="(%2)"/>
      <w:lvlJc w:val="left"/>
      <w:pPr>
        <w:tabs>
          <w:tab w:val="num" w:pos="1800"/>
        </w:tabs>
        <w:ind w:left="1800" w:right="1800" w:hanging="720"/>
      </w:pPr>
      <w:rPr>
        <w:rFonts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0">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33E21624"/>
    <w:multiLevelType w:val="hybridMultilevel"/>
    <w:tmpl w:val="20F4A684"/>
    <w:lvl w:ilvl="0" w:tplc="04090011">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2">
    <w:nsid w:val="34195F19"/>
    <w:multiLevelType w:val="hybridMultilevel"/>
    <w:tmpl w:val="227E95D4"/>
    <w:lvl w:ilvl="0" w:tplc="9BB4F8DC">
      <w:start w:val="1"/>
      <w:numFmt w:val="decimal"/>
      <w:lvlText w:val="%1)"/>
      <w:lvlJc w:val="left"/>
      <w:pPr>
        <w:tabs>
          <w:tab w:val="num" w:pos="825"/>
        </w:tabs>
        <w:ind w:left="825" w:right="825" w:hanging="46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3">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4">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5">
    <w:nsid w:val="3E6140CE"/>
    <w:multiLevelType w:val="hybridMultilevel"/>
    <w:tmpl w:val="CE40E90E"/>
    <w:lvl w:ilvl="0" w:tplc="9BB4F8DC">
      <w:start w:val="1"/>
      <w:numFmt w:val="decimal"/>
      <w:lvlText w:val="%1)"/>
      <w:lvlJc w:val="left"/>
      <w:pPr>
        <w:tabs>
          <w:tab w:val="num" w:pos="825"/>
        </w:tabs>
        <w:ind w:left="825" w:right="825" w:hanging="46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7">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8">
    <w:nsid w:val="4AE85C32"/>
    <w:multiLevelType w:val="singleLevel"/>
    <w:tmpl w:val="06A655DC"/>
    <w:lvl w:ilvl="0">
      <w:start w:val="1"/>
      <w:numFmt w:val="chosung"/>
      <w:lvlText w:val=""/>
      <w:lvlJc w:val="center"/>
      <w:pPr>
        <w:tabs>
          <w:tab w:val="num" w:pos="648"/>
        </w:tabs>
        <w:ind w:left="360" w:right="360" w:hanging="72"/>
      </w:pPr>
      <w:rPr>
        <w:rFonts w:ascii="Symbol" w:hAnsi="Symbol" w:cs="Times New Roman" w:hint="default"/>
      </w:rPr>
    </w:lvl>
  </w:abstractNum>
  <w:abstractNum w:abstractNumId="29">
    <w:nsid w:val="4CA93B64"/>
    <w:multiLevelType w:val="hybridMultilevel"/>
    <w:tmpl w:val="2424BF62"/>
    <w:lvl w:ilvl="0" w:tplc="1510531E">
      <w:start w:val="1"/>
      <w:numFmt w:val="decimal"/>
      <w:lvlText w:val="%1-"/>
      <w:lvlJc w:val="left"/>
      <w:pPr>
        <w:tabs>
          <w:tab w:val="num" w:pos="2875"/>
        </w:tabs>
        <w:ind w:left="2875" w:right="2875" w:hanging="1455"/>
      </w:pPr>
      <w:rPr>
        <w:rFonts w:hint="default"/>
      </w:rPr>
    </w:lvl>
    <w:lvl w:ilvl="1" w:tplc="04090019" w:tentative="1">
      <w:start w:val="1"/>
      <w:numFmt w:val="lowerLetter"/>
      <w:lvlText w:val="%2."/>
      <w:lvlJc w:val="left"/>
      <w:pPr>
        <w:tabs>
          <w:tab w:val="num" w:pos="2500"/>
        </w:tabs>
        <w:ind w:left="2500" w:right="2500" w:hanging="360"/>
      </w:pPr>
    </w:lvl>
    <w:lvl w:ilvl="2" w:tplc="0409001B" w:tentative="1">
      <w:start w:val="1"/>
      <w:numFmt w:val="lowerRoman"/>
      <w:lvlText w:val="%3."/>
      <w:lvlJc w:val="right"/>
      <w:pPr>
        <w:tabs>
          <w:tab w:val="num" w:pos="3220"/>
        </w:tabs>
        <w:ind w:left="3220" w:right="3220" w:hanging="180"/>
      </w:pPr>
    </w:lvl>
    <w:lvl w:ilvl="3" w:tplc="0409000F" w:tentative="1">
      <w:start w:val="1"/>
      <w:numFmt w:val="decimal"/>
      <w:lvlText w:val="%4."/>
      <w:lvlJc w:val="left"/>
      <w:pPr>
        <w:tabs>
          <w:tab w:val="num" w:pos="3940"/>
        </w:tabs>
        <w:ind w:left="3940" w:right="3940" w:hanging="360"/>
      </w:pPr>
    </w:lvl>
    <w:lvl w:ilvl="4" w:tplc="04090019" w:tentative="1">
      <w:start w:val="1"/>
      <w:numFmt w:val="lowerLetter"/>
      <w:lvlText w:val="%5."/>
      <w:lvlJc w:val="left"/>
      <w:pPr>
        <w:tabs>
          <w:tab w:val="num" w:pos="4660"/>
        </w:tabs>
        <w:ind w:left="4660" w:right="4660" w:hanging="360"/>
      </w:pPr>
    </w:lvl>
    <w:lvl w:ilvl="5" w:tplc="0409001B" w:tentative="1">
      <w:start w:val="1"/>
      <w:numFmt w:val="lowerRoman"/>
      <w:lvlText w:val="%6."/>
      <w:lvlJc w:val="right"/>
      <w:pPr>
        <w:tabs>
          <w:tab w:val="num" w:pos="5380"/>
        </w:tabs>
        <w:ind w:left="5380" w:right="5380" w:hanging="180"/>
      </w:pPr>
    </w:lvl>
    <w:lvl w:ilvl="6" w:tplc="0409000F" w:tentative="1">
      <w:start w:val="1"/>
      <w:numFmt w:val="decimal"/>
      <w:lvlText w:val="%7."/>
      <w:lvlJc w:val="left"/>
      <w:pPr>
        <w:tabs>
          <w:tab w:val="num" w:pos="6100"/>
        </w:tabs>
        <w:ind w:left="6100" w:right="6100" w:hanging="360"/>
      </w:pPr>
    </w:lvl>
    <w:lvl w:ilvl="7" w:tplc="04090019" w:tentative="1">
      <w:start w:val="1"/>
      <w:numFmt w:val="lowerLetter"/>
      <w:lvlText w:val="%8."/>
      <w:lvlJc w:val="left"/>
      <w:pPr>
        <w:tabs>
          <w:tab w:val="num" w:pos="6820"/>
        </w:tabs>
        <w:ind w:left="6820" w:right="6820" w:hanging="360"/>
      </w:pPr>
    </w:lvl>
    <w:lvl w:ilvl="8" w:tplc="0409001B" w:tentative="1">
      <w:start w:val="1"/>
      <w:numFmt w:val="lowerRoman"/>
      <w:lvlText w:val="%9."/>
      <w:lvlJc w:val="right"/>
      <w:pPr>
        <w:tabs>
          <w:tab w:val="num" w:pos="7540"/>
        </w:tabs>
        <w:ind w:left="7540" w:right="7540" w:hanging="180"/>
      </w:pPr>
    </w:lvl>
  </w:abstractNum>
  <w:abstractNum w:abstractNumId="30">
    <w:nsid w:val="4F105616"/>
    <w:multiLevelType w:val="hybridMultilevel"/>
    <w:tmpl w:val="999EEBDA"/>
    <w:lvl w:ilvl="0" w:tplc="04090011">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1">
    <w:nsid w:val="580C0320"/>
    <w:multiLevelType w:val="singleLevel"/>
    <w:tmpl w:val="45C6387C"/>
    <w:lvl w:ilvl="0">
      <w:start w:val="1"/>
      <w:numFmt w:val="decimal"/>
      <w:lvlText w:val="%1-"/>
      <w:lvlJc w:val="left"/>
      <w:pPr>
        <w:tabs>
          <w:tab w:val="num" w:pos="648"/>
        </w:tabs>
        <w:ind w:left="648" w:right="648" w:hanging="360"/>
      </w:pPr>
      <w:rPr>
        <w:rFonts w:hint="cs"/>
      </w:rPr>
    </w:lvl>
  </w:abstractNum>
  <w:abstractNum w:abstractNumId="32">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3">
    <w:nsid w:val="5B8E111A"/>
    <w:multiLevelType w:val="singleLevel"/>
    <w:tmpl w:val="20FCA986"/>
    <w:lvl w:ilvl="0">
      <w:start w:val="1"/>
      <w:numFmt w:val="decimal"/>
      <w:lvlText w:val="%1-"/>
      <w:lvlJc w:val="center"/>
      <w:pPr>
        <w:tabs>
          <w:tab w:val="num" w:pos="648"/>
        </w:tabs>
        <w:ind w:left="289" w:right="289" w:hanging="1"/>
      </w:pPr>
    </w:lvl>
  </w:abstractNum>
  <w:abstractNum w:abstractNumId="34">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5">
    <w:nsid w:val="6B881B94"/>
    <w:multiLevelType w:val="singleLevel"/>
    <w:tmpl w:val="06A655DC"/>
    <w:lvl w:ilvl="0">
      <w:start w:val="1"/>
      <w:numFmt w:val="chosung"/>
      <w:lvlText w:val=""/>
      <w:lvlJc w:val="center"/>
      <w:pPr>
        <w:tabs>
          <w:tab w:val="num" w:pos="648"/>
        </w:tabs>
        <w:ind w:left="360" w:right="360" w:hanging="72"/>
      </w:pPr>
      <w:rPr>
        <w:rFonts w:ascii="Symbol" w:hAnsi="Symbol" w:cs="Times New Roman" w:hint="default"/>
      </w:rPr>
    </w:lvl>
  </w:abstractNum>
  <w:abstractNum w:abstractNumId="36">
    <w:nsid w:val="6BBA1C01"/>
    <w:multiLevelType w:val="hybridMultilevel"/>
    <w:tmpl w:val="A4E69F84"/>
    <w:lvl w:ilvl="0" w:tplc="6AA25E7E">
      <w:start w:val="1"/>
      <w:numFmt w:val="decimal"/>
      <w:lvlText w:val="%1-"/>
      <w:lvlJc w:val="left"/>
      <w:pPr>
        <w:tabs>
          <w:tab w:val="num" w:pos="1845"/>
        </w:tabs>
        <w:ind w:left="1845" w:right="1845" w:hanging="1125"/>
      </w:pPr>
      <w:rPr>
        <w:rFonts w:hint="cs"/>
      </w:rPr>
    </w:lvl>
    <w:lvl w:ilvl="1" w:tplc="04010019" w:tentative="1">
      <w:start w:val="1"/>
      <w:numFmt w:val="lowerLetter"/>
      <w:lvlText w:val="%2."/>
      <w:lvlJc w:val="left"/>
      <w:pPr>
        <w:tabs>
          <w:tab w:val="num" w:pos="1800"/>
        </w:tabs>
        <w:ind w:left="1800" w:right="1800" w:hanging="360"/>
      </w:pPr>
    </w:lvl>
    <w:lvl w:ilvl="2" w:tplc="0401001B" w:tentative="1">
      <w:start w:val="1"/>
      <w:numFmt w:val="lowerRoman"/>
      <w:lvlText w:val="%3."/>
      <w:lvlJc w:val="right"/>
      <w:pPr>
        <w:tabs>
          <w:tab w:val="num" w:pos="2520"/>
        </w:tabs>
        <w:ind w:left="2520" w:right="2520" w:hanging="180"/>
      </w:pPr>
    </w:lvl>
    <w:lvl w:ilvl="3" w:tplc="0401000F" w:tentative="1">
      <w:start w:val="1"/>
      <w:numFmt w:val="decimal"/>
      <w:lvlText w:val="%4."/>
      <w:lvlJc w:val="left"/>
      <w:pPr>
        <w:tabs>
          <w:tab w:val="num" w:pos="3240"/>
        </w:tabs>
        <w:ind w:left="3240" w:right="3240" w:hanging="360"/>
      </w:pPr>
    </w:lvl>
    <w:lvl w:ilvl="4" w:tplc="04010019" w:tentative="1">
      <w:start w:val="1"/>
      <w:numFmt w:val="lowerLetter"/>
      <w:lvlText w:val="%5."/>
      <w:lvlJc w:val="left"/>
      <w:pPr>
        <w:tabs>
          <w:tab w:val="num" w:pos="3960"/>
        </w:tabs>
        <w:ind w:left="3960" w:right="3960" w:hanging="360"/>
      </w:pPr>
    </w:lvl>
    <w:lvl w:ilvl="5" w:tplc="0401001B" w:tentative="1">
      <w:start w:val="1"/>
      <w:numFmt w:val="lowerRoman"/>
      <w:lvlText w:val="%6."/>
      <w:lvlJc w:val="right"/>
      <w:pPr>
        <w:tabs>
          <w:tab w:val="num" w:pos="4680"/>
        </w:tabs>
        <w:ind w:left="4680" w:right="4680" w:hanging="180"/>
      </w:pPr>
    </w:lvl>
    <w:lvl w:ilvl="6" w:tplc="0401000F" w:tentative="1">
      <w:start w:val="1"/>
      <w:numFmt w:val="decimal"/>
      <w:lvlText w:val="%7."/>
      <w:lvlJc w:val="left"/>
      <w:pPr>
        <w:tabs>
          <w:tab w:val="num" w:pos="5400"/>
        </w:tabs>
        <w:ind w:left="5400" w:right="5400" w:hanging="360"/>
      </w:pPr>
    </w:lvl>
    <w:lvl w:ilvl="7" w:tplc="04010019" w:tentative="1">
      <w:start w:val="1"/>
      <w:numFmt w:val="lowerLetter"/>
      <w:lvlText w:val="%8."/>
      <w:lvlJc w:val="left"/>
      <w:pPr>
        <w:tabs>
          <w:tab w:val="num" w:pos="6120"/>
        </w:tabs>
        <w:ind w:left="6120" w:right="6120" w:hanging="360"/>
      </w:pPr>
    </w:lvl>
    <w:lvl w:ilvl="8" w:tplc="0401001B" w:tentative="1">
      <w:start w:val="1"/>
      <w:numFmt w:val="lowerRoman"/>
      <w:lvlText w:val="%9."/>
      <w:lvlJc w:val="right"/>
      <w:pPr>
        <w:tabs>
          <w:tab w:val="num" w:pos="6840"/>
        </w:tabs>
        <w:ind w:left="6840" w:right="6840" w:hanging="180"/>
      </w:pPr>
    </w:lvl>
  </w:abstractNum>
  <w:abstractNum w:abstractNumId="37">
    <w:nsid w:val="71EC3BF1"/>
    <w:multiLevelType w:val="singleLevel"/>
    <w:tmpl w:val="06A655DC"/>
    <w:lvl w:ilvl="0">
      <w:start w:val="1"/>
      <w:numFmt w:val="chosung"/>
      <w:lvlText w:val=""/>
      <w:lvlJc w:val="center"/>
      <w:pPr>
        <w:tabs>
          <w:tab w:val="num" w:pos="648"/>
        </w:tabs>
        <w:ind w:left="360" w:right="360" w:hanging="72"/>
      </w:pPr>
      <w:rPr>
        <w:rFonts w:ascii="Symbol" w:hAnsi="Symbol" w:cs="Times New Roman" w:hint="default"/>
      </w:rPr>
    </w:lvl>
  </w:abstractNum>
  <w:abstractNum w:abstractNumId="38">
    <w:nsid w:val="77234278"/>
    <w:multiLevelType w:val="hybridMultilevel"/>
    <w:tmpl w:val="8FF0881E"/>
    <w:lvl w:ilvl="0" w:tplc="04090011">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9">
    <w:nsid w:val="79CF4F48"/>
    <w:multiLevelType w:val="hybridMultilevel"/>
    <w:tmpl w:val="A2704516"/>
    <w:lvl w:ilvl="0" w:tplc="91B8D186">
      <w:start w:val="1"/>
      <w:numFmt w:val="bullet"/>
      <w:lvlText w:val=""/>
      <w:lvlJc w:val="left"/>
      <w:pPr>
        <w:tabs>
          <w:tab w:val="num" w:pos="1078"/>
        </w:tabs>
        <w:ind w:left="522" w:right="522" w:firstLine="558"/>
      </w:pPr>
      <w:rPr>
        <w:rFonts w:ascii="Symbol" w:hAnsi="Symbol" w:hint="default"/>
        <w:b w:val="0"/>
        <w:i w:val="0"/>
        <w:color w:val="auto"/>
        <w:sz w:val="36"/>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0">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1">
    <w:nsid w:val="7BC80AC2"/>
    <w:multiLevelType w:val="hybridMultilevel"/>
    <w:tmpl w:val="C4381E7E"/>
    <w:lvl w:ilvl="0" w:tplc="04090011">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14"/>
  </w:num>
  <w:num w:numId="5">
    <w:abstractNumId w:val="34"/>
  </w:num>
  <w:num w:numId="6">
    <w:abstractNumId w:val="40"/>
  </w:num>
  <w:num w:numId="7">
    <w:abstractNumId w:val="5"/>
  </w:num>
  <w:num w:numId="8">
    <w:abstractNumId w:val="5"/>
  </w:num>
  <w:num w:numId="9">
    <w:abstractNumId w:val="5"/>
  </w:num>
  <w:num w:numId="10">
    <w:abstractNumId w:val="27"/>
  </w:num>
  <w:num w:numId="11">
    <w:abstractNumId w:val="27"/>
  </w:num>
  <w:num w:numId="12">
    <w:abstractNumId w:val="27"/>
  </w:num>
  <w:num w:numId="13">
    <w:abstractNumId w:val="27"/>
  </w:num>
  <w:num w:numId="14">
    <w:abstractNumId w:val="27"/>
  </w:num>
  <w:num w:numId="15">
    <w:abstractNumId w:val="27"/>
  </w:num>
  <w:num w:numId="16">
    <w:abstractNumId w:val="27"/>
  </w:num>
  <w:num w:numId="17">
    <w:abstractNumId w:val="27"/>
  </w:num>
  <w:num w:numId="18">
    <w:abstractNumId w:val="27"/>
  </w:num>
  <w:num w:numId="19">
    <w:abstractNumId w:val="27"/>
  </w:num>
  <w:num w:numId="20">
    <w:abstractNumId w:val="27"/>
  </w:num>
  <w:num w:numId="21">
    <w:abstractNumId w:val="27"/>
  </w:num>
  <w:num w:numId="22">
    <w:abstractNumId w:val="27"/>
  </w:num>
  <w:num w:numId="23">
    <w:abstractNumId w:val="27"/>
  </w:num>
  <w:num w:numId="24">
    <w:abstractNumId w:val="27"/>
  </w:num>
  <w:num w:numId="25">
    <w:abstractNumId w:val="27"/>
  </w:num>
  <w:num w:numId="26">
    <w:abstractNumId w:val="27"/>
  </w:num>
  <w:num w:numId="27">
    <w:abstractNumId w:val="27"/>
  </w:num>
  <w:num w:numId="28">
    <w:abstractNumId w:val="27"/>
  </w:num>
  <w:num w:numId="29">
    <w:abstractNumId w:val="27"/>
  </w:num>
  <w:num w:numId="30">
    <w:abstractNumId w:val="27"/>
  </w:num>
  <w:num w:numId="31">
    <w:abstractNumId w:val="27"/>
  </w:num>
  <w:num w:numId="32">
    <w:abstractNumId w:val="27"/>
  </w:num>
  <w:num w:numId="33">
    <w:abstractNumId w:val="27"/>
  </w:num>
  <w:num w:numId="34">
    <w:abstractNumId w:val="24"/>
  </w:num>
  <w:num w:numId="35">
    <w:abstractNumId w:val="24"/>
  </w:num>
  <w:num w:numId="36">
    <w:abstractNumId w:val="24"/>
  </w:num>
  <w:num w:numId="37">
    <w:abstractNumId w:val="24"/>
  </w:num>
  <w:num w:numId="38">
    <w:abstractNumId w:val="24"/>
  </w:num>
  <w:num w:numId="39">
    <w:abstractNumId w:val="24"/>
  </w:num>
  <w:num w:numId="40">
    <w:abstractNumId w:val="24"/>
  </w:num>
  <w:num w:numId="41">
    <w:abstractNumId w:val="24"/>
  </w:num>
  <w:num w:numId="42">
    <w:abstractNumId w:val="24"/>
  </w:num>
  <w:num w:numId="43">
    <w:abstractNumId w:val="24"/>
  </w:num>
  <w:num w:numId="44">
    <w:abstractNumId w:val="24"/>
  </w:num>
  <w:num w:numId="45">
    <w:abstractNumId w:val="24"/>
  </w:num>
  <w:num w:numId="46">
    <w:abstractNumId w:val="24"/>
  </w:num>
  <w:num w:numId="47">
    <w:abstractNumId w:val="24"/>
  </w:num>
  <w:num w:numId="48">
    <w:abstractNumId w:val="24"/>
  </w:num>
  <w:num w:numId="49">
    <w:abstractNumId w:val="3"/>
  </w:num>
  <w:num w:numId="50">
    <w:abstractNumId w:val="3"/>
  </w:num>
  <w:num w:numId="51">
    <w:abstractNumId w:val="3"/>
  </w:num>
  <w:num w:numId="52">
    <w:abstractNumId w:val="24"/>
  </w:num>
  <w:num w:numId="53">
    <w:abstractNumId w:val="24"/>
  </w:num>
  <w:num w:numId="54">
    <w:abstractNumId w:val="23"/>
  </w:num>
  <w:num w:numId="55">
    <w:abstractNumId w:val="32"/>
  </w:num>
  <w:num w:numId="56">
    <w:abstractNumId w:val="32"/>
  </w:num>
  <w:num w:numId="57">
    <w:abstractNumId w:val="32"/>
  </w:num>
  <w:num w:numId="58">
    <w:abstractNumId w:val="3"/>
  </w:num>
  <w:num w:numId="59">
    <w:abstractNumId w:val="20"/>
  </w:num>
  <w:num w:numId="60">
    <w:abstractNumId w:val="20"/>
  </w:num>
  <w:num w:numId="61">
    <w:abstractNumId w:val="26"/>
  </w:num>
  <w:num w:numId="62">
    <w:abstractNumId w:val="26"/>
  </w:num>
  <w:num w:numId="63">
    <w:abstractNumId w:val="26"/>
  </w:num>
  <w:num w:numId="64">
    <w:abstractNumId w:val="32"/>
  </w:num>
  <w:num w:numId="65">
    <w:abstractNumId w:val="6"/>
  </w:num>
  <w:num w:numId="66">
    <w:abstractNumId w:val="4"/>
  </w:num>
  <w:num w:numId="67">
    <w:abstractNumId w:val="33"/>
  </w:num>
  <w:num w:numId="68">
    <w:abstractNumId w:val="31"/>
  </w:num>
  <w:num w:numId="69">
    <w:abstractNumId w:val="18"/>
  </w:num>
  <w:num w:numId="70">
    <w:abstractNumId w:val="37"/>
  </w:num>
  <w:num w:numId="71">
    <w:abstractNumId w:val="28"/>
  </w:num>
  <w:num w:numId="72">
    <w:abstractNumId w:val="15"/>
  </w:num>
  <w:num w:numId="73">
    <w:abstractNumId w:val="13"/>
  </w:num>
  <w:num w:numId="74">
    <w:abstractNumId w:val="35"/>
  </w:num>
  <w:num w:numId="75">
    <w:abstractNumId w:val="36"/>
  </w:num>
  <w:num w:numId="76">
    <w:abstractNumId w:val="7"/>
  </w:num>
  <w:num w:numId="77">
    <w:abstractNumId w:val="29"/>
  </w:num>
  <w:num w:numId="78">
    <w:abstractNumId w:val="25"/>
  </w:num>
  <w:num w:numId="79">
    <w:abstractNumId w:val="9"/>
  </w:num>
  <w:num w:numId="80">
    <w:abstractNumId w:val="22"/>
  </w:num>
  <w:num w:numId="81">
    <w:abstractNumId w:val="16"/>
  </w:num>
  <w:num w:numId="82">
    <w:abstractNumId w:val="19"/>
  </w:num>
  <w:num w:numId="83">
    <w:abstractNumId w:val="21"/>
  </w:num>
  <w:num w:numId="84">
    <w:abstractNumId w:val="30"/>
  </w:num>
  <w:num w:numId="85">
    <w:abstractNumId w:val="38"/>
  </w:num>
  <w:num w:numId="86">
    <w:abstractNumId w:val="12"/>
  </w:num>
  <w:num w:numId="87">
    <w:abstractNumId w:val="11"/>
  </w:num>
  <w:num w:numId="88">
    <w:abstractNumId w:val="41"/>
  </w:num>
  <w:num w:numId="89">
    <w:abstractNumId w:val="10"/>
  </w:num>
  <w:num w:numId="90">
    <w:abstractNumId w:val="8"/>
  </w:num>
  <w:num w:numId="91">
    <w:abstractNumId w:val="17"/>
  </w:num>
  <w:num w:numId="92">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BodyText">
    <w:name w:val="Body Text"/>
    <w:basedOn w:val="Normal"/>
    <w:semiHidden/>
    <w:pPr>
      <w:spacing w:before="60" w:after="60" w:line="360" w:lineRule="auto"/>
      <w:jc w:val="both"/>
    </w:pPr>
    <w:rPr>
      <w:rFonts w:cs="Times New Roman"/>
      <w:b/>
      <w:bCs/>
      <w:spacing w:val="0"/>
      <w:kern w:val="0"/>
      <w:sz w:val="40"/>
      <w:szCs w:val="4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24</Pages>
  <Words>5879</Words>
  <Characters>33513</Characters>
  <Application>Microsoft Office Word</Application>
  <DocSecurity>4</DocSecurity>
  <Lines>279</Lines>
  <Paragraphs>67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41156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Mary</dc:creator>
  <cp:keywords/>
  <dc:description/>
  <cp:lastModifiedBy>غادة</cp:lastModifiedBy>
  <cp:revision>2</cp:revision>
  <cp:lastPrinted>2005-11-14T08:57:00Z</cp:lastPrinted>
  <dcterms:created xsi:type="dcterms:W3CDTF">2005-11-14T09:00:00Z</dcterms:created>
  <dcterms:modified xsi:type="dcterms:W3CDTF">2005-11-14T09:00:00Z</dcterms:modified>
</cp:coreProperties>
</file>