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525B46" w:rsidP="00525B46">
            <w:pPr>
              <w:bidi w:val="0"/>
              <w:spacing w:after="20"/>
              <w:jc w:val="left"/>
              <w:rPr>
                <w:szCs w:val="20"/>
              </w:rPr>
            </w:pPr>
            <w:r w:rsidRPr="00525B46">
              <w:rPr>
                <w:sz w:val="40"/>
                <w:szCs w:val="20"/>
              </w:rPr>
              <w:t>A</w:t>
            </w:r>
            <w:r>
              <w:rPr>
                <w:szCs w:val="20"/>
              </w:rPr>
              <w:t>/HRC/RES/26/20</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525B46" w:rsidRDefault="00525B46" w:rsidP="00525B46">
            <w:pPr>
              <w:bidi w:val="0"/>
              <w:spacing w:before="240"/>
              <w:jc w:val="left"/>
            </w:pPr>
            <w:r>
              <w:t>Distr.: General</w:t>
            </w:r>
          </w:p>
          <w:p w:rsidR="00525B46" w:rsidRDefault="00525B46" w:rsidP="00525B46">
            <w:pPr>
              <w:bidi w:val="0"/>
              <w:jc w:val="left"/>
            </w:pPr>
            <w:r>
              <w:t>14 July 2014</w:t>
            </w:r>
          </w:p>
          <w:p w:rsidR="00525B46" w:rsidRDefault="00525B46" w:rsidP="00525B46">
            <w:pPr>
              <w:bidi w:val="0"/>
              <w:jc w:val="left"/>
            </w:pPr>
            <w:r>
              <w:t>Arabic</w:t>
            </w:r>
          </w:p>
          <w:p w:rsidR="00257225" w:rsidRPr="008B4BC6" w:rsidRDefault="00525B46" w:rsidP="00525B46">
            <w:pPr>
              <w:bidi w:val="0"/>
              <w:jc w:val="left"/>
            </w:pPr>
            <w:r>
              <w:t>Original: English</w:t>
            </w:r>
          </w:p>
        </w:tc>
      </w:tr>
    </w:tbl>
    <w:p w:rsidR="001E4E37" w:rsidRPr="00834BC4" w:rsidRDefault="001E4E37" w:rsidP="001E4E37">
      <w:pPr>
        <w:pStyle w:val="SingleTxtGA"/>
        <w:spacing w:before="120" w:after="0"/>
        <w:ind w:left="0" w:right="0"/>
        <w:rPr>
          <w:b/>
          <w:bCs/>
          <w:sz w:val="26"/>
          <w:szCs w:val="36"/>
          <w:rtl/>
        </w:rPr>
      </w:pPr>
      <w:r w:rsidRPr="00834BC4">
        <w:rPr>
          <w:b/>
          <w:bCs/>
          <w:sz w:val="26"/>
          <w:szCs w:val="36"/>
          <w:rtl/>
        </w:rPr>
        <w:t>مجلس حقوق الإنسان</w:t>
      </w:r>
    </w:p>
    <w:p w:rsidR="001E4E37" w:rsidRPr="00834BC4" w:rsidRDefault="001E4E37" w:rsidP="001E4E37">
      <w:pPr>
        <w:pStyle w:val="SingleTxtGA"/>
        <w:spacing w:after="0"/>
        <w:ind w:left="0" w:right="0"/>
        <w:rPr>
          <w:rFonts w:hint="cs"/>
          <w:b/>
          <w:bCs/>
          <w:rtl/>
        </w:rPr>
      </w:pPr>
      <w:r w:rsidRPr="00834BC4">
        <w:rPr>
          <w:b/>
          <w:bCs/>
          <w:rtl/>
        </w:rPr>
        <w:t>الدورة ال</w:t>
      </w:r>
      <w:r w:rsidRPr="00834BC4">
        <w:rPr>
          <w:rFonts w:hint="cs"/>
          <w:b/>
          <w:bCs/>
          <w:rtl/>
        </w:rPr>
        <w:t>سادس</w:t>
      </w:r>
      <w:r w:rsidRPr="00834BC4">
        <w:rPr>
          <w:b/>
          <w:bCs/>
          <w:rtl/>
        </w:rPr>
        <w:t>ة والعشرون</w:t>
      </w:r>
    </w:p>
    <w:p w:rsidR="001E4E37" w:rsidRPr="00C246BB" w:rsidRDefault="001E4E37" w:rsidP="001E4E37">
      <w:pPr>
        <w:pStyle w:val="SingleTxtGA"/>
        <w:spacing w:after="0"/>
        <w:ind w:left="0" w:right="0"/>
        <w:rPr>
          <w:rtl/>
        </w:rPr>
      </w:pPr>
      <w:r w:rsidRPr="00C246BB">
        <w:rPr>
          <w:rtl/>
        </w:rPr>
        <w:t>البند 3 من جدول الأعمال</w:t>
      </w:r>
    </w:p>
    <w:p w:rsidR="001E4E37" w:rsidRPr="00834BC4" w:rsidRDefault="001E4E37" w:rsidP="001E4E37">
      <w:pPr>
        <w:pStyle w:val="SingleTxtGA"/>
        <w:spacing w:after="0"/>
        <w:ind w:left="0" w:right="4253"/>
        <w:rPr>
          <w:b/>
          <w:bCs/>
          <w:rtl/>
        </w:rPr>
      </w:pPr>
      <w:r w:rsidRPr="00834BC4">
        <w:rPr>
          <w:b/>
          <w:bCs/>
          <w:rtl/>
        </w:rPr>
        <w:t>تعزيز وحماية جميع حقوق الإنسان، المدنية والسياسية والاقتصادية والاجتماعية والثقافية،</w:t>
      </w:r>
      <w:r>
        <w:rPr>
          <w:b/>
          <w:bCs/>
          <w:rtl/>
        </w:rPr>
        <w:t xml:space="preserve"> بما </w:t>
      </w:r>
      <w:r w:rsidRPr="00834BC4">
        <w:rPr>
          <w:b/>
          <w:bCs/>
          <w:rtl/>
        </w:rPr>
        <w:t>في ذلك الحق في التنمية</w:t>
      </w:r>
    </w:p>
    <w:p w:rsidR="001E4E37" w:rsidRDefault="001E4E37" w:rsidP="001E4E37">
      <w:pPr>
        <w:pStyle w:val="HChGA"/>
        <w:rPr>
          <w:rFonts w:hint="cs"/>
          <w:rtl/>
        </w:rPr>
      </w:pPr>
      <w:r>
        <w:rPr>
          <w:rFonts w:hint="cs"/>
          <w:rtl/>
        </w:rPr>
        <w:tab/>
      </w:r>
      <w:r>
        <w:rPr>
          <w:rFonts w:hint="cs"/>
          <w:rtl/>
        </w:rPr>
        <w:tab/>
        <w:t>قرار اعتمده مجلس حقوق الإنسان</w:t>
      </w:r>
    </w:p>
    <w:p w:rsidR="001E4E37" w:rsidRDefault="001E4E37" w:rsidP="001E4E37">
      <w:pPr>
        <w:pStyle w:val="HChGA"/>
        <w:rPr>
          <w:rFonts w:hint="cs"/>
          <w:rtl/>
        </w:rPr>
      </w:pPr>
      <w:r>
        <w:rPr>
          <w:rtl/>
        </w:rPr>
        <w:tab/>
      </w:r>
      <w:r>
        <w:rPr>
          <w:rtl/>
        </w:rPr>
        <w:tab/>
        <w:t>2</w:t>
      </w:r>
      <w:r>
        <w:rPr>
          <w:rFonts w:hint="cs"/>
          <w:rtl/>
        </w:rPr>
        <w:t>6</w:t>
      </w:r>
      <w:r>
        <w:rPr>
          <w:rtl/>
        </w:rPr>
        <w:t>/</w:t>
      </w:r>
      <w:r>
        <w:rPr>
          <w:rFonts w:hint="cs"/>
          <w:rtl/>
        </w:rPr>
        <w:t>20</w:t>
      </w:r>
      <w:r>
        <w:rPr>
          <w:rtl/>
        </w:rPr>
        <w:br/>
      </w:r>
      <w:r>
        <w:rPr>
          <w:rFonts w:hint="cs"/>
          <w:rtl/>
        </w:rPr>
        <w:t>المقرر الخاص المعني بحقوق الأشخاص ذوي الإعاقة</w:t>
      </w:r>
    </w:p>
    <w:p w:rsidR="001E4E37" w:rsidRPr="00484C81" w:rsidRDefault="00484C81" w:rsidP="00484C81">
      <w:pPr>
        <w:pStyle w:val="SingleTxtGA"/>
        <w:rPr>
          <w:rFonts w:hint="cs"/>
          <w:i/>
          <w:iCs/>
          <w:rtl/>
        </w:rPr>
      </w:pPr>
      <w:r>
        <w:rPr>
          <w:i/>
          <w:iCs/>
          <w:rtl/>
        </w:rPr>
        <w:tab/>
        <w:t>إن مجلس حقوق الإنسان،</w:t>
      </w:r>
    </w:p>
    <w:p w:rsidR="001E4E37" w:rsidRPr="00942FEE" w:rsidRDefault="001E4E37" w:rsidP="00484C81">
      <w:pPr>
        <w:pStyle w:val="SingleTxtGA"/>
        <w:rPr>
          <w:rFonts w:hint="cs"/>
          <w:rtl/>
          <w:lang/>
        </w:rPr>
      </w:pPr>
      <w:r>
        <w:rPr>
          <w:rFonts w:hint="cs"/>
          <w:i/>
          <w:iCs/>
          <w:rtl/>
          <w:lang/>
        </w:rPr>
        <w:tab/>
      </w:r>
      <w:r w:rsidRPr="00942FEE">
        <w:rPr>
          <w:rFonts w:hint="cs"/>
          <w:i/>
          <w:iCs/>
          <w:rtl/>
          <w:lang/>
        </w:rPr>
        <w:t xml:space="preserve">إذ </w:t>
      </w:r>
      <w:r>
        <w:rPr>
          <w:rFonts w:hint="cs"/>
          <w:i/>
          <w:iCs/>
          <w:rtl/>
          <w:lang/>
        </w:rPr>
        <w:t>ي</w:t>
      </w:r>
      <w:r w:rsidRPr="00942FEE">
        <w:rPr>
          <w:rFonts w:hint="cs"/>
          <w:i/>
          <w:iCs/>
          <w:rtl/>
          <w:lang/>
        </w:rPr>
        <w:t>سترشد</w:t>
      </w:r>
      <w:r>
        <w:rPr>
          <w:rFonts w:hint="cs"/>
          <w:rtl/>
          <w:lang/>
        </w:rPr>
        <w:t xml:space="preserve"> بمقاصد ميثاق الأمم المتحدة ومبادئه،</w:t>
      </w:r>
    </w:p>
    <w:p w:rsidR="001E4E37" w:rsidRDefault="001E4E37" w:rsidP="009E3D92">
      <w:pPr>
        <w:pStyle w:val="SingleTxtGA"/>
        <w:spacing w:line="360" w:lineRule="exact"/>
        <w:rPr>
          <w:rFonts w:hint="cs"/>
          <w:rtl/>
          <w:lang/>
        </w:rPr>
      </w:pPr>
      <w:r>
        <w:rPr>
          <w:rFonts w:hint="cs"/>
          <w:i/>
          <w:iCs/>
          <w:rtl/>
          <w:lang/>
        </w:rPr>
        <w:tab/>
      </w:r>
      <w:r w:rsidRPr="00942FEE">
        <w:rPr>
          <w:rFonts w:hint="cs"/>
          <w:i/>
          <w:iCs/>
          <w:rtl/>
          <w:lang/>
        </w:rPr>
        <w:t>وإذ يسترشد أيضاً</w:t>
      </w:r>
      <w:r>
        <w:rPr>
          <w:rFonts w:hint="cs"/>
          <w:rtl/>
          <w:lang/>
        </w:rPr>
        <w:t xml:space="preserve"> بالإعلان العالمي لحقوق الإنسان واتفاقية حقوق الأشخاص ذوي الإعاقة وغيرها من صكوك حقوق الإنسان ذات الصلة، </w:t>
      </w:r>
    </w:p>
    <w:p w:rsidR="001E4E37" w:rsidRDefault="001E4E37" w:rsidP="009E3D92">
      <w:pPr>
        <w:pStyle w:val="SingleTxtGA"/>
        <w:spacing w:line="360" w:lineRule="exact"/>
        <w:rPr>
          <w:rFonts w:hint="cs"/>
          <w:rtl/>
        </w:rPr>
      </w:pPr>
      <w:r>
        <w:rPr>
          <w:rtl/>
        </w:rPr>
        <w:tab/>
      </w:r>
      <w:r w:rsidRPr="00833D84">
        <w:rPr>
          <w:i/>
          <w:iCs/>
          <w:rtl/>
        </w:rPr>
        <w:t>وإذ يشير</w:t>
      </w:r>
      <w:r>
        <w:rPr>
          <w:rtl/>
        </w:rPr>
        <w:t xml:space="preserve"> إلى الطابع العالمي لجميع حقوق الإنسان والحريات الأساسية و</w:t>
      </w:r>
      <w:r>
        <w:rPr>
          <w:rFonts w:hint="cs"/>
          <w:rtl/>
        </w:rPr>
        <w:t xml:space="preserve">إلى </w:t>
      </w:r>
      <w:r>
        <w:rPr>
          <w:rtl/>
        </w:rPr>
        <w:t>عدم قابليتها للتجزئة وترابطها وتشابكها، وضرورة ضمان تمتع الأشخاص ذوي الإعاقة تمتعاً كاملاً بحقوقهم وحرياتهم دون تمييز،</w:t>
      </w:r>
    </w:p>
    <w:p w:rsidR="001E4E37" w:rsidRDefault="001E4E37" w:rsidP="009E3D92">
      <w:pPr>
        <w:pStyle w:val="SingleTxtGA"/>
        <w:spacing w:line="360" w:lineRule="exact"/>
        <w:rPr>
          <w:rFonts w:hint="cs"/>
          <w:rtl/>
        </w:rPr>
      </w:pPr>
      <w:r>
        <w:rPr>
          <w:rFonts w:hint="cs"/>
          <w:rtl/>
        </w:rPr>
        <w:tab/>
      </w:r>
      <w:r w:rsidRPr="00833D84">
        <w:rPr>
          <w:rFonts w:hint="cs"/>
          <w:i/>
          <w:iCs/>
          <w:rtl/>
        </w:rPr>
        <w:t>وإذ يساوره قلق بالغ</w:t>
      </w:r>
      <w:r>
        <w:rPr>
          <w:rFonts w:hint="cs"/>
          <w:rtl/>
        </w:rPr>
        <w:t xml:space="preserve"> لأن الأشخاص ذوي الإعاقة ما</w:t>
      </w:r>
      <w:r>
        <w:rPr>
          <w:rtl/>
        </w:rPr>
        <w:t> </w:t>
      </w:r>
      <w:r>
        <w:rPr>
          <w:rFonts w:hint="cs"/>
          <w:rtl/>
        </w:rPr>
        <w:t>زالوا يواجهون</w:t>
      </w:r>
      <w:r w:rsidR="00850F45">
        <w:rPr>
          <w:rFonts w:hint="cs"/>
          <w:rtl/>
        </w:rPr>
        <w:t>،</w:t>
      </w:r>
      <w:r>
        <w:rPr>
          <w:rFonts w:hint="cs"/>
          <w:rtl/>
        </w:rPr>
        <w:t xml:space="preserve"> في جميع أنحاء العالم</w:t>
      </w:r>
      <w:r w:rsidR="00850F45">
        <w:rPr>
          <w:rFonts w:hint="cs"/>
          <w:rtl/>
        </w:rPr>
        <w:t>،</w:t>
      </w:r>
      <w:r>
        <w:rPr>
          <w:rFonts w:hint="cs"/>
          <w:rtl/>
        </w:rPr>
        <w:t xml:space="preserve"> حواجز تعترض مشاركتهم كأعضاء في المجتمع على قدم المساواة مع الآخرين </w:t>
      </w:r>
      <w:r w:rsidR="00850F45">
        <w:rPr>
          <w:rFonts w:hint="cs"/>
          <w:rtl/>
        </w:rPr>
        <w:t>ويتعرضون ل</w:t>
      </w:r>
      <w:r>
        <w:rPr>
          <w:rFonts w:hint="cs"/>
          <w:rtl/>
        </w:rPr>
        <w:t>انتهاكات لحقوق الإنسان المكفولة لهم، وإذ</w:t>
      </w:r>
      <w:r>
        <w:rPr>
          <w:rtl/>
        </w:rPr>
        <w:t> </w:t>
      </w:r>
      <w:r>
        <w:rPr>
          <w:rFonts w:hint="cs"/>
          <w:rtl/>
        </w:rPr>
        <w:t>يعي ضرورة إيلاء المزيد من الاهتمام إلى هذه التحديات،</w:t>
      </w:r>
    </w:p>
    <w:p w:rsidR="001E4E37" w:rsidRDefault="001E4E37" w:rsidP="00484C81">
      <w:pPr>
        <w:pStyle w:val="SingleTxtGA"/>
        <w:rPr>
          <w:rFonts w:hint="cs"/>
          <w:rtl/>
        </w:rPr>
      </w:pPr>
      <w:r>
        <w:rPr>
          <w:rFonts w:hint="cs"/>
          <w:rtl/>
        </w:rPr>
        <w:tab/>
      </w:r>
      <w:r w:rsidRPr="00833D84">
        <w:rPr>
          <w:rFonts w:hint="cs"/>
          <w:i/>
          <w:iCs/>
          <w:rtl/>
        </w:rPr>
        <w:t>وإذ يسلّم</w:t>
      </w:r>
      <w:r>
        <w:rPr>
          <w:rFonts w:hint="cs"/>
          <w:rtl/>
        </w:rPr>
        <w:t xml:space="preserve"> بالعمل الذي يضطلع به المقرر الخاص المعني بمسألة الإعاقة</w:t>
      </w:r>
      <w:r w:rsidR="00850F45">
        <w:rPr>
          <w:rFonts w:hint="cs"/>
          <w:rtl/>
        </w:rPr>
        <w:t>،</w:t>
      </w:r>
      <w:r>
        <w:rPr>
          <w:rFonts w:hint="cs"/>
          <w:rtl/>
        </w:rPr>
        <w:t xml:space="preserve"> </w:t>
      </w:r>
      <w:r w:rsidR="00850F45">
        <w:rPr>
          <w:rFonts w:hint="cs"/>
          <w:rtl/>
        </w:rPr>
        <w:t xml:space="preserve">التابع للجنة التنمية الاجتماعية، الذي ستنتهي </w:t>
      </w:r>
      <w:r>
        <w:rPr>
          <w:rFonts w:hint="cs"/>
          <w:rtl/>
        </w:rPr>
        <w:t>ولايته في 31 كانون الأول/ديسمبر 2014،</w:t>
      </w:r>
    </w:p>
    <w:p w:rsidR="001E4E37" w:rsidRDefault="001E4E37" w:rsidP="00484C81">
      <w:pPr>
        <w:pStyle w:val="SingleTxtGA"/>
        <w:rPr>
          <w:rFonts w:hint="cs"/>
          <w:rtl/>
        </w:rPr>
      </w:pPr>
      <w:r>
        <w:rPr>
          <w:rFonts w:hint="cs"/>
          <w:rtl/>
        </w:rPr>
        <w:tab/>
      </w:r>
      <w:r w:rsidRPr="00833D84">
        <w:rPr>
          <w:rFonts w:hint="cs"/>
          <w:i/>
          <w:iCs/>
          <w:rtl/>
        </w:rPr>
        <w:t>وإذ يشير</w:t>
      </w:r>
      <w:r w:rsidR="00850F45">
        <w:rPr>
          <w:rFonts w:hint="cs"/>
          <w:rtl/>
        </w:rPr>
        <w:t xml:space="preserve"> إلى قراريه </w:t>
      </w:r>
      <w:r>
        <w:rPr>
          <w:rFonts w:hint="cs"/>
          <w:rtl/>
        </w:rPr>
        <w:t xml:space="preserve">5/1 بشأن بناء مؤسسات مجلس حقوق الإنسان و5/2 بشأن مدونة قواعد السلوك </w:t>
      </w:r>
      <w:r w:rsidR="00564536">
        <w:rPr>
          <w:rFonts w:hint="cs"/>
          <w:rtl/>
        </w:rPr>
        <w:t xml:space="preserve">للمكلفين بولايات </w:t>
      </w:r>
      <w:r>
        <w:rPr>
          <w:rFonts w:hint="cs"/>
          <w:rtl/>
        </w:rPr>
        <w:t xml:space="preserve">في إطار الإجراءات الخاصة </w:t>
      </w:r>
      <w:r w:rsidR="00564536">
        <w:rPr>
          <w:rFonts w:hint="cs"/>
          <w:rtl/>
        </w:rPr>
        <w:t>للمجلس</w:t>
      </w:r>
      <w:r>
        <w:rPr>
          <w:rFonts w:hint="cs"/>
          <w:rtl/>
        </w:rPr>
        <w:t>، المؤرخين 18 حزيران/يونيه 2007، وإذ</w:t>
      </w:r>
      <w:r>
        <w:rPr>
          <w:rtl/>
        </w:rPr>
        <w:t> </w:t>
      </w:r>
      <w:r>
        <w:rPr>
          <w:rFonts w:hint="cs"/>
          <w:rtl/>
        </w:rPr>
        <w:t xml:space="preserve">يشدد على أن المكلف بالولاية </w:t>
      </w:r>
      <w:r w:rsidR="00564536">
        <w:rPr>
          <w:rFonts w:hint="cs"/>
          <w:rtl/>
        </w:rPr>
        <w:t xml:space="preserve">يجب </w:t>
      </w:r>
      <w:r>
        <w:rPr>
          <w:rFonts w:hint="cs"/>
          <w:rtl/>
        </w:rPr>
        <w:t xml:space="preserve">أن يؤدي مهامه وفقاً لهذين القرارين </w:t>
      </w:r>
      <w:r w:rsidR="00564536">
        <w:rPr>
          <w:rFonts w:hint="cs"/>
          <w:rtl/>
        </w:rPr>
        <w:t>ومرفقاتهما</w:t>
      </w:r>
      <w:r>
        <w:rPr>
          <w:rFonts w:hint="cs"/>
          <w:rtl/>
        </w:rPr>
        <w:t>،</w:t>
      </w:r>
    </w:p>
    <w:p w:rsidR="001E4E37" w:rsidRDefault="001E4E37" w:rsidP="00484C81">
      <w:pPr>
        <w:pStyle w:val="SingleTxtGA"/>
        <w:rPr>
          <w:rFonts w:hint="cs"/>
          <w:rtl/>
        </w:rPr>
      </w:pPr>
      <w:r>
        <w:rPr>
          <w:rFonts w:hint="cs"/>
          <w:rtl/>
        </w:rPr>
        <w:tab/>
      </w:r>
      <w:r w:rsidRPr="00834BC4">
        <w:rPr>
          <w:rFonts w:hint="cs"/>
          <w:rtl/>
        </w:rPr>
        <w:t>1-</w:t>
      </w:r>
      <w:r w:rsidRPr="00834BC4">
        <w:rPr>
          <w:rFonts w:hint="cs"/>
          <w:rtl/>
        </w:rPr>
        <w:tab/>
      </w:r>
      <w:r w:rsidRPr="0072521E">
        <w:rPr>
          <w:rFonts w:hint="cs"/>
          <w:i/>
          <w:iCs/>
          <w:rtl/>
        </w:rPr>
        <w:t>يؤكد من جديد</w:t>
      </w:r>
      <w:r w:rsidRPr="0072521E">
        <w:rPr>
          <w:rFonts w:hint="cs"/>
          <w:rtl/>
        </w:rPr>
        <w:t xml:space="preserve"> </w:t>
      </w:r>
      <w:r w:rsidR="00564536">
        <w:rPr>
          <w:rFonts w:hint="cs"/>
          <w:rtl/>
        </w:rPr>
        <w:t xml:space="preserve">الالتزام الذي يقع على عاتق </w:t>
      </w:r>
      <w:r w:rsidRPr="0072521E">
        <w:rPr>
          <w:rFonts w:hint="cs"/>
          <w:rtl/>
        </w:rPr>
        <w:t>الدول باتخاذ كل التدابير المناسبة للقضاء على التمييز ضد</w:t>
      </w:r>
      <w:r>
        <w:rPr>
          <w:rFonts w:hint="cs"/>
          <w:rtl/>
        </w:rPr>
        <w:t xml:space="preserve"> الأشخاص ذوي الإعاقة وتعزيز حقوق الإنسان الخاصة بهم وحمايتها واحترامها؛</w:t>
      </w:r>
    </w:p>
    <w:p w:rsidR="001E4E37" w:rsidRPr="000B6247" w:rsidRDefault="001E4E37" w:rsidP="00484C81">
      <w:pPr>
        <w:pStyle w:val="SingleTxtGA"/>
        <w:rPr>
          <w:rFonts w:hint="cs"/>
        </w:rPr>
      </w:pPr>
      <w:r>
        <w:rPr>
          <w:rFonts w:hint="cs"/>
          <w:i/>
          <w:iCs/>
          <w:rtl/>
        </w:rPr>
        <w:tab/>
      </w:r>
      <w:r w:rsidRPr="00834BC4">
        <w:rPr>
          <w:rFonts w:hint="cs"/>
          <w:rtl/>
        </w:rPr>
        <w:t>2-</w:t>
      </w:r>
      <w:r w:rsidRPr="00834BC4">
        <w:rPr>
          <w:rFonts w:hint="cs"/>
          <w:rtl/>
        </w:rPr>
        <w:tab/>
      </w:r>
      <w:r w:rsidRPr="00BE25BC">
        <w:rPr>
          <w:rFonts w:hint="cs"/>
          <w:i/>
          <w:iCs/>
          <w:rtl/>
        </w:rPr>
        <w:t>يقر</w:t>
      </w:r>
      <w:r>
        <w:rPr>
          <w:rFonts w:hint="cs"/>
          <w:i/>
          <w:iCs/>
          <w:rtl/>
        </w:rPr>
        <w:t>ّ</w:t>
      </w:r>
      <w:r w:rsidRPr="00BE25BC">
        <w:rPr>
          <w:rFonts w:hint="cs"/>
          <w:i/>
          <w:iCs/>
          <w:rtl/>
        </w:rPr>
        <w:t>ر</w:t>
      </w:r>
      <w:r w:rsidRPr="0016230F">
        <w:rPr>
          <w:rFonts w:hint="cs"/>
          <w:rtl/>
        </w:rPr>
        <w:t xml:space="preserve"> تعيين مقرر خاص معني بحقوق الأشخاص ذوي الإعاقة لمدة ثلاث سنوات</w:t>
      </w:r>
      <w:r>
        <w:rPr>
          <w:rFonts w:hint="cs"/>
          <w:rtl/>
        </w:rPr>
        <w:t>،</w:t>
      </w:r>
      <w:r w:rsidRPr="0016230F">
        <w:rPr>
          <w:rFonts w:hint="cs"/>
          <w:rtl/>
        </w:rPr>
        <w:t xml:space="preserve"> ت</w:t>
      </w:r>
      <w:r>
        <w:rPr>
          <w:rFonts w:hint="cs"/>
          <w:rtl/>
        </w:rPr>
        <w:t>ُ</w:t>
      </w:r>
      <w:r w:rsidRPr="0016230F">
        <w:rPr>
          <w:rFonts w:hint="cs"/>
          <w:rtl/>
        </w:rPr>
        <w:t>سند إليه الولاية التالية</w:t>
      </w:r>
      <w:r w:rsidRPr="000B6247">
        <w:rPr>
          <w:rFonts w:hint="cs"/>
          <w:rtl/>
        </w:rPr>
        <w:t>:</w:t>
      </w:r>
    </w:p>
    <w:p w:rsidR="001E4E37" w:rsidRDefault="001E4E37" w:rsidP="00484C81">
      <w:pPr>
        <w:pStyle w:val="SingleTxtGA"/>
        <w:rPr>
          <w:rFonts w:hint="cs"/>
          <w:rtl/>
        </w:rPr>
      </w:pPr>
      <w:r>
        <w:rPr>
          <w:rFonts w:hint="cs"/>
          <w:rtl/>
        </w:rPr>
        <w:tab/>
        <w:t>(أ)</w:t>
      </w:r>
      <w:r>
        <w:rPr>
          <w:rFonts w:hint="cs"/>
          <w:rtl/>
        </w:rPr>
        <w:tab/>
        <w:t>إقامة حوار منتظم مع الدول والجهات المعنية الأخرى، بما</w:t>
      </w:r>
      <w:r>
        <w:rPr>
          <w:rtl/>
        </w:rPr>
        <w:t> </w:t>
      </w:r>
      <w:r>
        <w:rPr>
          <w:rFonts w:hint="cs"/>
          <w:rtl/>
        </w:rPr>
        <w:t>فيها وكالات الأمم المتحدة وبرامجها وصناديقها، والآليات الإقليمية</w:t>
      </w:r>
      <w:r w:rsidRPr="0016230F">
        <w:rPr>
          <w:rFonts w:hint="cs"/>
          <w:rtl/>
        </w:rPr>
        <w:t xml:space="preserve"> </w:t>
      </w:r>
      <w:r>
        <w:rPr>
          <w:rFonts w:hint="cs"/>
          <w:rtl/>
        </w:rPr>
        <w:t>لحقوق الإنسان، والمؤسسات الوطنية لحقوق الإنسان، وأطر الرصد المستقلة الوطنية المعينة بموجب الفقرة 2 من المادة 33 من اتفاقية حقوق الأشخاص ذوي الإعاقة، والأشخاص ذوو الإعاقة والمنظمات الممثلة لهم، وغير ذلك من منظمات المجتمع المدني، والتشاور مع الدول وهذه الجهات من أجل تحديد وتبادل وتعزيز الممارسات الجيدة المتصلة بإعمال حقوق الأشخاص ذوي الإعاقة وبمشاركتهم في المجتمع على قدم المساواة مع الآخرين؛</w:t>
      </w:r>
    </w:p>
    <w:p w:rsidR="001E4E37" w:rsidRDefault="001E4E37" w:rsidP="00484C81">
      <w:pPr>
        <w:pStyle w:val="SingleTxtGA"/>
        <w:rPr>
          <w:rFonts w:hint="cs"/>
        </w:rPr>
      </w:pPr>
      <w:r>
        <w:rPr>
          <w:rFonts w:hint="cs"/>
          <w:rtl/>
        </w:rPr>
        <w:tab/>
        <w:t>(ب)</w:t>
      </w:r>
      <w:r>
        <w:rPr>
          <w:rFonts w:hint="cs"/>
          <w:rtl/>
        </w:rPr>
        <w:tab/>
        <w:t>جمع المعلومات والرسائل وطلبها وتلقيها من الدول و</w:t>
      </w:r>
      <w:r w:rsidR="00564536">
        <w:rPr>
          <w:rFonts w:hint="cs"/>
          <w:rtl/>
        </w:rPr>
        <w:t xml:space="preserve">غيرها من </w:t>
      </w:r>
      <w:r>
        <w:rPr>
          <w:rFonts w:hint="cs"/>
          <w:rtl/>
        </w:rPr>
        <w:t>جميع المصادر ذات الصلة</w:t>
      </w:r>
      <w:r w:rsidRPr="004C30AD">
        <w:rPr>
          <w:rFonts w:hint="cs"/>
          <w:rtl/>
        </w:rPr>
        <w:t xml:space="preserve"> </w:t>
      </w:r>
      <w:r>
        <w:rPr>
          <w:rFonts w:hint="cs"/>
          <w:rtl/>
        </w:rPr>
        <w:t>وتبادلها معها، بما</w:t>
      </w:r>
      <w:r w:rsidR="00564536">
        <w:rPr>
          <w:rFonts w:hint="cs"/>
          <w:rtl/>
        </w:rPr>
        <w:t xml:space="preserve"> </w:t>
      </w:r>
      <w:r>
        <w:rPr>
          <w:rFonts w:hint="cs"/>
          <w:rtl/>
        </w:rPr>
        <w:t>يشمل الأشخا</w:t>
      </w:r>
      <w:r w:rsidR="00564536">
        <w:rPr>
          <w:rFonts w:hint="cs"/>
          <w:rtl/>
        </w:rPr>
        <w:t>ص ذوي</w:t>
      </w:r>
      <w:r>
        <w:rPr>
          <w:rFonts w:hint="cs"/>
          <w:rtl/>
        </w:rPr>
        <w:t xml:space="preserve"> الإعاقة والمنظمات الممثلة لهم وغير ذلك من منظمات المجتمع المدني، فيما يتصل بانتهاكات حقوق الأشخاص ذوي الإعاقة؛</w:t>
      </w:r>
    </w:p>
    <w:p w:rsidR="001E4E37" w:rsidRDefault="001E4E37" w:rsidP="00484C81">
      <w:pPr>
        <w:pStyle w:val="SingleTxtGA"/>
        <w:rPr>
          <w:rFonts w:hint="cs"/>
          <w:rtl/>
        </w:rPr>
      </w:pPr>
      <w:r>
        <w:rPr>
          <w:rFonts w:hint="cs"/>
          <w:rtl/>
        </w:rPr>
        <w:tab/>
        <w:t>(ج)</w:t>
      </w:r>
      <w:r>
        <w:rPr>
          <w:rFonts w:hint="cs"/>
          <w:rtl/>
        </w:rPr>
        <w:tab/>
        <w:t>تقديم توصيات ملموسة بشأن كيفية زيادة تعزيز حقوق الأشخاص ذوي الإعاقة</w:t>
      </w:r>
      <w:r w:rsidRPr="0016230F">
        <w:rPr>
          <w:rFonts w:hint="cs"/>
          <w:rtl/>
        </w:rPr>
        <w:t xml:space="preserve"> </w:t>
      </w:r>
      <w:r>
        <w:rPr>
          <w:rFonts w:hint="cs"/>
          <w:rtl/>
        </w:rPr>
        <w:t>وحمايتها، بما</w:t>
      </w:r>
      <w:r>
        <w:rPr>
          <w:rtl/>
        </w:rPr>
        <w:t> </w:t>
      </w:r>
      <w:r>
        <w:rPr>
          <w:rFonts w:hint="cs"/>
          <w:rtl/>
        </w:rPr>
        <w:t>في ذلك كيفية المساهمة في تحقيق الأهداف الإنمائية المتفق عليها دولياً فيما يتعلق بالأشخاص ذوي الإعاقة، بما</w:t>
      </w:r>
      <w:r w:rsidR="00557BD7">
        <w:rPr>
          <w:rFonts w:hint="cs"/>
          <w:rtl/>
        </w:rPr>
        <w:t xml:space="preserve"> في ذلك </w:t>
      </w:r>
      <w:r>
        <w:rPr>
          <w:rFonts w:hint="cs"/>
          <w:rtl/>
        </w:rPr>
        <w:t>الأهداف الإنمائية للألفية، وكيفية تعزيز التنمية التي تشمل الأشخاص ذوي الإعاقة وتتيح لهم إمكانية الاستفادة منها، وكيفية تعزيز دورهم كعناصر فاعلة في التنمية ومستفيدة منها على حد سواء؛</w:t>
      </w:r>
    </w:p>
    <w:p w:rsidR="001E4E37" w:rsidRDefault="001E4E37" w:rsidP="00484C81">
      <w:pPr>
        <w:pStyle w:val="SingleTxtGA"/>
        <w:rPr>
          <w:rFonts w:hint="cs"/>
          <w:rtl/>
        </w:rPr>
      </w:pPr>
      <w:r>
        <w:rPr>
          <w:rFonts w:hint="cs"/>
          <w:rtl/>
        </w:rPr>
        <w:tab/>
        <w:t>(د)</w:t>
      </w:r>
      <w:r>
        <w:rPr>
          <w:rFonts w:hint="cs"/>
          <w:rtl/>
        </w:rPr>
        <w:tab/>
        <w:t xml:space="preserve">تنظيم وتيسير ودعم تقديم الخدمات الاستشارية، والمساعدة التقنية، وبناء القدرات، والتعاون الدولي، لدعم الجهود الوطنية الرامية إلى إعمال حقوق الأشخاص ذوي الإعاقة </w:t>
      </w:r>
      <w:r w:rsidR="0098759F">
        <w:rPr>
          <w:rFonts w:hint="cs"/>
          <w:rtl/>
        </w:rPr>
        <w:t>إعمالاً فعالاً</w:t>
      </w:r>
      <w:r>
        <w:rPr>
          <w:rFonts w:hint="cs"/>
          <w:rtl/>
        </w:rPr>
        <w:t>؛</w:t>
      </w:r>
    </w:p>
    <w:p w:rsidR="001E4E37" w:rsidRPr="00F1734F" w:rsidRDefault="001E4E37" w:rsidP="00484C81">
      <w:pPr>
        <w:pStyle w:val="SingleTxtGA"/>
        <w:rPr>
          <w:rFonts w:hint="cs"/>
          <w:rtl/>
        </w:rPr>
      </w:pPr>
      <w:r w:rsidRPr="00F1734F">
        <w:rPr>
          <w:rFonts w:hint="cs"/>
          <w:rtl/>
        </w:rPr>
        <w:tab/>
        <w:t>(</w:t>
      </w:r>
      <w:r w:rsidRPr="00F1734F">
        <w:rPr>
          <w:rFonts w:hint="cs"/>
          <w:sz w:val="30"/>
          <w:rtl/>
        </w:rPr>
        <w:t>ﻫ</w:t>
      </w:r>
      <w:r w:rsidRPr="00F1734F">
        <w:rPr>
          <w:rFonts w:hint="cs"/>
          <w:rtl/>
        </w:rPr>
        <w:t>)</w:t>
      </w:r>
      <w:r w:rsidRPr="00F1734F">
        <w:rPr>
          <w:rFonts w:hint="cs"/>
          <w:rtl/>
        </w:rPr>
        <w:tab/>
        <w:t xml:space="preserve">التوعية بحقوق الأشخاص ذوي الإعاقة، ومكافحة القوالب النمطية </w:t>
      </w:r>
      <w:r w:rsidR="00105BAA">
        <w:rPr>
          <w:rFonts w:hint="cs"/>
          <w:rtl/>
        </w:rPr>
        <w:t xml:space="preserve">وأوجه </w:t>
      </w:r>
      <w:r w:rsidRPr="00F1734F">
        <w:rPr>
          <w:rFonts w:hint="cs"/>
          <w:rtl/>
        </w:rPr>
        <w:t>التحيز والممارسات الضارة التي تعوق فرصهم في المشاركة في المجتمع على قدم المساواة مع الآخرين، وتعزيز الوعي بمساهماتهم الإيجابية، وتعريف الأشخاص ذوي الإعاقة بحقوقهم؛</w:t>
      </w:r>
    </w:p>
    <w:p w:rsidR="001E4E37" w:rsidRPr="00695F05" w:rsidRDefault="001E4E37" w:rsidP="00484C81">
      <w:pPr>
        <w:pStyle w:val="SingleTxtGA"/>
        <w:rPr>
          <w:rFonts w:hint="cs"/>
          <w:spacing w:val="-2"/>
          <w:rtl/>
        </w:rPr>
      </w:pPr>
      <w:r w:rsidRPr="00695F05">
        <w:rPr>
          <w:rFonts w:hint="cs"/>
          <w:spacing w:val="-2"/>
          <w:rtl/>
        </w:rPr>
        <w:tab/>
        <w:t>(و)</w:t>
      </w:r>
      <w:r w:rsidRPr="00695F05">
        <w:rPr>
          <w:rFonts w:hint="cs"/>
          <w:spacing w:val="-2"/>
          <w:rtl/>
        </w:rPr>
        <w:tab/>
        <w:t>العمل بصورة وثيقة مع الإجراءات الخاصة وغيرها من آليات حقوق الإنسان التابعة لمجلس</w:t>
      </w:r>
      <w:r w:rsidR="00105BAA" w:rsidRPr="00695F05">
        <w:rPr>
          <w:rFonts w:hint="cs"/>
          <w:spacing w:val="-2"/>
          <w:rtl/>
        </w:rPr>
        <w:t xml:space="preserve"> حقوق الإنسان</w:t>
      </w:r>
      <w:r w:rsidRPr="00695F05">
        <w:rPr>
          <w:rFonts w:hint="cs"/>
          <w:spacing w:val="-2"/>
          <w:rtl/>
        </w:rPr>
        <w:t>، وهيئات المعاهدات، ولا</w:t>
      </w:r>
      <w:r w:rsidR="00105BAA" w:rsidRPr="00695F05">
        <w:rPr>
          <w:rFonts w:hint="cs"/>
          <w:spacing w:val="-2"/>
          <w:rtl/>
        </w:rPr>
        <w:t xml:space="preserve"> </w:t>
      </w:r>
      <w:r w:rsidRPr="00695F05">
        <w:rPr>
          <w:rFonts w:hint="cs"/>
          <w:spacing w:val="-2"/>
          <w:rtl/>
        </w:rPr>
        <w:t>سيما اللجنة المعنية بحقوق الأشخاص ذوي الإعاقة، وغيرها من وكالات الأمم المتحدة وبرامجها وصناديقها المعنية، بما</w:t>
      </w:r>
      <w:r w:rsidRPr="00695F05">
        <w:rPr>
          <w:spacing w:val="-2"/>
          <w:rtl/>
        </w:rPr>
        <w:t> </w:t>
      </w:r>
      <w:r w:rsidRPr="00695F05">
        <w:rPr>
          <w:rFonts w:hint="cs"/>
          <w:spacing w:val="-2"/>
          <w:rtl/>
        </w:rPr>
        <w:t xml:space="preserve">فيها شراكة الأمم المتحدة لتعزيز حقوق الأشخاص ذوي الإعاقة والمبعوث الخاص للأمين العام المعني بالإعاقة وتيسير الوصول، كل في حدود ولايته، بغرض تفادي </w:t>
      </w:r>
      <w:r w:rsidR="000C38E6" w:rsidRPr="00695F05">
        <w:rPr>
          <w:rFonts w:hint="cs"/>
          <w:spacing w:val="-2"/>
          <w:rtl/>
        </w:rPr>
        <w:t>ازدواجية العمل غير الضرورية</w:t>
      </w:r>
      <w:r w:rsidRPr="00695F05">
        <w:rPr>
          <w:rFonts w:hint="cs"/>
          <w:spacing w:val="-2"/>
          <w:rtl/>
        </w:rPr>
        <w:t>؛</w:t>
      </w:r>
    </w:p>
    <w:p w:rsidR="001E4E37" w:rsidRPr="00F1734F" w:rsidRDefault="001E4E37" w:rsidP="00484C81">
      <w:pPr>
        <w:pStyle w:val="SingleTxtGA"/>
        <w:rPr>
          <w:rFonts w:hint="cs"/>
          <w:rtl/>
        </w:rPr>
      </w:pPr>
      <w:r w:rsidRPr="00F1734F">
        <w:rPr>
          <w:rFonts w:hint="cs"/>
          <w:rtl/>
        </w:rPr>
        <w:tab/>
        <w:t>(ز)</w:t>
      </w:r>
      <w:r w:rsidRPr="00F1734F">
        <w:rPr>
          <w:rFonts w:hint="cs"/>
          <w:rtl/>
        </w:rPr>
        <w:tab/>
        <w:t xml:space="preserve">التعاون </w:t>
      </w:r>
      <w:r w:rsidR="00EC574A">
        <w:rPr>
          <w:rFonts w:hint="cs"/>
          <w:rtl/>
        </w:rPr>
        <w:t xml:space="preserve">الوثيق </w:t>
      </w:r>
      <w:r w:rsidRPr="00F1734F">
        <w:rPr>
          <w:rFonts w:hint="cs"/>
          <w:rtl/>
        </w:rPr>
        <w:t xml:space="preserve">مع مؤتمر الدول الأطراف في اتفاقية حقوق الأشخاص ذوي الإعاقة ولجنة التنمية الاجتماعية، بطرق منها المشاركة في دوراتهما السنوية، </w:t>
      </w:r>
      <w:r w:rsidR="00EC574A">
        <w:rPr>
          <w:rFonts w:hint="cs"/>
          <w:rtl/>
        </w:rPr>
        <w:t>بناءً على طلب هذه المشاركة</w:t>
      </w:r>
      <w:r w:rsidRPr="00F1734F">
        <w:rPr>
          <w:rFonts w:hint="cs"/>
          <w:rtl/>
        </w:rPr>
        <w:t>؛</w:t>
      </w:r>
    </w:p>
    <w:p w:rsidR="001E4E37" w:rsidRPr="00484C81" w:rsidRDefault="001E4E37" w:rsidP="00484C81">
      <w:pPr>
        <w:pStyle w:val="SingleTxtGA"/>
        <w:rPr>
          <w:rFonts w:hint="cs"/>
          <w:spacing w:val="-2"/>
          <w:rtl/>
        </w:rPr>
      </w:pPr>
      <w:r w:rsidRPr="00484C81">
        <w:rPr>
          <w:rFonts w:hint="cs"/>
          <w:spacing w:val="-2"/>
          <w:rtl/>
        </w:rPr>
        <w:tab/>
        <w:t>(ح)</w:t>
      </w:r>
      <w:r w:rsidRPr="00484C81">
        <w:rPr>
          <w:rFonts w:hint="cs"/>
          <w:spacing w:val="-2"/>
          <w:rtl/>
        </w:rPr>
        <w:tab/>
        <w:t xml:space="preserve">إدماج المنظور الجنساني في جميع </w:t>
      </w:r>
      <w:r w:rsidR="00EC574A" w:rsidRPr="00484C81">
        <w:rPr>
          <w:rFonts w:hint="cs"/>
          <w:spacing w:val="-2"/>
          <w:rtl/>
        </w:rPr>
        <w:t>ال</w:t>
      </w:r>
      <w:r w:rsidRPr="00484C81">
        <w:rPr>
          <w:rFonts w:hint="cs"/>
          <w:spacing w:val="-2"/>
          <w:rtl/>
        </w:rPr>
        <w:t xml:space="preserve">أعمال </w:t>
      </w:r>
      <w:r w:rsidR="00EC574A" w:rsidRPr="00484C81">
        <w:rPr>
          <w:rFonts w:hint="cs"/>
          <w:spacing w:val="-2"/>
          <w:rtl/>
        </w:rPr>
        <w:t xml:space="preserve">المضطلع بها في إطار </w:t>
      </w:r>
      <w:r w:rsidRPr="00484C81">
        <w:rPr>
          <w:rFonts w:hint="cs"/>
          <w:spacing w:val="-2"/>
          <w:rtl/>
        </w:rPr>
        <w:t xml:space="preserve">الولاية والتصدي لأشكال التمييز المتعددة </w:t>
      </w:r>
      <w:r w:rsidR="00EC574A" w:rsidRPr="00484C81">
        <w:rPr>
          <w:rFonts w:hint="cs"/>
          <w:spacing w:val="-2"/>
          <w:rtl/>
        </w:rPr>
        <w:t xml:space="preserve">والمتقاطعة </w:t>
      </w:r>
      <w:r w:rsidRPr="00484C81">
        <w:rPr>
          <w:rFonts w:hint="cs"/>
          <w:spacing w:val="-2"/>
          <w:rtl/>
        </w:rPr>
        <w:t>والجسيمة التي يتعرض لها الأشخاص ذوو الإعاقة؛</w:t>
      </w:r>
    </w:p>
    <w:p w:rsidR="001E4E37" w:rsidRDefault="001E4E37" w:rsidP="00484C81">
      <w:pPr>
        <w:pStyle w:val="SingleTxtGA"/>
        <w:rPr>
          <w:rFonts w:hint="cs"/>
          <w:rtl/>
        </w:rPr>
      </w:pPr>
      <w:r>
        <w:rPr>
          <w:rFonts w:hint="cs"/>
          <w:rtl/>
        </w:rPr>
        <w:tab/>
        <w:t>(ط)</w:t>
      </w:r>
      <w:r>
        <w:rPr>
          <w:rFonts w:hint="cs"/>
          <w:rtl/>
        </w:rPr>
        <w:tab/>
        <w:t>تقديم تقارير سنوية إلى مجلس حقوق الإنسان ابتداء من دورته الثامنة والعشرين، وإلى الجمعية العامة، بصيغ يسهل الاطلاع عليها ووفقاً لبرامج عمل كل منهما؛</w:t>
      </w:r>
    </w:p>
    <w:p w:rsidR="001E4E37" w:rsidRPr="00484C81" w:rsidRDefault="001E4E37" w:rsidP="00484C81">
      <w:pPr>
        <w:pStyle w:val="SingleTxtGA"/>
        <w:rPr>
          <w:rFonts w:hint="cs"/>
          <w:spacing w:val="-2"/>
        </w:rPr>
      </w:pPr>
      <w:r w:rsidRPr="00484C81">
        <w:rPr>
          <w:rFonts w:hint="cs"/>
          <w:spacing w:val="-2"/>
          <w:rtl/>
        </w:rPr>
        <w:tab/>
        <w:t>3-</w:t>
      </w:r>
      <w:r w:rsidRPr="00484C81">
        <w:rPr>
          <w:rFonts w:hint="cs"/>
          <w:spacing w:val="-2"/>
          <w:rtl/>
        </w:rPr>
        <w:tab/>
      </w:r>
      <w:r w:rsidRPr="00484C81">
        <w:rPr>
          <w:rFonts w:hint="cs"/>
          <w:i/>
          <w:iCs/>
          <w:spacing w:val="-2"/>
          <w:rtl/>
        </w:rPr>
        <w:t>يهيب</w:t>
      </w:r>
      <w:r w:rsidRPr="00484C81">
        <w:rPr>
          <w:rFonts w:hint="cs"/>
          <w:spacing w:val="-2"/>
          <w:rtl/>
        </w:rPr>
        <w:t xml:space="preserve"> بجميع الدول أن تتعاون مع المقرر الخاص في الاضطلاع بولايته، بطرق منها تقديم جميع المعلومات الضرورية المطلوبة، وأن تنظر جدياً في الاستجابة لطلبات المقرر الخاص بشأن زيارة بلدانها وتنظر في تنفيذ التوصيات التي يقدمها المكلف بالولاية في تقاريره؛</w:t>
      </w:r>
    </w:p>
    <w:p w:rsidR="001E4E37" w:rsidRDefault="001E4E37" w:rsidP="00484C81">
      <w:pPr>
        <w:pStyle w:val="SingleTxtGA"/>
        <w:rPr>
          <w:rFonts w:hint="cs"/>
        </w:rPr>
      </w:pPr>
      <w:r>
        <w:rPr>
          <w:rFonts w:hint="cs"/>
          <w:rtl/>
        </w:rPr>
        <w:tab/>
        <w:t>4-</w:t>
      </w:r>
      <w:r>
        <w:rPr>
          <w:rFonts w:hint="cs"/>
          <w:rtl/>
        </w:rPr>
        <w:tab/>
      </w:r>
      <w:r w:rsidRPr="00AC4A7B">
        <w:rPr>
          <w:rFonts w:hint="cs"/>
          <w:i/>
          <w:iCs/>
          <w:rtl/>
        </w:rPr>
        <w:t>يشجع</w:t>
      </w:r>
      <w:r>
        <w:rPr>
          <w:rFonts w:hint="cs"/>
          <w:rtl/>
        </w:rPr>
        <w:t xml:space="preserve"> جميع الجهات المعنية، بما</w:t>
      </w:r>
      <w:r>
        <w:rPr>
          <w:rtl/>
        </w:rPr>
        <w:t> </w:t>
      </w:r>
      <w:r>
        <w:rPr>
          <w:rFonts w:hint="cs"/>
          <w:rtl/>
        </w:rPr>
        <w:t>في ذلك وكالات الأمم المتحدة وبرامجها وصناديقها، والآليات الإقليمية لحقوق الإنسان، والمؤسسات الوطنية لحقوق الإنسان، وأطر الرصد المستقلة الوطنية، والقطاع الخاص، والمانحون والوكالات الإنمائية، على أن تتعاون بالكامل مع المقرر الخاص لمساعدة المكلف بالولاية على الاضطلاع بها؛</w:t>
      </w:r>
    </w:p>
    <w:p w:rsidR="001E4E37" w:rsidRDefault="001E4E37" w:rsidP="00484C81">
      <w:pPr>
        <w:pStyle w:val="SingleTxtGA"/>
        <w:rPr>
          <w:rFonts w:hint="cs"/>
        </w:rPr>
      </w:pPr>
      <w:r>
        <w:rPr>
          <w:rFonts w:hint="cs"/>
          <w:rtl/>
        </w:rPr>
        <w:tab/>
        <w:t>5-</w:t>
      </w:r>
      <w:r>
        <w:rPr>
          <w:rFonts w:hint="cs"/>
          <w:rtl/>
        </w:rPr>
        <w:tab/>
      </w:r>
      <w:r w:rsidRPr="00AC4A7B">
        <w:rPr>
          <w:rFonts w:hint="cs"/>
          <w:i/>
          <w:iCs/>
          <w:rtl/>
        </w:rPr>
        <w:t>يطلب</w:t>
      </w:r>
      <w:r>
        <w:rPr>
          <w:rFonts w:hint="cs"/>
          <w:rtl/>
        </w:rPr>
        <w:t xml:space="preserve"> إلى الأمين العام أن يعرض تقارير المقرر الخاص على اللجنة المعنية بحقوق الأشخاص ذوي الإعاقة ومؤتمر الدول الأطراف ولجنة التنمية الاجتماعية للاطلاع عليها وتفادي </w:t>
      </w:r>
      <w:r w:rsidR="00C7506A">
        <w:rPr>
          <w:rFonts w:hint="cs"/>
          <w:rtl/>
        </w:rPr>
        <w:t xml:space="preserve">ازدواجية العمل </w:t>
      </w:r>
      <w:r>
        <w:rPr>
          <w:rFonts w:hint="cs"/>
          <w:rtl/>
        </w:rPr>
        <w:t xml:space="preserve">غير </w:t>
      </w:r>
      <w:r w:rsidR="00C7506A">
        <w:rPr>
          <w:rFonts w:hint="cs"/>
          <w:rtl/>
        </w:rPr>
        <w:t>الضرورية</w:t>
      </w:r>
      <w:r>
        <w:rPr>
          <w:rFonts w:hint="cs"/>
          <w:rtl/>
        </w:rPr>
        <w:t>؛</w:t>
      </w:r>
    </w:p>
    <w:p w:rsidR="001E4E37" w:rsidRDefault="001E4E37" w:rsidP="00484C81">
      <w:pPr>
        <w:pStyle w:val="SingleTxtGA"/>
        <w:rPr>
          <w:rFonts w:hint="cs"/>
          <w:rtl/>
        </w:rPr>
      </w:pPr>
      <w:r w:rsidRPr="00F1734F">
        <w:rPr>
          <w:rFonts w:hint="cs"/>
          <w:rtl/>
        </w:rPr>
        <w:tab/>
        <w:t>6-</w:t>
      </w:r>
      <w:r w:rsidRPr="00F1734F">
        <w:rPr>
          <w:rFonts w:hint="cs"/>
          <w:rtl/>
        </w:rPr>
        <w:tab/>
      </w:r>
      <w:r w:rsidRPr="00F1734F">
        <w:rPr>
          <w:rFonts w:hint="cs"/>
          <w:i/>
          <w:iCs/>
          <w:rtl/>
        </w:rPr>
        <w:t>يطلب</w:t>
      </w:r>
      <w:r w:rsidRPr="00F1734F">
        <w:rPr>
          <w:rFonts w:hint="cs"/>
          <w:rtl/>
        </w:rPr>
        <w:t xml:space="preserve"> إلى الأمين العام ومفوضة الأمم المتحدة السامية لحقوق الإنسان تزويد المقرر الخاص بجميع الموارد البشرية والتقنية والمالية اللازمة لكي يضطلع بولايته على نحو فعال.</w:t>
      </w:r>
    </w:p>
    <w:p w:rsidR="004F747E" w:rsidRPr="00143280" w:rsidRDefault="004F747E" w:rsidP="004F747E">
      <w:pPr>
        <w:pStyle w:val="SingleTxtGA"/>
        <w:spacing w:before="120" w:after="0"/>
        <w:jc w:val="right"/>
        <w:rPr>
          <w:rFonts w:hint="cs"/>
          <w:i/>
          <w:iCs/>
          <w:rtl/>
        </w:rPr>
      </w:pPr>
      <w:r w:rsidRPr="00143280">
        <w:rPr>
          <w:rFonts w:hint="cs"/>
          <w:i/>
          <w:iCs/>
          <w:rtl/>
        </w:rPr>
        <w:t xml:space="preserve">الجلسة </w:t>
      </w:r>
      <w:r>
        <w:rPr>
          <w:rFonts w:hint="cs"/>
          <w:i/>
          <w:iCs/>
          <w:rtl/>
        </w:rPr>
        <w:t>39</w:t>
      </w:r>
    </w:p>
    <w:p w:rsidR="004F747E" w:rsidRPr="00143280" w:rsidRDefault="004F747E" w:rsidP="004F747E">
      <w:pPr>
        <w:pStyle w:val="SingleTxtGA"/>
        <w:jc w:val="right"/>
        <w:rPr>
          <w:rFonts w:hint="cs"/>
          <w:i/>
          <w:iCs/>
          <w:rtl/>
        </w:rPr>
      </w:pPr>
      <w:r>
        <w:rPr>
          <w:rFonts w:hint="cs"/>
          <w:i/>
          <w:iCs/>
          <w:rtl/>
        </w:rPr>
        <w:t xml:space="preserve">27 </w:t>
      </w:r>
      <w:r w:rsidRPr="00143280">
        <w:rPr>
          <w:rFonts w:hint="cs"/>
          <w:i/>
          <w:iCs/>
          <w:rtl/>
        </w:rPr>
        <w:t>حزيران/يونيه 2014</w:t>
      </w:r>
    </w:p>
    <w:p w:rsidR="004F747E" w:rsidRDefault="004F747E" w:rsidP="004F747E">
      <w:pPr>
        <w:pStyle w:val="SingleTxtGA"/>
        <w:spacing w:line="370" w:lineRule="exact"/>
        <w:rPr>
          <w:rFonts w:hint="cs"/>
          <w:rtl/>
        </w:rPr>
      </w:pPr>
      <w:r>
        <w:rPr>
          <w:rFonts w:hint="cs"/>
          <w:rtl/>
        </w:rPr>
        <w:t>[اعتمد دون تصويت.]</w:t>
      </w:r>
    </w:p>
    <w:p w:rsidR="004F747E" w:rsidRPr="004F747E" w:rsidRDefault="004F747E" w:rsidP="004F747E">
      <w:pPr>
        <w:spacing w:before="120"/>
        <w:jc w:val="center"/>
        <w:rPr>
          <w:rFonts w:hint="cs"/>
          <w:u w:val="single"/>
          <w:rtl/>
        </w:rPr>
      </w:pPr>
      <w:r>
        <w:rPr>
          <w:u w:val="single"/>
          <w:rtl/>
        </w:rPr>
        <w:tab/>
      </w:r>
      <w:r>
        <w:rPr>
          <w:u w:val="single"/>
          <w:rtl/>
        </w:rPr>
        <w:tab/>
      </w:r>
      <w:r>
        <w:rPr>
          <w:u w:val="single"/>
          <w:rtl/>
        </w:rPr>
        <w:tab/>
      </w:r>
    </w:p>
    <w:sectPr w:rsidR="004F747E" w:rsidRPr="004F747E" w:rsidSect="00525B46">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395D" w:rsidRPr="00FE6865" w:rsidRDefault="0006395D" w:rsidP="00FE6865">
      <w:pPr>
        <w:pStyle w:val="Footer"/>
      </w:pPr>
    </w:p>
  </w:endnote>
  <w:endnote w:type="continuationSeparator" w:id="0">
    <w:p w:rsidR="0006395D" w:rsidRDefault="0006395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395D" w:rsidRPr="00525B46" w:rsidRDefault="0006395D" w:rsidP="00525B46">
    <w:pPr>
      <w:pStyle w:val="Footer"/>
      <w:tabs>
        <w:tab w:val="right" w:pos="9598"/>
      </w:tabs>
    </w:pPr>
    <w:r>
      <w:t>GE.14-08209</w:t>
    </w:r>
    <w:r>
      <w:tab/>
    </w:r>
    <w:r w:rsidRPr="00525B46">
      <w:rPr>
        <w:b/>
        <w:sz w:val="18"/>
      </w:rPr>
      <w:fldChar w:fldCharType="begin"/>
    </w:r>
    <w:r w:rsidRPr="00525B46">
      <w:rPr>
        <w:b/>
        <w:sz w:val="18"/>
      </w:rPr>
      <w:instrText xml:space="preserve"> PAGE  \* MERGEFORMAT </w:instrText>
    </w:r>
    <w:r w:rsidRPr="00525B46">
      <w:rPr>
        <w:b/>
        <w:sz w:val="18"/>
      </w:rPr>
      <w:fldChar w:fldCharType="separate"/>
    </w:r>
    <w:r>
      <w:rPr>
        <w:b/>
        <w:noProof/>
        <w:sz w:val="18"/>
      </w:rPr>
      <w:t>2</w:t>
    </w:r>
    <w:r w:rsidRPr="00525B46">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395D" w:rsidRPr="00525B46" w:rsidRDefault="0006395D" w:rsidP="00525B46">
    <w:pPr>
      <w:pStyle w:val="Footer"/>
      <w:tabs>
        <w:tab w:val="right" w:pos="9598"/>
      </w:tabs>
      <w:rPr>
        <w:b/>
        <w:sz w:val="18"/>
      </w:rPr>
    </w:pPr>
    <w:r w:rsidRPr="00525B46">
      <w:rPr>
        <w:b/>
        <w:sz w:val="18"/>
      </w:rPr>
      <w:fldChar w:fldCharType="begin"/>
    </w:r>
    <w:r w:rsidRPr="00525B46">
      <w:rPr>
        <w:b/>
        <w:sz w:val="18"/>
      </w:rPr>
      <w:instrText xml:space="preserve"> PAGE  \* MERGEFORMAT </w:instrText>
    </w:r>
    <w:r w:rsidRPr="00525B46">
      <w:rPr>
        <w:b/>
        <w:sz w:val="18"/>
      </w:rPr>
      <w:fldChar w:fldCharType="separate"/>
    </w:r>
    <w:r>
      <w:rPr>
        <w:b/>
        <w:noProof/>
        <w:sz w:val="18"/>
      </w:rPr>
      <w:t>3</w:t>
    </w:r>
    <w:r w:rsidRPr="00525B46">
      <w:rPr>
        <w:b/>
        <w:sz w:val="18"/>
      </w:rPr>
      <w:fldChar w:fldCharType="end"/>
    </w:r>
    <w:r>
      <w:rPr>
        <w:b/>
        <w:sz w:val="18"/>
      </w:rPr>
      <w:tab/>
    </w:r>
    <w:r>
      <w:t>GE.14-08209</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395D" w:rsidRDefault="0006395D" w:rsidP="00525B46">
    <w:pPr>
      <w:pStyle w:val="Footer"/>
      <w:jc w:val="right"/>
    </w:pPr>
    <w:r>
      <w:rPr>
        <w:sz w:val="20"/>
      </w:rPr>
      <w:t>(A)   GE.14-08209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290814    290814</w:t>
    </w:r>
    <w:r>
      <w:br/>
    </w:r>
    <w:r w:rsidRPr="009E3D92">
      <w:rPr>
        <w:rFonts w:ascii="C39T30Lfz" w:hAnsi="C39T30Lfz"/>
        <w:sz w:val="56"/>
      </w:rPr>
      <w:t></w:t>
    </w:r>
    <w:r w:rsidRPr="009E3D92">
      <w:rPr>
        <w:rFonts w:ascii="C39T30Lfz" w:hAnsi="C39T30Lfz"/>
        <w:sz w:val="56"/>
      </w:rPr>
      <w:t></w:t>
    </w:r>
    <w:r w:rsidRPr="009E3D92">
      <w:rPr>
        <w:rFonts w:ascii="C39T30Lfz" w:hAnsi="C39T30Lfz"/>
        <w:sz w:val="56"/>
      </w:rPr>
      <w:t></w:t>
    </w:r>
    <w:r w:rsidRPr="009E3D92">
      <w:rPr>
        <w:rFonts w:ascii="C39T30Lfz" w:hAnsi="C39T30Lfz"/>
        <w:sz w:val="56"/>
      </w:rPr>
      <w:t></w:t>
    </w:r>
    <w:r w:rsidRPr="009E3D92">
      <w:rPr>
        <w:rFonts w:ascii="C39T30Lfz" w:hAnsi="C39T30Lfz"/>
        <w:sz w:val="56"/>
      </w:rPr>
      <w:t></w:t>
    </w:r>
    <w:r w:rsidRPr="009E3D92">
      <w:rPr>
        <w:rFonts w:ascii="C39T30Lfz" w:hAnsi="C39T30Lfz"/>
        <w:sz w:val="56"/>
      </w:rPr>
      <w:t></w:t>
    </w:r>
    <w:r w:rsidRPr="009E3D92">
      <w:rPr>
        <w:rFonts w:ascii="C39T30Lfz" w:hAnsi="C39T30Lfz"/>
        <w:sz w:val="56"/>
      </w:rPr>
      <w:t></w:t>
    </w:r>
    <w:r w:rsidRPr="009E3D92">
      <w:rPr>
        <w:rFonts w:ascii="C39T30Lfz" w:hAnsi="C39T30Lfz"/>
        <w:sz w:val="56"/>
      </w:rPr>
      <w:t></w:t>
    </w:r>
    <w:r w:rsidRPr="009E3D92">
      <w:rPr>
        <w:rFonts w:ascii="C39T30Lfz" w:hAnsi="C39T30Lfz"/>
        <w:sz w:val="56"/>
      </w:rPr>
      <w:t></w:t>
    </w:r>
    <w:r>
      <w:rPr>
        <w:rFonts w:ascii="C39T30Lfz" w:hAnsi="C39T30Lfz"/>
        <w:sz w:val="56"/>
      </w:rPr>
      <w:tab/>
    </w:r>
    <w:r>
      <w:rPr>
        <w:noProof/>
        <w:lang w:val="en-US"/>
      </w:rPr>
      <w:pict>
        <v:shape id="_x0000_s2051" type="#_x0000_t75" style="position:absolute;left:0;text-align:left;margin-left:.05pt;margin-top:0;width:50.25pt;height:50.25pt;z-index:2;mso-position-horizontal-relative:text;mso-position-vertical-relative:text" o:allowincell="f">
          <v:imagedata r:id="rId2" o:title="20&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395D" w:rsidRDefault="0006395D" w:rsidP="009A0C39">
      <w:pPr>
        <w:spacing w:after="80" w:line="200" w:lineRule="atLeast"/>
        <w:ind w:left="680"/>
      </w:pPr>
      <w:r w:rsidRPr="00C10C26">
        <w:rPr>
          <w:sz w:val="16"/>
          <w:rtl/>
        </w:rPr>
        <w:t>__________</w:t>
      </w:r>
    </w:p>
  </w:footnote>
  <w:footnote w:type="continuationSeparator" w:id="0">
    <w:p w:rsidR="0006395D" w:rsidRDefault="0006395D" w:rsidP="00444AA6">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395D" w:rsidRPr="00525B46" w:rsidRDefault="0006395D" w:rsidP="00525B46">
    <w:pPr>
      <w:pStyle w:val="Header"/>
      <w:jc w:val="right"/>
    </w:pPr>
    <w:r w:rsidRPr="00525B46">
      <w:t>A/HRC/RES/26/20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395D" w:rsidRPr="00525B46" w:rsidRDefault="0006395D" w:rsidP="00525B46">
    <w:pPr>
      <w:pStyle w:val="Header"/>
      <w:jc w:val="left"/>
    </w:pPr>
    <w:r w:rsidRPr="00525B46">
      <w:t>A/HRC/RES/26/20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80850"/>
    <w:rsid w:val="00040E25"/>
    <w:rsid w:val="00042149"/>
    <w:rsid w:val="0006395D"/>
    <w:rsid w:val="000648EA"/>
    <w:rsid w:val="000957C8"/>
    <w:rsid w:val="000A200A"/>
    <w:rsid w:val="000B52F2"/>
    <w:rsid w:val="000B6247"/>
    <w:rsid w:val="000C38E6"/>
    <w:rsid w:val="000D0EAE"/>
    <w:rsid w:val="000D5380"/>
    <w:rsid w:val="000D6654"/>
    <w:rsid w:val="000F0264"/>
    <w:rsid w:val="000F2EBF"/>
    <w:rsid w:val="000F5FF6"/>
    <w:rsid w:val="00105BAA"/>
    <w:rsid w:val="00113FA5"/>
    <w:rsid w:val="001455A0"/>
    <w:rsid w:val="00146B25"/>
    <w:rsid w:val="001602A3"/>
    <w:rsid w:val="001A5161"/>
    <w:rsid w:val="001A60BD"/>
    <w:rsid w:val="001C2410"/>
    <w:rsid w:val="001E4E37"/>
    <w:rsid w:val="0023736D"/>
    <w:rsid w:val="00257225"/>
    <w:rsid w:val="00275860"/>
    <w:rsid w:val="00310160"/>
    <w:rsid w:val="00341A8C"/>
    <w:rsid w:val="003519E6"/>
    <w:rsid w:val="003B4356"/>
    <w:rsid w:val="003D5D43"/>
    <w:rsid w:val="003F08A8"/>
    <w:rsid w:val="004250E3"/>
    <w:rsid w:val="00444AA6"/>
    <w:rsid w:val="00472A81"/>
    <w:rsid w:val="00484C81"/>
    <w:rsid w:val="004B2C92"/>
    <w:rsid w:val="004D6A3A"/>
    <w:rsid w:val="004F4AD7"/>
    <w:rsid w:val="004F747E"/>
    <w:rsid w:val="00525B46"/>
    <w:rsid w:val="005449D8"/>
    <w:rsid w:val="00557BD7"/>
    <w:rsid w:val="00557CD3"/>
    <w:rsid w:val="00564536"/>
    <w:rsid w:val="00571432"/>
    <w:rsid w:val="005732A2"/>
    <w:rsid w:val="005762A5"/>
    <w:rsid w:val="00590BA3"/>
    <w:rsid w:val="005A1A9A"/>
    <w:rsid w:val="005B7AE0"/>
    <w:rsid w:val="005F146F"/>
    <w:rsid w:val="005F71B6"/>
    <w:rsid w:val="00660FD4"/>
    <w:rsid w:val="00680850"/>
    <w:rsid w:val="00695F05"/>
    <w:rsid w:val="006A4425"/>
    <w:rsid w:val="006B4669"/>
    <w:rsid w:val="006C768B"/>
    <w:rsid w:val="006E3473"/>
    <w:rsid w:val="006F6BF8"/>
    <w:rsid w:val="00707BDF"/>
    <w:rsid w:val="00710727"/>
    <w:rsid w:val="00710DA1"/>
    <w:rsid w:val="00715F45"/>
    <w:rsid w:val="00731B84"/>
    <w:rsid w:val="00734AE7"/>
    <w:rsid w:val="00786B69"/>
    <w:rsid w:val="007B599E"/>
    <w:rsid w:val="007D5CAD"/>
    <w:rsid w:val="007E197F"/>
    <w:rsid w:val="007F68C4"/>
    <w:rsid w:val="008153DE"/>
    <w:rsid w:val="00850F45"/>
    <w:rsid w:val="00852A10"/>
    <w:rsid w:val="00862634"/>
    <w:rsid w:val="00866C59"/>
    <w:rsid w:val="00877306"/>
    <w:rsid w:val="00887B5C"/>
    <w:rsid w:val="008A2F81"/>
    <w:rsid w:val="008A6242"/>
    <w:rsid w:val="008B4BC6"/>
    <w:rsid w:val="00901E57"/>
    <w:rsid w:val="00935F0E"/>
    <w:rsid w:val="00937720"/>
    <w:rsid w:val="00944D2F"/>
    <w:rsid w:val="0095208F"/>
    <w:rsid w:val="00977B3F"/>
    <w:rsid w:val="009814AE"/>
    <w:rsid w:val="00983870"/>
    <w:rsid w:val="009858CC"/>
    <w:rsid w:val="0098759F"/>
    <w:rsid w:val="00994B89"/>
    <w:rsid w:val="00996BBE"/>
    <w:rsid w:val="009A0C39"/>
    <w:rsid w:val="009D1DD5"/>
    <w:rsid w:val="009E3D92"/>
    <w:rsid w:val="00A11DDA"/>
    <w:rsid w:val="00A26157"/>
    <w:rsid w:val="00A265C3"/>
    <w:rsid w:val="00A43F9A"/>
    <w:rsid w:val="00A543D4"/>
    <w:rsid w:val="00A800DC"/>
    <w:rsid w:val="00AD0014"/>
    <w:rsid w:val="00AD4CF2"/>
    <w:rsid w:val="00AF0BBA"/>
    <w:rsid w:val="00B30468"/>
    <w:rsid w:val="00B54239"/>
    <w:rsid w:val="00B60E70"/>
    <w:rsid w:val="00B639B9"/>
    <w:rsid w:val="00BB2C41"/>
    <w:rsid w:val="00BC55C8"/>
    <w:rsid w:val="00BC5C10"/>
    <w:rsid w:val="00BE2964"/>
    <w:rsid w:val="00C24FBD"/>
    <w:rsid w:val="00C473BA"/>
    <w:rsid w:val="00C611ED"/>
    <w:rsid w:val="00C6490A"/>
    <w:rsid w:val="00C64FE1"/>
    <w:rsid w:val="00C66164"/>
    <w:rsid w:val="00C7506A"/>
    <w:rsid w:val="00C8345E"/>
    <w:rsid w:val="00CA4C17"/>
    <w:rsid w:val="00CA5F7C"/>
    <w:rsid w:val="00CC7148"/>
    <w:rsid w:val="00CE7C87"/>
    <w:rsid w:val="00D06637"/>
    <w:rsid w:val="00D51067"/>
    <w:rsid w:val="00D75657"/>
    <w:rsid w:val="00D960AD"/>
    <w:rsid w:val="00DA0E0E"/>
    <w:rsid w:val="00DB0C39"/>
    <w:rsid w:val="00DB7679"/>
    <w:rsid w:val="00DE3904"/>
    <w:rsid w:val="00DF1702"/>
    <w:rsid w:val="00DF4DD8"/>
    <w:rsid w:val="00DF668E"/>
    <w:rsid w:val="00E05DE3"/>
    <w:rsid w:val="00E14D2B"/>
    <w:rsid w:val="00E20DBA"/>
    <w:rsid w:val="00E660D6"/>
    <w:rsid w:val="00E771AB"/>
    <w:rsid w:val="00EA796F"/>
    <w:rsid w:val="00EB077B"/>
    <w:rsid w:val="00EC50B9"/>
    <w:rsid w:val="00EC574A"/>
    <w:rsid w:val="00ED26A0"/>
    <w:rsid w:val="00F04473"/>
    <w:rsid w:val="00F1727A"/>
    <w:rsid w:val="00F34764"/>
    <w:rsid w:val="00F54E3C"/>
    <w:rsid w:val="00F874BD"/>
    <w:rsid w:val="00FA6DD0"/>
    <w:rsid w:val="00FC2EF4"/>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3</Pages>
  <Words>759</Words>
  <Characters>4331</Characters>
  <Application>Microsoft Office Outlook</Application>
  <DocSecurity>4</DocSecurity>
  <Lines>36</Lines>
  <Paragraphs>10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A/HRC/RES/26/20</vt:lpstr>
      <vt:lpstr>A/HRC/RES/26/20</vt:lpstr>
    </vt:vector>
  </TitlesOfParts>
  <Company>CSD</Company>
  <LinksUpToDate>false</LinksUpToDate>
  <CharactersWithSpaces>5080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A/HRC/RES/26/20</dc:title>
  <dc:subject/>
  <dc:creator>SAYED</dc:creator>
  <cp:keywords/>
  <dc:description/>
  <cp:lastModifiedBy>TPS</cp:lastModifiedBy>
  <cp:revision>2</cp:revision>
  <cp:lastPrinted>2014-08-29T13:46:00Z</cp:lastPrinted>
  <dcterms:created xsi:type="dcterms:W3CDTF">2014-09-01T07:25:00Z</dcterms:created>
  <dcterms:modified xsi:type="dcterms:W3CDTF">2014-09-01T07:25:00Z</dcterms:modified>
</cp:coreProperties>
</file>